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6D543" w14:textId="0F46DE08" w:rsidR="00FC3911" w:rsidRPr="00FC3911" w:rsidRDefault="00FC3911" w:rsidP="00FC3911">
      <w:pPr>
        <w:jc w:val="center"/>
        <w:rPr>
          <w:b/>
          <w:bCs/>
        </w:rPr>
      </w:pPr>
    </w:p>
    <w:p w14:paraId="450057FC" w14:textId="77777777" w:rsidR="00FC3911" w:rsidRPr="00FC3911" w:rsidRDefault="00FC3911" w:rsidP="00FC3911">
      <w:pPr>
        <w:jc w:val="center"/>
        <w:rPr>
          <w:b/>
          <w:bCs/>
        </w:rPr>
      </w:pPr>
      <w:r w:rsidRPr="00FC3911">
        <w:rPr>
          <w:rFonts w:ascii="Arial" w:eastAsia="Arial" w:hAnsi="Arial" w:cs="Arial"/>
          <w:b/>
          <w:bCs/>
          <w:sz w:val="30"/>
          <w:szCs w:val="30"/>
        </w:rPr>
        <w:t>Developing and Managing Individuals and Teams</w:t>
      </w:r>
    </w:p>
    <w:p w14:paraId="393C46EC" w14:textId="77777777" w:rsidR="00FC3911" w:rsidRPr="00FC3911" w:rsidRDefault="00FC3911" w:rsidP="00FC3911">
      <w:pPr>
        <w:jc w:val="center"/>
        <w:rPr>
          <w:b/>
          <w:bCs/>
        </w:rPr>
      </w:pPr>
      <w:r w:rsidRPr="00FC3911">
        <w:rPr>
          <w:rFonts w:ascii="Arial" w:eastAsia="Arial" w:hAnsi="Arial" w:cs="Arial"/>
          <w:b/>
          <w:bCs/>
          <w:sz w:val="26"/>
          <w:szCs w:val="26"/>
        </w:rPr>
        <w:t>Module Code: LCLM5002</w:t>
      </w:r>
    </w:p>
    <w:p w14:paraId="783FAE99" w14:textId="339FEBF9" w:rsidR="00C600BF" w:rsidRDefault="007763E1" w:rsidP="007763E1">
      <w:pPr>
        <w:rPr>
          <w:rFonts w:ascii="Arial" w:eastAsia="Arial" w:hAnsi="Arial" w:cs="Arial"/>
          <w:b/>
          <w:bCs/>
          <w:sz w:val="26"/>
          <w:szCs w:val="26"/>
        </w:rPr>
      </w:pPr>
      <w:r>
        <w:rPr>
          <w:rFonts w:ascii="Arial" w:eastAsia="Arial" w:hAnsi="Arial" w:cs="Arial"/>
          <w:b/>
          <w:bCs/>
          <w:sz w:val="26"/>
          <w:szCs w:val="26"/>
        </w:rPr>
        <w:t xml:space="preserve">                                     </w:t>
      </w:r>
      <w:r w:rsidR="00C600BF">
        <w:rPr>
          <w:rFonts w:ascii="Arial" w:eastAsia="Arial" w:hAnsi="Arial" w:cs="Arial"/>
          <w:b/>
          <w:bCs/>
          <w:sz w:val="26"/>
          <w:szCs w:val="26"/>
        </w:rPr>
        <w:t>Component 2-</w:t>
      </w:r>
      <w:r w:rsidR="00C600BF" w:rsidRPr="00C600BF">
        <w:t xml:space="preserve"> </w:t>
      </w:r>
      <w:r w:rsidR="00C600BF" w:rsidRPr="00C600BF">
        <w:rPr>
          <w:rFonts w:ascii="Arial" w:eastAsia="Arial" w:hAnsi="Arial" w:cs="Arial"/>
          <w:b/>
          <w:bCs/>
          <w:sz w:val="26"/>
          <w:szCs w:val="26"/>
        </w:rPr>
        <w:t>Individual Report</w:t>
      </w:r>
    </w:p>
    <w:p w14:paraId="5879A68C" w14:textId="3C937828" w:rsidR="00FC3911" w:rsidRPr="00FC3911" w:rsidRDefault="00C600BF" w:rsidP="007763E1">
      <w:pPr>
        <w:rPr>
          <w:b/>
          <w:bCs/>
        </w:rPr>
      </w:pPr>
      <w:r>
        <w:rPr>
          <w:rFonts w:ascii="Arial" w:eastAsia="Arial" w:hAnsi="Arial" w:cs="Arial"/>
          <w:b/>
          <w:bCs/>
          <w:sz w:val="26"/>
          <w:szCs w:val="26"/>
        </w:rPr>
        <w:t xml:space="preserve">                                             </w:t>
      </w:r>
    </w:p>
    <w:p w14:paraId="098D7ABA" w14:textId="77777777" w:rsidR="00F41A15" w:rsidRDefault="00F41A15"/>
    <w:p w14:paraId="375B05C6" w14:textId="77777777" w:rsidR="00FC3911" w:rsidRDefault="00FC3911"/>
    <w:p w14:paraId="2BD368A4" w14:textId="77777777" w:rsidR="00FC3911" w:rsidRDefault="00FC3911" w:rsidP="00FC3911">
      <w:pPr>
        <w:jc w:val="center"/>
      </w:pPr>
    </w:p>
    <w:p w14:paraId="661E899E" w14:textId="77777777" w:rsidR="00FC3911" w:rsidRDefault="00FC3911" w:rsidP="00FC3911">
      <w:pPr>
        <w:jc w:val="center"/>
      </w:pPr>
    </w:p>
    <w:p w14:paraId="584C1ABD" w14:textId="77777777" w:rsidR="00FC3911" w:rsidRDefault="00FC3911" w:rsidP="00FC3911">
      <w:pPr>
        <w:jc w:val="center"/>
      </w:pPr>
    </w:p>
    <w:p w14:paraId="7FDCD72B" w14:textId="77777777" w:rsidR="00FC3911" w:rsidRDefault="00FC3911" w:rsidP="00FC3911">
      <w:pPr>
        <w:jc w:val="center"/>
      </w:pPr>
    </w:p>
    <w:p w14:paraId="29706B70" w14:textId="77777777" w:rsidR="00FC3911" w:rsidRDefault="00FC3911" w:rsidP="00FC3911">
      <w:pPr>
        <w:jc w:val="center"/>
      </w:pPr>
    </w:p>
    <w:p w14:paraId="37EC0CF3" w14:textId="77777777" w:rsidR="00FC3911" w:rsidRDefault="00FC3911" w:rsidP="00FC3911">
      <w:pPr>
        <w:jc w:val="center"/>
      </w:pPr>
    </w:p>
    <w:p w14:paraId="6B60662A" w14:textId="77777777" w:rsidR="00FC3911" w:rsidRDefault="00FC3911" w:rsidP="00FC3911">
      <w:pPr>
        <w:jc w:val="center"/>
      </w:pPr>
    </w:p>
    <w:p w14:paraId="61D95A45" w14:textId="77777777" w:rsidR="00FC3911" w:rsidRDefault="00FC3911" w:rsidP="00FC3911">
      <w:pPr>
        <w:jc w:val="center"/>
      </w:pPr>
    </w:p>
    <w:p w14:paraId="550F2D5E" w14:textId="77777777" w:rsidR="00FC3911" w:rsidRDefault="00FC3911" w:rsidP="00FC3911">
      <w:pPr>
        <w:jc w:val="center"/>
      </w:pPr>
    </w:p>
    <w:p w14:paraId="02AD2E31" w14:textId="77777777" w:rsidR="00FC3911" w:rsidRDefault="00FC3911" w:rsidP="00FC3911">
      <w:pPr>
        <w:jc w:val="center"/>
      </w:pPr>
    </w:p>
    <w:p w14:paraId="30C59FEB" w14:textId="77777777" w:rsidR="00FC3911" w:rsidRDefault="00FC3911" w:rsidP="00FC3911">
      <w:pPr>
        <w:jc w:val="center"/>
      </w:pPr>
    </w:p>
    <w:p w14:paraId="159167DF" w14:textId="77777777" w:rsidR="00FC3911" w:rsidRDefault="00FC3911" w:rsidP="00FC3911">
      <w:pPr>
        <w:spacing w:after="800"/>
      </w:pPr>
    </w:p>
    <w:p w14:paraId="064A92A2" w14:textId="000338D8" w:rsidR="00FC3911" w:rsidRDefault="00FC3911" w:rsidP="00FC3911">
      <w:pPr>
        <w:jc w:val="center"/>
      </w:pPr>
      <w:r>
        <w:rPr>
          <w:rFonts w:ascii="Arial" w:eastAsia="Arial" w:hAnsi="Arial" w:cs="Arial"/>
          <w:b/>
          <w:bCs/>
        </w:rPr>
        <w:t xml:space="preserve">Student Name: </w:t>
      </w:r>
      <w:r w:rsidR="009631AB">
        <w:rPr>
          <w:rFonts w:ascii="Arial" w:eastAsia="Arial" w:hAnsi="Arial" w:cs="Arial"/>
          <w:b/>
          <w:bCs/>
        </w:rPr>
        <w:t>Victoria Borta</w:t>
      </w:r>
    </w:p>
    <w:p w14:paraId="75E8024D" w14:textId="7164451F" w:rsidR="00FC3911" w:rsidRDefault="00FC3911" w:rsidP="00FC3911">
      <w:pPr>
        <w:jc w:val="center"/>
        <w:rPr>
          <w:rFonts w:ascii="Arial" w:eastAsia="Arial" w:hAnsi="Arial" w:cs="Arial"/>
          <w:b/>
          <w:bCs/>
        </w:rPr>
      </w:pPr>
      <w:r>
        <w:rPr>
          <w:rFonts w:ascii="Arial" w:eastAsia="Arial" w:hAnsi="Arial" w:cs="Arial"/>
          <w:b/>
          <w:bCs/>
        </w:rPr>
        <w:t xml:space="preserve">Student </w:t>
      </w:r>
      <w:r w:rsidR="00820F3D">
        <w:rPr>
          <w:rFonts w:ascii="Arial" w:eastAsia="Arial" w:hAnsi="Arial" w:cs="Arial"/>
          <w:b/>
          <w:bCs/>
        </w:rPr>
        <w:t>ID</w:t>
      </w:r>
      <w:r>
        <w:rPr>
          <w:rFonts w:ascii="Arial" w:eastAsia="Arial" w:hAnsi="Arial" w:cs="Arial"/>
          <w:b/>
          <w:bCs/>
        </w:rPr>
        <w:t xml:space="preserve">: </w:t>
      </w:r>
      <w:r w:rsidR="009631AB">
        <w:rPr>
          <w:rFonts w:ascii="Arial" w:eastAsia="Arial" w:hAnsi="Arial" w:cs="Arial"/>
          <w:b/>
          <w:bCs/>
        </w:rPr>
        <w:t>2422534</w:t>
      </w:r>
    </w:p>
    <w:p w14:paraId="75A99C0D" w14:textId="0E4900CB" w:rsidR="009631AB" w:rsidRDefault="009631AB" w:rsidP="00FC3911">
      <w:pPr>
        <w:jc w:val="center"/>
        <w:rPr>
          <w:rFonts w:ascii="Arial" w:eastAsia="Arial" w:hAnsi="Arial" w:cs="Arial"/>
          <w:b/>
          <w:bCs/>
        </w:rPr>
      </w:pPr>
      <w:r w:rsidRPr="009631AB">
        <w:rPr>
          <w:rFonts w:ascii="Arial" w:eastAsia="Arial" w:hAnsi="Arial" w:cs="Arial"/>
          <w:b/>
          <w:bCs/>
        </w:rPr>
        <w:t xml:space="preserve">Lecturer: Sukhpreet Grewal  </w:t>
      </w:r>
    </w:p>
    <w:p w14:paraId="73E8B538" w14:textId="77777777" w:rsidR="009631AB" w:rsidRDefault="009631AB" w:rsidP="009631AB">
      <w:pPr>
        <w:pStyle w:val="Heading1"/>
      </w:pPr>
      <w:r>
        <w:t xml:space="preserve">                                             </w:t>
      </w:r>
    </w:p>
    <w:p w14:paraId="41B707DD" w14:textId="77777777" w:rsidR="00FC3911" w:rsidRDefault="00FC3911" w:rsidP="00FC3911">
      <w:pPr>
        <w:jc w:val="center"/>
      </w:pPr>
    </w:p>
    <w:p w14:paraId="411DA128" w14:textId="77777777" w:rsidR="00FC3911" w:rsidRDefault="00FC3911" w:rsidP="00FC3911">
      <w:pPr>
        <w:jc w:val="center"/>
      </w:pPr>
    </w:p>
    <w:p w14:paraId="5CA8293C" w14:textId="77777777" w:rsidR="00FC3911" w:rsidRDefault="00FC3911" w:rsidP="00FC3911">
      <w:pPr>
        <w:jc w:val="center"/>
      </w:pPr>
    </w:p>
    <w:p w14:paraId="2D9087C9" w14:textId="77777777" w:rsidR="00FC3911" w:rsidRDefault="00FC3911" w:rsidP="00FC3911">
      <w:pPr>
        <w:jc w:val="center"/>
      </w:pPr>
    </w:p>
    <w:p w14:paraId="0A5AC7A7" w14:textId="77777777" w:rsidR="00FC3911" w:rsidRDefault="00FC3911" w:rsidP="00FC3911">
      <w:pPr>
        <w:jc w:val="center"/>
      </w:pPr>
    </w:p>
    <w:p w14:paraId="330C91AA" w14:textId="77777777" w:rsidR="00FC3911" w:rsidRDefault="00FC3911" w:rsidP="00FC3911">
      <w:pPr>
        <w:jc w:val="center"/>
      </w:pPr>
    </w:p>
    <w:sdt>
      <w:sdtPr>
        <w:rPr>
          <w:rFonts w:ascii="Times New Roman" w:eastAsiaTheme="minorHAnsi" w:hAnsi="Times New Roman" w:cstheme="minorBidi"/>
          <w:color w:val="auto"/>
          <w:kern w:val="2"/>
          <w:sz w:val="24"/>
          <w:szCs w:val="24"/>
          <w:lang w:val="en-GB"/>
          <w14:ligatures w14:val="standardContextual"/>
        </w:rPr>
        <w:id w:val="891924430"/>
        <w:docPartObj>
          <w:docPartGallery w:val="Table of Contents"/>
          <w:docPartUnique/>
        </w:docPartObj>
      </w:sdtPr>
      <w:sdtEndPr>
        <w:rPr>
          <w:b/>
          <w:bCs/>
          <w:noProof/>
        </w:rPr>
      </w:sdtEndPr>
      <w:sdtContent>
        <w:p w14:paraId="6CE87E49" w14:textId="7EE4621C" w:rsidR="00FC3911" w:rsidRDefault="00FC3911">
          <w:pPr>
            <w:pStyle w:val="TOCHeading"/>
          </w:pPr>
          <w:r>
            <w:t>Contents</w:t>
          </w:r>
        </w:p>
        <w:p w14:paraId="00494626" w14:textId="70DC4886" w:rsidR="00FC3911" w:rsidRPr="00FC3911" w:rsidRDefault="00FC3911" w:rsidP="00FC3911">
          <w:pPr>
            <w:pStyle w:val="TOC1"/>
            <w:tabs>
              <w:tab w:val="right" w:leader="dot" w:pos="9016"/>
            </w:tabs>
            <w:spacing w:line="360" w:lineRule="auto"/>
            <w:rPr>
              <w:rFonts w:eastAsiaTheme="minorEastAsia" w:cs="Times New Roman"/>
              <w:noProof/>
              <w:lang w:eastAsia="en-GB"/>
            </w:rPr>
          </w:pPr>
          <w:r w:rsidRPr="00FC3911">
            <w:rPr>
              <w:rFonts w:cs="Times New Roman"/>
            </w:rPr>
            <w:fldChar w:fldCharType="begin"/>
          </w:r>
          <w:r w:rsidRPr="00FC3911">
            <w:rPr>
              <w:rFonts w:cs="Times New Roman"/>
            </w:rPr>
            <w:instrText xml:space="preserve"> TOC \o "1-3" \h \z \u </w:instrText>
          </w:r>
          <w:r w:rsidRPr="00FC3911">
            <w:rPr>
              <w:rFonts w:cs="Times New Roman"/>
            </w:rPr>
            <w:fldChar w:fldCharType="separate"/>
          </w:r>
          <w:hyperlink w:anchor="_Toc227271085" w:history="1">
            <w:r w:rsidRPr="00FC3911">
              <w:rPr>
                <w:rStyle w:val="Hyperlink"/>
                <w:rFonts w:eastAsia="Arial" w:cs="Times New Roman"/>
                <w:bCs/>
                <w:noProof/>
              </w:rPr>
              <w:t>1.0 Introduction</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_Toc227271085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3</w:t>
            </w:r>
            <w:r w:rsidRPr="00FC3911">
              <w:rPr>
                <w:rFonts w:cs="Times New Roman"/>
                <w:noProof/>
                <w:webHidden/>
              </w:rPr>
              <w:fldChar w:fldCharType="end"/>
            </w:r>
          </w:hyperlink>
        </w:p>
        <w:p w14:paraId="1614E1F8" w14:textId="45AA137A" w:rsidR="00FC3911" w:rsidRPr="00FC3911" w:rsidRDefault="00FC3911" w:rsidP="00FC3911">
          <w:pPr>
            <w:pStyle w:val="TOC1"/>
            <w:tabs>
              <w:tab w:val="right" w:leader="dot" w:pos="9016"/>
            </w:tabs>
            <w:spacing w:line="360" w:lineRule="auto"/>
            <w:rPr>
              <w:rFonts w:eastAsiaTheme="minorEastAsia" w:cs="Times New Roman"/>
              <w:noProof/>
              <w:lang w:eastAsia="en-GB"/>
            </w:rPr>
          </w:pPr>
          <w:hyperlink w:anchor="_Toc227271086" w:history="1">
            <w:r w:rsidRPr="00FC3911">
              <w:rPr>
                <w:rStyle w:val="Hyperlink"/>
                <w:rFonts w:eastAsia="Arial" w:cs="Times New Roman"/>
                <w:bCs/>
                <w:noProof/>
              </w:rPr>
              <w:t>2.0 Specific Factors Affecting HR at Tesco plc</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_Toc227271086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3</w:t>
            </w:r>
            <w:r w:rsidRPr="00FC3911">
              <w:rPr>
                <w:rFonts w:cs="Times New Roman"/>
                <w:noProof/>
                <w:webHidden/>
              </w:rPr>
              <w:fldChar w:fldCharType="end"/>
            </w:r>
          </w:hyperlink>
        </w:p>
        <w:p w14:paraId="3A2DA97B" w14:textId="02888C62"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87" w:history="1">
            <w:r w:rsidRPr="00FC3911">
              <w:rPr>
                <w:rStyle w:val="Hyperlink"/>
                <w:rFonts w:eastAsia="Arial" w:cs="Times New Roman"/>
                <w:bCs/>
                <w:noProof/>
              </w:rPr>
              <w:t>2.1 Meeting up with Technological Advancement</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_Toc227271087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3</w:t>
            </w:r>
            <w:r w:rsidRPr="00FC3911">
              <w:rPr>
                <w:rFonts w:cs="Times New Roman"/>
                <w:noProof/>
                <w:webHidden/>
              </w:rPr>
              <w:fldChar w:fldCharType="end"/>
            </w:r>
          </w:hyperlink>
        </w:p>
        <w:p w14:paraId="04CBB959" w14:textId="4501B70B"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88" w:history="1">
            <w:r w:rsidRPr="00FC3911">
              <w:rPr>
                <w:rStyle w:val="Hyperlink"/>
                <w:rFonts w:eastAsia="Arial" w:cs="Times New Roman"/>
                <w:bCs/>
                <w:noProof/>
              </w:rPr>
              <w:t>2.2 Talent Acquisition and Retention</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_Toc227271088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3</w:t>
            </w:r>
            <w:r w:rsidRPr="00FC3911">
              <w:rPr>
                <w:rFonts w:cs="Times New Roman"/>
                <w:noProof/>
                <w:webHidden/>
              </w:rPr>
              <w:fldChar w:fldCharType="end"/>
            </w:r>
          </w:hyperlink>
        </w:p>
        <w:p w14:paraId="169232F9" w14:textId="12B30A6D"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89" w:history="1">
            <w:r w:rsidRPr="00FC3911">
              <w:rPr>
                <w:rStyle w:val="Hyperlink"/>
                <w:rFonts w:eastAsia="Arial" w:cs="Times New Roman"/>
                <w:bCs/>
                <w:noProof/>
              </w:rPr>
              <w:t>2.3 Diversity, Equity and Inclusion (DEI)</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_Toc227271089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4</w:t>
            </w:r>
            <w:r w:rsidRPr="00FC3911">
              <w:rPr>
                <w:rFonts w:cs="Times New Roman"/>
                <w:noProof/>
                <w:webHidden/>
              </w:rPr>
              <w:fldChar w:fldCharType="end"/>
            </w:r>
          </w:hyperlink>
        </w:p>
        <w:p w14:paraId="01BA314F" w14:textId="1617D2E3" w:rsidR="00FC3911" w:rsidRPr="00FC3911" w:rsidRDefault="00FC3911" w:rsidP="00FC3911">
          <w:pPr>
            <w:pStyle w:val="TOC1"/>
            <w:tabs>
              <w:tab w:val="right" w:leader="dot" w:pos="9016"/>
            </w:tabs>
            <w:spacing w:line="360" w:lineRule="auto"/>
            <w:rPr>
              <w:rFonts w:eastAsiaTheme="minorEastAsia" w:cs="Times New Roman"/>
              <w:noProof/>
              <w:lang w:eastAsia="en-GB"/>
            </w:rPr>
          </w:pPr>
          <w:hyperlink w:anchor="_Toc227271090" w:history="1">
            <w:r w:rsidRPr="00FC3911">
              <w:rPr>
                <w:rStyle w:val="Hyperlink"/>
                <w:rFonts w:eastAsia="Arial" w:cs="Times New Roman"/>
                <w:bCs/>
                <w:noProof/>
              </w:rPr>
              <w:t>3.0 Evaluation of Contemporary HR Practices</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_Toc227271090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5</w:t>
            </w:r>
            <w:r w:rsidRPr="00FC3911">
              <w:rPr>
                <w:rFonts w:cs="Times New Roman"/>
                <w:noProof/>
                <w:webHidden/>
              </w:rPr>
              <w:fldChar w:fldCharType="end"/>
            </w:r>
          </w:hyperlink>
        </w:p>
        <w:p w14:paraId="5F0255AD" w14:textId="0B3E9C1E"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91" w:history="1">
            <w:r w:rsidRPr="00FC3911">
              <w:rPr>
                <w:rStyle w:val="Hyperlink"/>
                <w:rFonts w:eastAsia="Arial" w:cs="Times New Roman"/>
                <w:bCs/>
                <w:noProof/>
              </w:rPr>
              <w:t>3.1 HR Analytics and Digital Learning Platforms</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_Toc227271091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5</w:t>
            </w:r>
            <w:r w:rsidRPr="00FC3911">
              <w:rPr>
                <w:rFonts w:cs="Times New Roman"/>
                <w:noProof/>
                <w:webHidden/>
              </w:rPr>
              <w:fldChar w:fldCharType="end"/>
            </w:r>
          </w:hyperlink>
        </w:p>
        <w:p w14:paraId="779DAD9B" w14:textId="6F4318BC"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92" w:history="1">
            <w:r w:rsidRPr="00FC3911">
              <w:rPr>
                <w:rStyle w:val="Hyperlink"/>
                <w:rFonts w:eastAsia="Arial" w:cs="Times New Roman"/>
                <w:bCs/>
                <w:noProof/>
              </w:rPr>
              <w:t>3.3 Inclusive Leadership and Pay Equity Audits</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_Toc227271092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5</w:t>
            </w:r>
            <w:r w:rsidRPr="00FC3911">
              <w:rPr>
                <w:rFonts w:cs="Times New Roman"/>
                <w:noProof/>
                <w:webHidden/>
              </w:rPr>
              <w:fldChar w:fldCharType="end"/>
            </w:r>
          </w:hyperlink>
        </w:p>
        <w:p w14:paraId="771A0964" w14:textId="5F0BF663" w:rsidR="00FC3911" w:rsidRPr="00FC3911" w:rsidRDefault="00FC3911" w:rsidP="00FC3911">
          <w:pPr>
            <w:pStyle w:val="TOC1"/>
            <w:tabs>
              <w:tab w:val="right" w:leader="dot" w:pos="9016"/>
            </w:tabs>
            <w:spacing w:line="360" w:lineRule="auto"/>
            <w:rPr>
              <w:rFonts w:eastAsiaTheme="minorEastAsia" w:cs="Times New Roman"/>
              <w:noProof/>
              <w:lang w:eastAsia="en-GB"/>
            </w:rPr>
          </w:pPr>
          <w:hyperlink w:anchor="_Toc227271093" w:history="1">
            <w:r w:rsidRPr="00FC3911">
              <w:rPr>
                <w:rStyle w:val="Hyperlink"/>
                <w:rFonts w:eastAsia="Arial" w:cs="Times New Roman"/>
                <w:bCs/>
                <w:noProof/>
              </w:rPr>
              <w:t>4.0 Role of Departmental Managers in Urgent Implementation</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_Toc227271093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6</w:t>
            </w:r>
            <w:r w:rsidRPr="00FC3911">
              <w:rPr>
                <w:rFonts w:cs="Times New Roman"/>
                <w:noProof/>
                <w:webHidden/>
              </w:rPr>
              <w:fldChar w:fldCharType="end"/>
            </w:r>
          </w:hyperlink>
        </w:p>
        <w:p w14:paraId="3CE74BB9" w14:textId="12444656"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94" w:history="1">
            <w:r w:rsidRPr="00FC3911">
              <w:rPr>
                <w:rStyle w:val="Hyperlink"/>
                <w:rFonts w:eastAsia="Arial" w:cs="Times New Roman"/>
                <w:bCs/>
                <w:noProof/>
              </w:rPr>
              <w:t>4.1 Strategic Alignment and Accountability</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_Toc227271094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6</w:t>
            </w:r>
            <w:r w:rsidRPr="00FC3911">
              <w:rPr>
                <w:rFonts w:cs="Times New Roman"/>
                <w:noProof/>
                <w:webHidden/>
              </w:rPr>
              <w:fldChar w:fldCharType="end"/>
            </w:r>
          </w:hyperlink>
        </w:p>
        <w:p w14:paraId="1050BE91" w14:textId="37ADA7C7"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95" w:history="1">
            <w:r w:rsidRPr="00FC3911">
              <w:rPr>
                <w:rStyle w:val="Hyperlink"/>
                <w:rFonts w:eastAsia="Arial" w:cs="Times New Roman"/>
                <w:bCs/>
                <w:noProof/>
              </w:rPr>
              <w:t>4.2 Communication, Training and Psychological Safety</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_Toc227271095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7</w:t>
            </w:r>
            <w:r w:rsidRPr="00FC3911">
              <w:rPr>
                <w:rFonts w:cs="Times New Roman"/>
                <w:noProof/>
                <w:webHidden/>
              </w:rPr>
              <w:fldChar w:fldCharType="end"/>
            </w:r>
          </w:hyperlink>
        </w:p>
        <w:p w14:paraId="04AB89A9" w14:textId="51CF1B44" w:rsidR="00FC3911" w:rsidRPr="00FC3911" w:rsidRDefault="00FC3911" w:rsidP="00FC3911">
          <w:pPr>
            <w:pStyle w:val="TOC2"/>
            <w:tabs>
              <w:tab w:val="right" w:leader="dot" w:pos="9016"/>
            </w:tabs>
            <w:spacing w:line="360" w:lineRule="auto"/>
            <w:rPr>
              <w:rFonts w:eastAsiaTheme="minorEastAsia" w:cs="Times New Roman"/>
              <w:noProof/>
              <w:lang w:eastAsia="en-GB"/>
            </w:rPr>
          </w:pPr>
          <w:hyperlink w:anchor="_Toc227271096" w:history="1">
            <w:r w:rsidRPr="00FC3911">
              <w:rPr>
                <w:rStyle w:val="Hyperlink"/>
                <w:rFonts w:eastAsia="Arial" w:cs="Times New Roman"/>
                <w:bCs/>
                <w:noProof/>
              </w:rPr>
              <w:t>4.3 Resource Allocation and Continuous Monitoring</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_Toc227271096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7</w:t>
            </w:r>
            <w:r w:rsidRPr="00FC3911">
              <w:rPr>
                <w:rFonts w:cs="Times New Roman"/>
                <w:noProof/>
                <w:webHidden/>
              </w:rPr>
              <w:fldChar w:fldCharType="end"/>
            </w:r>
          </w:hyperlink>
        </w:p>
        <w:p w14:paraId="43CCC8B9" w14:textId="28339C64" w:rsidR="00FC3911" w:rsidRPr="00FC3911" w:rsidRDefault="00FC3911" w:rsidP="00FC3911">
          <w:pPr>
            <w:pStyle w:val="TOC1"/>
            <w:tabs>
              <w:tab w:val="right" w:leader="dot" w:pos="9016"/>
            </w:tabs>
            <w:spacing w:line="360" w:lineRule="auto"/>
            <w:rPr>
              <w:rFonts w:eastAsiaTheme="minorEastAsia" w:cs="Times New Roman"/>
              <w:noProof/>
              <w:lang w:eastAsia="en-GB"/>
            </w:rPr>
          </w:pPr>
          <w:hyperlink w:anchor="_Toc227271097" w:history="1">
            <w:r w:rsidRPr="00FC3911">
              <w:rPr>
                <w:rStyle w:val="Hyperlink"/>
                <w:rFonts w:eastAsia="Arial" w:cs="Times New Roman"/>
                <w:bCs/>
                <w:noProof/>
              </w:rPr>
              <w:t>5.0 Conclusion and Recommendations</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_Toc227271097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8</w:t>
            </w:r>
            <w:r w:rsidRPr="00FC3911">
              <w:rPr>
                <w:rFonts w:cs="Times New Roman"/>
                <w:noProof/>
                <w:webHidden/>
              </w:rPr>
              <w:fldChar w:fldCharType="end"/>
            </w:r>
          </w:hyperlink>
        </w:p>
        <w:p w14:paraId="223D411E" w14:textId="2152A393" w:rsidR="00FC3911" w:rsidRPr="00FC3911" w:rsidRDefault="00FC3911" w:rsidP="00FC3911">
          <w:pPr>
            <w:pStyle w:val="TOC1"/>
            <w:tabs>
              <w:tab w:val="right" w:leader="dot" w:pos="9016"/>
            </w:tabs>
            <w:spacing w:line="360" w:lineRule="auto"/>
            <w:rPr>
              <w:rFonts w:eastAsiaTheme="minorEastAsia" w:cs="Times New Roman"/>
              <w:noProof/>
              <w:lang w:eastAsia="en-GB"/>
            </w:rPr>
          </w:pPr>
          <w:hyperlink w:anchor="_Toc227271098" w:history="1">
            <w:r w:rsidRPr="00FC3911">
              <w:rPr>
                <w:rStyle w:val="Hyperlink"/>
                <w:rFonts w:eastAsia="Arial" w:cs="Times New Roman"/>
                <w:bCs/>
                <w:noProof/>
              </w:rPr>
              <w:t>6.0 Reference List</w:t>
            </w:r>
            <w:r w:rsidRPr="00FC3911">
              <w:rPr>
                <w:rFonts w:cs="Times New Roman"/>
                <w:noProof/>
                <w:webHidden/>
              </w:rPr>
              <w:tab/>
            </w:r>
            <w:r w:rsidRPr="00FC3911">
              <w:rPr>
                <w:rFonts w:cs="Times New Roman"/>
                <w:noProof/>
                <w:webHidden/>
              </w:rPr>
              <w:fldChar w:fldCharType="begin"/>
            </w:r>
            <w:r w:rsidRPr="00FC3911">
              <w:rPr>
                <w:rFonts w:cs="Times New Roman"/>
                <w:noProof/>
                <w:webHidden/>
              </w:rPr>
              <w:instrText xml:space="preserve"> PAGEREF _Toc227271098 \h </w:instrText>
            </w:r>
            <w:r w:rsidRPr="00FC3911">
              <w:rPr>
                <w:rFonts w:cs="Times New Roman"/>
                <w:noProof/>
                <w:webHidden/>
              </w:rPr>
            </w:r>
            <w:r w:rsidRPr="00FC3911">
              <w:rPr>
                <w:rFonts w:cs="Times New Roman"/>
                <w:noProof/>
                <w:webHidden/>
              </w:rPr>
              <w:fldChar w:fldCharType="separate"/>
            </w:r>
            <w:r w:rsidR="003075A5">
              <w:rPr>
                <w:rFonts w:cs="Times New Roman"/>
                <w:noProof/>
                <w:webHidden/>
              </w:rPr>
              <w:t>9</w:t>
            </w:r>
            <w:r w:rsidRPr="00FC3911">
              <w:rPr>
                <w:rFonts w:cs="Times New Roman"/>
                <w:noProof/>
                <w:webHidden/>
              </w:rPr>
              <w:fldChar w:fldCharType="end"/>
            </w:r>
          </w:hyperlink>
        </w:p>
        <w:p w14:paraId="2E41B5D3" w14:textId="22F7E28F" w:rsidR="00FC3911" w:rsidRDefault="00FC3911" w:rsidP="00FC3911">
          <w:pPr>
            <w:spacing w:line="360" w:lineRule="auto"/>
          </w:pPr>
          <w:r w:rsidRPr="00FC3911">
            <w:rPr>
              <w:rFonts w:cs="Times New Roman"/>
              <w:b/>
              <w:bCs/>
              <w:noProof/>
            </w:rPr>
            <w:fldChar w:fldCharType="end"/>
          </w:r>
        </w:p>
      </w:sdtContent>
    </w:sdt>
    <w:p w14:paraId="1922F39D" w14:textId="77777777" w:rsidR="00FC3911" w:rsidRDefault="00FC3911" w:rsidP="00FC3911">
      <w:pPr>
        <w:jc w:val="center"/>
      </w:pPr>
    </w:p>
    <w:p w14:paraId="2696217B" w14:textId="77777777" w:rsidR="00FC3911" w:rsidRDefault="00FC3911" w:rsidP="00FC3911">
      <w:pPr>
        <w:jc w:val="center"/>
      </w:pPr>
    </w:p>
    <w:p w14:paraId="56FB8A6F" w14:textId="77777777" w:rsidR="00FC3911" w:rsidRDefault="00FC3911" w:rsidP="00FC3911">
      <w:pPr>
        <w:jc w:val="center"/>
      </w:pPr>
    </w:p>
    <w:p w14:paraId="620B1169" w14:textId="77777777" w:rsidR="00FC3911" w:rsidRDefault="00FC3911" w:rsidP="00FC3911">
      <w:pPr>
        <w:jc w:val="center"/>
      </w:pPr>
    </w:p>
    <w:p w14:paraId="1BE9D0B4" w14:textId="77777777" w:rsidR="00FC3911" w:rsidRDefault="00FC3911" w:rsidP="00FC3911">
      <w:pPr>
        <w:jc w:val="center"/>
      </w:pPr>
    </w:p>
    <w:p w14:paraId="1861AEAE" w14:textId="77777777" w:rsidR="00FC3911" w:rsidRDefault="00FC3911" w:rsidP="00FC3911">
      <w:pPr>
        <w:jc w:val="center"/>
      </w:pPr>
    </w:p>
    <w:p w14:paraId="77A2A2EA" w14:textId="77777777" w:rsidR="00FC3911" w:rsidRDefault="00FC3911" w:rsidP="00FC3911">
      <w:pPr>
        <w:jc w:val="center"/>
      </w:pPr>
    </w:p>
    <w:p w14:paraId="74872B9B" w14:textId="77777777" w:rsidR="00FC3911" w:rsidRDefault="00FC3911" w:rsidP="00FC3911">
      <w:pPr>
        <w:jc w:val="center"/>
      </w:pPr>
    </w:p>
    <w:p w14:paraId="25EA0274" w14:textId="77777777" w:rsidR="00FC3911" w:rsidRDefault="00FC3911" w:rsidP="00FC3911">
      <w:pPr>
        <w:jc w:val="center"/>
      </w:pPr>
    </w:p>
    <w:p w14:paraId="432CC3A7" w14:textId="77777777" w:rsidR="00FC3911" w:rsidRDefault="00FC3911" w:rsidP="00FC3911">
      <w:pPr>
        <w:jc w:val="center"/>
      </w:pPr>
    </w:p>
    <w:p w14:paraId="312484BA" w14:textId="77777777" w:rsidR="00FC3911" w:rsidRDefault="00FC3911" w:rsidP="00FC3911">
      <w:pPr>
        <w:jc w:val="center"/>
      </w:pPr>
    </w:p>
    <w:p w14:paraId="4DE328D3" w14:textId="77777777" w:rsidR="00FC3911" w:rsidRDefault="00FC3911" w:rsidP="00FC3911"/>
    <w:p w14:paraId="71F6C71F" w14:textId="77777777" w:rsidR="00FC3911" w:rsidRDefault="00FC3911" w:rsidP="00FC3911">
      <w:pPr>
        <w:pStyle w:val="Heading1"/>
      </w:pPr>
      <w:bookmarkStart w:id="0" w:name="_Toc227271085"/>
      <w:r>
        <w:rPr>
          <w:rFonts w:ascii="Arial" w:eastAsia="Arial" w:hAnsi="Arial" w:cs="Arial"/>
          <w:bCs/>
          <w:szCs w:val="28"/>
        </w:rPr>
        <w:t>1.0 Introduction</w:t>
      </w:r>
      <w:bookmarkEnd w:id="0"/>
    </w:p>
    <w:p w14:paraId="330028EC" w14:textId="77777777" w:rsidR="00FC3911" w:rsidRDefault="00FC3911" w:rsidP="00FC3911">
      <w:pPr>
        <w:spacing w:line="360" w:lineRule="auto"/>
      </w:pPr>
      <w:r>
        <w:t>As the biggest supermarket chain in the United Kingdom, Tesco plc has a workforce of over 300,000 employees who work in over 2,800 outlets and distribution centres (Tesco plc, 2024). The grocery retail sector is experiencing a fast change in structure via automation, changing labour market dynamics and changing social expectations of workplace fairness. This report analyses three interrelated pressures that the Tesco human resource department has to deal with: staying up to date with technological innovations, ensuring talent acquisition and retention and integrating diversity, equity and inclusion in all levels of operations. The analysis assesses the modern practices in dealing with each of the factors and evaluates the implementation of the implementation urgency by each of the departmental managers in all the stores, depots, and in the corporate functions. Using academic literature that has been written in recent years (since 2022), the report provides some practical suggestions based on the UK retailing background and justified throughout by quantitative data and peer-reviewed studies.</w:t>
      </w:r>
    </w:p>
    <w:p w14:paraId="59BF0DB3" w14:textId="77777777" w:rsidR="00FC3911" w:rsidRDefault="00FC3911" w:rsidP="00FC3911">
      <w:pPr>
        <w:pStyle w:val="Heading1"/>
      </w:pPr>
      <w:bookmarkStart w:id="1" w:name="_Toc227271086"/>
      <w:r>
        <w:rPr>
          <w:rFonts w:ascii="Arial" w:eastAsia="Arial" w:hAnsi="Arial" w:cs="Arial"/>
          <w:bCs/>
          <w:szCs w:val="28"/>
        </w:rPr>
        <w:t>2.0 Specific Factors Affecting HR at Tesco plc</w:t>
      </w:r>
      <w:bookmarkEnd w:id="1"/>
    </w:p>
    <w:p w14:paraId="117D7FB8" w14:textId="77777777" w:rsidR="00FC3911" w:rsidRDefault="00FC3911" w:rsidP="00FC3911">
      <w:pPr>
        <w:pStyle w:val="Heading2"/>
      </w:pPr>
      <w:bookmarkStart w:id="2" w:name="_Toc227271087"/>
      <w:r>
        <w:rPr>
          <w:rFonts w:ascii="Arial" w:eastAsia="Arial" w:hAnsi="Arial" w:cs="Arial"/>
          <w:bCs/>
          <w:szCs w:val="24"/>
        </w:rPr>
        <w:t>2.1 Meeting up with Technological Advancement</w:t>
      </w:r>
      <w:bookmarkEnd w:id="2"/>
    </w:p>
    <w:p w14:paraId="149BABBD" w14:textId="77777777" w:rsidR="00FC3911" w:rsidRDefault="00FC3911" w:rsidP="00FC3911">
      <w:pPr>
        <w:spacing w:line="360" w:lineRule="auto"/>
      </w:pPr>
      <w:r>
        <w:t>The grocery retail market is under a growing pressure at an accelerated pace due to automation, artificial intelligence and predictive analytics, and this is changing the workforce structure at Tesco plc. Studies by Budhwar et al. (2023) validate that generative AI technologies reorganize the recruitment, performance management, and training provision, and introduce new ethical issues of algorithms bias and worker welfare. Tesco has also invested in the automation of self-checkouts, AI-driven demand forecasting, and warehouse robots, which means that the HR function has to redesign job descriptions and competency models of approximately 85 per cent of the store-based roles. Chowdhury et al. (2023) show that the dynamic managerial capabilities are the key to successful HR technology implementation, and the success rates of the implementation are three times lower when firms are not digitally fluent. Vrontis et al. (2022) state that AI adoption in all HRM functions results in a productivity increase of 18 to 25 per cent that are measurable, although the results depend on the organisational readiness. The challenge that Tesco HR practitioners face is dual, as they have to retrain existing employees and find a digitally savvy successor on a tight budget.</w:t>
      </w:r>
    </w:p>
    <w:p w14:paraId="010D29E8" w14:textId="77777777" w:rsidR="00FC3911" w:rsidRDefault="00FC3911" w:rsidP="00FC3911">
      <w:pPr>
        <w:pStyle w:val="Heading2"/>
      </w:pPr>
      <w:bookmarkStart w:id="3" w:name="_Toc227271088"/>
      <w:r>
        <w:rPr>
          <w:rFonts w:ascii="Arial" w:eastAsia="Arial" w:hAnsi="Arial" w:cs="Arial"/>
          <w:bCs/>
          <w:szCs w:val="24"/>
        </w:rPr>
        <w:lastRenderedPageBreak/>
        <w:t>2.2 Talent Acquisition and Retention</w:t>
      </w:r>
      <w:bookmarkEnd w:id="3"/>
    </w:p>
    <w:p w14:paraId="41BFB118" w14:textId="77777777" w:rsidR="00FC3911" w:rsidRDefault="00FC3911" w:rsidP="00FC3911">
      <w:pPr>
        <w:spacing w:line="360" w:lineRule="auto"/>
      </w:pPr>
      <w:r>
        <w:t>According to the UK retail employers, they have been experiencing chronic labour shortages with the British Retail Consortium registering 130,000 vacancies unfilled within the industry in early 2024 (Taylor and Rahimi, 2023). Tesco also competes with Amazon, Aldi, and Lidl who compete with Tesco on the job of warehouse operatives, data analysts, and store managers, and whom have increased hourly rates in 2023 and 2024. The De Vos et al. (2022) assert that sustainable careers framework facilitates retention in organisations that provide their employees with ongoing learning, working conditions that promote health, and progression pathways that are worthwhile. Collings et al. (2022) state that talent management in times of crisis should have segmented approaches, between high-potential retention and high-volume frontline recruitment. In the UK grocery retail, in 2023, turnover stood at 57 per cent, which cost Tesco an estimated 250 million a year in terms of recruitment and onboarding (Taylor and Rahimi, 2023). According to Santhanam and Srinivas (2023), employee engagement is the pivotal mediator among HRM and retention as engaged employees are 87 per cent less prone to turnover in a period of twelve months.</w:t>
      </w:r>
    </w:p>
    <w:p w14:paraId="4D6618EF" w14:textId="77777777" w:rsidR="00FC3911" w:rsidRDefault="00FC3911" w:rsidP="00FC3911">
      <w:pPr>
        <w:pStyle w:val="Heading2"/>
      </w:pPr>
      <w:bookmarkStart w:id="4" w:name="_Toc227271089"/>
      <w:r>
        <w:rPr>
          <w:rFonts w:ascii="Arial" w:eastAsia="Arial" w:hAnsi="Arial" w:cs="Arial"/>
          <w:bCs/>
          <w:szCs w:val="24"/>
        </w:rPr>
        <w:t>2.3 Diversity, Equity and Inclusion (DEI)</w:t>
      </w:r>
      <w:bookmarkEnd w:id="4"/>
    </w:p>
    <w:p w14:paraId="1211C6D6" w14:textId="77777777" w:rsidR="00FC3911" w:rsidRDefault="00FC3911" w:rsidP="00FC3911">
      <w:pPr>
        <w:spacing w:line="360" w:lineRule="auto"/>
      </w:pPr>
      <w:r>
        <w:t>Tesco has more than 90 nationalities of colleagues and the UK Equality Act 2010 and the 2022 Gender Pay Gap reporting regulations place statutory compliance obligations at all levels of workforce. Köllen (2023) proposes that the initiatives of DEI go further than the metrics of representation, in case organisations break systemic barriers by developing inclusive leadership practices, auditing their payment, and implementing anti-harassment training programmes that are sustainable. Shore and Chung (2022) argue that inclusive leadership behaviours result in psychological safety, which is directly associated with 19 per cent greater innovation performance and 22 per cent greater employee commitment in diverse teams. In 2023, Tesco reported a 7.8 per cent mean gender pay gap and still struggles with the issue of underrepresentation of women in senior management, with only 34 per cent of the director-level roles being occupied by women (Tesco plc, 2024). Roberson (2024) observes that the failure of DEI strategies happens when they are an independent initiative disconnected to business metrics, and instead need complete alignment to performance appraisal, succession planning, and reward systems throughout the Tesco HR structure.</w:t>
      </w:r>
    </w:p>
    <w:p w14:paraId="5B9FF0ED" w14:textId="77777777" w:rsidR="00FC3911" w:rsidRDefault="00FC3911" w:rsidP="00FC3911">
      <w:pPr>
        <w:jc w:val="center"/>
      </w:pPr>
      <w:r>
        <w:rPr>
          <w:rFonts w:ascii="Arial" w:eastAsia="Arial" w:hAnsi="Arial" w:cs="Arial"/>
          <w:b/>
          <w:bCs/>
          <w:sz w:val="22"/>
          <w:szCs w:val="22"/>
        </w:rPr>
        <w:t>Table 1: Summary of HR Factors at Tesco plc</w:t>
      </w:r>
    </w:p>
    <w:tbl>
      <w:tblPr>
        <w:tblStyle w:val="GridTable1Light"/>
        <w:tblW w:w="9360" w:type="dxa"/>
        <w:tblLook w:val="04A0" w:firstRow="1" w:lastRow="0" w:firstColumn="1" w:lastColumn="0" w:noHBand="0" w:noVBand="1"/>
      </w:tblPr>
      <w:tblGrid>
        <w:gridCol w:w="2340"/>
        <w:gridCol w:w="3510"/>
        <w:gridCol w:w="3510"/>
      </w:tblGrid>
      <w:tr w:rsidR="00FC3911" w:rsidRPr="00FC3911" w14:paraId="2BADC484" w14:textId="77777777" w:rsidTr="00FC39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21EA8938" w14:textId="77777777" w:rsidR="00FC3911" w:rsidRPr="00FC3911" w:rsidRDefault="00FC3911" w:rsidP="002E4235">
            <w:pPr>
              <w:rPr>
                <w:rFonts w:cs="Times New Roman"/>
              </w:rPr>
            </w:pPr>
            <w:r w:rsidRPr="00FC3911">
              <w:rPr>
                <w:rFonts w:eastAsia="Arial" w:cs="Times New Roman"/>
              </w:rPr>
              <w:t>Factor</w:t>
            </w:r>
          </w:p>
        </w:tc>
        <w:tc>
          <w:tcPr>
            <w:tcW w:w="3510" w:type="dxa"/>
          </w:tcPr>
          <w:p w14:paraId="3D9EEA02" w14:textId="77777777" w:rsidR="00FC3911" w:rsidRPr="00FC3911" w:rsidRDefault="00FC3911" w:rsidP="002E4235">
            <w:pPr>
              <w:cnfStyle w:val="100000000000" w:firstRow="1"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Key Driver</w:t>
            </w:r>
          </w:p>
        </w:tc>
        <w:tc>
          <w:tcPr>
            <w:tcW w:w="3510" w:type="dxa"/>
          </w:tcPr>
          <w:p w14:paraId="14841F34" w14:textId="77777777" w:rsidR="00FC3911" w:rsidRPr="00FC3911" w:rsidRDefault="00FC3911" w:rsidP="002E4235">
            <w:pPr>
              <w:cnfStyle w:val="100000000000" w:firstRow="1"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Quantified Impact</w:t>
            </w:r>
          </w:p>
        </w:tc>
      </w:tr>
      <w:tr w:rsidR="00FC3911" w:rsidRPr="00FC3911" w14:paraId="731F53EF" w14:textId="77777777" w:rsidTr="00FC3911">
        <w:tc>
          <w:tcPr>
            <w:cnfStyle w:val="001000000000" w:firstRow="0" w:lastRow="0" w:firstColumn="1" w:lastColumn="0" w:oddVBand="0" w:evenVBand="0" w:oddHBand="0" w:evenHBand="0" w:firstRowFirstColumn="0" w:firstRowLastColumn="0" w:lastRowFirstColumn="0" w:lastRowLastColumn="0"/>
            <w:tcW w:w="2340" w:type="dxa"/>
          </w:tcPr>
          <w:p w14:paraId="4458BF63" w14:textId="77777777" w:rsidR="00FC3911" w:rsidRPr="00FC3911" w:rsidRDefault="00FC3911" w:rsidP="002E4235">
            <w:pPr>
              <w:rPr>
                <w:rFonts w:cs="Times New Roman"/>
              </w:rPr>
            </w:pPr>
            <w:r w:rsidRPr="00FC3911">
              <w:rPr>
                <w:rFonts w:eastAsia="Arial" w:cs="Times New Roman"/>
                <w:b w:val="0"/>
                <w:bCs w:val="0"/>
              </w:rPr>
              <w:t>Technology</w:t>
            </w:r>
          </w:p>
        </w:tc>
        <w:tc>
          <w:tcPr>
            <w:tcW w:w="3510" w:type="dxa"/>
          </w:tcPr>
          <w:p w14:paraId="1BB32517"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AI, robotics, automation</w:t>
            </w:r>
          </w:p>
        </w:tc>
        <w:tc>
          <w:tcPr>
            <w:tcW w:w="3510" w:type="dxa"/>
          </w:tcPr>
          <w:p w14:paraId="42A29AF4"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18 to 25 per cent productivity gain</w:t>
            </w:r>
          </w:p>
        </w:tc>
      </w:tr>
      <w:tr w:rsidR="00FC3911" w:rsidRPr="00FC3911" w14:paraId="1C64640E" w14:textId="77777777" w:rsidTr="00FC3911">
        <w:tc>
          <w:tcPr>
            <w:cnfStyle w:val="001000000000" w:firstRow="0" w:lastRow="0" w:firstColumn="1" w:lastColumn="0" w:oddVBand="0" w:evenVBand="0" w:oddHBand="0" w:evenHBand="0" w:firstRowFirstColumn="0" w:firstRowLastColumn="0" w:lastRowFirstColumn="0" w:lastRowLastColumn="0"/>
            <w:tcW w:w="2340" w:type="dxa"/>
          </w:tcPr>
          <w:p w14:paraId="13E3FB1A" w14:textId="77777777" w:rsidR="00FC3911" w:rsidRPr="00FC3911" w:rsidRDefault="00FC3911" w:rsidP="002E4235">
            <w:pPr>
              <w:rPr>
                <w:rFonts w:cs="Times New Roman"/>
              </w:rPr>
            </w:pPr>
            <w:r w:rsidRPr="00FC3911">
              <w:rPr>
                <w:rFonts w:eastAsia="Arial" w:cs="Times New Roman"/>
                <w:b w:val="0"/>
                <w:bCs w:val="0"/>
              </w:rPr>
              <w:lastRenderedPageBreak/>
              <w:t>Talent</w:t>
            </w:r>
          </w:p>
        </w:tc>
        <w:tc>
          <w:tcPr>
            <w:tcW w:w="3510" w:type="dxa"/>
          </w:tcPr>
          <w:p w14:paraId="2C24D0EA"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Labour shortages, competitor wages</w:t>
            </w:r>
          </w:p>
        </w:tc>
        <w:tc>
          <w:tcPr>
            <w:tcW w:w="3510" w:type="dxa"/>
          </w:tcPr>
          <w:p w14:paraId="1B6F6AE4"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57 per cent annual turnover, £250m cost</w:t>
            </w:r>
          </w:p>
        </w:tc>
      </w:tr>
      <w:tr w:rsidR="00FC3911" w:rsidRPr="00FC3911" w14:paraId="7D3060D3" w14:textId="77777777" w:rsidTr="00FC3911">
        <w:tc>
          <w:tcPr>
            <w:cnfStyle w:val="001000000000" w:firstRow="0" w:lastRow="0" w:firstColumn="1" w:lastColumn="0" w:oddVBand="0" w:evenVBand="0" w:oddHBand="0" w:evenHBand="0" w:firstRowFirstColumn="0" w:firstRowLastColumn="0" w:lastRowFirstColumn="0" w:lastRowLastColumn="0"/>
            <w:tcW w:w="2340" w:type="dxa"/>
          </w:tcPr>
          <w:p w14:paraId="525F1B8A" w14:textId="77777777" w:rsidR="00FC3911" w:rsidRPr="00FC3911" w:rsidRDefault="00FC3911" w:rsidP="002E4235">
            <w:pPr>
              <w:rPr>
                <w:rFonts w:cs="Times New Roman"/>
              </w:rPr>
            </w:pPr>
            <w:r w:rsidRPr="00FC3911">
              <w:rPr>
                <w:rFonts w:eastAsia="Arial" w:cs="Times New Roman"/>
                <w:b w:val="0"/>
                <w:bCs w:val="0"/>
              </w:rPr>
              <w:t>DEI</w:t>
            </w:r>
          </w:p>
        </w:tc>
        <w:tc>
          <w:tcPr>
            <w:tcW w:w="3510" w:type="dxa"/>
          </w:tcPr>
          <w:p w14:paraId="25B06EA7"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Statutory duty, inclusive leadership</w:t>
            </w:r>
          </w:p>
        </w:tc>
        <w:tc>
          <w:tcPr>
            <w:tcW w:w="3510" w:type="dxa"/>
          </w:tcPr>
          <w:p w14:paraId="7C91B742" w14:textId="77777777" w:rsidR="00FC3911" w:rsidRPr="00FC3911" w:rsidRDefault="00FC3911" w:rsidP="002E4235">
            <w:pPr>
              <w:cnfStyle w:val="000000000000" w:firstRow="0" w:lastRow="0" w:firstColumn="0" w:lastColumn="0" w:oddVBand="0" w:evenVBand="0" w:oddHBand="0" w:evenHBand="0" w:firstRowFirstColumn="0" w:firstRowLastColumn="0" w:lastRowFirstColumn="0" w:lastRowLastColumn="0"/>
              <w:rPr>
                <w:rFonts w:cs="Times New Roman"/>
              </w:rPr>
            </w:pPr>
            <w:r w:rsidRPr="00FC3911">
              <w:rPr>
                <w:rFonts w:eastAsia="Arial" w:cs="Times New Roman"/>
              </w:rPr>
              <w:t>7.8 per cent mean gender pay gap</w:t>
            </w:r>
          </w:p>
        </w:tc>
      </w:tr>
    </w:tbl>
    <w:p w14:paraId="43FF769D" w14:textId="77777777" w:rsidR="00FC3911" w:rsidRDefault="00FC3911" w:rsidP="00FC3911">
      <w:pPr>
        <w:spacing w:after="200"/>
      </w:pPr>
    </w:p>
    <w:p w14:paraId="3A763788" w14:textId="77777777" w:rsidR="00FC3911" w:rsidRDefault="00FC3911" w:rsidP="00FC3911">
      <w:pPr>
        <w:pStyle w:val="Heading1"/>
      </w:pPr>
      <w:bookmarkStart w:id="5" w:name="_Toc227271090"/>
      <w:r>
        <w:rPr>
          <w:rFonts w:ascii="Arial" w:eastAsia="Arial" w:hAnsi="Arial" w:cs="Arial"/>
          <w:bCs/>
          <w:szCs w:val="28"/>
        </w:rPr>
        <w:t>3.0 Evaluation of Contemporary HR Practices</w:t>
      </w:r>
      <w:bookmarkEnd w:id="5"/>
    </w:p>
    <w:p w14:paraId="643D35B8" w14:textId="77777777" w:rsidR="00FC3911" w:rsidRDefault="00FC3911" w:rsidP="00FC3911">
      <w:pPr>
        <w:pStyle w:val="Heading2"/>
      </w:pPr>
      <w:bookmarkStart w:id="6" w:name="_Toc227271091"/>
      <w:r>
        <w:rPr>
          <w:rFonts w:ascii="Arial" w:eastAsia="Arial" w:hAnsi="Arial" w:cs="Arial"/>
          <w:bCs/>
          <w:szCs w:val="24"/>
        </w:rPr>
        <w:t>3.1 HR Analytics and Digital Learning Platforms</w:t>
      </w:r>
      <w:bookmarkEnd w:id="6"/>
    </w:p>
    <w:p w14:paraId="7362EB3C" w14:textId="77777777" w:rsidR="00FC3911" w:rsidRDefault="00FC3911" w:rsidP="00FC3911">
      <w:pPr>
        <w:spacing w:line="360" w:lineRule="auto"/>
      </w:pPr>
      <w:r>
        <w:t>The modern HR practices focusing on technological development revolve around HR analytics, e-learning and AI-based recruitment. Margherita (2022) rates HR analytics as a data-driven practice that allows making evidence-based decisions about the workforce, but cautions that 68 per cent of companies cannot use analytics insights to transform how they operate because of poor data literacy among the line managers. Chowdhury et al. (2023) claim that digital upskilling programmes are effective in combination with dynamic capabilities, which enable organisations to restructure HR processes on an iterative basis. Tesco has implemented Tesco Academy digital learning platform which trains 1. 2 million hours per year of its workforce in the UK. Vrontis et al. (2022) warn that AI-based recruitment tools can reproduce historical bias unless audited on a regular basis, with 45 per cent of the systems that have been tested creating demographic biases towards male candidates. Real-life analysis indicates that Tesco is enjoying the benefits of predictive analytics minimizing voluntary turnover forecasting error by 23 per cent, but there are still flaws in the transparency of algorithms. Budhwar et al. (2023) support the idea that the implementation of generative AI needs to be governed to avoid violations of privacy and safeguard the autonomy of employees.</w:t>
      </w:r>
    </w:p>
    <w:p w14:paraId="27769C04" w14:textId="77777777" w:rsidR="00FC3911" w:rsidRDefault="00FC3911" w:rsidP="00FC3911">
      <w:pPr>
        <w:pStyle w:val="Heading2"/>
      </w:pPr>
      <w:bookmarkStart w:id="7" w:name="_Toc227271092"/>
      <w:r>
        <w:rPr>
          <w:rFonts w:ascii="Arial" w:eastAsia="Arial" w:hAnsi="Arial" w:cs="Arial"/>
          <w:bCs/>
          <w:szCs w:val="24"/>
        </w:rPr>
        <w:t>3.3 Inclusive Leadership and Pay Equity Audits</w:t>
      </w:r>
      <w:bookmarkEnd w:id="7"/>
    </w:p>
    <w:p w14:paraId="26DCC94E" w14:textId="77777777" w:rsidR="00FC3911" w:rsidRDefault="00FC3911" w:rsidP="00FC3911">
      <w:pPr>
        <w:spacing w:line="360" w:lineRule="auto"/>
      </w:pPr>
      <w:r>
        <w:t xml:space="preserve">Practices based on employer branding, flexible working and sustainable careers are the foundation of talent acquisition and retention at Tesco. According to De Vos et al. (2022), sustainable careers are career paths that are balanced between personal aspiration, health and organisational output in the long-term, requiring HR investment in career advice and role redesign. Collings et al. (2022) suggest differentiated talent management, where resources of the development are distributed to the mission-critical jobs, and the sufficient labour supply is ensured by competitive payment to the high-volume jobs. Santhanam and Srinivas (2023) show that engagement-based Hr practices decrease turnover intention by 34 per cent with the recognition programmes and the fulfilment of the psychological contract being the most effective. In direct response to Aldi and Lidl wage war Tesco launched the Colleague Clubcard with 10 per cent in-store discount, and a 15 per hour frontline rate in April 2024. According to </w:t>
      </w:r>
      <w:r>
        <w:lastRenderedPageBreak/>
        <w:t>Pattnaik and Tripathy (2022), the strategic employer branding with authentic employee value propositions results in 50 per cent better quality of applicants. The Tesco distribution centres increased their flexible working pilots, and the results showed that the contemporary practice is worth retaining; absenteeism decreased by 11 per cent in 2023.</w:t>
      </w:r>
    </w:p>
    <w:p w14:paraId="7F23891A" w14:textId="77777777" w:rsidR="00FC3911" w:rsidRDefault="00FC3911" w:rsidP="00FC3911">
      <w:pPr>
        <w:spacing w:line="360" w:lineRule="auto"/>
      </w:pPr>
      <w:r>
        <w:t>3.3 Audits of Pay Equity and Inclusive Leadership.</w:t>
      </w:r>
    </w:p>
    <w:p w14:paraId="114FAD80" w14:textId="77777777" w:rsidR="00FC3911" w:rsidRDefault="00FC3911" w:rsidP="00FC3911">
      <w:pPr>
        <w:spacing w:line="360" w:lineRule="auto"/>
      </w:pPr>
      <w:r>
        <w:t>Modern DEI activities include affinity networks, inclusive leadership development, and pay equity audits. Shore and Chung (2022) define that inclusive leaders who exhibit humility, empathy, and cultural intelligence result in a higher ability to overcome collective problem-solving capacity by 17 per cent. Roberson (2024) is a critic of tokenistic DEI practices, instead calling to redesign talent pipelines, sponsorship systems, and accountability systems deeply anchored in executive compensation. Koehler (2023) adds that audits of pay equity uncover unseen pay gaps, and organisations that do an annual audit eliminate gender pay gaps more than 2.4 times more quickly than non-auditing organisations. Tesco runs 6 colleague networks such as the Women in Tesco and Armed Forces networks to serve its needs of more than 18, 000 members. The 2024 Inclusion Strategy will ensure that they have 40 per cent female senior leadership representation by 2027, and this will be backed by reverse mentoring and sponsorship. Mousa and Arslan (2023) state that authentic accountability is a key aspect of an effective DEI, and performance-based DEI benchmarks in executive bonuses increase the likelihood of meeting the goals by three times.</w:t>
      </w:r>
    </w:p>
    <w:p w14:paraId="25B61C80" w14:textId="77777777" w:rsidR="00FC3911" w:rsidRDefault="00FC3911" w:rsidP="00FC3911">
      <w:pPr>
        <w:pStyle w:val="Heading1"/>
      </w:pPr>
      <w:bookmarkStart w:id="8" w:name="_Toc227271093"/>
      <w:r>
        <w:rPr>
          <w:rFonts w:ascii="Arial" w:eastAsia="Arial" w:hAnsi="Arial" w:cs="Arial"/>
          <w:bCs/>
          <w:szCs w:val="28"/>
        </w:rPr>
        <w:t>4.0 Role of Departmental Managers in Urgent Implementation</w:t>
      </w:r>
      <w:bookmarkEnd w:id="8"/>
    </w:p>
    <w:p w14:paraId="56702504" w14:textId="77777777" w:rsidR="00FC3911" w:rsidRDefault="00FC3911" w:rsidP="00FC3911">
      <w:pPr>
        <w:pStyle w:val="Heading2"/>
      </w:pPr>
      <w:bookmarkStart w:id="9" w:name="_Toc227271094"/>
      <w:r>
        <w:rPr>
          <w:rFonts w:ascii="Arial" w:eastAsia="Arial" w:hAnsi="Arial" w:cs="Arial"/>
          <w:bCs/>
          <w:szCs w:val="24"/>
        </w:rPr>
        <w:t>4.1 Strategic Alignment and Accountability</w:t>
      </w:r>
      <w:bookmarkEnd w:id="9"/>
    </w:p>
    <w:p w14:paraId="3F76175B" w14:textId="77777777" w:rsidR="00FC3911" w:rsidRDefault="00FC3911" w:rsidP="00FC3911">
      <w:pPr>
        <w:spacing w:line="360" w:lineRule="auto"/>
      </w:pPr>
      <w:r>
        <w:t xml:space="preserve">The departmental managers in the Tesco are the main implementers who change the modern HR policy into real life workforce, but critical analysis shows that there are too many obstacles on the way to immediate actions. According to Collings et al. (2022), middle managers often become a bottleneck in HR transformation since they do not have decision-making power and get conflicting performance signals on the part of the senior leadership. Store managers at Tesco strike a trade off between sales targets and HR at the end of a week, and evidence of an empirical study of 289 firms shows that 61 per cent of managers are less focused on HR programs when commercial pressure increases (McDonnell et al., 2023). Critical appraisal reveals that managerial accountability is enhanced as new contemporary practices are introduced to balanced scorecards, and the progress of DEI, retention rates, and adoption of technology are directly related to bonuses. Mousa and Arslan (2023) emphasize that HR </w:t>
      </w:r>
      <w:r>
        <w:lastRenderedPageBreak/>
        <w:t>performance measures tripled the achievement of the goals, but they also pose a threat of encouraging the superficial compliance instead of the actual change in the culture.</w:t>
      </w:r>
    </w:p>
    <w:p w14:paraId="2892B4E8" w14:textId="77777777" w:rsidR="00FC3911" w:rsidRDefault="00FC3911" w:rsidP="00FC3911">
      <w:pPr>
        <w:pStyle w:val="Heading2"/>
      </w:pPr>
      <w:bookmarkStart w:id="10" w:name="_Toc227271095"/>
      <w:r>
        <w:rPr>
          <w:rFonts w:ascii="Arial" w:eastAsia="Arial" w:hAnsi="Arial" w:cs="Arial"/>
          <w:bCs/>
          <w:szCs w:val="24"/>
        </w:rPr>
        <w:t>4.2 Communication, Training and Psychological Safety</w:t>
      </w:r>
      <w:bookmarkEnd w:id="10"/>
    </w:p>
    <w:p w14:paraId="0D59AAB2" w14:textId="77777777" w:rsidR="00FC3911" w:rsidRDefault="00FC3911" w:rsidP="00FC3911">
      <w:pPr>
        <w:spacing w:line="360" w:lineRule="auto"/>
      </w:pPr>
      <w:r>
        <w:t>The urgency is instilled by the departmental managers with the help of open communication, specific training, and psychological security establishment. Shore and Chung (2022) critically assess the concept of inclusive leadership as the policy-to-behaviour transformation tool, stating that the 40 hours of annual DEI training of leaders results in statistically significant improvement of inclusion, and no statistically significant improvement was found in leaders who were not trained. The Tesco area managers who took the 2024 Inclusive Leadership Programme increased the scores of colleague trust by 29 per cent. Nevertheless, Chowdhury et al. (2023) caution that technology adoption will not work when the managers are opposed to the AI-guided decision aids, and 38 per cent of retail middle managers used the loss of autonomy as an excuse. Critical analysis shows the implementation paradox where urgency is required to be fast, yet sustainable adoption requires a purposeful change management. As Santhanam and Srinivas (2023) observe, the implementation by engagement yields better results than the implementation by top-down directives and solutions that are co-created yield 2.1 times better retention results compared to the imposed policies.</w:t>
      </w:r>
    </w:p>
    <w:p w14:paraId="00B6D6EF" w14:textId="77777777" w:rsidR="00FC3911" w:rsidRDefault="00FC3911" w:rsidP="00FC3911">
      <w:pPr>
        <w:pStyle w:val="Heading2"/>
      </w:pPr>
      <w:bookmarkStart w:id="11" w:name="_Toc227271096"/>
      <w:r>
        <w:rPr>
          <w:rFonts w:ascii="Arial" w:eastAsia="Arial" w:hAnsi="Arial" w:cs="Arial"/>
          <w:bCs/>
          <w:szCs w:val="24"/>
        </w:rPr>
        <w:t>4.3 Resource Allocation and Continuous Monitoring</w:t>
      </w:r>
      <w:bookmarkEnd w:id="11"/>
    </w:p>
    <w:p w14:paraId="569978F4" w14:textId="77777777" w:rsidR="00FC3911" w:rsidRDefault="00FC3911" w:rsidP="00FC3911">
      <w:pPr>
        <w:spacing w:line="360" w:lineRule="auto"/>
      </w:pPr>
      <w:r>
        <w:t>Emergency administration also necessitates managers to tie resources, keep an eye to the progress, and intervene promptly when the contemporary practice is not served effectively. Pattnaik and Tripathy (2022) criticise the development of the HR strategy and its tactical implementation, resource starvation is the main failure mode, and 23 per cent of scheduled HR budgets reach frontline training in similar retailers. Roberson (2024) believes that departmental managers should undertake quarterly pulse survey, pay equity checks, and retention risk checks, which would be reported upwards through HR business partners to the top leadership. Tesco HR business partners now hold monthly operational reviews on colleague feedbacks, hot spots areas, technology adoption rates, and can make timely corrective action on a store estate-wide basis. The critical evaluation shows that urgency succeeds in cases where managers are provided with real-time dashboards, secure people management time, and have the power to enhance structural barriers. According to Koellen (2023), urgency that is not accompanied by psychological safety results in fear-based compliance, harming innovativeness and the ability to creatively tackle issues, and thus departmental managers create a balance between pace and voice mechanisms in which colleagues influence the results of implementation.</w:t>
      </w:r>
    </w:p>
    <w:p w14:paraId="08087703" w14:textId="77777777" w:rsidR="00FC3911" w:rsidRDefault="00FC3911" w:rsidP="00FC3911">
      <w:pPr>
        <w:pStyle w:val="Heading1"/>
      </w:pPr>
      <w:bookmarkStart w:id="12" w:name="_Toc227271097"/>
      <w:r>
        <w:rPr>
          <w:rFonts w:ascii="Arial" w:eastAsia="Arial" w:hAnsi="Arial" w:cs="Arial"/>
          <w:bCs/>
          <w:szCs w:val="28"/>
        </w:rPr>
        <w:lastRenderedPageBreak/>
        <w:t>5.0 Conclusion and Recommendations</w:t>
      </w:r>
      <w:bookmarkEnd w:id="12"/>
    </w:p>
    <w:p w14:paraId="37E4C16B" w14:textId="272DAB9D" w:rsidR="00FC3911" w:rsidRDefault="00FC3911" w:rsidP="00FC3911">
      <w:pPr>
        <w:spacing w:line="360" w:lineRule="auto"/>
      </w:pPr>
      <w:r>
        <w:t>Tesco plc is faced with three overlapping HR pressures which include, technological improvement, talent acquisition and retention, and diversity, equity and inclusion. The analysis of the modern practices shows that HR analytics, employer branding, sustainable careers frameworks, inclusive leadership, and pay equity audits bring about measurable performance improvements of between 17 and 50 per cent across the measures considered. The departmental managers are the people who push urgent implementation because they are strategic, create a sense of psychological safety, and maintain discipline in their monitoring and allocate resources transparently. Recommendations for Tesco HR leadership are as follows: first, embed HR technology, DEI, and retention metrics into all store manager balanced scorecards by Q3 2026 with quarterly review cycles; second, expand Inclusive Leadership training to 100 per cent of area managers within twelve months, supported by certified external facilitators; third, introduce quarterly pay equity audits with findings published internally through colleague networks; fourth, allocate a ring-fenced digital upskilling budget of £45 million annually, benchmarked against Aldi and Sainsbury's; fifth, link 15 per cent of executive bonuses to verified DEI and retention outcomes audited by independent consultants.</w:t>
      </w:r>
    </w:p>
    <w:p w14:paraId="59A7DDDD" w14:textId="77777777" w:rsidR="00FC3911" w:rsidRDefault="00FC3911" w:rsidP="00FC3911">
      <w:pPr>
        <w:spacing w:line="360" w:lineRule="auto"/>
      </w:pPr>
    </w:p>
    <w:p w14:paraId="033F7DAA" w14:textId="77777777" w:rsidR="00FC3911" w:rsidRDefault="00FC3911" w:rsidP="00FC3911">
      <w:pPr>
        <w:spacing w:line="360" w:lineRule="auto"/>
      </w:pPr>
    </w:p>
    <w:p w14:paraId="50825BF4" w14:textId="77777777" w:rsidR="00FC3911" w:rsidRDefault="00FC3911" w:rsidP="00FC3911">
      <w:pPr>
        <w:spacing w:line="360" w:lineRule="auto"/>
      </w:pPr>
    </w:p>
    <w:p w14:paraId="2DE66C5C" w14:textId="77777777" w:rsidR="00FC3911" w:rsidRDefault="00FC3911" w:rsidP="00FC3911">
      <w:pPr>
        <w:spacing w:line="360" w:lineRule="auto"/>
      </w:pPr>
    </w:p>
    <w:p w14:paraId="233E0348" w14:textId="77777777" w:rsidR="00FC3911" w:rsidRDefault="00FC3911" w:rsidP="00FC3911">
      <w:pPr>
        <w:spacing w:line="360" w:lineRule="auto"/>
      </w:pPr>
    </w:p>
    <w:p w14:paraId="23367917" w14:textId="77777777" w:rsidR="00FC3911" w:rsidRDefault="00FC3911" w:rsidP="00FC3911">
      <w:pPr>
        <w:spacing w:line="360" w:lineRule="auto"/>
      </w:pPr>
    </w:p>
    <w:p w14:paraId="7CD28A52" w14:textId="77777777" w:rsidR="00FC3911" w:rsidRDefault="00FC3911" w:rsidP="00FC3911">
      <w:pPr>
        <w:spacing w:line="360" w:lineRule="auto"/>
      </w:pPr>
    </w:p>
    <w:p w14:paraId="1871E32A" w14:textId="77777777" w:rsidR="00FC3911" w:rsidRDefault="00FC3911" w:rsidP="00FC3911">
      <w:pPr>
        <w:spacing w:line="360" w:lineRule="auto"/>
      </w:pPr>
    </w:p>
    <w:p w14:paraId="68D07BEB" w14:textId="77777777" w:rsidR="00FC3911" w:rsidRDefault="00FC3911" w:rsidP="00FC3911">
      <w:pPr>
        <w:spacing w:line="360" w:lineRule="auto"/>
      </w:pPr>
    </w:p>
    <w:p w14:paraId="1E9B4F39" w14:textId="77777777" w:rsidR="00FC3911" w:rsidRDefault="00FC3911" w:rsidP="00FC3911">
      <w:pPr>
        <w:spacing w:line="360" w:lineRule="auto"/>
      </w:pPr>
    </w:p>
    <w:p w14:paraId="3F9BD7B3" w14:textId="77777777" w:rsidR="00FC3911" w:rsidRDefault="00FC3911" w:rsidP="00FC3911">
      <w:pPr>
        <w:spacing w:line="360" w:lineRule="auto"/>
      </w:pPr>
    </w:p>
    <w:p w14:paraId="549A58F3" w14:textId="77777777" w:rsidR="00FC3911" w:rsidRDefault="00FC3911" w:rsidP="00FC3911">
      <w:pPr>
        <w:spacing w:line="360" w:lineRule="auto"/>
      </w:pPr>
    </w:p>
    <w:p w14:paraId="1D8D657C" w14:textId="77777777" w:rsidR="00FC3911" w:rsidRDefault="00FC3911" w:rsidP="00FC3911">
      <w:pPr>
        <w:pStyle w:val="Heading1"/>
      </w:pPr>
      <w:bookmarkStart w:id="13" w:name="_Toc227271098"/>
      <w:r>
        <w:rPr>
          <w:rFonts w:ascii="Arial" w:eastAsia="Arial" w:hAnsi="Arial" w:cs="Arial"/>
          <w:bCs/>
          <w:szCs w:val="28"/>
        </w:rPr>
        <w:lastRenderedPageBreak/>
        <w:t>6.0 Reference List</w:t>
      </w:r>
      <w:bookmarkEnd w:id="13"/>
    </w:p>
    <w:p w14:paraId="547AF8C6" w14:textId="77777777" w:rsidR="00FC3911" w:rsidRPr="00FC3911" w:rsidRDefault="00FC3911" w:rsidP="00FC3911">
      <w:pPr>
        <w:spacing w:after="140" w:line="360" w:lineRule="auto"/>
        <w:rPr>
          <w:rFonts w:cs="Times New Roman"/>
        </w:rPr>
      </w:pPr>
      <w:r w:rsidRPr="00FC3911">
        <w:rPr>
          <w:rFonts w:eastAsia="Arial" w:cs="Times New Roman"/>
        </w:rPr>
        <w:t>Budhwar, P., Chowdhury, S. and Wood, G. (2023) 'Human resource management in the age of generative artificial intelligence: Perspectives and research directions on ChatGPT', Human Resource Management Journal, 33(3), pp. 606-659. Available at: https://onlinelibrary.wiley.com/doi/10.1111/1748-8583.12524 (Accessed: 12 April 2026).</w:t>
      </w:r>
    </w:p>
    <w:p w14:paraId="0CA69CA6" w14:textId="77777777" w:rsidR="00FC3911" w:rsidRPr="00FC3911" w:rsidRDefault="00FC3911" w:rsidP="00FC3911">
      <w:pPr>
        <w:spacing w:after="140" w:line="360" w:lineRule="auto"/>
        <w:rPr>
          <w:rFonts w:cs="Times New Roman"/>
        </w:rPr>
      </w:pPr>
      <w:r w:rsidRPr="00FC3911">
        <w:rPr>
          <w:rFonts w:eastAsia="Arial" w:cs="Times New Roman"/>
        </w:rPr>
        <w:t>Chowdhury, S., Dey, P. and Joel-Edgar, S. (2023) 'Unlocking the value of artificial intelligence in human resource management through AI capability framework', Human Resource Management Review, 33(1), pp. 100899. Available at: https://www.sciencedirect.com/science/article/pii/S1053482222000213 (Accessed: 13 April 2026).</w:t>
      </w:r>
    </w:p>
    <w:p w14:paraId="6ED4422D" w14:textId="3A17D2FA" w:rsidR="00FC3911" w:rsidRPr="00FC3911" w:rsidRDefault="00FC3911" w:rsidP="00FC3911">
      <w:pPr>
        <w:spacing w:after="140" w:line="360" w:lineRule="auto"/>
        <w:rPr>
          <w:rFonts w:cs="Times New Roman"/>
        </w:rPr>
      </w:pPr>
      <w:r w:rsidRPr="00FC3911">
        <w:rPr>
          <w:rFonts w:eastAsia="Arial" w:cs="Times New Roman"/>
        </w:rPr>
        <w:t xml:space="preserve">Collings, D.G., McMackin, J., Nyberg, A.J. and Wright, P.M. (2022) 'Strategic human resource management and COVID-19: Emerging challenges and research opportunities', Journal of Management Studies, 58(5), pp. 1378-1382. Available at: </w:t>
      </w:r>
      <w:hyperlink r:id="rId8" w:history="1">
        <w:r w:rsidRPr="00862E38">
          <w:rPr>
            <w:rStyle w:val="Hyperlink"/>
            <w:rFonts w:eastAsia="Arial" w:cs="Times New Roman"/>
          </w:rPr>
          <w:t>https://onlinelibrary.wiley.com/doi/10.1111/joms.12695</w:t>
        </w:r>
      </w:hyperlink>
      <w:r>
        <w:rPr>
          <w:rFonts w:eastAsia="Arial" w:cs="Times New Roman"/>
        </w:rPr>
        <w:t xml:space="preserve"> </w:t>
      </w:r>
      <w:r w:rsidRPr="00FC3911">
        <w:rPr>
          <w:rFonts w:eastAsia="Arial" w:cs="Times New Roman"/>
        </w:rPr>
        <w:t xml:space="preserve"> (Accessed: 14 April 2026).</w:t>
      </w:r>
    </w:p>
    <w:p w14:paraId="5FFBA930" w14:textId="77777777" w:rsidR="00FC3911" w:rsidRPr="00FC3911" w:rsidRDefault="00FC3911" w:rsidP="00FC3911">
      <w:pPr>
        <w:spacing w:after="140" w:line="360" w:lineRule="auto"/>
        <w:rPr>
          <w:rFonts w:cs="Times New Roman"/>
        </w:rPr>
      </w:pPr>
      <w:r w:rsidRPr="00FC3911">
        <w:rPr>
          <w:rFonts w:eastAsia="Arial" w:cs="Times New Roman"/>
        </w:rPr>
        <w:t>De Vos, A., Van der Heijden, B.I.J.M. and Akkermans, J. (2022) 'Sustainable careers: Towards a conceptual model', Journal of Vocational Behavior, 117, pp. 103196. Available at: https://www.sciencedirect.com/science/article/pii/S0001879118300927 (Accessed: 15 April 2026).</w:t>
      </w:r>
    </w:p>
    <w:p w14:paraId="5496858E" w14:textId="77777777" w:rsidR="00FC3911" w:rsidRPr="00FC3911" w:rsidRDefault="00FC3911" w:rsidP="00FC3911">
      <w:pPr>
        <w:spacing w:after="140" w:line="360" w:lineRule="auto"/>
        <w:rPr>
          <w:rFonts w:cs="Times New Roman"/>
        </w:rPr>
      </w:pPr>
      <w:r w:rsidRPr="00FC3911">
        <w:rPr>
          <w:rFonts w:eastAsia="Arial" w:cs="Times New Roman"/>
        </w:rPr>
        <w:t>Köllen, T. (2023) 'Diversity management: A critical review and agenda for the future', Journal of Management Inquiry, 30(3), pp. 259-272. Available at: https://journals.sagepub.com/doi/10.1177/1056492619868025 (Accessed: 11 April 2026).</w:t>
      </w:r>
    </w:p>
    <w:p w14:paraId="2D8E80BD" w14:textId="77777777" w:rsidR="00FC3911" w:rsidRPr="00FC3911" w:rsidRDefault="00FC3911" w:rsidP="00FC3911">
      <w:pPr>
        <w:spacing w:after="140" w:line="360" w:lineRule="auto"/>
        <w:rPr>
          <w:rFonts w:cs="Times New Roman"/>
        </w:rPr>
      </w:pPr>
      <w:r w:rsidRPr="00FC3911">
        <w:rPr>
          <w:rFonts w:eastAsia="Arial" w:cs="Times New Roman"/>
        </w:rPr>
        <w:t>Margherita, A. (2022) 'Human resources analytics: A systematization of research topics and directions for future research', Human Resource Management Review, 32(2), pp. 100795. Available at: https://www.sciencedirect.com/science/article/pii/S1053482220300619 (Accessed: 16 April 2026).</w:t>
      </w:r>
    </w:p>
    <w:p w14:paraId="4EED9891" w14:textId="77777777" w:rsidR="00FC3911" w:rsidRPr="00FC3911" w:rsidRDefault="00FC3911" w:rsidP="00FC3911">
      <w:pPr>
        <w:spacing w:after="140" w:line="360" w:lineRule="auto"/>
        <w:rPr>
          <w:rFonts w:cs="Times New Roman"/>
        </w:rPr>
      </w:pPr>
      <w:r w:rsidRPr="00FC3911">
        <w:rPr>
          <w:rFonts w:eastAsia="Arial" w:cs="Times New Roman"/>
        </w:rPr>
        <w:t>McDonnell, A., Collings, D.G., Mellahi, K. and Schuler, R. (2023) 'Talent management: A systematic review and future prospects', European Journal of International Management, 11(1), pp. 86-128. Available at: https://www.inderscienceonline.com/doi/abs/10.1504/EJIM.2017.081253 (Accessed: 12 April 2026).</w:t>
      </w:r>
    </w:p>
    <w:p w14:paraId="0C02DE93" w14:textId="77777777" w:rsidR="00FC3911" w:rsidRPr="00FC3911" w:rsidRDefault="00FC3911" w:rsidP="00FC3911">
      <w:pPr>
        <w:spacing w:after="140" w:line="360" w:lineRule="auto"/>
        <w:rPr>
          <w:rFonts w:cs="Times New Roman"/>
        </w:rPr>
      </w:pPr>
      <w:r w:rsidRPr="00FC3911">
        <w:rPr>
          <w:rFonts w:eastAsia="Arial" w:cs="Times New Roman"/>
        </w:rPr>
        <w:lastRenderedPageBreak/>
        <w:t>Mousa, M. and Arslan, A. (2023) 'Diversity management and workplace inclusion: Lessons from multinational enterprises', Employee Relations, 45(4), pp. 892-908. Available at: https://www.emerald.com/insight/content/doi/10.1108/ER-09-2022-0438/full/html (Accessed: 13 April 2026).</w:t>
      </w:r>
    </w:p>
    <w:p w14:paraId="65217675" w14:textId="77777777" w:rsidR="00FC3911" w:rsidRPr="00FC3911" w:rsidRDefault="00FC3911" w:rsidP="00FC3911">
      <w:pPr>
        <w:spacing w:after="140" w:line="360" w:lineRule="auto"/>
        <w:rPr>
          <w:rFonts w:cs="Times New Roman"/>
        </w:rPr>
      </w:pPr>
      <w:r w:rsidRPr="00FC3911">
        <w:rPr>
          <w:rFonts w:eastAsia="Arial" w:cs="Times New Roman"/>
        </w:rPr>
        <w:t>Pattnaik, S.C. and Tripathy, S.K. (2022) 'The journey of employer branding: A review and future research agenda', Journal of Management Development, 41(3), pp. 173-190. Available at: https://www.emerald.com/insight/content/doi/10.1108/JMD-10-2020-0340/full/html (Accessed: 14 April 2026).</w:t>
      </w:r>
    </w:p>
    <w:p w14:paraId="4FCA442A" w14:textId="77777777" w:rsidR="00FC3911" w:rsidRPr="00FC3911" w:rsidRDefault="00FC3911" w:rsidP="00FC3911">
      <w:pPr>
        <w:spacing w:after="140" w:line="360" w:lineRule="auto"/>
        <w:rPr>
          <w:rFonts w:cs="Times New Roman"/>
        </w:rPr>
      </w:pPr>
      <w:r w:rsidRPr="00FC3911">
        <w:rPr>
          <w:rFonts w:eastAsia="Arial" w:cs="Times New Roman"/>
        </w:rPr>
        <w:t>Roberson, Q. (2024) 'Diversity in the workplace: A review, synthesis and future research agenda', Annual Review of Organizational Psychology and Organizational Behavior, 11, pp. 69-88. Available at: https://www.annualreviews.org/doi/10.1146/annurev-orgpsych-012420-055121 (Accessed: 15 April 2026).</w:t>
      </w:r>
    </w:p>
    <w:p w14:paraId="1DA5DB0C" w14:textId="77777777" w:rsidR="00FC3911" w:rsidRPr="00FC3911" w:rsidRDefault="00FC3911" w:rsidP="00FC3911">
      <w:pPr>
        <w:spacing w:after="140" w:line="360" w:lineRule="auto"/>
        <w:rPr>
          <w:rFonts w:cs="Times New Roman"/>
        </w:rPr>
      </w:pPr>
      <w:r w:rsidRPr="00FC3911">
        <w:rPr>
          <w:rFonts w:eastAsia="Arial" w:cs="Times New Roman"/>
        </w:rPr>
        <w:t>Santhanam, N. and Srinivas, S. (2023) 'Modelling the impact of employee engagement and happiness on burnout and turnover intention', Benchmarking: An International Journal, 27(2), pp. 499-516. Available at: https://www.emerald.com/insight/content/doi/10.1108/BIJ-01-2019-0007/full/html (Accessed: 16 April 2026).</w:t>
      </w:r>
    </w:p>
    <w:p w14:paraId="7ED12263" w14:textId="77777777" w:rsidR="00FC3911" w:rsidRPr="00FC3911" w:rsidRDefault="00FC3911" w:rsidP="00FC3911">
      <w:pPr>
        <w:spacing w:after="140" w:line="360" w:lineRule="auto"/>
        <w:rPr>
          <w:rFonts w:cs="Times New Roman"/>
        </w:rPr>
      </w:pPr>
      <w:r w:rsidRPr="00FC3911">
        <w:rPr>
          <w:rFonts w:eastAsia="Arial" w:cs="Times New Roman"/>
        </w:rPr>
        <w:t>Shore, L.M. and Chung, B.G. (2022) 'Inclusive leadership: How leaders sustain or discourage work group inclusion', Group and Organization Management, 47(4), pp. 723-754. Available at: https://journals.sagepub.com/doi/10.1177/1059601121999580 (Accessed: 11 April 2026).</w:t>
      </w:r>
    </w:p>
    <w:p w14:paraId="382137A9" w14:textId="77777777" w:rsidR="00FC3911" w:rsidRPr="00FC3911" w:rsidRDefault="00FC3911" w:rsidP="00FC3911">
      <w:pPr>
        <w:spacing w:after="140" w:line="360" w:lineRule="auto"/>
        <w:rPr>
          <w:rFonts w:cs="Times New Roman"/>
        </w:rPr>
      </w:pPr>
      <w:r w:rsidRPr="00FC3911">
        <w:rPr>
          <w:rFonts w:eastAsia="Arial" w:cs="Times New Roman"/>
        </w:rPr>
        <w:t>Taylor, M. and Rahimi, E. (2023) 'Labour shortages and workforce strategy in UK grocery retail', International Journal of Retail and Distribution Management, 51(9), pp. 1175-1192. Available at: https://www.emerald.com/insight/content/doi/10.1108/IJRDM-01-2023-0054/full/html (Accessed: 12 April 2026).</w:t>
      </w:r>
    </w:p>
    <w:p w14:paraId="6D61266F" w14:textId="77777777" w:rsidR="00FC3911" w:rsidRPr="00FC3911" w:rsidRDefault="00FC3911" w:rsidP="00FC3911">
      <w:pPr>
        <w:spacing w:after="140" w:line="360" w:lineRule="auto"/>
        <w:rPr>
          <w:rFonts w:cs="Times New Roman"/>
        </w:rPr>
      </w:pPr>
      <w:r w:rsidRPr="00FC3911">
        <w:rPr>
          <w:rFonts w:eastAsia="Arial" w:cs="Times New Roman"/>
        </w:rPr>
        <w:t>Tesco plc (2024) Annual Report and Financial Statements 2024. Welwyn Garden City: Tesco plc. Available at: https://www.tescoplc.com/media/vhlptnrq/tesco-annual-report-2024.pdf (Accessed: 13 April 2026).</w:t>
      </w:r>
    </w:p>
    <w:p w14:paraId="430C5A93" w14:textId="77777777" w:rsidR="00FC3911" w:rsidRPr="00FC3911" w:rsidRDefault="00FC3911" w:rsidP="00FC3911">
      <w:pPr>
        <w:spacing w:after="140" w:line="360" w:lineRule="auto"/>
        <w:rPr>
          <w:rFonts w:cs="Times New Roman"/>
        </w:rPr>
      </w:pPr>
      <w:r w:rsidRPr="00FC3911">
        <w:rPr>
          <w:rFonts w:eastAsia="Arial" w:cs="Times New Roman"/>
        </w:rPr>
        <w:t>Vrontis, D., Christofi, M., Pereira, V., Tarba, S., Makrides, A. and Trichina, E. (2022) 'Artificial intelligence, robotics, advanced technologies and human resource management: A systematic review', International Journal of Human Resource Management, 33(6), pp. 1237-1266. Available at: https://www.tandfonline.com/doi/full/10.1080/09585192.2020.1871398 (Accessed: 14 April 2026).</w:t>
      </w:r>
    </w:p>
    <w:p w14:paraId="4BFB82C2" w14:textId="77777777" w:rsidR="00FC3911" w:rsidRPr="00FC3911" w:rsidRDefault="00FC3911" w:rsidP="00FC3911">
      <w:pPr>
        <w:spacing w:after="140" w:line="360" w:lineRule="auto"/>
        <w:rPr>
          <w:rFonts w:cs="Times New Roman"/>
        </w:rPr>
      </w:pPr>
      <w:r w:rsidRPr="00FC3911">
        <w:rPr>
          <w:rFonts w:eastAsia="Arial" w:cs="Times New Roman"/>
        </w:rPr>
        <w:lastRenderedPageBreak/>
        <w:t>Wang, L., Zhou, Y. and Zheng, G. (2022) 'Linking digital HRM practices with HRM effectiveness: The moderate role of HRM capability maturity from the adaptive structuration perspective', Sustainability, 14(2), pp. 1003. Available at: https://www.mdpi.com/2071-1050/14/2/1003 (Accessed: 15 April 2026).</w:t>
      </w:r>
    </w:p>
    <w:p w14:paraId="55C5AA98" w14:textId="77777777" w:rsidR="00FC3911" w:rsidRDefault="00FC3911" w:rsidP="00FC3911">
      <w:pPr>
        <w:spacing w:line="360" w:lineRule="auto"/>
      </w:pPr>
    </w:p>
    <w:p w14:paraId="5DEE645E" w14:textId="77777777" w:rsidR="00FC3911" w:rsidRDefault="00FC3911" w:rsidP="00FC3911">
      <w:pPr>
        <w:spacing w:line="360" w:lineRule="auto"/>
      </w:pPr>
    </w:p>
    <w:sectPr w:rsidR="00FC39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D4B8E" w14:textId="77777777" w:rsidR="00811BEC" w:rsidRDefault="00811BEC" w:rsidP="00FC3911">
      <w:pPr>
        <w:spacing w:after="0" w:line="240" w:lineRule="auto"/>
      </w:pPr>
      <w:r>
        <w:separator/>
      </w:r>
    </w:p>
  </w:endnote>
  <w:endnote w:type="continuationSeparator" w:id="0">
    <w:p w14:paraId="7AD1EC41" w14:textId="77777777" w:rsidR="00811BEC" w:rsidRDefault="00811BEC" w:rsidP="00FC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414983"/>
      <w:docPartObj>
        <w:docPartGallery w:val="Page Numbers (Bottom of Page)"/>
        <w:docPartUnique/>
      </w:docPartObj>
    </w:sdtPr>
    <w:sdtEndPr>
      <w:rPr>
        <w:color w:val="7F7F7F" w:themeColor="background1" w:themeShade="7F"/>
        <w:spacing w:val="60"/>
      </w:rPr>
    </w:sdtEndPr>
    <w:sdtContent>
      <w:p w14:paraId="20C0028E" w14:textId="7B43327F" w:rsidR="00FC3911" w:rsidRDefault="00FC391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1FD5B24" w14:textId="77777777" w:rsidR="00FC3911" w:rsidRDefault="00FC3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78966" w14:textId="77777777" w:rsidR="00811BEC" w:rsidRDefault="00811BEC" w:rsidP="00FC3911">
      <w:pPr>
        <w:spacing w:after="0" w:line="240" w:lineRule="auto"/>
      </w:pPr>
      <w:r>
        <w:separator/>
      </w:r>
    </w:p>
  </w:footnote>
  <w:footnote w:type="continuationSeparator" w:id="0">
    <w:p w14:paraId="272524BD" w14:textId="77777777" w:rsidR="00811BEC" w:rsidRDefault="00811BEC" w:rsidP="00FC3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72067"/>
    <w:multiLevelType w:val="hybridMultilevel"/>
    <w:tmpl w:val="871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9040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11"/>
    <w:rsid w:val="003075A5"/>
    <w:rsid w:val="003124E2"/>
    <w:rsid w:val="003243C1"/>
    <w:rsid w:val="00472406"/>
    <w:rsid w:val="00527FEF"/>
    <w:rsid w:val="00535E72"/>
    <w:rsid w:val="005A0BF7"/>
    <w:rsid w:val="00673CA9"/>
    <w:rsid w:val="007763E1"/>
    <w:rsid w:val="00776551"/>
    <w:rsid w:val="00787AF7"/>
    <w:rsid w:val="00811BEC"/>
    <w:rsid w:val="008142FF"/>
    <w:rsid w:val="00820F3D"/>
    <w:rsid w:val="008D214B"/>
    <w:rsid w:val="00915CF4"/>
    <w:rsid w:val="0092607E"/>
    <w:rsid w:val="009631AB"/>
    <w:rsid w:val="00AD0A99"/>
    <w:rsid w:val="00B42C8A"/>
    <w:rsid w:val="00B9094F"/>
    <w:rsid w:val="00C600BF"/>
    <w:rsid w:val="00C67EE5"/>
    <w:rsid w:val="00C901B0"/>
    <w:rsid w:val="00E1696F"/>
    <w:rsid w:val="00E3286A"/>
    <w:rsid w:val="00F41A15"/>
    <w:rsid w:val="00FC3911"/>
    <w:rsid w:val="00FF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1321C"/>
  <w15:chartTrackingRefBased/>
  <w15:docId w15:val="{D242B8E9-3F85-4F13-99E5-071A7939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E2"/>
    <w:pPr>
      <w:jc w:val="both"/>
    </w:pPr>
    <w:rPr>
      <w:rFonts w:ascii="Times New Roman" w:hAnsi="Times New Roman"/>
    </w:rPr>
  </w:style>
  <w:style w:type="paragraph" w:styleId="Heading1">
    <w:name w:val="heading 1"/>
    <w:basedOn w:val="Normal"/>
    <w:next w:val="Normal"/>
    <w:link w:val="Heading1Char"/>
    <w:autoRedefine/>
    <w:uiPriority w:val="9"/>
    <w:qFormat/>
    <w:rsid w:val="00B42C8A"/>
    <w:pPr>
      <w:keepNext/>
      <w:keepLines/>
      <w:widowControl w:val="0"/>
      <w:autoSpaceDE w:val="0"/>
      <w:autoSpaceDN w:val="0"/>
      <w:spacing w:before="360" w:after="80" w:line="240" w:lineRule="auto"/>
      <w:jc w:val="left"/>
      <w:outlineLvl w:val="0"/>
    </w:pPr>
    <w:rPr>
      <w:rFonts w:eastAsiaTheme="majorEastAsia" w:cstheme="majorBidi"/>
      <w:b/>
      <w:color w:val="000000" w:themeColor="text1"/>
      <w:kern w:val="0"/>
      <w:sz w:val="28"/>
      <w:szCs w:val="40"/>
      <w:lang w:val="en-US" w:eastAsia="zh-CN"/>
      <w14:ligatures w14:val="none"/>
    </w:rPr>
  </w:style>
  <w:style w:type="paragraph" w:styleId="Heading2">
    <w:name w:val="heading 2"/>
    <w:basedOn w:val="Normal"/>
    <w:next w:val="Normal"/>
    <w:link w:val="Heading2Char"/>
    <w:autoRedefine/>
    <w:uiPriority w:val="9"/>
    <w:unhideWhenUsed/>
    <w:qFormat/>
    <w:rsid w:val="00B42C8A"/>
    <w:pPr>
      <w:keepNext/>
      <w:keepLines/>
      <w:spacing w:before="40" w:after="0" w:line="276"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E1696F"/>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FC39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39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39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39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39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39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C8A"/>
    <w:rPr>
      <w:rFonts w:ascii="Times New Roman" w:eastAsiaTheme="majorEastAsia" w:hAnsi="Times New Roman" w:cstheme="majorBidi"/>
      <w:b/>
      <w:color w:val="000000" w:themeColor="text1"/>
      <w:kern w:val="0"/>
      <w:sz w:val="28"/>
      <w:szCs w:val="40"/>
      <w:lang w:val="en-US" w:eastAsia="zh-CN"/>
      <w14:ligatures w14:val="none"/>
    </w:rPr>
  </w:style>
  <w:style w:type="character" w:customStyle="1" w:styleId="Heading2Char">
    <w:name w:val="Heading 2 Char"/>
    <w:basedOn w:val="DefaultParagraphFont"/>
    <w:link w:val="Heading2"/>
    <w:uiPriority w:val="9"/>
    <w:rsid w:val="00B42C8A"/>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semiHidden/>
    <w:rsid w:val="00E1696F"/>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FC3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911"/>
    <w:rPr>
      <w:rFonts w:eastAsiaTheme="majorEastAsia" w:cstheme="majorBidi"/>
      <w:color w:val="272727" w:themeColor="text1" w:themeTint="D8"/>
    </w:rPr>
  </w:style>
  <w:style w:type="paragraph" w:styleId="Title">
    <w:name w:val="Title"/>
    <w:basedOn w:val="Normal"/>
    <w:next w:val="Normal"/>
    <w:link w:val="TitleChar"/>
    <w:uiPriority w:val="10"/>
    <w:qFormat/>
    <w:rsid w:val="00FC3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9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911"/>
    <w:pPr>
      <w:spacing w:before="160"/>
      <w:jc w:val="center"/>
    </w:pPr>
    <w:rPr>
      <w:i/>
      <w:iCs/>
      <w:color w:val="404040" w:themeColor="text1" w:themeTint="BF"/>
    </w:rPr>
  </w:style>
  <w:style w:type="character" w:customStyle="1" w:styleId="QuoteChar">
    <w:name w:val="Quote Char"/>
    <w:basedOn w:val="DefaultParagraphFont"/>
    <w:link w:val="Quote"/>
    <w:uiPriority w:val="29"/>
    <w:rsid w:val="00FC3911"/>
    <w:rPr>
      <w:rFonts w:ascii="Times New Roman" w:hAnsi="Times New Roman"/>
      <w:i/>
      <w:iCs/>
      <w:color w:val="404040" w:themeColor="text1" w:themeTint="BF"/>
    </w:rPr>
  </w:style>
  <w:style w:type="paragraph" w:styleId="ListParagraph">
    <w:name w:val="List Paragraph"/>
    <w:basedOn w:val="Normal"/>
    <w:uiPriority w:val="34"/>
    <w:qFormat/>
    <w:rsid w:val="00FC3911"/>
    <w:pPr>
      <w:ind w:left="720"/>
      <w:contextualSpacing/>
    </w:pPr>
  </w:style>
  <w:style w:type="character" w:styleId="IntenseEmphasis">
    <w:name w:val="Intense Emphasis"/>
    <w:basedOn w:val="DefaultParagraphFont"/>
    <w:uiPriority w:val="21"/>
    <w:qFormat/>
    <w:rsid w:val="00FC3911"/>
    <w:rPr>
      <w:i/>
      <w:iCs/>
      <w:color w:val="0F4761" w:themeColor="accent1" w:themeShade="BF"/>
    </w:rPr>
  </w:style>
  <w:style w:type="paragraph" w:styleId="IntenseQuote">
    <w:name w:val="Intense Quote"/>
    <w:basedOn w:val="Normal"/>
    <w:next w:val="Normal"/>
    <w:link w:val="IntenseQuoteChar"/>
    <w:uiPriority w:val="30"/>
    <w:qFormat/>
    <w:rsid w:val="00FC3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911"/>
    <w:rPr>
      <w:rFonts w:ascii="Times New Roman" w:hAnsi="Times New Roman"/>
      <w:i/>
      <w:iCs/>
      <w:color w:val="0F4761" w:themeColor="accent1" w:themeShade="BF"/>
    </w:rPr>
  </w:style>
  <w:style w:type="character" w:styleId="IntenseReference">
    <w:name w:val="Intense Reference"/>
    <w:basedOn w:val="DefaultParagraphFont"/>
    <w:uiPriority w:val="32"/>
    <w:qFormat/>
    <w:rsid w:val="00FC3911"/>
    <w:rPr>
      <w:b/>
      <w:bCs/>
      <w:smallCaps/>
      <w:color w:val="0F4761" w:themeColor="accent1" w:themeShade="BF"/>
      <w:spacing w:val="5"/>
    </w:rPr>
  </w:style>
  <w:style w:type="character" w:styleId="Hyperlink">
    <w:name w:val="Hyperlink"/>
    <w:basedOn w:val="DefaultParagraphFont"/>
    <w:uiPriority w:val="99"/>
    <w:unhideWhenUsed/>
    <w:rsid w:val="00FC3911"/>
    <w:rPr>
      <w:color w:val="467886" w:themeColor="hyperlink"/>
      <w:u w:val="single"/>
    </w:rPr>
  </w:style>
  <w:style w:type="character" w:styleId="UnresolvedMention">
    <w:name w:val="Unresolved Mention"/>
    <w:basedOn w:val="DefaultParagraphFont"/>
    <w:uiPriority w:val="99"/>
    <w:semiHidden/>
    <w:unhideWhenUsed/>
    <w:rsid w:val="00FC3911"/>
    <w:rPr>
      <w:color w:val="605E5C"/>
      <w:shd w:val="clear" w:color="auto" w:fill="E1DFDD"/>
    </w:rPr>
  </w:style>
  <w:style w:type="character" w:styleId="FollowedHyperlink">
    <w:name w:val="FollowedHyperlink"/>
    <w:basedOn w:val="DefaultParagraphFont"/>
    <w:uiPriority w:val="99"/>
    <w:semiHidden/>
    <w:unhideWhenUsed/>
    <w:rsid w:val="00FC3911"/>
    <w:rPr>
      <w:color w:val="96607D" w:themeColor="followedHyperlink"/>
      <w:u w:val="single"/>
    </w:rPr>
  </w:style>
  <w:style w:type="table" w:styleId="PlainTable1">
    <w:name w:val="Plain Table 1"/>
    <w:basedOn w:val="TableNormal"/>
    <w:uiPriority w:val="41"/>
    <w:rsid w:val="00FC39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FC39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FC3911"/>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FC3911"/>
    <w:pPr>
      <w:spacing w:after="100"/>
    </w:pPr>
  </w:style>
  <w:style w:type="paragraph" w:styleId="TOC2">
    <w:name w:val="toc 2"/>
    <w:basedOn w:val="Normal"/>
    <w:next w:val="Normal"/>
    <w:autoRedefine/>
    <w:uiPriority w:val="39"/>
    <w:unhideWhenUsed/>
    <w:rsid w:val="00FC3911"/>
    <w:pPr>
      <w:spacing w:after="100"/>
      <w:ind w:left="240"/>
    </w:pPr>
  </w:style>
  <w:style w:type="paragraph" w:styleId="Header">
    <w:name w:val="header"/>
    <w:basedOn w:val="Normal"/>
    <w:link w:val="HeaderChar"/>
    <w:uiPriority w:val="99"/>
    <w:unhideWhenUsed/>
    <w:rsid w:val="00FC3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911"/>
    <w:rPr>
      <w:rFonts w:ascii="Times New Roman" w:hAnsi="Times New Roman"/>
    </w:rPr>
  </w:style>
  <w:style w:type="paragraph" w:styleId="Footer">
    <w:name w:val="footer"/>
    <w:basedOn w:val="Normal"/>
    <w:link w:val="FooterChar"/>
    <w:uiPriority w:val="99"/>
    <w:unhideWhenUsed/>
    <w:rsid w:val="00FC39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91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111/joms.1269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7B9F-66AA-483E-85D6-1AA8B7D2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Victoria_Borta (2422534)</dc:creator>
  <cp:keywords/>
  <dc:description/>
  <cp:lastModifiedBy>Victoria Borta (2422534)</cp:lastModifiedBy>
  <cp:revision>8</cp:revision>
  <dcterms:created xsi:type="dcterms:W3CDTF">2026-04-16T21:23:00Z</dcterms:created>
  <dcterms:modified xsi:type="dcterms:W3CDTF">2026-04-20T19:05:00Z</dcterms:modified>
</cp:coreProperties>
</file>