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5354F" w14:textId="3CB11A46" w:rsidR="00944B25" w:rsidRPr="00944B25" w:rsidRDefault="00944B25" w:rsidP="004F2FDA">
      <w:pPr>
        <w:pStyle w:val="TOCHeading"/>
        <w:jc w:val="both"/>
        <w:rPr>
          <w:rFonts w:ascii="Arial" w:hAnsi="Arial" w:cs="Arial"/>
          <w:sz w:val="24"/>
          <w:szCs w:val="24"/>
        </w:rPr>
      </w:pPr>
    </w:p>
    <w:p w14:paraId="7413335A" w14:textId="1D7581A9" w:rsidR="006526C3" w:rsidRPr="00944B25" w:rsidRDefault="006526C3" w:rsidP="00944B25">
      <w:pPr>
        <w:jc w:val="both"/>
        <w:rPr>
          <w:rFonts w:ascii="Arial" w:hAnsi="Arial" w:cs="Arial"/>
          <w:sz w:val="24"/>
          <w:szCs w:val="24"/>
        </w:rPr>
      </w:pPr>
      <w:r w:rsidRPr="00944B25">
        <w:rPr>
          <w:rFonts w:ascii="Arial" w:hAnsi="Arial" w:cs="Arial"/>
          <w:sz w:val="24"/>
          <w:szCs w:val="24"/>
        </w:rPr>
        <w:t xml:space="preserve">This </w:t>
      </w:r>
      <w:r w:rsidR="000E59DA">
        <w:rPr>
          <w:rFonts w:ascii="Arial" w:hAnsi="Arial" w:cs="Arial"/>
          <w:sz w:val="24"/>
          <w:szCs w:val="24"/>
        </w:rPr>
        <w:t xml:space="preserve">assignment </w:t>
      </w:r>
      <w:r w:rsidRPr="00944B25">
        <w:rPr>
          <w:rFonts w:ascii="Arial" w:hAnsi="Arial" w:cs="Arial"/>
          <w:sz w:val="24"/>
          <w:szCs w:val="24"/>
        </w:rPr>
        <w:t xml:space="preserve">offers an overview of the distinctive features and dissimilarities </w:t>
      </w:r>
      <w:r w:rsidR="008B0C09" w:rsidRPr="00944B25">
        <w:rPr>
          <w:rFonts w:ascii="Arial" w:hAnsi="Arial" w:cs="Arial"/>
          <w:sz w:val="24"/>
          <w:szCs w:val="24"/>
        </w:rPr>
        <w:t>among</w:t>
      </w:r>
      <w:r w:rsidRPr="00944B25">
        <w:rPr>
          <w:rFonts w:ascii="Arial" w:hAnsi="Arial" w:cs="Arial"/>
          <w:sz w:val="24"/>
          <w:szCs w:val="24"/>
        </w:rPr>
        <w:t xml:space="preserve"> the </w:t>
      </w:r>
      <w:r w:rsidR="008D33CB" w:rsidRPr="00944B25">
        <w:rPr>
          <w:rFonts w:ascii="Arial" w:hAnsi="Arial" w:cs="Arial"/>
          <w:sz w:val="24"/>
          <w:szCs w:val="24"/>
        </w:rPr>
        <w:t>“</w:t>
      </w:r>
      <w:r w:rsidRPr="00944B25">
        <w:rPr>
          <w:rFonts w:ascii="Arial" w:hAnsi="Arial" w:cs="Arial"/>
          <w:sz w:val="24"/>
          <w:szCs w:val="24"/>
        </w:rPr>
        <w:t>common law</w:t>
      </w:r>
      <w:r w:rsidR="008D33CB" w:rsidRPr="00944B25">
        <w:rPr>
          <w:rFonts w:ascii="Arial" w:hAnsi="Arial" w:cs="Arial"/>
          <w:sz w:val="24"/>
          <w:szCs w:val="24"/>
        </w:rPr>
        <w:t>”</w:t>
      </w:r>
      <w:r w:rsidRPr="00944B25">
        <w:rPr>
          <w:rFonts w:ascii="Arial" w:hAnsi="Arial" w:cs="Arial"/>
          <w:sz w:val="24"/>
          <w:szCs w:val="24"/>
        </w:rPr>
        <w:t xml:space="preserve"> and </w:t>
      </w:r>
      <w:r w:rsidR="008D33CB" w:rsidRPr="00944B25">
        <w:rPr>
          <w:rFonts w:ascii="Arial" w:hAnsi="Arial" w:cs="Arial"/>
          <w:sz w:val="24"/>
          <w:szCs w:val="24"/>
        </w:rPr>
        <w:t>“</w:t>
      </w:r>
      <w:r w:rsidRPr="00944B25">
        <w:rPr>
          <w:rFonts w:ascii="Arial" w:hAnsi="Arial" w:cs="Arial"/>
          <w:sz w:val="24"/>
          <w:szCs w:val="24"/>
        </w:rPr>
        <w:t>civil law</w:t>
      </w:r>
      <w:r w:rsidR="008D33CB" w:rsidRPr="00944B25">
        <w:rPr>
          <w:rFonts w:ascii="Arial" w:hAnsi="Arial" w:cs="Arial"/>
          <w:sz w:val="24"/>
          <w:szCs w:val="24"/>
        </w:rPr>
        <w:t>”</w:t>
      </w:r>
      <w:r w:rsidRPr="00944B25">
        <w:rPr>
          <w:rFonts w:ascii="Arial" w:hAnsi="Arial" w:cs="Arial"/>
          <w:sz w:val="24"/>
          <w:szCs w:val="24"/>
        </w:rPr>
        <w:t xml:space="preserve"> </w:t>
      </w:r>
      <w:r w:rsidR="008D33CB" w:rsidRPr="00944B25">
        <w:rPr>
          <w:rFonts w:ascii="Arial" w:hAnsi="Arial" w:cs="Arial"/>
          <w:sz w:val="24"/>
          <w:szCs w:val="24"/>
        </w:rPr>
        <w:t>authorized</w:t>
      </w:r>
      <w:r w:rsidRPr="00944B25">
        <w:rPr>
          <w:rFonts w:ascii="Arial" w:hAnsi="Arial" w:cs="Arial"/>
          <w:sz w:val="24"/>
          <w:szCs w:val="24"/>
        </w:rPr>
        <w:t xml:space="preserve"> </w:t>
      </w:r>
      <w:r w:rsidR="008D33CB" w:rsidRPr="00944B25">
        <w:rPr>
          <w:rFonts w:ascii="Arial" w:hAnsi="Arial" w:cs="Arial"/>
          <w:sz w:val="24"/>
          <w:szCs w:val="24"/>
        </w:rPr>
        <w:t>organizations</w:t>
      </w:r>
      <w:r w:rsidRPr="00944B25">
        <w:rPr>
          <w:rFonts w:ascii="Arial" w:hAnsi="Arial" w:cs="Arial"/>
          <w:sz w:val="24"/>
          <w:szCs w:val="24"/>
        </w:rPr>
        <w:t xml:space="preserve">. The </w:t>
      </w:r>
      <w:r w:rsidR="008D33CB" w:rsidRPr="00944B25">
        <w:rPr>
          <w:rFonts w:ascii="Arial" w:hAnsi="Arial" w:cs="Arial"/>
          <w:sz w:val="24"/>
          <w:szCs w:val="24"/>
        </w:rPr>
        <w:t>“</w:t>
      </w:r>
      <w:r w:rsidRPr="00944B25">
        <w:rPr>
          <w:rFonts w:ascii="Arial" w:hAnsi="Arial" w:cs="Arial"/>
          <w:sz w:val="24"/>
          <w:szCs w:val="24"/>
        </w:rPr>
        <w:t>common law</w:t>
      </w:r>
      <w:r w:rsidR="008D33CB" w:rsidRPr="00944B25">
        <w:rPr>
          <w:rFonts w:ascii="Arial" w:hAnsi="Arial" w:cs="Arial"/>
          <w:sz w:val="24"/>
          <w:szCs w:val="24"/>
        </w:rPr>
        <w:t>”</w:t>
      </w:r>
      <w:r w:rsidRPr="00944B25">
        <w:rPr>
          <w:rFonts w:ascii="Arial" w:hAnsi="Arial" w:cs="Arial"/>
          <w:sz w:val="24"/>
          <w:szCs w:val="24"/>
        </w:rPr>
        <w:t xml:space="preserve"> system, originating in England and adopted by its former colonies including the UK, is established on judicial decisions and precedents, while the civil law system, used by numerous countries globally, is built on written codes or statutes. The write-up delves into the roots of the common law system during the Middle Ages, its expansion to other nations in the 19th century, and its progression into the 20th and 21st centuries. Moreover, it highlights instances of the common law's implementation in the UK, like the law of tort and the law of contract. The content also covers how the two systems deal with legal disputes and their respective procedures</w:t>
      </w:r>
      <w:r w:rsidR="000C0444" w:rsidRPr="00944B25">
        <w:rPr>
          <w:rFonts w:ascii="Arial" w:hAnsi="Arial" w:cs="Arial"/>
          <w:sz w:val="24"/>
          <w:szCs w:val="24"/>
        </w:rPr>
        <w:t xml:space="preserve"> </w:t>
      </w:r>
      <w:sdt>
        <w:sdtPr>
          <w:rPr>
            <w:rFonts w:ascii="Arial" w:hAnsi="Arial" w:cs="Arial"/>
            <w:sz w:val="24"/>
            <w:szCs w:val="24"/>
          </w:rPr>
          <w:id w:val="-1900824703"/>
          <w:citation/>
        </w:sdtPr>
        <w:sdtEndPr/>
        <w:sdtContent>
          <w:r w:rsidR="000C0444" w:rsidRPr="00944B25">
            <w:rPr>
              <w:rFonts w:ascii="Arial" w:hAnsi="Arial" w:cs="Arial"/>
              <w:sz w:val="24"/>
              <w:szCs w:val="24"/>
            </w:rPr>
            <w:fldChar w:fldCharType="begin"/>
          </w:r>
          <w:r w:rsidR="000C0444" w:rsidRPr="00944B25">
            <w:rPr>
              <w:rFonts w:ascii="Arial" w:hAnsi="Arial" w:cs="Arial"/>
              <w:sz w:val="24"/>
              <w:szCs w:val="24"/>
            </w:rPr>
            <w:instrText xml:space="preserve"> CITATION Bus22 \l 1033 </w:instrText>
          </w:r>
          <w:r w:rsidR="000C0444" w:rsidRPr="00944B25">
            <w:rPr>
              <w:rFonts w:ascii="Arial" w:hAnsi="Arial" w:cs="Arial"/>
              <w:sz w:val="24"/>
              <w:szCs w:val="24"/>
            </w:rPr>
            <w:fldChar w:fldCharType="separate"/>
          </w:r>
          <w:r w:rsidR="000C0444" w:rsidRPr="00944B25">
            <w:rPr>
              <w:rFonts w:ascii="Arial" w:hAnsi="Arial" w:cs="Arial"/>
              <w:noProof/>
              <w:sz w:val="24"/>
              <w:szCs w:val="24"/>
            </w:rPr>
            <w:t>(Bussani, et al., 2022)</w:t>
          </w:r>
          <w:r w:rsidR="000C0444" w:rsidRPr="00944B25">
            <w:rPr>
              <w:rFonts w:ascii="Arial" w:hAnsi="Arial" w:cs="Arial"/>
              <w:sz w:val="24"/>
              <w:szCs w:val="24"/>
            </w:rPr>
            <w:fldChar w:fldCharType="end"/>
          </w:r>
        </w:sdtContent>
      </w:sdt>
      <w:r w:rsidRPr="00944B25">
        <w:rPr>
          <w:rFonts w:ascii="Arial" w:hAnsi="Arial" w:cs="Arial"/>
          <w:sz w:val="24"/>
          <w:szCs w:val="24"/>
        </w:rPr>
        <w:t>.</w:t>
      </w:r>
    </w:p>
    <w:p w14:paraId="14E5F416" w14:textId="571F67F4" w:rsidR="00421573" w:rsidRPr="00944B25" w:rsidRDefault="00421573" w:rsidP="00944B25">
      <w:pPr>
        <w:pStyle w:val="Heading1"/>
        <w:jc w:val="both"/>
        <w:rPr>
          <w:rFonts w:ascii="Arial" w:hAnsi="Arial" w:cs="Arial"/>
          <w:sz w:val="24"/>
          <w:szCs w:val="24"/>
        </w:rPr>
      </w:pPr>
    </w:p>
    <w:p w14:paraId="1607BE0E" w14:textId="60555762" w:rsidR="00421573" w:rsidRPr="00944B25" w:rsidRDefault="006526C3" w:rsidP="00944B25">
      <w:pPr>
        <w:jc w:val="both"/>
        <w:rPr>
          <w:rFonts w:ascii="Arial" w:hAnsi="Arial" w:cs="Arial"/>
          <w:sz w:val="24"/>
          <w:szCs w:val="24"/>
        </w:rPr>
      </w:pPr>
      <w:r w:rsidRPr="00944B25">
        <w:rPr>
          <w:rFonts w:ascii="Arial" w:hAnsi="Arial" w:cs="Arial"/>
          <w:sz w:val="24"/>
          <w:szCs w:val="24"/>
        </w:rPr>
        <w:t xml:space="preserve">The legal framework of common law has its roots in England, and it relies on the rulings and precedents established by judges instead of written laws or statutes. This system is mainly in practice in the UK and its former colonies, including the United States, Australia, and Canada. </w:t>
      </w:r>
      <w:r w:rsidR="008D33CB" w:rsidRPr="00944B25">
        <w:rPr>
          <w:rFonts w:ascii="Arial" w:hAnsi="Arial" w:cs="Arial"/>
          <w:sz w:val="24"/>
          <w:szCs w:val="24"/>
        </w:rPr>
        <w:t>“</w:t>
      </w:r>
      <w:r w:rsidRPr="00944B25">
        <w:rPr>
          <w:rFonts w:ascii="Arial" w:hAnsi="Arial" w:cs="Arial"/>
          <w:sz w:val="24"/>
          <w:szCs w:val="24"/>
        </w:rPr>
        <w:t>Common law</w:t>
      </w:r>
      <w:r w:rsidR="008D33CB" w:rsidRPr="00944B25">
        <w:rPr>
          <w:rFonts w:ascii="Arial" w:hAnsi="Arial" w:cs="Arial"/>
          <w:sz w:val="24"/>
          <w:szCs w:val="24"/>
        </w:rPr>
        <w:t>”</w:t>
      </w:r>
      <w:r w:rsidRPr="00944B25">
        <w:rPr>
          <w:rFonts w:ascii="Arial" w:hAnsi="Arial" w:cs="Arial"/>
          <w:sz w:val="24"/>
          <w:szCs w:val="24"/>
        </w:rPr>
        <w:t xml:space="preserve"> is </w:t>
      </w:r>
      <w:r w:rsidR="008D33CB" w:rsidRPr="00944B25">
        <w:rPr>
          <w:rFonts w:ascii="Arial" w:hAnsi="Arial" w:cs="Arial"/>
          <w:sz w:val="24"/>
          <w:szCs w:val="24"/>
        </w:rPr>
        <w:t>occasionally</w:t>
      </w:r>
      <w:r w:rsidRPr="00944B25">
        <w:rPr>
          <w:rFonts w:ascii="Arial" w:hAnsi="Arial" w:cs="Arial"/>
          <w:sz w:val="24"/>
          <w:szCs w:val="24"/>
        </w:rPr>
        <w:t xml:space="preserve"> </w:t>
      </w:r>
      <w:r w:rsidR="008D33CB" w:rsidRPr="00944B25">
        <w:rPr>
          <w:rFonts w:ascii="Arial" w:hAnsi="Arial" w:cs="Arial"/>
          <w:sz w:val="24"/>
          <w:szCs w:val="24"/>
        </w:rPr>
        <w:t>stated</w:t>
      </w:r>
      <w:r w:rsidRPr="00944B25">
        <w:rPr>
          <w:rFonts w:ascii="Arial" w:hAnsi="Arial" w:cs="Arial"/>
          <w:sz w:val="24"/>
          <w:szCs w:val="24"/>
        </w:rPr>
        <w:t xml:space="preserve"> </w:t>
      </w:r>
      <w:r w:rsidR="008D33CB" w:rsidRPr="00944B25">
        <w:rPr>
          <w:rFonts w:ascii="Arial" w:hAnsi="Arial" w:cs="Arial"/>
          <w:sz w:val="24"/>
          <w:szCs w:val="24"/>
        </w:rPr>
        <w:t>“</w:t>
      </w:r>
      <w:r w:rsidRPr="00944B25">
        <w:rPr>
          <w:rFonts w:ascii="Arial" w:hAnsi="Arial" w:cs="Arial"/>
          <w:sz w:val="24"/>
          <w:szCs w:val="24"/>
        </w:rPr>
        <w:t>as case law or judge-made law, given that the decisions made by judges in courts shape it</w:t>
      </w:r>
      <w:r w:rsidR="008D33CB" w:rsidRPr="00944B25">
        <w:rPr>
          <w:rFonts w:ascii="Arial" w:hAnsi="Arial" w:cs="Arial"/>
          <w:sz w:val="24"/>
          <w:szCs w:val="24"/>
        </w:rPr>
        <w:t>”</w:t>
      </w:r>
      <w:r w:rsidRPr="00944B25">
        <w:rPr>
          <w:rFonts w:ascii="Arial" w:hAnsi="Arial" w:cs="Arial"/>
          <w:sz w:val="24"/>
          <w:szCs w:val="24"/>
        </w:rPr>
        <w:t xml:space="preserve">. </w:t>
      </w:r>
      <w:r w:rsidR="008D33CB" w:rsidRPr="00944B25">
        <w:rPr>
          <w:rFonts w:ascii="Arial" w:hAnsi="Arial" w:cs="Arial"/>
          <w:sz w:val="24"/>
          <w:szCs w:val="24"/>
        </w:rPr>
        <w:t>“</w:t>
      </w:r>
      <w:r w:rsidRPr="00944B25">
        <w:rPr>
          <w:rFonts w:ascii="Arial" w:hAnsi="Arial" w:cs="Arial"/>
          <w:sz w:val="24"/>
          <w:szCs w:val="24"/>
        </w:rPr>
        <w:t>Stare decisis</w:t>
      </w:r>
      <w:r w:rsidR="008D33CB" w:rsidRPr="00944B25">
        <w:rPr>
          <w:rFonts w:ascii="Arial" w:hAnsi="Arial" w:cs="Arial"/>
          <w:sz w:val="24"/>
          <w:szCs w:val="24"/>
        </w:rPr>
        <w:t>”</w:t>
      </w:r>
      <w:r w:rsidRPr="00944B25">
        <w:rPr>
          <w:rFonts w:ascii="Arial" w:hAnsi="Arial" w:cs="Arial"/>
          <w:sz w:val="24"/>
          <w:szCs w:val="24"/>
        </w:rPr>
        <w:t xml:space="preserve"> is a key </w:t>
      </w:r>
      <w:r w:rsidR="008D33CB" w:rsidRPr="00944B25">
        <w:rPr>
          <w:rFonts w:ascii="Arial" w:hAnsi="Arial" w:cs="Arial"/>
          <w:sz w:val="24"/>
          <w:szCs w:val="24"/>
        </w:rPr>
        <w:t>code</w:t>
      </w:r>
      <w:r w:rsidRPr="00944B25">
        <w:rPr>
          <w:rFonts w:ascii="Arial" w:hAnsi="Arial" w:cs="Arial"/>
          <w:sz w:val="24"/>
          <w:szCs w:val="24"/>
        </w:rPr>
        <w:t xml:space="preserve"> in </w:t>
      </w:r>
      <w:r w:rsidR="008D33CB" w:rsidRPr="00944B25">
        <w:rPr>
          <w:rFonts w:ascii="Arial" w:hAnsi="Arial" w:cs="Arial"/>
          <w:sz w:val="24"/>
          <w:szCs w:val="24"/>
        </w:rPr>
        <w:t>“</w:t>
      </w:r>
      <w:r w:rsidRPr="00944B25">
        <w:rPr>
          <w:rFonts w:ascii="Arial" w:hAnsi="Arial" w:cs="Arial"/>
          <w:sz w:val="24"/>
          <w:szCs w:val="24"/>
        </w:rPr>
        <w:t>common law</w:t>
      </w:r>
      <w:r w:rsidR="008D33CB" w:rsidRPr="00944B25">
        <w:rPr>
          <w:rFonts w:ascii="Arial" w:hAnsi="Arial" w:cs="Arial"/>
          <w:sz w:val="24"/>
          <w:szCs w:val="24"/>
        </w:rPr>
        <w:t>”</w:t>
      </w:r>
      <w:r w:rsidRPr="00944B25">
        <w:rPr>
          <w:rFonts w:ascii="Arial" w:hAnsi="Arial" w:cs="Arial"/>
          <w:sz w:val="24"/>
          <w:szCs w:val="24"/>
        </w:rPr>
        <w:t xml:space="preserve">, which means that courts must </w:t>
      </w:r>
      <w:r w:rsidR="008D33CB" w:rsidRPr="00944B25">
        <w:rPr>
          <w:rFonts w:ascii="Arial" w:hAnsi="Arial" w:cs="Arial"/>
          <w:sz w:val="24"/>
          <w:szCs w:val="24"/>
        </w:rPr>
        <w:t>track</w:t>
      </w:r>
      <w:r w:rsidRPr="00944B25">
        <w:rPr>
          <w:rFonts w:ascii="Arial" w:hAnsi="Arial" w:cs="Arial"/>
          <w:sz w:val="24"/>
          <w:szCs w:val="24"/>
        </w:rPr>
        <w:t xml:space="preserve"> the </w:t>
      </w:r>
      <w:r w:rsidR="008D33CB" w:rsidRPr="00944B25">
        <w:rPr>
          <w:rFonts w:ascii="Arial" w:hAnsi="Arial" w:cs="Arial"/>
          <w:sz w:val="24"/>
          <w:szCs w:val="24"/>
        </w:rPr>
        <w:t>results</w:t>
      </w:r>
      <w:r w:rsidRPr="00944B25">
        <w:rPr>
          <w:rFonts w:ascii="Arial" w:hAnsi="Arial" w:cs="Arial"/>
          <w:sz w:val="24"/>
          <w:szCs w:val="24"/>
        </w:rPr>
        <w:t xml:space="preserve"> of </w:t>
      </w:r>
      <w:r w:rsidR="008D33CB" w:rsidRPr="00944B25">
        <w:rPr>
          <w:rFonts w:ascii="Arial" w:hAnsi="Arial" w:cs="Arial"/>
          <w:sz w:val="24"/>
          <w:szCs w:val="24"/>
        </w:rPr>
        <w:t>“</w:t>
      </w:r>
      <w:r w:rsidRPr="00944B25">
        <w:rPr>
          <w:rFonts w:ascii="Arial" w:hAnsi="Arial" w:cs="Arial"/>
          <w:sz w:val="24"/>
          <w:szCs w:val="24"/>
        </w:rPr>
        <w:t>higher courts</w:t>
      </w:r>
      <w:r w:rsidR="008D33CB" w:rsidRPr="00944B25">
        <w:rPr>
          <w:rFonts w:ascii="Arial" w:hAnsi="Arial" w:cs="Arial"/>
          <w:sz w:val="24"/>
          <w:szCs w:val="24"/>
        </w:rPr>
        <w:t>”</w:t>
      </w:r>
      <w:r w:rsidRPr="00944B25">
        <w:rPr>
          <w:rFonts w:ascii="Arial" w:hAnsi="Arial" w:cs="Arial"/>
          <w:sz w:val="24"/>
          <w:szCs w:val="24"/>
        </w:rPr>
        <w:t xml:space="preserve"> in </w:t>
      </w:r>
      <w:r w:rsidR="008D33CB" w:rsidRPr="00944B25">
        <w:rPr>
          <w:rFonts w:ascii="Arial" w:hAnsi="Arial" w:cs="Arial"/>
          <w:sz w:val="24"/>
          <w:szCs w:val="24"/>
        </w:rPr>
        <w:t>like</w:t>
      </w:r>
      <w:r w:rsidRPr="00944B25">
        <w:rPr>
          <w:rFonts w:ascii="Arial" w:hAnsi="Arial" w:cs="Arial"/>
          <w:sz w:val="24"/>
          <w:szCs w:val="24"/>
        </w:rPr>
        <w:t xml:space="preserve"> cases. This </w:t>
      </w:r>
      <w:r w:rsidR="008D33CB" w:rsidRPr="00944B25">
        <w:rPr>
          <w:rFonts w:ascii="Arial" w:hAnsi="Arial" w:cs="Arial"/>
          <w:sz w:val="24"/>
          <w:szCs w:val="24"/>
        </w:rPr>
        <w:t>code</w:t>
      </w:r>
      <w:r w:rsidRPr="00944B25">
        <w:rPr>
          <w:rFonts w:ascii="Arial" w:hAnsi="Arial" w:cs="Arial"/>
          <w:sz w:val="24"/>
          <w:szCs w:val="24"/>
        </w:rPr>
        <w:t xml:space="preserve"> brings about </w:t>
      </w:r>
      <w:r w:rsidR="008D33CB" w:rsidRPr="00944B25">
        <w:rPr>
          <w:rFonts w:ascii="Arial" w:hAnsi="Arial" w:cs="Arial"/>
          <w:sz w:val="24"/>
          <w:szCs w:val="24"/>
        </w:rPr>
        <w:t>steadiness</w:t>
      </w:r>
      <w:r w:rsidRPr="00944B25">
        <w:rPr>
          <w:rFonts w:ascii="Arial" w:hAnsi="Arial" w:cs="Arial"/>
          <w:sz w:val="24"/>
          <w:szCs w:val="24"/>
        </w:rPr>
        <w:t xml:space="preserve">, predictability, and stability in the legal system. </w:t>
      </w:r>
      <w:r w:rsidR="008D33CB" w:rsidRPr="00944B25">
        <w:rPr>
          <w:rFonts w:ascii="Arial" w:hAnsi="Arial" w:cs="Arial"/>
          <w:sz w:val="24"/>
          <w:szCs w:val="24"/>
        </w:rPr>
        <w:t>“</w:t>
      </w:r>
      <w:r w:rsidRPr="00944B25">
        <w:rPr>
          <w:rFonts w:ascii="Arial" w:hAnsi="Arial" w:cs="Arial"/>
          <w:sz w:val="24"/>
          <w:szCs w:val="24"/>
        </w:rPr>
        <w:t>Common law</w:t>
      </w:r>
      <w:r w:rsidR="008D33CB" w:rsidRPr="00944B25">
        <w:rPr>
          <w:rFonts w:ascii="Arial" w:hAnsi="Arial" w:cs="Arial"/>
          <w:sz w:val="24"/>
          <w:szCs w:val="24"/>
        </w:rPr>
        <w:t>”</w:t>
      </w:r>
      <w:r w:rsidRPr="00944B25">
        <w:rPr>
          <w:rFonts w:ascii="Arial" w:hAnsi="Arial" w:cs="Arial"/>
          <w:sz w:val="24"/>
          <w:szCs w:val="24"/>
        </w:rPr>
        <w:t xml:space="preserve"> also entails the involvement of juries in civil and criminal trials, as well as a focus on the rights of individuals</w:t>
      </w:r>
      <w:r w:rsidR="000C0444" w:rsidRPr="00944B25">
        <w:rPr>
          <w:rFonts w:ascii="Arial" w:hAnsi="Arial" w:cs="Arial"/>
          <w:sz w:val="24"/>
          <w:szCs w:val="24"/>
        </w:rPr>
        <w:t xml:space="preserve"> </w:t>
      </w:r>
      <w:sdt>
        <w:sdtPr>
          <w:rPr>
            <w:rFonts w:ascii="Arial" w:hAnsi="Arial" w:cs="Arial"/>
            <w:sz w:val="24"/>
            <w:szCs w:val="24"/>
          </w:rPr>
          <w:id w:val="-1446852396"/>
          <w:citation/>
        </w:sdtPr>
        <w:sdtEndPr/>
        <w:sdtContent>
          <w:r w:rsidR="000C0444" w:rsidRPr="00944B25">
            <w:rPr>
              <w:rFonts w:ascii="Arial" w:hAnsi="Arial" w:cs="Arial"/>
              <w:sz w:val="24"/>
              <w:szCs w:val="24"/>
            </w:rPr>
            <w:fldChar w:fldCharType="begin"/>
          </w:r>
          <w:r w:rsidR="000C0444" w:rsidRPr="00944B25">
            <w:rPr>
              <w:rFonts w:ascii="Arial" w:hAnsi="Arial" w:cs="Arial"/>
              <w:sz w:val="24"/>
              <w:szCs w:val="24"/>
            </w:rPr>
            <w:instrText xml:space="preserve"> CITATION Lei21 \l 1033 </w:instrText>
          </w:r>
          <w:r w:rsidR="000C0444" w:rsidRPr="00944B25">
            <w:rPr>
              <w:rFonts w:ascii="Arial" w:hAnsi="Arial" w:cs="Arial"/>
              <w:sz w:val="24"/>
              <w:szCs w:val="24"/>
            </w:rPr>
            <w:fldChar w:fldCharType="separate"/>
          </w:r>
          <w:r w:rsidR="000C0444" w:rsidRPr="00944B25">
            <w:rPr>
              <w:rFonts w:ascii="Arial" w:hAnsi="Arial" w:cs="Arial"/>
              <w:noProof/>
              <w:sz w:val="24"/>
              <w:szCs w:val="24"/>
            </w:rPr>
            <w:t>(Leider, 2021)</w:t>
          </w:r>
          <w:r w:rsidR="000C0444" w:rsidRPr="00944B25">
            <w:rPr>
              <w:rFonts w:ascii="Arial" w:hAnsi="Arial" w:cs="Arial"/>
              <w:sz w:val="24"/>
              <w:szCs w:val="24"/>
            </w:rPr>
            <w:fldChar w:fldCharType="end"/>
          </w:r>
        </w:sdtContent>
      </w:sdt>
      <w:r w:rsidRPr="00944B25">
        <w:rPr>
          <w:rFonts w:ascii="Arial" w:hAnsi="Arial" w:cs="Arial"/>
          <w:sz w:val="24"/>
          <w:szCs w:val="24"/>
        </w:rPr>
        <w:t>.</w:t>
      </w:r>
    </w:p>
    <w:p w14:paraId="4212DE67" w14:textId="6A810BC6" w:rsidR="00421573" w:rsidRPr="00944B25" w:rsidRDefault="00421573" w:rsidP="00944B25">
      <w:pPr>
        <w:pStyle w:val="Heading1"/>
        <w:jc w:val="both"/>
        <w:rPr>
          <w:rFonts w:ascii="Arial" w:hAnsi="Arial" w:cs="Arial"/>
          <w:sz w:val="24"/>
          <w:szCs w:val="24"/>
        </w:rPr>
      </w:pPr>
    </w:p>
    <w:p w14:paraId="2AD55874" w14:textId="1CAA3B6F" w:rsidR="00421573" w:rsidRPr="00944B25" w:rsidRDefault="006526C3" w:rsidP="00944B25">
      <w:pPr>
        <w:jc w:val="both"/>
        <w:rPr>
          <w:rFonts w:ascii="Arial" w:hAnsi="Arial" w:cs="Arial"/>
          <w:sz w:val="24"/>
          <w:szCs w:val="24"/>
        </w:rPr>
      </w:pPr>
      <w:r w:rsidRPr="00944B25">
        <w:rPr>
          <w:rFonts w:ascii="Arial" w:hAnsi="Arial" w:cs="Arial"/>
          <w:sz w:val="24"/>
          <w:szCs w:val="24"/>
        </w:rPr>
        <w:t xml:space="preserve">The legal system of civil law relies on written codes or statutes rather than judicial decisions or precedents. This system is prevalent in numerous countries, including Germany, France, and Japan. The civil law system emphasizes legal certainty and predictability, and its laws are codified into comprehensive, detailed statutes enacted by a governing body or legislature. These laws are designed to be applied uniformly in all cases and are clear and concise. Additionally, the civil law system is characterized by inquisitorial proceedings, where judges play an active role in investigating and determining the facts of a case. Unlike common law, the civil law system is more centralized and structured, with legal disputes being resolved by reference to the statutes, rather than through a precedent-based system. The objective of the civil law system is to provide a framework for resolving legal disputes </w:t>
      </w:r>
      <w:r w:rsidR="00944B25" w:rsidRPr="00944B25">
        <w:rPr>
          <w:rFonts w:ascii="Arial" w:hAnsi="Arial" w:cs="Arial"/>
          <w:sz w:val="24"/>
          <w:szCs w:val="24"/>
        </w:rPr>
        <w:t>efficiently and fairly</w:t>
      </w:r>
      <w:r w:rsidR="000C0444" w:rsidRPr="00944B25">
        <w:rPr>
          <w:rFonts w:ascii="Arial" w:hAnsi="Arial" w:cs="Arial"/>
          <w:sz w:val="24"/>
          <w:szCs w:val="24"/>
        </w:rPr>
        <w:t xml:space="preserve"> </w:t>
      </w:r>
      <w:sdt>
        <w:sdtPr>
          <w:rPr>
            <w:rFonts w:ascii="Arial" w:hAnsi="Arial" w:cs="Arial"/>
            <w:sz w:val="24"/>
            <w:szCs w:val="24"/>
          </w:rPr>
          <w:id w:val="124210147"/>
          <w:citation/>
        </w:sdtPr>
        <w:sdtEndPr/>
        <w:sdtContent>
          <w:r w:rsidR="0077068E" w:rsidRPr="00944B25">
            <w:rPr>
              <w:rFonts w:ascii="Arial" w:hAnsi="Arial" w:cs="Arial"/>
              <w:sz w:val="24"/>
              <w:szCs w:val="24"/>
            </w:rPr>
            <w:fldChar w:fldCharType="begin"/>
          </w:r>
          <w:r w:rsidR="0077068E" w:rsidRPr="00944B25">
            <w:rPr>
              <w:rFonts w:ascii="Arial" w:hAnsi="Arial" w:cs="Arial"/>
              <w:sz w:val="24"/>
              <w:szCs w:val="24"/>
            </w:rPr>
            <w:instrText xml:space="preserve"> CITATION Sya21 \l 1033 </w:instrText>
          </w:r>
          <w:r w:rsidR="0077068E" w:rsidRPr="00944B25">
            <w:rPr>
              <w:rFonts w:ascii="Arial" w:hAnsi="Arial" w:cs="Arial"/>
              <w:sz w:val="24"/>
              <w:szCs w:val="24"/>
            </w:rPr>
            <w:fldChar w:fldCharType="separate"/>
          </w:r>
          <w:r w:rsidR="0077068E" w:rsidRPr="00944B25">
            <w:rPr>
              <w:rFonts w:ascii="Arial" w:hAnsi="Arial" w:cs="Arial"/>
              <w:noProof/>
              <w:sz w:val="24"/>
              <w:szCs w:val="24"/>
            </w:rPr>
            <w:t>(Syam, et al., 2021)</w:t>
          </w:r>
          <w:r w:rsidR="0077068E" w:rsidRPr="00944B25">
            <w:rPr>
              <w:rFonts w:ascii="Arial" w:hAnsi="Arial" w:cs="Arial"/>
              <w:sz w:val="24"/>
              <w:szCs w:val="24"/>
            </w:rPr>
            <w:fldChar w:fldCharType="end"/>
          </w:r>
        </w:sdtContent>
      </w:sdt>
      <w:r w:rsidRPr="00944B25">
        <w:rPr>
          <w:rFonts w:ascii="Arial" w:hAnsi="Arial" w:cs="Arial"/>
          <w:sz w:val="24"/>
          <w:szCs w:val="24"/>
        </w:rPr>
        <w:t>.</w:t>
      </w:r>
    </w:p>
    <w:p w14:paraId="55AF1290" w14:textId="2D7139E6" w:rsidR="00421573" w:rsidRPr="00944B25" w:rsidRDefault="00421573" w:rsidP="00944B25">
      <w:pPr>
        <w:pStyle w:val="Heading1"/>
        <w:jc w:val="both"/>
        <w:rPr>
          <w:rFonts w:ascii="Arial" w:hAnsi="Arial" w:cs="Arial"/>
          <w:sz w:val="24"/>
          <w:szCs w:val="24"/>
        </w:rPr>
      </w:pPr>
    </w:p>
    <w:p w14:paraId="2BF00762" w14:textId="05F603A3" w:rsidR="002D158E" w:rsidRPr="002D158E" w:rsidRDefault="002D158E" w:rsidP="00944B25">
      <w:pPr>
        <w:jc w:val="both"/>
        <w:rPr>
          <w:rFonts w:ascii="Arial" w:hAnsi="Arial" w:cs="Arial"/>
          <w:sz w:val="24"/>
          <w:szCs w:val="24"/>
        </w:rPr>
      </w:pPr>
      <w:r w:rsidRPr="002D158E">
        <w:rPr>
          <w:rFonts w:ascii="Arial" w:hAnsi="Arial" w:cs="Arial"/>
          <w:sz w:val="24"/>
          <w:szCs w:val="24"/>
        </w:rPr>
        <w:t xml:space="preserve">The legal systems of </w:t>
      </w:r>
      <w:r w:rsidR="008D33CB" w:rsidRPr="00944B25">
        <w:rPr>
          <w:rFonts w:ascii="Arial" w:hAnsi="Arial" w:cs="Arial"/>
          <w:sz w:val="24"/>
          <w:szCs w:val="24"/>
        </w:rPr>
        <w:t>“</w:t>
      </w:r>
      <w:r w:rsidRPr="002D158E">
        <w:rPr>
          <w:rFonts w:ascii="Arial" w:hAnsi="Arial" w:cs="Arial"/>
          <w:sz w:val="24"/>
          <w:szCs w:val="24"/>
        </w:rPr>
        <w:t>common law and civil law</w:t>
      </w:r>
      <w:r w:rsidR="008D33CB" w:rsidRPr="00944B25">
        <w:rPr>
          <w:rFonts w:ascii="Arial" w:hAnsi="Arial" w:cs="Arial"/>
          <w:sz w:val="24"/>
          <w:szCs w:val="24"/>
        </w:rPr>
        <w:t>”</w:t>
      </w:r>
      <w:r w:rsidRPr="002D158E">
        <w:rPr>
          <w:rFonts w:ascii="Arial" w:hAnsi="Arial" w:cs="Arial"/>
          <w:sz w:val="24"/>
          <w:szCs w:val="24"/>
        </w:rPr>
        <w:t xml:space="preserve"> differ in various ways. A key difference is the </w:t>
      </w:r>
      <w:r w:rsidR="008D33CB" w:rsidRPr="00944B25">
        <w:rPr>
          <w:rFonts w:ascii="Arial" w:hAnsi="Arial" w:cs="Arial"/>
          <w:sz w:val="24"/>
          <w:szCs w:val="24"/>
        </w:rPr>
        <w:t>“</w:t>
      </w:r>
      <w:r w:rsidRPr="002D158E">
        <w:rPr>
          <w:rFonts w:ascii="Arial" w:hAnsi="Arial" w:cs="Arial"/>
          <w:sz w:val="24"/>
          <w:szCs w:val="24"/>
        </w:rPr>
        <w:t>source of law</w:t>
      </w:r>
      <w:r w:rsidR="008D33CB" w:rsidRPr="00944B25">
        <w:rPr>
          <w:rFonts w:ascii="Arial" w:hAnsi="Arial" w:cs="Arial"/>
          <w:sz w:val="24"/>
          <w:szCs w:val="24"/>
        </w:rPr>
        <w:t>”</w:t>
      </w:r>
      <w:r w:rsidRPr="002D158E">
        <w:rPr>
          <w:rFonts w:ascii="Arial" w:hAnsi="Arial" w:cs="Arial"/>
          <w:sz w:val="24"/>
          <w:szCs w:val="24"/>
        </w:rPr>
        <w:t xml:space="preserve">. While </w:t>
      </w:r>
      <w:r w:rsidR="008D33CB" w:rsidRPr="00944B25">
        <w:rPr>
          <w:rFonts w:ascii="Arial" w:hAnsi="Arial" w:cs="Arial"/>
          <w:sz w:val="24"/>
          <w:szCs w:val="24"/>
        </w:rPr>
        <w:t>“</w:t>
      </w:r>
      <w:r w:rsidRPr="002D158E">
        <w:rPr>
          <w:rFonts w:ascii="Arial" w:hAnsi="Arial" w:cs="Arial"/>
          <w:sz w:val="24"/>
          <w:szCs w:val="24"/>
        </w:rPr>
        <w:t>common law</w:t>
      </w:r>
      <w:r w:rsidR="008D33CB" w:rsidRPr="00944B25">
        <w:rPr>
          <w:rFonts w:ascii="Arial" w:hAnsi="Arial" w:cs="Arial"/>
          <w:sz w:val="24"/>
          <w:szCs w:val="24"/>
        </w:rPr>
        <w:t>”</w:t>
      </w:r>
      <w:r w:rsidRPr="002D158E">
        <w:rPr>
          <w:rFonts w:ascii="Arial" w:hAnsi="Arial" w:cs="Arial"/>
          <w:sz w:val="24"/>
          <w:szCs w:val="24"/>
        </w:rPr>
        <w:t xml:space="preserve"> is established through </w:t>
      </w:r>
      <w:r w:rsidR="008D33CB" w:rsidRPr="00944B25">
        <w:rPr>
          <w:rFonts w:ascii="Arial" w:hAnsi="Arial" w:cs="Arial"/>
          <w:sz w:val="24"/>
          <w:szCs w:val="24"/>
        </w:rPr>
        <w:t>legal</w:t>
      </w:r>
      <w:r w:rsidRPr="002D158E">
        <w:rPr>
          <w:rFonts w:ascii="Arial" w:hAnsi="Arial" w:cs="Arial"/>
          <w:sz w:val="24"/>
          <w:szCs w:val="24"/>
        </w:rPr>
        <w:t xml:space="preserve"> </w:t>
      </w:r>
      <w:r w:rsidR="008D33CB" w:rsidRPr="00944B25">
        <w:rPr>
          <w:rFonts w:ascii="Arial" w:hAnsi="Arial" w:cs="Arial"/>
          <w:sz w:val="24"/>
          <w:szCs w:val="24"/>
        </w:rPr>
        <w:t>results</w:t>
      </w:r>
      <w:r w:rsidRPr="002D158E">
        <w:rPr>
          <w:rFonts w:ascii="Arial" w:hAnsi="Arial" w:cs="Arial"/>
          <w:sz w:val="24"/>
          <w:szCs w:val="24"/>
        </w:rPr>
        <w:t xml:space="preserve"> and precedents, </w:t>
      </w:r>
      <w:r w:rsidR="008D33CB" w:rsidRPr="00944B25">
        <w:rPr>
          <w:rFonts w:ascii="Arial" w:hAnsi="Arial" w:cs="Arial"/>
          <w:sz w:val="24"/>
          <w:szCs w:val="24"/>
        </w:rPr>
        <w:t>“</w:t>
      </w:r>
      <w:r w:rsidRPr="002D158E">
        <w:rPr>
          <w:rFonts w:ascii="Arial" w:hAnsi="Arial" w:cs="Arial"/>
          <w:sz w:val="24"/>
          <w:szCs w:val="24"/>
        </w:rPr>
        <w:t>civil law</w:t>
      </w:r>
      <w:r w:rsidR="008D33CB" w:rsidRPr="00944B25">
        <w:rPr>
          <w:rFonts w:ascii="Arial" w:hAnsi="Arial" w:cs="Arial"/>
          <w:sz w:val="24"/>
          <w:szCs w:val="24"/>
        </w:rPr>
        <w:t>”</w:t>
      </w:r>
      <w:r w:rsidRPr="002D158E">
        <w:rPr>
          <w:rFonts w:ascii="Arial" w:hAnsi="Arial" w:cs="Arial"/>
          <w:sz w:val="24"/>
          <w:szCs w:val="24"/>
        </w:rPr>
        <w:t xml:space="preserve"> is founded on </w:t>
      </w:r>
      <w:r w:rsidR="008D33CB" w:rsidRPr="00944B25">
        <w:rPr>
          <w:rFonts w:ascii="Arial" w:hAnsi="Arial" w:cs="Arial"/>
          <w:sz w:val="24"/>
          <w:szCs w:val="24"/>
        </w:rPr>
        <w:t>printed</w:t>
      </w:r>
      <w:r w:rsidRPr="002D158E">
        <w:rPr>
          <w:rFonts w:ascii="Arial" w:hAnsi="Arial" w:cs="Arial"/>
          <w:sz w:val="24"/>
          <w:szCs w:val="24"/>
        </w:rPr>
        <w:t xml:space="preserve"> </w:t>
      </w:r>
      <w:r w:rsidR="008D33CB" w:rsidRPr="00944B25">
        <w:rPr>
          <w:rFonts w:ascii="Arial" w:hAnsi="Arial" w:cs="Arial"/>
          <w:sz w:val="24"/>
          <w:szCs w:val="24"/>
        </w:rPr>
        <w:t>c</w:t>
      </w:r>
      <w:r w:rsidR="00944B25" w:rsidRPr="00944B25">
        <w:rPr>
          <w:rFonts w:ascii="Arial" w:hAnsi="Arial" w:cs="Arial"/>
          <w:sz w:val="24"/>
          <w:szCs w:val="24"/>
        </w:rPr>
        <w:t>i</w:t>
      </w:r>
      <w:r w:rsidR="008D33CB" w:rsidRPr="00944B25">
        <w:rPr>
          <w:rFonts w:ascii="Arial" w:hAnsi="Arial" w:cs="Arial"/>
          <w:sz w:val="24"/>
          <w:szCs w:val="24"/>
        </w:rPr>
        <w:t>phers</w:t>
      </w:r>
      <w:r w:rsidRPr="002D158E">
        <w:rPr>
          <w:rFonts w:ascii="Arial" w:hAnsi="Arial" w:cs="Arial"/>
          <w:sz w:val="24"/>
          <w:szCs w:val="24"/>
        </w:rPr>
        <w:t xml:space="preserve"> and </w:t>
      </w:r>
      <w:r w:rsidR="008D33CB" w:rsidRPr="00944B25">
        <w:rPr>
          <w:rFonts w:ascii="Arial" w:hAnsi="Arial" w:cs="Arial"/>
          <w:sz w:val="24"/>
          <w:szCs w:val="24"/>
        </w:rPr>
        <w:t>laws</w:t>
      </w:r>
      <w:r w:rsidRPr="002D158E">
        <w:rPr>
          <w:rFonts w:ascii="Arial" w:hAnsi="Arial" w:cs="Arial"/>
          <w:sz w:val="24"/>
          <w:szCs w:val="24"/>
        </w:rPr>
        <w:t xml:space="preserve">. In common law, </w:t>
      </w:r>
      <w:r w:rsidR="008D33CB" w:rsidRPr="00944B25">
        <w:rPr>
          <w:rFonts w:ascii="Arial" w:hAnsi="Arial" w:cs="Arial"/>
          <w:sz w:val="24"/>
          <w:szCs w:val="24"/>
        </w:rPr>
        <w:t>juries</w:t>
      </w:r>
      <w:r w:rsidRPr="002D158E">
        <w:rPr>
          <w:rFonts w:ascii="Arial" w:hAnsi="Arial" w:cs="Arial"/>
          <w:sz w:val="24"/>
          <w:szCs w:val="24"/>
        </w:rPr>
        <w:t xml:space="preserve"> possess the authority to </w:t>
      </w:r>
      <w:r w:rsidR="008D33CB" w:rsidRPr="00944B25">
        <w:rPr>
          <w:rFonts w:ascii="Arial" w:hAnsi="Arial" w:cs="Arial"/>
          <w:sz w:val="24"/>
          <w:szCs w:val="24"/>
        </w:rPr>
        <w:t>understand</w:t>
      </w:r>
      <w:r w:rsidRPr="002D158E">
        <w:rPr>
          <w:rFonts w:ascii="Arial" w:hAnsi="Arial" w:cs="Arial"/>
          <w:sz w:val="24"/>
          <w:szCs w:val="24"/>
        </w:rPr>
        <w:t xml:space="preserve"> the </w:t>
      </w:r>
      <w:r w:rsidR="008D33CB" w:rsidRPr="00944B25">
        <w:rPr>
          <w:rFonts w:ascii="Arial" w:hAnsi="Arial" w:cs="Arial"/>
          <w:sz w:val="24"/>
          <w:szCs w:val="24"/>
        </w:rPr>
        <w:t>rule</w:t>
      </w:r>
      <w:r w:rsidRPr="002D158E">
        <w:rPr>
          <w:rFonts w:ascii="Arial" w:hAnsi="Arial" w:cs="Arial"/>
          <w:sz w:val="24"/>
          <w:szCs w:val="24"/>
        </w:rPr>
        <w:t xml:space="preserve"> and </w:t>
      </w:r>
      <w:r w:rsidR="008D33CB" w:rsidRPr="00944B25">
        <w:rPr>
          <w:rFonts w:ascii="Arial" w:hAnsi="Arial" w:cs="Arial"/>
          <w:sz w:val="24"/>
          <w:szCs w:val="24"/>
        </w:rPr>
        <w:t>make</w:t>
      </w:r>
      <w:r w:rsidRPr="002D158E">
        <w:rPr>
          <w:rFonts w:ascii="Arial" w:hAnsi="Arial" w:cs="Arial"/>
          <w:sz w:val="24"/>
          <w:szCs w:val="24"/>
        </w:rPr>
        <w:t xml:space="preserve"> new </w:t>
      </w:r>
      <w:r w:rsidR="008D33CB" w:rsidRPr="00944B25">
        <w:rPr>
          <w:rFonts w:ascii="Arial" w:hAnsi="Arial" w:cs="Arial"/>
          <w:sz w:val="24"/>
          <w:szCs w:val="24"/>
        </w:rPr>
        <w:t>lawful</w:t>
      </w:r>
      <w:r w:rsidRPr="002D158E">
        <w:rPr>
          <w:rFonts w:ascii="Arial" w:hAnsi="Arial" w:cs="Arial"/>
          <w:sz w:val="24"/>
          <w:szCs w:val="24"/>
        </w:rPr>
        <w:t xml:space="preserve"> principles, </w:t>
      </w:r>
      <w:r w:rsidR="008D33CB" w:rsidRPr="00944B25">
        <w:rPr>
          <w:rFonts w:ascii="Arial" w:hAnsi="Arial" w:cs="Arial"/>
          <w:sz w:val="24"/>
          <w:szCs w:val="24"/>
        </w:rPr>
        <w:t>though</w:t>
      </w:r>
      <w:r w:rsidRPr="002D158E">
        <w:rPr>
          <w:rFonts w:ascii="Arial" w:hAnsi="Arial" w:cs="Arial"/>
          <w:sz w:val="24"/>
          <w:szCs w:val="24"/>
        </w:rPr>
        <w:t xml:space="preserve"> in </w:t>
      </w:r>
      <w:r w:rsidR="008D33CB" w:rsidRPr="00944B25">
        <w:rPr>
          <w:rFonts w:ascii="Arial" w:hAnsi="Arial" w:cs="Arial"/>
          <w:sz w:val="24"/>
          <w:szCs w:val="24"/>
        </w:rPr>
        <w:t>“</w:t>
      </w:r>
      <w:r w:rsidRPr="002D158E">
        <w:rPr>
          <w:rFonts w:ascii="Arial" w:hAnsi="Arial" w:cs="Arial"/>
          <w:sz w:val="24"/>
          <w:szCs w:val="24"/>
        </w:rPr>
        <w:t>civil law</w:t>
      </w:r>
      <w:r w:rsidR="008D33CB" w:rsidRPr="00944B25">
        <w:rPr>
          <w:rFonts w:ascii="Arial" w:hAnsi="Arial" w:cs="Arial"/>
          <w:sz w:val="24"/>
          <w:szCs w:val="24"/>
        </w:rPr>
        <w:t>”</w:t>
      </w:r>
      <w:r w:rsidRPr="002D158E">
        <w:rPr>
          <w:rFonts w:ascii="Arial" w:hAnsi="Arial" w:cs="Arial"/>
          <w:sz w:val="24"/>
          <w:szCs w:val="24"/>
        </w:rPr>
        <w:t>, judges are restricted to applying the laws as they are written.</w:t>
      </w:r>
    </w:p>
    <w:p w14:paraId="0B0564CC" w14:textId="6293915B" w:rsidR="002D158E" w:rsidRPr="002D158E" w:rsidRDefault="002D158E" w:rsidP="00944B25">
      <w:pPr>
        <w:jc w:val="both"/>
        <w:rPr>
          <w:rFonts w:ascii="Arial" w:hAnsi="Arial" w:cs="Arial"/>
          <w:sz w:val="24"/>
          <w:szCs w:val="24"/>
        </w:rPr>
      </w:pPr>
      <w:r w:rsidRPr="002D158E">
        <w:rPr>
          <w:rFonts w:ascii="Arial" w:hAnsi="Arial" w:cs="Arial"/>
          <w:sz w:val="24"/>
          <w:szCs w:val="24"/>
        </w:rPr>
        <w:lastRenderedPageBreak/>
        <w:t>Another divergence between these legal systems is the role of juries. In common law, juries are essential in both criminal and civil trials. They are responsible for determining questions of fact, while judges decide questions of law. On the other hand, juries are not employed in civil law, and judges are accountable for determining both questions of fact and law.</w:t>
      </w:r>
      <w:r w:rsidR="0077068E" w:rsidRPr="00944B25">
        <w:rPr>
          <w:rFonts w:ascii="Arial" w:hAnsi="Arial" w:cs="Arial"/>
          <w:sz w:val="24"/>
          <w:szCs w:val="24"/>
        </w:rPr>
        <w:t xml:space="preserve"> </w:t>
      </w:r>
      <w:r w:rsidRPr="002D158E">
        <w:rPr>
          <w:rFonts w:ascii="Arial" w:hAnsi="Arial" w:cs="Arial"/>
          <w:sz w:val="24"/>
          <w:szCs w:val="24"/>
        </w:rPr>
        <w:t>The two systems also contrast in their approach to legal reasoning. Common law places a heavy emphasis on precedent and the reasoning of earlier judges, whereas civil law relies more on legal doctrine and the interpretation of statutes. Common law judges are frequently required to make policy decisions and balance competing interests, whereas</w:t>
      </w:r>
      <w:r w:rsidR="00944B25" w:rsidRPr="00944B25">
        <w:rPr>
          <w:rFonts w:ascii="Arial" w:hAnsi="Arial" w:cs="Arial"/>
          <w:sz w:val="24"/>
          <w:szCs w:val="24"/>
        </w:rPr>
        <w:t>,</w:t>
      </w:r>
      <w:r w:rsidRPr="002D158E">
        <w:rPr>
          <w:rFonts w:ascii="Arial" w:hAnsi="Arial" w:cs="Arial"/>
          <w:sz w:val="24"/>
          <w:szCs w:val="24"/>
        </w:rPr>
        <w:t xml:space="preserve"> in civil law, the legislature holds the responsibility for making policy decisions</w:t>
      </w:r>
      <w:r w:rsidR="0077068E" w:rsidRPr="00944B25">
        <w:rPr>
          <w:rFonts w:ascii="Arial" w:hAnsi="Arial" w:cs="Arial"/>
          <w:sz w:val="24"/>
          <w:szCs w:val="24"/>
        </w:rPr>
        <w:t xml:space="preserve"> </w:t>
      </w:r>
      <w:sdt>
        <w:sdtPr>
          <w:rPr>
            <w:rFonts w:ascii="Arial" w:hAnsi="Arial" w:cs="Arial"/>
            <w:sz w:val="24"/>
            <w:szCs w:val="24"/>
          </w:rPr>
          <w:id w:val="673300347"/>
          <w:citation/>
        </w:sdtPr>
        <w:sdtEndPr/>
        <w:sdtContent>
          <w:r w:rsidR="0077068E" w:rsidRPr="00944B25">
            <w:rPr>
              <w:rFonts w:ascii="Arial" w:hAnsi="Arial" w:cs="Arial"/>
              <w:sz w:val="24"/>
              <w:szCs w:val="24"/>
            </w:rPr>
            <w:fldChar w:fldCharType="begin"/>
          </w:r>
          <w:r w:rsidR="0077068E" w:rsidRPr="00944B25">
            <w:rPr>
              <w:rFonts w:ascii="Arial" w:hAnsi="Arial" w:cs="Arial"/>
              <w:sz w:val="24"/>
              <w:szCs w:val="24"/>
            </w:rPr>
            <w:instrText xml:space="preserve"> CITATION Ber222 \l 1033 </w:instrText>
          </w:r>
          <w:r w:rsidR="0077068E" w:rsidRPr="00944B25">
            <w:rPr>
              <w:rFonts w:ascii="Arial" w:hAnsi="Arial" w:cs="Arial"/>
              <w:sz w:val="24"/>
              <w:szCs w:val="24"/>
            </w:rPr>
            <w:fldChar w:fldCharType="separate"/>
          </w:r>
          <w:r w:rsidR="0077068E" w:rsidRPr="00944B25">
            <w:rPr>
              <w:rFonts w:ascii="Arial" w:hAnsi="Arial" w:cs="Arial"/>
              <w:noProof/>
              <w:sz w:val="24"/>
              <w:szCs w:val="24"/>
            </w:rPr>
            <w:t>(Bersier, 2022)</w:t>
          </w:r>
          <w:r w:rsidR="0077068E" w:rsidRPr="00944B25">
            <w:rPr>
              <w:rFonts w:ascii="Arial" w:hAnsi="Arial" w:cs="Arial"/>
              <w:sz w:val="24"/>
              <w:szCs w:val="24"/>
            </w:rPr>
            <w:fldChar w:fldCharType="end"/>
          </w:r>
        </w:sdtContent>
      </w:sdt>
      <w:r w:rsidRPr="002D158E">
        <w:rPr>
          <w:rFonts w:ascii="Arial" w:hAnsi="Arial" w:cs="Arial"/>
          <w:sz w:val="24"/>
          <w:szCs w:val="24"/>
        </w:rPr>
        <w:t>.</w:t>
      </w:r>
      <w:r w:rsidRPr="002D158E">
        <w:rPr>
          <w:rFonts w:ascii="Arial" w:hAnsi="Arial" w:cs="Arial"/>
          <w:vanish/>
          <w:sz w:val="24"/>
          <w:szCs w:val="24"/>
        </w:rPr>
        <w:t>Top of FormBottom of Form</w:t>
      </w:r>
    </w:p>
    <w:p w14:paraId="39C11114" w14:textId="3C503518" w:rsidR="001355B2" w:rsidRPr="00944B25" w:rsidRDefault="001355B2" w:rsidP="00944B25">
      <w:pPr>
        <w:pStyle w:val="Heading1"/>
        <w:jc w:val="both"/>
        <w:rPr>
          <w:rFonts w:ascii="Arial" w:hAnsi="Arial" w:cs="Arial"/>
          <w:sz w:val="24"/>
          <w:szCs w:val="24"/>
        </w:rPr>
      </w:pPr>
    </w:p>
    <w:p w14:paraId="56230AC5" w14:textId="5EA5EBB4" w:rsidR="002D158E" w:rsidRPr="002D158E" w:rsidRDefault="002D158E" w:rsidP="00944B25">
      <w:pPr>
        <w:jc w:val="both"/>
        <w:rPr>
          <w:rFonts w:ascii="Arial" w:hAnsi="Arial" w:cs="Arial"/>
          <w:sz w:val="24"/>
          <w:szCs w:val="24"/>
        </w:rPr>
      </w:pPr>
      <w:r w:rsidRPr="002D158E">
        <w:rPr>
          <w:rFonts w:ascii="Arial" w:hAnsi="Arial" w:cs="Arial"/>
          <w:sz w:val="24"/>
          <w:szCs w:val="24"/>
        </w:rPr>
        <w:t xml:space="preserve">The </w:t>
      </w:r>
      <w:r w:rsidR="008D33CB" w:rsidRPr="00944B25">
        <w:rPr>
          <w:rFonts w:ascii="Arial" w:hAnsi="Arial" w:cs="Arial"/>
          <w:sz w:val="24"/>
          <w:szCs w:val="24"/>
        </w:rPr>
        <w:t>“</w:t>
      </w:r>
      <w:r w:rsidRPr="002D158E">
        <w:rPr>
          <w:rFonts w:ascii="Arial" w:hAnsi="Arial" w:cs="Arial"/>
          <w:sz w:val="24"/>
          <w:szCs w:val="24"/>
        </w:rPr>
        <w:t>common law legal system</w:t>
      </w:r>
      <w:r w:rsidR="008D33CB" w:rsidRPr="00944B25">
        <w:rPr>
          <w:rFonts w:ascii="Arial" w:hAnsi="Arial" w:cs="Arial"/>
          <w:sz w:val="24"/>
          <w:szCs w:val="24"/>
        </w:rPr>
        <w:t>”</w:t>
      </w:r>
      <w:r w:rsidRPr="002D158E">
        <w:rPr>
          <w:rFonts w:ascii="Arial" w:hAnsi="Arial" w:cs="Arial"/>
          <w:sz w:val="24"/>
          <w:szCs w:val="24"/>
        </w:rPr>
        <w:t xml:space="preserve"> had its genesis in </w:t>
      </w:r>
      <w:r w:rsidR="008D33CB" w:rsidRPr="00944B25">
        <w:rPr>
          <w:rFonts w:ascii="Arial" w:hAnsi="Arial" w:cs="Arial"/>
          <w:sz w:val="24"/>
          <w:szCs w:val="24"/>
        </w:rPr>
        <w:t>“</w:t>
      </w:r>
      <w:r w:rsidRPr="002D158E">
        <w:rPr>
          <w:rFonts w:ascii="Arial" w:hAnsi="Arial" w:cs="Arial"/>
          <w:sz w:val="24"/>
          <w:szCs w:val="24"/>
        </w:rPr>
        <w:t>England</w:t>
      </w:r>
      <w:r w:rsidR="008D33CB" w:rsidRPr="00944B25">
        <w:rPr>
          <w:rFonts w:ascii="Arial" w:hAnsi="Arial" w:cs="Arial"/>
          <w:sz w:val="24"/>
          <w:szCs w:val="24"/>
        </w:rPr>
        <w:t>”</w:t>
      </w:r>
      <w:r w:rsidRPr="002D158E">
        <w:rPr>
          <w:rFonts w:ascii="Arial" w:hAnsi="Arial" w:cs="Arial"/>
          <w:sz w:val="24"/>
          <w:szCs w:val="24"/>
        </w:rPr>
        <w:t xml:space="preserve"> during the Middle Ages, when there were no written laws or statutes, and disputes were resolved based on local customs and traditions. The earliest cases recorded in the English legal system can be traced back to the 12th century when King Henry II appointed judges to traverse the country and settle disputes according to the common law.</w:t>
      </w:r>
      <w:r w:rsidR="0077068E" w:rsidRPr="00944B25">
        <w:rPr>
          <w:rFonts w:ascii="Arial" w:hAnsi="Arial" w:cs="Arial"/>
          <w:sz w:val="24"/>
          <w:szCs w:val="24"/>
        </w:rPr>
        <w:t xml:space="preserve"> </w:t>
      </w:r>
      <w:r w:rsidRPr="002D158E">
        <w:rPr>
          <w:rFonts w:ascii="Arial" w:hAnsi="Arial" w:cs="Arial"/>
          <w:sz w:val="24"/>
          <w:szCs w:val="24"/>
        </w:rPr>
        <w:t>Gradually, the common law system evolved into a complex and intricate body of law based on the decisions of judges in specific cases. These decisions came to be known as precedents, which served as guidance for future decisions in similar cases. The use of precedent ensured that the law was consistent, predictable</w:t>
      </w:r>
      <w:r w:rsidR="00944B25" w:rsidRPr="00944B25">
        <w:rPr>
          <w:rFonts w:ascii="Arial" w:hAnsi="Arial" w:cs="Arial"/>
          <w:sz w:val="24"/>
          <w:szCs w:val="24"/>
        </w:rPr>
        <w:t>,</w:t>
      </w:r>
      <w:r w:rsidRPr="002D158E">
        <w:rPr>
          <w:rFonts w:ascii="Arial" w:hAnsi="Arial" w:cs="Arial"/>
          <w:sz w:val="24"/>
          <w:szCs w:val="24"/>
        </w:rPr>
        <w:t xml:space="preserve"> and stable</w:t>
      </w:r>
      <w:r w:rsidR="0077068E" w:rsidRPr="00944B25">
        <w:rPr>
          <w:rFonts w:ascii="Arial" w:hAnsi="Arial" w:cs="Arial"/>
          <w:sz w:val="24"/>
          <w:szCs w:val="24"/>
        </w:rPr>
        <w:t xml:space="preserve"> </w:t>
      </w:r>
      <w:sdt>
        <w:sdtPr>
          <w:rPr>
            <w:rFonts w:ascii="Arial" w:hAnsi="Arial" w:cs="Arial"/>
            <w:sz w:val="24"/>
            <w:szCs w:val="24"/>
          </w:rPr>
          <w:id w:val="1536845735"/>
          <w:citation/>
        </w:sdtPr>
        <w:sdtEndPr/>
        <w:sdtContent>
          <w:r w:rsidR="0077068E" w:rsidRPr="00944B25">
            <w:rPr>
              <w:rFonts w:ascii="Arial" w:hAnsi="Arial" w:cs="Arial"/>
              <w:sz w:val="24"/>
              <w:szCs w:val="24"/>
            </w:rPr>
            <w:fldChar w:fldCharType="begin"/>
          </w:r>
          <w:r w:rsidR="0077068E" w:rsidRPr="00944B25">
            <w:rPr>
              <w:rFonts w:ascii="Arial" w:hAnsi="Arial" w:cs="Arial"/>
              <w:sz w:val="24"/>
              <w:szCs w:val="24"/>
            </w:rPr>
            <w:instrText xml:space="preserve"> CITATION Kol19 \l 1033 </w:instrText>
          </w:r>
          <w:r w:rsidR="0077068E" w:rsidRPr="00944B25">
            <w:rPr>
              <w:rFonts w:ascii="Arial" w:hAnsi="Arial" w:cs="Arial"/>
              <w:sz w:val="24"/>
              <w:szCs w:val="24"/>
            </w:rPr>
            <w:fldChar w:fldCharType="separate"/>
          </w:r>
          <w:r w:rsidR="0077068E" w:rsidRPr="00944B25">
            <w:rPr>
              <w:rFonts w:ascii="Arial" w:hAnsi="Arial" w:cs="Arial"/>
              <w:noProof/>
              <w:sz w:val="24"/>
              <w:szCs w:val="24"/>
            </w:rPr>
            <w:t>(Kolev, et al., 2019)</w:t>
          </w:r>
          <w:r w:rsidR="0077068E" w:rsidRPr="00944B25">
            <w:rPr>
              <w:rFonts w:ascii="Arial" w:hAnsi="Arial" w:cs="Arial"/>
              <w:sz w:val="24"/>
              <w:szCs w:val="24"/>
            </w:rPr>
            <w:fldChar w:fldCharType="end"/>
          </w:r>
        </w:sdtContent>
      </w:sdt>
      <w:r w:rsidRPr="002D158E">
        <w:rPr>
          <w:rFonts w:ascii="Arial" w:hAnsi="Arial" w:cs="Arial"/>
          <w:sz w:val="24"/>
          <w:szCs w:val="24"/>
        </w:rPr>
        <w:t>.</w:t>
      </w:r>
    </w:p>
    <w:p w14:paraId="38DECBB2" w14:textId="08B1AFEF" w:rsidR="002D158E" w:rsidRPr="002D158E" w:rsidRDefault="002D158E" w:rsidP="00944B25">
      <w:pPr>
        <w:jc w:val="both"/>
        <w:rPr>
          <w:rFonts w:ascii="Arial" w:hAnsi="Arial" w:cs="Arial"/>
          <w:sz w:val="24"/>
          <w:szCs w:val="24"/>
        </w:rPr>
      </w:pPr>
      <w:r w:rsidRPr="002D158E">
        <w:rPr>
          <w:rFonts w:ascii="Arial" w:hAnsi="Arial" w:cs="Arial"/>
          <w:sz w:val="24"/>
          <w:szCs w:val="24"/>
        </w:rPr>
        <w:t xml:space="preserve">During the 17th and 18th centuries, the common law system underwent significant changes as courts began to develop more sophisticated methods of legal reasoning. The concept of judicial review was also established, which gave courts the </w:t>
      </w:r>
      <w:r w:rsidR="008D33CB" w:rsidRPr="00944B25">
        <w:rPr>
          <w:rFonts w:ascii="Arial" w:hAnsi="Arial" w:cs="Arial"/>
          <w:sz w:val="24"/>
          <w:szCs w:val="24"/>
        </w:rPr>
        <w:t>control</w:t>
      </w:r>
      <w:r w:rsidRPr="002D158E">
        <w:rPr>
          <w:rFonts w:ascii="Arial" w:hAnsi="Arial" w:cs="Arial"/>
          <w:sz w:val="24"/>
          <w:szCs w:val="24"/>
        </w:rPr>
        <w:t xml:space="preserve"> to </w:t>
      </w:r>
      <w:r w:rsidR="008D33CB" w:rsidRPr="00944B25">
        <w:rPr>
          <w:rFonts w:ascii="Arial" w:hAnsi="Arial" w:cs="Arial"/>
          <w:sz w:val="24"/>
          <w:szCs w:val="24"/>
        </w:rPr>
        <w:t>evaluat</w:t>
      </w:r>
      <w:r w:rsidR="00944B25" w:rsidRPr="00944B25">
        <w:rPr>
          <w:rFonts w:ascii="Arial" w:hAnsi="Arial" w:cs="Arial"/>
          <w:sz w:val="24"/>
          <w:szCs w:val="24"/>
        </w:rPr>
        <w:t>e</w:t>
      </w:r>
      <w:r w:rsidRPr="002D158E">
        <w:rPr>
          <w:rFonts w:ascii="Arial" w:hAnsi="Arial" w:cs="Arial"/>
          <w:sz w:val="24"/>
          <w:szCs w:val="24"/>
        </w:rPr>
        <w:t xml:space="preserve"> the </w:t>
      </w:r>
      <w:r w:rsidR="008D33CB" w:rsidRPr="00944B25">
        <w:rPr>
          <w:rFonts w:ascii="Arial" w:hAnsi="Arial" w:cs="Arial"/>
          <w:sz w:val="24"/>
          <w:szCs w:val="24"/>
        </w:rPr>
        <w:t>movements</w:t>
      </w:r>
      <w:r w:rsidRPr="002D158E">
        <w:rPr>
          <w:rFonts w:ascii="Arial" w:hAnsi="Arial" w:cs="Arial"/>
          <w:sz w:val="24"/>
          <w:szCs w:val="24"/>
        </w:rPr>
        <w:t xml:space="preserve"> of the </w:t>
      </w:r>
      <w:r w:rsidR="008D33CB" w:rsidRPr="00944B25">
        <w:rPr>
          <w:rFonts w:ascii="Arial" w:hAnsi="Arial" w:cs="Arial"/>
          <w:sz w:val="24"/>
          <w:szCs w:val="24"/>
        </w:rPr>
        <w:t>decision-making</w:t>
      </w:r>
      <w:r w:rsidRPr="002D158E">
        <w:rPr>
          <w:rFonts w:ascii="Arial" w:hAnsi="Arial" w:cs="Arial"/>
          <w:sz w:val="24"/>
          <w:szCs w:val="24"/>
        </w:rPr>
        <w:t xml:space="preserve"> and </w:t>
      </w:r>
      <w:r w:rsidR="008D33CB" w:rsidRPr="00944B25">
        <w:rPr>
          <w:rFonts w:ascii="Arial" w:hAnsi="Arial" w:cs="Arial"/>
          <w:sz w:val="24"/>
          <w:szCs w:val="24"/>
        </w:rPr>
        <w:t>lawmaking</w:t>
      </w:r>
      <w:r w:rsidRPr="002D158E">
        <w:rPr>
          <w:rFonts w:ascii="Arial" w:hAnsi="Arial" w:cs="Arial"/>
          <w:sz w:val="24"/>
          <w:szCs w:val="24"/>
        </w:rPr>
        <w:t xml:space="preserve"> </w:t>
      </w:r>
      <w:r w:rsidR="008D33CB" w:rsidRPr="00944B25">
        <w:rPr>
          <w:rFonts w:ascii="Arial" w:hAnsi="Arial" w:cs="Arial"/>
          <w:sz w:val="24"/>
          <w:szCs w:val="24"/>
        </w:rPr>
        <w:t>twigs</w:t>
      </w:r>
      <w:r w:rsidRPr="002D158E">
        <w:rPr>
          <w:rFonts w:ascii="Arial" w:hAnsi="Arial" w:cs="Arial"/>
          <w:sz w:val="24"/>
          <w:szCs w:val="24"/>
        </w:rPr>
        <w:t xml:space="preserve"> of </w:t>
      </w:r>
      <w:r w:rsidR="008D33CB" w:rsidRPr="00944B25">
        <w:rPr>
          <w:rFonts w:ascii="Arial" w:hAnsi="Arial" w:cs="Arial"/>
          <w:sz w:val="24"/>
          <w:szCs w:val="24"/>
        </w:rPr>
        <w:t>administration</w:t>
      </w:r>
      <w:r w:rsidRPr="002D158E">
        <w:rPr>
          <w:rFonts w:ascii="Arial" w:hAnsi="Arial" w:cs="Arial"/>
          <w:sz w:val="24"/>
          <w:szCs w:val="24"/>
        </w:rPr>
        <w:t xml:space="preserve"> and </w:t>
      </w:r>
      <w:r w:rsidR="008D33CB" w:rsidRPr="00944B25">
        <w:rPr>
          <w:rFonts w:ascii="Arial" w:hAnsi="Arial" w:cs="Arial"/>
          <w:sz w:val="24"/>
          <w:szCs w:val="24"/>
        </w:rPr>
        <w:t>state</w:t>
      </w:r>
      <w:r w:rsidRPr="002D158E">
        <w:rPr>
          <w:rFonts w:ascii="Arial" w:hAnsi="Arial" w:cs="Arial"/>
          <w:sz w:val="24"/>
          <w:szCs w:val="24"/>
        </w:rPr>
        <w:t xml:space="preserve"> them unconstitutional if they violated fundamental legal principles. These developments served to bolster the power of the judiciary and establish the principle of the rule of law in the common law system</w:t>
      </w:r>
      <w:r w:rsidR="0077068E" w:rsidRPr="00944B25">
        <w:rPr>
          <w:rFonts w:ascii="Arial" w:hAnsi="Arial" w:cs="Arial"/>
          <w:sz w:val="24"/>
          <w:szCs w:val="24"/>
        </w:rPr>
        <w:t xml:space="preserve"> </w:t>
      </w:r>
      <w:sdt>
        <w:sdtPr>
          <w:rPr>
            <w:rFonts w:ascii="Arial" w:hAnsi="Arial" w:cs="Arial"/>
            <w:sz w:val="24"/>
            <w:szCs w:val="24"/>
          </w:rPr>
          <w:id w:val="206386686"/>
          <w:citation/>
        </w:sdtPr>
        <w:sdtEndPr/>
        <w:sdtContent>
          <w:r w:rsidR="0077068E" w:rsidRPr="00944B25">
            <w:rPr>
              <w:rFonts w:ascii="Arial" w:hAnsi="Arial" w:cs="Arial"/>
              <w:sz w:val="24"/>
              <w:szCs w:val="24"/>
            </w:rPr>
            <w:fldChar w:fldCharType="begin"/>
          </w:r>
          <w:r w:rsidR="0077068E" w:rsidRPr="00944B25">
            <w:rPr>
              <w:rFonts w:ascii="Arial" w:hAnsi="Arial" w:cs="Arial"/>
              <w:sz w:val="24"/>
              <w:szCs w:val="24"/>
            </w:rPr>
            <w:instrText xml:space="preserve"> CITATION Kol19 \l 1033 </w:instrText>
          </w:r>
          <w:r w:rsidR="0077068E" w:rsidRPr="00944B25">
            <w:rPr>
              <w:rFonts w:ascii="Arial" w:hAnsi="Arial" w:cs="Arial"/>
              <w:sz w:val="24"/>
              <w:szCs w:val="24"/>
            </w:rPr>
            <w:fldChar w:fldCharType="separate"/>
          </w:r>
          <w:r w:rsidR="0077068E" w:rsidRPr="00944B25">
            <w:rPr>
              <w:rFonts w:ascii="Arial" w:hAnsi="Arial" w:cs="Arial"/>
              <w:noProof/>
              <w:sz w:val="24"/>
              <w:szCs w:val="24"/>
            </w:rPr>
            <w:t>(Kolev, et al., 2019)</w:t>
          </w:r>
          <w:r w:rsidR="0077068E" w:rsidRPr="00944B25">
            <w:rPr>
              <w:rFonts w:ascii="Arial" w:hAnsi="Arial" w:cs="Arial"/>
              <w:sz w:val="24"/>
              <w:szCs w:val="24"/>
            </w:rPr>
            <w:fldChar w:fldCharType="end"/>
          </w:r>
        </w:sdtContent>
      </w:sdt>
      <w:r w:rsidRPr="002D158E">
        <w:rPr>
          <w:rFonts w:ascii="Arial" w:hAnsi="Arial" w:cs="Arial"/>
          <w:sz w:val="24"/>
          <w:szCs w:val="24"/>
        </w:rPr>
        <w:t>.</w:t>
      </w:r>
      <w:r w:rsidR="0077068E" w:rsidRPr="00944B25">
        <w:rPr>
          <w:rFonts w:ascii="Arial" w:hAnsi="Arial" w:cs="Arial"/>
          <w:sz w:val="24"/>
          <w:szCs w:val="24"/>
        </w:rPr>
        <w:t xml:space="preserve"> </w:t>
      </w:r>
      <w:r w:rsidRPr="002D158E">
        <w:rPr>
          <w:rFonts w:ascii="Arial" w:hAnsi="Arial" w:cs="Arial"/>
          <w:sz w:val="24"/>
          <w:szCs w:val="24"/>
        </w:rPr>
        <w:t xml:space="preserve">In the 19th century, the common law system spread to other countries, especially those that were part of the </w:t>
      </w:r>
      <w:r w:rsidR="000C0444" w:rsidRPr="00944B25">
        <w:rPr>
          <w:rFonts w:ascii="Arial" w:hAnsi="Arial" w:cs="Arial"/>
          <w:sz w:val="24"/>
          <w:szCs w:val="24"/>
        </w:rPr>
        <w:t>“</w:t>
      </w:r>
      <w:r w:rsidRPr="002D158E">
        <w:rPr>
          <w:rFonts w:ascii="Arial" w:hAnsi="Arial" w:cs="Arial"/>
          <w:sz w:val="24"/>
          <w:szCs w:val="24"/>
        </w:rPr>
        <w:t>British Empire</w:t>
      </w:r>
      <w:r w:rsidR="000C0444" w:rsidRPr="00944B25">
        <w:rPr>
          <w:rFonts w:ascii="Arial" w:hAnsi="Arial" w:cs="Arial"/>
          <w:sz w:val="24"/>
          <w:szCs w:val="24"/>
        </w:rPr>
        <w:t>”</w:t>
      </w:r>
      <w:r w:rsidRPr="002D158E">
        <w:rPr>
          <w:rFonts w:ascii="Arial" w:hAnsi="Arial" w:cs="Arial"/>
          <w:sz w:val="24"/>
          <w:szCs w:val="24"/>
        </w:rPr>
        <w:t>. The common law became the dominant legal system in these countries and was adapted to local circumstances and conditions. In some cases, the common law was fused with other legal systems, such as Islamic law in some parts of the Middle East.</w:t>
      </w:r>
    </w:p>
    <w:p w14:paraId="6E31F746" w14:textId="7D1CCD85" w:rsidR="002D158E" w:rsidRPr="002D158E" w:rsidRDefault="002D158E" w:rsidP="00944B25">
      <w:pPr>
        <w:jc w:val="both"/>
        <w:rPr>
          <w:rFonts w:ascii="Arial" w:hAnsi="Arial" w:cs="Arial"/>
          <w:sz w:val="24"/>
          <w:szCs w:val="24"/>
        </w:rPr>
      </w:pPr>
      <w:r w:rsidRPr="002D158E">
        <w:rPr>
          <w:rFonts w:ascii="Arial" w:hAnsi="Arial" w:cs="Arial"/>
          <w:sz w:val="24"/>
          <w:szCs w:val="24"/>
        </w:rPr>
        <w:t>The common law system continued to evolve and adapt to changing social and political conditions in the 20th century. One of the most notable developments was the emergence of human rights law, which placed greater emphasis on safeguarding individual rights and freedoms. This was reflected in the decisions of courts, which increasingly utilized the common law to safeguard the rights of marginalized groups, including women, racial minorities, and members of the LGBTQ+ community.</w:t>
      </w:r>
      <w:r w:rsidR="0077068E" w:rsidRPr="00944B25">
        <w:rPr>
          <w:rFonts w:ascii="Arial" w:hAnsi="Arial" w:cs="Arial"/>
          <w:sz w:val="24"/>
          <w:szCs w:val="24"/>
        </w:rPr>
        <w:t xml:space="preserve"> </w:t>
      </w:r>
      <w:r w:rsidRPr="002D158E">
        <w:rPr>
          <w:rFonts w:ascii="Arial" w:hAnsi="Arial" w:cs="Arial"/>
          <w:sz w:val="24"/>
          <w:szCs w:val="24"/>
        </w:rPr>
        <w:t xml:space="preserve">Today, the common law system is still a crucial legal system in many countries worldwide, including the United Kingdom, Canada, Australia, New Zealand, and others that were once part of the British Empire. The common law continues to evolve and adapt to address new challenges and </w:t>
      </w:r>
      <w:r w:rsidRPr="002D158E">
        <w:rPr>
          <w:rFonts w:ascii="Arial" w:hAnsi="Arial" w:cs="Arial"/>
          <w:sz w:val="24"/>
          <w:szCs w:val="24"/>
        </w:rPr>
        <w:lastRenderedPageBreak/>
        <w:t>circumstances, ensuring that it remains an applicable and effective legal system for generations to come</w:t>
      </w:r>
      <w:r w:rsidR="0077068E" w:rsidRPr="00944B25">
        <w:rPr>
          <w:rFonts w:ascii="Arial" w:hAnsi="Arial" w:cs="Arial"/>
          <w:sz w:val="24"/>
          <w:szCs w:val="24"/>
        </w:rPr>
        <w:t xml:space="preserve"> </w:t>
      </w:r>
      <w:sdt>
        <w:sdtPr>
          <w:rPr>
            <w:rFonts w:ascii="Arial" w:hAnsi="Arial" w:cs="Arial"/>
            <w:sz w:val="24"/>
            <w:szCs w:val="24"/>
          </w:rPr>
          <w:id w:val="878055601"/>
          <w:citation/>
        </w:sdtPr>
        <w:sdtEndPr/>
        <w:sdtContent>
          <w:r w:rsidR="0077068E" w:rsidRPr="00944B25">
            <w:rPr>
              <w:rFonts w:ascii="Arial" w:hAnsi="Arial" w:cs="Arial"/>
              <w:sz w:val="24"/>
              <w:szCs w:val="24"/>
            </w:rPr>
            <w:fldChar w:fldCharType="begin"/>
          </w:r>
          <w:r w:rsidR="0077068E" w:rsidRPr="00944B25">
            <w:rPr>
              <w:rFonts w:ascii="Arial" w:hAnsi="Arial" w:cs="Arial"/>
              <w:sz w:val="24"/>
              <w:szCs w:val="24"/>
            </w:rPr>
            <w:instrText xml:space="preserve"> CITATION Aso19 \l 1033 </w:instrText>
          </w:r>
          <w:r w:rsidR="0077068E" w:rsidRPr="00944B25">
            <w:rPr>
              <w:rFonts w:ascii="Arial" w:hAnsi="Arial" w:cs="Arial"/>
              <w:sz w:val="24"/>
              <w:szCs w:val="24"/>
            </w:rPr>
            <w:fldChar w:fldCharType="separate"/>
          </w:r>
          <w:r w:rsidR="0077068E" w:rsidRPr="00944B25">
            <w:rPr>
              <w:rFonts w:ascii="Arial" w:hAnsi="Arial" w:cs="Arial"/>
              <w:noProof/>
              <w:sz w:val="24"/>
              <w:szCs w:val="24"/>
            </w:rPr>
            <w:t>(Asongu, et al., 2019)</w:t>
          </w:r>
          <w:r w:rsidR="0077068E" w:rsidRPr="00944B25">
            <w:rPr>
              <w:rFonts w:ascii="Arial" w:hAnsi="Arial" w:cs="Arial"/>
              <w:sz w:val="24"/>
              <w:szCs w:val="24"/>
            </w:rPr>
            <w:fldChar w:fldCharType="end"/>
          </w:r>
        </w:sdtContent>
      </w:sdt>
      <w:r w:rsidRPr="002D158E">
        <w:rPr>
          <w:rFonts w:ascii="Arial" w:hAnsi="Arial" w:cs="Arial"/>
          <w:sz w:val="24"/>
          <w:szCs w:val="24"/>
        </w:rPr>
        <w:t>.</w:t>
      </w:r>
    </w:p>
    <w:p w14:paraId="064C8202" w14:textId="0D308D70" w:rsidR="00156715" w:rsidRPr="00944B25" w:rsidRDefault="00156715" w:rsidP="00944B25">
      <w:pPr>
        <w:pStyle w:val="Heading1"/>
        <w:jc w:val="both"/>
        <w:rPr>
          <w:rFonts w:ascii="Arial" w:hAnsi="Arial" w:cs="Arial"/>
          <w:sz w:val="24"/>
          <w:szCs w:val="24"/>
        </w:rPr>
      </w:pPr>
    </w:p>
    <w:p w14:paraId="0AEB3606" w14:textId="2BB0E9B0" w:rsidR="00917E68" w:rsidRPr="00917E68" w:rsidRDefault="00917E68" w:rsidP="00944B25">
      <w:pPr>
        <w:jc w:val="both"/>
        <w:rPr>
          <w:rFonts w:ascii="Arial" w:hAnsi="Arial" w:cs="Arial"/>
          <w:sz w:val="24"/>
          <w:szCs w:val="24"/>
        </w:rPr>
      </w:pPr>
      <w:r w:rsidRPr="00917E68">
        <w:rPr>
          <w:rFonts w:ascii="Arial" w:hAnsi="Arial" w:cs="Arial"/>
          <w:sz w:val="24"/>
          <w:szCs w:val="24"/>
        </w:rPr>
        <w:t xml:space="preserve">The </w:t>
      </w:r>
      <w:r w:rsidR="000C0444" w:rsidRPr="00944B25">
        <w:rPr>
          <w:rFonts w:ascii="Arial" w:hAnsi="Arial" w:cs="Arial"/>
          <w:sz w:val="24"/>
          <w:szCs w:val="24"/>
        </w:rPr>
        <w:t>regulation</w:t>
      </w:r>
      <w:r w:rsidRPr="00917E68">
        <w:rPr>
          <w:rFonts w:ascii="Arial" w:hAnsi="Arial" w:cs="Arial"/>
          <w:sz w:val="24"/>
          <w:szCs w:val="24"/>
        </w:rPr>
        <w:t xml:space="preserve"> of tort is a notable </w:t>
      </w:r>
      <w:r w:rsidR="000C0444" w:rsidRPr="00944B25">
        <w:rPr>
          <w:rFonts w:ascii="Arial" w:hAnsi="Arial" w:cs="Arial"/>
          <w:sz w:val="24"/>
          <w:szCs w:val="24"/>
        </w:rPr>
        <w:t>instance</w:t>
      </w:r>
      <w:r w:rsidRPr="00917E68">
        <w:rPr>
          <w:rFonts w:ascii="Arial" w:hAnsi="Arial" w:cs="Arial"/>
          <w:sz w:val="24"/>
          <w:szCs w:val="24"/>
        </w:rPr>
        <w:t xml:space="preserve"> of how the </w:t>
      </w:r>
      <w:r w:rsidR="000C0444" w:rsidRPr="00944B25">
        <w:rPr>
          <w:rFonts w:ascii="Arial" w:hAnsi="Arial" w:cs="Arial"/>
          <w:sz w:val="24"/>
          <w:szCs w:val="24"/>
        </w:rPr>
        <w:t>“</w:t>
      </w:r>
      <w:r w:rsidRPr="00917E68">
        <w:rPr>
          <w:rFonts w:ascii="Arial" w:hAnsi="Arial" w:cs="Arial"/>
          <w:sz w:val="24"/>
          <w:szCs w:val="24"/>
        </w:rPr>
        <w:t>common law</w:t>
      </w:r>
      <w:r w:rsidR="000C0444" w:rsidRPr="00944B25">
        <w:rPr>
          <w:rFonts w:ascii="Arial" w:hAnsi="Arial" w:cs="Arial"/>
          <w:sz w:val="24"/>
          <w:szCs w:val="24"/>
        </w:rPr>
        <w:t>”</w:t>
      </w:r>
      <w:r w:rsidRPr="00917E68">
        <w:rPr>
          <w:rFonts w:ascii="Arial" w:hAnsi="Arial" w:cs="Arial"/>
          <w:sz w:val="24"/>
          <w:szCs w:val="24"/>
        </w:rPr>
        <w:t xml:space="preserve"> operates in the UK. This branch of law concerns civil wrongs, including negligence, defamation, and trespass, and enables individuals to pursue compensation for any harm they have suffered due to such wrongs. The law of tort has been refined and developed over many centuries through judicial decisions, and it is evident in the multitude of cases heard in UK courts annually.</w:t>
      </w:r>
      <w:r w:rsidR="0077068E" w:rsidRPr="00944B25">
        <w:rPr>
          <w:rFonts w:ascii="Arial" w:hAnsi="Arial" w:cs="Arial"/>
          <w:sz w:val="24"/>
          <w:szCs w:val="24"/>
        </w:rPr>
        <w:t xml:space="preserve"> </w:t>
      </w:r>
      <w:r w:rsidRPr="00917E68">
        <w:rPr>
          <w:rFonts w:ascii="Arial" w:hAnsi="Arial" w:cs="Arial"/>
          <w:sz w:val="24"/>
          <w:szCs w:val="24"/>
        </w:rPr>
        <w:t>Another illustration of the common law in practice is contract law. This field governs the creation, interpretation, and enforcement of agreements between parties. Similar to the law of tort, contract law has been refined through judicial decisions over numerous years and is frequently applied in UK courts to settle disputes between parties</w:t>
      </w:r>
      <w:r w:rsidR="00944B25" w:rsidRPr="00944B25">
        <w:rPr>
          <w:rFonts w:ascii="Arial" w:hAnsi="Arial" w:cs="Arial"/>
          <w:sz w:val="24"/>
          <w:szCs w:val="24"/>
        </w:rPr>
        <w:t xml:space="preserve"> </w:t>
      </w:r>
      <w:sdt>
        <w:sdtPr>
          <w:rPr>
            <w:rFonts w:ascii="Arial" w:hAnsi="Arial" w:cs="Arial"/>
            <w:sz w:val="24"/>
            <w:szCs w:val="24"/>
          </w:rPr>
          <w:id w:val="1902091748"/>
          <w:citation/>
        </w:sdtPr>
        <w:sdtEndPr/>
        <w:sdtContent>
          <w:r w:rsidR="00944B25" w:rsidRPr="00944B25">
            <w:rPr>
              <w:rFonts w:ascii="Arial" w:hAnsi="Arial" w:cs="Arial"/>
              <w:sz w:val="24"/>
              <w:szCs w:val="24"/>
            </w:rPr>
            <w:fldChar w:fldCharType="begin"/>
          </w:r>
          <w:r w:rsidR="00944B25" w:rsidRPr="00944B25">
            <w:rPr>
              <w:rFonts w:ascii="Arial" w:hAnsi="Arial" w:cs="Arial"/>
              <w:sz w:val="24"/>
              <w:szCs w:val="24"/>
            </w:rPr>
            <w:instrText xml:space="preserve"> CITATION Ker22 \l 1033 </w:instrText>
          </w:r>
          <w:r w:rsidR="00944B25" w:rsidRPr="00944B25">
            <w:rPr>
              <w:rFonts w:ascii="Arial" w:hAnsi="Arial" w:cs="Arial"/>
              <w:sz w:val="24"/>
              <w:szCs w:val="24"/>
            </w:rPr>
            <w:fldChar w:fldCharType="separate"/>
          </w:r>
          <w:r w:rsidR="00944B25" w:rsidRPr="00944B25">
            <w:rPr>
              <w:rFonts w:ascii="Arial" w:hAnsi="Arial" w:cs="Arial"/>
              <w:noProof/>
              <w:sz w:val="24"/>
              <w:szCs w:val="24"/>
            </w:rPr>
            <w:t>(Kershaw, et al., 2022)</w:t>
          </w:r>
          <w:r w:rsidR="00944B25" w:rsidRPr="00944B25">
            <w:rPr>
              <w:rFonts w:ascii="Arial" w:hAnsi="Arial" w:cs="Arial"/>
              <w:sz w:val="24"/>
              <w:szCs w:val="24"/>
            </w:rPr>
            <w:fldChar w:fldCharType="end"/>
          </w:r>
        </w:sdtContent>
      </w:sdt>
      <w:r w:rsidRPr="00917E68">
        <w:rPr>
          <w:rFonts w:ascii="Arial" w:hAnsi="Arial" w:cs="Arial"/>
          <w:sz w:val="24"/>
          <w:szCs w:val="24"/>
        </w:rPr>
        <w:t>.</w:t>
      </w:r>
    </w:p>
    <w:p w14:paraId="720D29C4" w14:textId="5E3EE02D" w:rsidR="00944B25" w:rsidRPr="00917E68" w:rsidRDefault="00944B25" w:rsidP="00944B25">
      <w:pPr>
        <w:jc w:val="both"/>
        <w:rPr>
          <w:rFonts w:ascii="Arial" w:hAnsi="Arial" w:cs="Arial"/>
          <w:sz w:val="24"/>
          <w:szCs w:val="24"/>
        </w:rPr>
      </w:pPr>
      <w:r w:rsidRPr="00944B25">
        <w:rPr>
          <w:rFonts w:ascii="Arial" w:hAnsi="Arial" w:cs="Arial"/>
          <w:sz w:val="24"/>
          <w:szCs w:val="24"/>
        </w:rPr>
        <w:t>C</w:t>
      </w:r>
      <w:r w:rsidR="00917E68" w:rsidRPr="00917E68">
        <w:rPr>
          <w:rFonts w:ascii="Arial" w:hAnsi="Arial" w:cs="Arial"/>
          <w:sz w:val="24"/>
          <w:szCs w:val="24"/>
        </w:rPr>
        <w:t>ommon law also plays a vital role in criminal law in the UK. Many criminal offen</w:t>
      </w:r>
      <w:r w:rsidRPr="00944B25">
        <w:rPr>
          <w:rFonts w:ascii="Arial" w:hAnsi="Arial" w:cs="Arial"/>
          <w:sz w:val="24"/>
          <w:szCs w:val="24"/>
        </w:rPr>
        <w:t>s</w:t>
      </w:r>
      <w:r w:rsidR="00917E68" w:rsidRPr="00917E68">
        <w:rPr>
          <w:rFonts w:ascii="Arial" w:hAnsi="Arial" w:cs="Arial"/>
          <w:sz w:val="24"/>
          <w:szCs w:val="24"/>
        </w:rPr>
        <w:t>es, such as murder, theft, and assault, are founded on common law principles that have been refined through judicial decisions over centuries. The common law provides a framework for interpreting and enforcing criminal law in the UK, and its influence is evident in the decisions of judges in criminal cases.</w:t>
      </w:r>
      <w:r w:rsidRPr="00944B25">
        <w:rPr>
          <w:rFonts w:ascii="Arial" w:hAnsi="Arial" w:cs="Arial"/>
          <w:sz w:val="24"/>
          <w:szCs w:val="24"/>
        </w:rPr>
        <w:t xml:space="preserve"> </w:t>
      </w:r>
      <w:r w:rsidR="00917E68" w:rsidRPr="00917E68">
        <w:rPr>
          <w:rFonts w:ascii="Arial" w:hAnsi="Arial" w:cs="Arial"/>
          <w:sz w:val="24"/>
          <w:szCs w:val="24"/>
        </w:rPr>
        <w:t xml:space="preserve">Furthermore, the common law is a crucial element in the efficient functioning of the UK legal system overall. It provides a flexible and adaptable framework for the development of new legal principles and for resolving new legal issues that may arise. Judges in the UK are trained to apply common law principles in their judgments, and the system of precedent means that </w:t>
      </w:r>
      <w:r w:rsidR="000C0444" w:rsidRPr="00944B25">
        <w:rPr>
          <w:rFonts w:ascii="Arial" w:hAnsi="Arial" w:cs="Arial"/>
          <w:sz w:val="24"/>
          <w:szCs w:val="24"/>
        </w:rPr>
        <w:t>“</w:t>
      </w:r>
      <w:r w:rsidR="00917E68" w:rsidRPr="00917E68">
        <w:rPr>
          <w:rFonts w:ascii="Arial" w:hAnsi="Arial" w:cs="Arial"/>
          <w:sz w:val="24"/>
          <w:szCs w:val="24"/>
        </w:rPr>
        <w:t>higher court</w:t>
      </w:r>
      <w:r w:rsidR="000C0444" w:rsidRPr="00944B25">
        <w:rPr>
          <w:rFonts w:ascii="Arial" w:hAnsi="Arial" w:cs="Arial"/>
          <w:sz w:val="24"/>
          <w:szCs w:val="24"/>
        </w:rPr>
        <w:t>”</w:t>
      </w:r>
      <w:r w:rsidR="00917E68" w:rsidRPr="00917E68">
        <w:rPr>
          <w:rFonts w:ascii="Arial" w:hAnsi="Arial" w:cs="Arial"/>
          <w:sz w:val="24"/>
          <w:szCs w:val="24"/>
        </w:rPr>
        <w:t xml:space="preserve"> decisions are </w:t>
      </w:r>
      <w:r w:rsidR="000C0444" w:rsidRPr="00944B25">
        <w:rPr>
          <w:rFonts w:ascii="Arial" w:hAnsi="Arial" w:cs="Arial"/>
          <w:sz w:val="24"/>
          <w:szCs w:val="24"/>
        </w:rPr>
        <w:t>“</w:t>
      </w:r>
      <w:r w:rsidR="00917E68" w:rsidRPr="00917E68">
        <w:rPr>
          <w:rFonts w:ascii="Arial" w:hAnsi="Arial" w:cs="Arial"/>
          <w:sz w:val="24"/>
          <w:szCs w:val="24"/>
        </w:rPr>
        <w:t>binding on lower courts</w:t>
      </w:r>
      <w:r w:rsidR="000C0444" w:rsidRPr="00944B25">
        <w:rPr>
          <w:rFonts w:ascii="Arial" w:hAnsi="Arial" w:cs="Arial"/>
          <w:sz w:val="24"/>
          <w:szCs w:val="24"/>
        </w:rPr>
        <w:t>”</w:t>
      </w:r>
      <w:r w:rsidR="00917E68" w:rsidRPr="00917E68">
        <w:rPr>
          <w:rFonts w:ascii="Arial" w:hAnsi="Arial" w:cs="Arial"/>
          <w:sz w:val="24"/>
          <w:szCs w:val="24"/>
        </w:rPr>
        <w:t>, ensuring consistency in the enforcement of the law</w:t>
      </w:r>
      <w:r w:rsidRPr="00944B25">
        <w:rPr>
          <w:rFonts w:ascii="Arial" w:hAnsi="Arial" w:cs="Arial"/>
          <w:sz w:val="24"/>
          <w:szCs w:val="24"/>
        </w:rPr>
        <w:t xml:space="preserve"> </w:t>
      </w:r>
      <w:sdt>
        <w:sdtPr>
          <w:rPr>
            <w:rFonts w:ascii="Arial" w:hAnsi="Arial" w:cs="Arial"/>
            <w:sz w:val="24"/>
            <w:szCs w:val="24"/>
          </w:rPr>
          <w:id w:val="-766766692"/>
          <w:citation/>
        </w:sdtPr>
        <w:sdtEndPr/>
        <w:sdtContent>
          <w:r w:rsidRPr="00944B25">
            <w:rPr>
              <w:rFonts w:ascii="Arial" w:hAnsi="Arial" w:cs="Arial"/>
              <w:sz w:val="24"/>
              <w:szCs w:val="24"/>
            </w:rPr>
            <w:fldChar w:fldCharType="begin"/>
          </w:r>
          <w:r w:rsidRPr="00944B25">
            <w:rPr>
              <w:rFonts w:ascii="Arial" w:hAnsi="Arial" w:cs="Arial"/>
              <w:sz w:val="24"/>
              <w:szCs w:val="24"/>
            </w:rPr>
            <w:instrText xml:space="preserve"> CITATION Ker22 \l 1033 </w:instrText>
          </w:r>
          <w:r w:rsidRPr="00944B25">
            <w:rPr>
              <w:rFonts w:ascii="Arial" w:hAnsi="Arial" w:cs="Arial"/>
              <w:sz w:val="24"/>
              <w:szCs w:val="24"/>
            </w:rPr>
            <w:fldChar w:fldCharType="separate"/>
          </w:r>
          <w:r w:rsidRPr="00944B25">
            <w:rPr>
              <w:rFonts w:ascii="Arial" w:hAnsi="Arial" w:cs="Arial"/>
              <w:noProof/>
              <w:sz w:val="24"/>
              <w:szCs w:val="24"/>
            </w:rPr>
            <w:t>(Kershaw, et al., 2022)</w:t>
          </w:r>
          <w:r w:rsidRPr="00944B25">
            <w:rPr>
              <w:rFonts w:ascii="Arial" w:hAnsi="Arial" w:cs="Arial"/>
              <w:sz w:val="24"/>
              <w:szCs w:val="24"/>
            </w:rPr>
            <w:fldChar w:fldCharType="end"/>
          </w:r>
        </w:sdtContent>
      </w:sdt>
      <w:r w:rsidRPr="00917E68">
        <w:rPr>
          <w:rFonts w:ascii="Arial" w:hAnsi="Arial" w:cs="Arial"/>
          <w:sz w:val="24"/>
          <w:szCs w:val="24"/>
        </w:rPr>
        <w:t>.</w:t>
      </w:r>
    </w:p>
    <w:p w14:paraId="31BAB89E" w14:textId="3348905B" w:rsidR="001355B2" w:rsidRPr="00944B25" w:rsidRDefault="00917E68" w:rsidP="00944B25">
      <w:pPr>
        <w:jc w:val="both"/>
        <w:rPr>
          <w:rFonts w:ascii="Arial" w:hAnsi="Arial" w:cs="Arial"/>
          <w:sz w:val="24"/>
          <w:szCs w:val="24"/>
        </w:rPr>
      </w:pPr>
      <w:r w:rsidRPr="00917E68">
        <w:rPr>
          <w:rFonts w:ascii="Arial" w:hAnsi="Arial" w:cs="Arial"/>
          <w:sz w:val="24"/>
          <w:szCs w:val="24"/>
        </w:rPr>
        <w:t>However, it is worth noting that the common law has its limitations and has received criticism. Some argue that it can be slow to adapt to changing social and economic conditions and that it can rely too heavily on precedent, leading to inflexibility and inconsistency in the application of the law.</w:t>
      </w:r>
      <w:r w:rsidR="00944B25" w:rsidRPr="00944B25">
        <w:rPr>
          <w:rFonts w:ascii="Arial" w:hAnsi="Arial" w:cs="Arial"/>
          <w:sz w:val="24"/>
          <w:szCs w:val="24"/>
        </w:rPr>
        <w:t xml:space="preserve"> C</w:t>
      </w:r>
      <w:r w:rsidRPr="00917E68">
        <w:rPr>
          <w:rFonts w:ascii="Arial" w:hAnsi="Arial" w:cs="Arial"/>
          <w:sz w:val="24"/>
          <w:szCs w:val="24"/>
        </w:rPr>
        <w:t xml:space="preserve">ommon law is an integral part of the legal system in the UK and is regularly employed in areas such as tort, contract, and criminal law. Its flexibility and adaptability make it an invaluable framework for developing new legal principles and resolving new legal issues. </w:t>
      </w:r>
      <w:r w:rsidRPr="00944B25">
        <w:rPr>
          <w:rFonts w:ascii="Arial" w:hAnsi="Arial" w:cs="Arial"/>
          <w:sz w:val="24"/>
          <w:szCs w:val="24"/>
        </w:rPr>
        <w:t>While it has its limitations, the common law remains a fundamental aspect of the UK legal system and a key tool for the administration of justice</w:t>
      </w:r>
      <w:r w:rsidR="00944B25" w:rsidRPr="00944B25">
        <w:rPr>
          <w:rFonts w:ascii="Arial" w:hAnsi="Arial" w:cs="Arial"/>
          <w:sz w:val="24"/>
          <w:szCs w:val="24"/>
        </w:rPr>
        <w:t xml:space="preserve"> </w:t>
      </w:r>
      <w:sdt>
        <w:sdtPr>
          <w:rPr>
            <w:rFonts w:ascii="Arial" w:hAnsi="Arial" w:cs="Arial"/>
            <w:sz w:val="24"/>
            <w:szCs w:val="24"/>
          </w:rPr>
          <w:id w:val="-1577976088"/>
          <w:citation/>
        </w:sdtPr>
        <w:sdtEndPr/>
        <w:sdtContent>
          <w:r w:rsidR="00944B25" w:rsidRPr="00944B25">
            <w:rPr>
              <w:rFonts w:ascii="Arial" w:hAnsi="Arial" w:cs="Arial"/>
              <w:sz w:val="24"/>
              <w:szCs w:val="24"/>
            </w:rPr>
            <w:fldChar w:fldCharType="begin"/>
          </w:r>
          <w:r w:rsidR="00944B25" w:rsidRPr="00944B25">
            <w:rPr>
              <w:rFonts w:ascii="Arial" w:hAnsi="Arial" w:cs="Arial"/>
              <w:sz w:val="24"/>
              <w:szCs w:val="24"/>
            </w:rPr>
            <w:instrText xml:space="preserve"> CITATION Ylv22 \l 1033 </w:instrText>
          </w:r>
          <w:r w:rsidR="00944B25" w:rsidRPr="00944B25">
            <w:rPr>
              <w:rFonts w:ascii="Arial" w:hAnsi="Arial" w:cs="Arial"/>
              <w:sz w:val="24"/>
              <w:szCs w:val="24"/>
            </w:rPr>
            <w:fldChar w:fldCharType="separate"/>
          </w:r>
          <w:r w:rsidR="00944B25" w:rsidRPr="00944B25">
            <w:rPr>
              <w:rFonts w:ascii="Arial" w:hAnsi="Arial" w:cs="Arial"/>
              <w:noProof/>
              <w:sz w:val="24"/>
              <w:szCs w:val="24"/>
            </w:rPr>
            <w:t>(Ylvisaker &amp; Rugkåsa, 2022)</w:t>
          </w:r>
          <w:r w:rsidR="00944B25" w:rsidRPr="00944B25">
            <w:rPr>
              <w:rFonts w:ascii="Arial" w:hAnsi="Arial" w:cs="Arial"/>
              <w:sz w:val="24"/>
              <w:szCs w:val="24"/>
            </w:rPr>
            <w:fldChar w:fldCharType="end"/>
          </w:r>
        </w:sdtContent>
      </w:sdt>
      <w:r w:rsidRPr="00944B25">
        <w:rPr>
          <w:rFonts w:ascii="Arial" w:hAnsi="Arial" w:cs="Arial"/>
          <w:sz w:val="24"/>
          <w:szCs w:val="24"/>
        </w:rPr>
        <w:t>.</w:t>
      </w:r>
    </w:p>
    <w:p w14:paraId="25339937" w14:textId="6112B8F8" w:rsidR="00816494" w:rsidRPr="00944B25" w:rsidRDefault="00816494" w:rsidP="00944B25">
      <w:pPr>
        <w:pStyle w:val="Heading1"/>
        <w:jc w:val="both"/>
        <w:rPr>
          <w:rFonts w:ascii="Arial" w:hAnsi="Arial" w:cs="Arial"/>
          <w:sz w:val="24"/>
          <w:szCs w:val="24"/>
        </w:rPr>
      </w:pPr>
    </w:p>
    <w:p w14:paraId="3BB6FAC1" w14:textId="01D6BC6B" w:rsidR="00944B25" w:rsidRPr="00AA7993" w:rsidRDefault="00816494" w:rsidP="00944B25">
      <w:pPr>
        <w:jc w:val="both"/>
        <w:rPr>
          <w:rFonts w:ascii="Arial" w:hAnsi="Arial" w:cs="Arial"/>
          <w:sz w:val="24"/>
          <w:szCs w:val="24"/>
        </w:rPr>
      </w:pPr>
      <w:r w:rsidRPr="00944B25">
        <w:rPr>
          <w:rFonts w:ascii="Arial" w:hAnsi="Arial" w:cs="Arial"/>
          <w:sz w:val="24"/>
          <w:szCs w:val="24"/>
        </w:rPr>
        <w:t xml:space="preserve">In conclusion, </w:t>
      </w:r>
      <w:r w:rsidR="00917E68" w:rsidRPr="00944B25">
        <w:rPr>
          <w:rFonts w:ascii="Arial" w:hAnsi="Arial" w:cs="Arial"/>
          <w:sz w:val="24"/>
          <w:szCs w:val="24"/>
        </w:rPr>
        <w:t xml:space="preserve">the </w:t>
      </w:r>
      <w:r w:rsidR="000C0444" w:rsidRPr="00944B25">
        <w:rPr>
          <w:rFonts w:ascii="Arial" w:hAnsi="Arial" w:cs="Arial"/>
          <w:sz w:val="24"/>
          <w:szCs w:val="24"/>
        </w:rPr>
        <w:t>“</w:t>
      </w:r>
      <w:r w:rsidR="00917E68" w:rsidRPr="00944B25">
        <w:rPr>
          <w:rFonts w:ascii="Arial" w:hAnsi="Arial" w:cs="Arial"/>
          <w:sz w:val="24"/>
          <w:szCs w:val="24"/>
        </w:rPr>
        <w:t>common law</w:t>
      </w:r>
      <w:r w:rsidR="000C0444" w:rsidRPr="00944B25">
        <w:rPr>
          <w:rFonts w:ascii="Arial" w:hAnsi="Arial" w:cs="Arial"/>
          <w:sz w:val="24"/>
          <w:szCs w:val="24"/>
        </w:rPr>
        <w:t>”</w:t>
      </w:r>
      <w:r w:rsidR="00917E68" w:rsidRPr="00944B25">
        <w:rPr>
          <w:rFonts w:ascii="Arial" w:hAnsi="Arial" w:cs="Arial"/>
          <w:sz w:val="24"/>
          <w:szCs w:val="24"/>
        </w:rPr>
        <w:t xml:space="preserve"> system, which </w:t>
      </w:r>
      <w:r w:rsidR="00944B25" w:rsidRPr="00944B25">
        <w:rPr>
          <w:rFonts w:ascii="Arial" w:hAnsi="Arial" w:cs="Arial"/>
          <w:sz w:val="24"/>
          <w:szCs w:val="24"/>
        </w:rPr>
        <w:t xml:space="preserve">was </w:t>
      </w:r>
      <w:r w:rsidR="000C0444" w:rsidRPr="00944B25">
        <w:rPr>
          <w:rFonts w:ascii="Arial" w:hAnsi="Arial" w:cs="Arial"/>
          <w:sz w:val="24"/>
          <w:szCs w:val="24"/>
        </w:rPr>
        <w:t>created</w:t>
      </w:r>
      <w:r w:rsidR="00917E68" w:rsidRPr="00944B25">
        <w:rPr>
          <w:rFonts w:ascii="Arial" w:hAnsi="Arial" w:cs="Arial"/>
          <w:sz w:val="24"/>
          <w:szCs w:val="24"/>
        </w:rPr>
        <w:t xml:space="preserve"> in </w:t>
      </w:r>
      <w:r w:rsidR="000C0444" w:rsidRPr="00944B25">
        <w:rPr>
          <w:rFonts w:ascii="Arial" w:hAnsi="Arial" w:cs="Arial"/>
          <w:sz w:val="24"/>
          <w:szCs w:val="24"/>
        </w:rPr>
        <w:t>“</w:t>
      </w:r>
      <w:r w:rsidR="00917E68" w:rsidRPr="00944B25">
        <w:rPr>
          <w:rFonts w:ascii="Arial" w:hAnsi="Arial" w:cs="Arial"/>
          <w:sz w:val="24"/>
          <w:szCs w:val="24"/>
        </w:rPr>
        <w:t>England</w:t>
      </w:r>
      <w:r w:rsidR="000C0444" w:rsidRPr="00944B25">
        <w:rPr>
          <w:rFonts w:ascii="Arial" w:hAnsi="Arial" w:cs="Arial"/>
          <w:sz w:val="24"/>
          <w:szCs w:val="24"/>
        </w:rPr>
        <w:t>”</w:t>
      </w:r>
      <w:r w:rsidR="00917E68" w:rsidRPr="00944B25">
        <w:rPr>
          <w:rFonts w:ascii="Arial" w:hAnsi="Arial" w:cs="Arial"/>
          <w:sz w:val="24"/>
          <w:szCs w:val="24"/>
        </w:rPr>
        <w:t xml:space="preserve">, is a </w:t>
      </w:r>
      <w:r w:rsidR="000C0444" w:rsidRPr="00944B25">
        <w:rPr>
          <w:rFonts w:ascii="Arial" w:hAnsi="Arial" w:cs="Arial"/>
          <w:sz w:val="24"/>
          <w:szCs w:val="24"/>
        </w:rPr>
        <w:t>“</w:t>
      </w:r>
      <w:r w:rsidR="00917E68" w:rsidRPr="00944B25">
        <w:rPr>
          <w:rFonts w:ascii="Arial" w:hAnsi="Arial" w:cs="Arial"/>
          <w:sz w:val="24"/>
          <w:szCs w:val="24"/>
        </w:rPr>
        <w:t>legal system</w:t>
      </w:r>
      <w:r w:rsidR="000C0444" w:rsidRPr="00944B25">
        <w:rPr>
          <w:rFonts w:ascii="Arial" w:hAnsi="Arial" w:cs="Arial"/>
          <w:sz w:val="24"/>
          <w:szCs w:val="24"/>
        </w:rPr>
        <w:t>”</w:t>
      </w:r>
      <w:r w:rsidR="00917E68" w:rsidRPr="00944B25">
        <w:rPr>
          <w:rFonts w:ascii="Arial" w:hAnsi="Arial" w:cs="Arial"/>
          <w:sz w:val="24"/>
          <w:szCs w:val="24"/>
        </w:rPr>
        <w:t xml:space="preserve"> </w:t>
      </w:r>
      <w:r w:rsidR="000C0444" w:rsidRPr="00944B25">
        <w:rPr>
          <w:rFonts w:ascii="Arial" w:hAnsi="Arial" w:cs="Arial"/>
          <w:sz w:val="24"/>
          <w:szCs w:val="24"/>
        </w:rPr>
        <w:t>founded</w:t>
      </w:r>
      <w:r w:rsidR="00917E68" w:rsidRPr="00944B25">
        <w:rPr>
          <w:rFonts w:ascii="Arial" w:hAnsi="Arial" w:cs="Arial"/>
          <w:sz w:val="24"/>
          <w:szCs w:val="24"/>
        </w:rPr>
        <w:t xml:space="preserve"> on </w:t>
      </w:r>
      <w:r w:rsidR="000C0444" w:rsidRPr="00944B25">
        <w:rPr>
          <w:rFonts w:ascii="Arial" w:hAnsi="Arial" w:cs="Arial"/>
          <w:sz w:val="24"/>
          <w:szCs w:val="24"/>
        </w:rPr>
        <w:t>legal</w:t>
      </w:r>
      <w:r w:rsidR="00917E68" w:rsidRPr="00944B25">
        <w:rPr>
          <w:rFonts w:ascii="Arial" w:hAnsi="Arial" w:cs="Arial"/>
          <w:sz w:val="24"/>
          <w:szCs w:val="24"/>
        </w:rPr>
        <w:t xml:space="preserve"> decisions and precedents. It has been widely </w:t>
      </w:r>
      <w:r w:rsidR="000C0444" w:rsidRPr="00944B25">
        <w:rPr>
          <w:rFonts w:ascii="Arial" w:hAnsi="Arial" w:cs="Arial"/>
          <w:sz w:val="24"/>
          <w:szCs w:val="24"/>
        </w:rPr>
        <w:t>accepted</w:t>
      </w:r>
      <w:r w:rsidR="00917E68" w:rsidRPr="00944B25">
        <w:rPr>
          <w:rFonts w:ascii="Arial" w:hAnsi="Arial" w:cs="Arial"/>
          <w:sz w:val="24"/>
          <w:szCs w:val="24"/>
        </w:rPr>
        <w:t xml:space="preserve"> by </w:t>
      </w:r>
      <w:r w:rsidR="000C0444" w:rsidRPr="00944B25">
        <w:rPr>
          <w:rFonts w:ascii="Arial" w:hAnsi="Arial" w:cs="Arial"/>
          <w:sz w:val="24"/>
          <w:szCs w:val="24"/>
        </w:rPr>
        <w:t>numerous</w:t>
      </w:r>
      <w:r w:rsidR="00917E68" w:rsidRPr="00944B25">
        <w:rPr>
          <w:rFonts w:ascii="Arial" w:hAnsi="Arial" w:cs="Arial"/>
          <w:sz w:val="24"/>
          <w:szCs w:val="24"/>
        </w:rPr>
        <w:t xml:space="preserve"> </w:t>
      </w:r>
      <w:r w:rsidR="000C0444" w:rsidRPr="00944B25">
        <w:rPr>
          <w:rFonts w:ascii="Arial" w:hAnsi="Arial" w:cs="Arial"/>
          <w:sz w:val="24"/>
          <w:szCs w:val="24"/>
        </w:rPr>
        <w:t>states</w:t>
      </w:r>
      <w:r w:rsidR="00917E68" w:rsidRPr="00944B25">
        <w:rPr>
          <w:rFonts w:ascii="Arial" w:hAnsi="Arial" w:cs="Arial"/>
          <w:sz w:val="24"/>
          <w:szCs w:val="24"/>
        </w:rPr>
        <w:t xml:space="preserve"> such as the United States, Canada, </w:t>
      </w:r>
      <w:r w:rsidR="000C0444" w:rsidRPr="00944B25">
        <w:rPr>
          <w:rFonts w:ascii="Arial" w:hAnsi="Arial" w:cs="Arial"/>
          <w:sz w:val="24"/>
          <w:szCs w:val="24"/>
        </w:rPr>
        <w:t>“</w:t>
      </w:r>
      <w:r w:rsidR="00917E68" w:rsidRPr="00944B25">
        <w:rPr>
          <w:rFonts w:ascii="Arial" w:hAnsi="Arial" w:cs="Arial"/>
          <w:sz w:val="24"/>
          <w:szCs w:val="24"/>
        </w:rPr>
        <w:t>Australia</w:t>
      </w:r>
      <w:r w:rsidR="000C0444" w:rsidRPr="00944B25">
        <w:rPr>
          <w:rFonts w:ascii="Arial" w:hAnsi="Arial" w:cs="Arial"/>
          <w:sz w:val="24"/>
          <w:szCs w:val="24"/>
        </w:rPr>
        <w:t>”</w:t>
      </w:r>
      <w:r w:rsidR="00917E68" w:rsidRPr="00944B25">
        <w:rPr>
          <w:rFonts w:ascii="Arial" w:hAnsi="Arial" w:cs="Arial"/>
          <w:sz w:val="24"/>
          <w:szCs w:val="24"/>
        </w:rPr>
        <w:t xml:space="preserve">, and </w:t>
      </w:r>
      <w:r w:rsidR="000C0444" w:rsidRPr="00944B25">
        <w:rPr>
          <w:rFonts w:ascii="Arial" w:hAnsi="Arial" w:cs="Arial"/>
          <w:sz w:val="24"/>
          <w:szCs w:val="24"/>
        </w:rPr>
        <w:t>“</w:t>
      </w:r>
      <w:r w:rsidR="00917E68" w:rsidRPr="00944B25">
        <w:rPr>
          <w:rFonts w:ascii="Arial" w:hAnsi="Arial" w:cs="Arial"/>
          <w:sz w:val="24"/>
          <w:szCs w:val="24"/>
        </w:rPr>
        <w:t>New Zealand</w:t>
      </w:r>
      <w:r w:rsidR="000C0444" w:rsidRPr="00944B25">
        <w:rPr>
          <w:rFonts w:ascii="Arial" w:hAnsi="Arial" w:cs="Arial"/>
          <w:sz w:val="24"/>
          <w:szCs w:val="24"/>
        </w:rPr>
        <w:t>”</w:t>
      </w:r>
      <w:r w:rsidR="00917E68" w:rsidRPr="00944B25">
        <w:rPr>
          <w:rFonts w:ascii="Arial" w:hAnsi="Arial" w:cs="Arial"/>
          <w:sz w:val="24"/>
          <w:szCs w:val="24"/>
        </w:rPr>
        <w:t xml:space="preserve">. Its emphasis lies in judicial decisions, the utilization of juries, and the principle of stare decisis. In contrast, the civil law system is </w:t>
      </w:r>
      <w:r w:rsidR="000C0444" w:rsidRPr="00944B25">
        <w:rPr>
          <w:rFonts w:ascii="Arial" w:hAnsi="Arial" w:cs="Arial"/>
          <w:sz w:val="24"/>
          <w:szCs w:val="24"/>
        </w:rPr>
        <w:t>founded</w:t>
      </w:r>
      <w:r w:rsidR="00917E68" w:rsidRPr="00944B25">
        <w:rPr>
          <w:rFonts w:ascii="Arial" w:hAnsi="Arial" w:cs="Arial"/>
          <w:sz w:val="24"/>
          <w:szCs w:val="24"/>
        </w:rPr>
        <w:t xml:space="preserve"> on </w:t>
      </w:r>
      <w:r w:rsidR="000C0444" w:rsidRPr="00944B25">
        <w:rPr>
          <w:rFonts w:ascii="Arial" w:hAnsi="Arial" w:cs="Arial"/>
          <w:sz w:val="24"/>
          <w:szCs w:val="24"/>
        </w:rPr>
        <w:t>printed</w:t>
      </w:r>
      <w:r w:rsidR="00917E68" w:rsidRPr="00944B25">
        <w:rPr>
          <w:rFonts w:ascii="Arial" w:hAnsi="Arial" w:cs="Arial"/>
          <w:sz w:val="24"/>
          <w:szCs w:val="24"/>
        </w:rPr>
        <w:t xml:space="preserve"> </w:t>
      </w:r>
      <w:r w:rsidR="000C0444" w:rsidRPr="00944B25">
        <w:rPr>
          <w:rFonts w:ascii="Arial" w:hAnsi="Arial" w:cs="Arial"/>
          <w:sz w:val="24"/>
          <w:szCs w:val="24"/>
        </w:rPr>
        <w:t>c</w:t>
      </w:r>
      <w:r w:rsidR="00944B25" w:rsidRPr="00944B25">
        <w:rPr>
          <w:rFonts w:ascii="Arial" w:hAnsi="Arial" w:cs="Arial"/>
          <w:sz w:val="24"/>
          <w:szCs w:val="24"/>
        </w:rPr>
        <w:t>i</w:t>
      </w:r>
      <w:r w:rsidR="000C0444" w:rsidRPr="00944B25">
        <w:rPr>
          <w:rFonts w:ascii="Arial" w:hAnsi="Arial" w:cs="Arial"/>
          <w:sz w:val="24"/>
          <w:szCs w:val="24"/>
        </w:rPr>
        <w:t>phers</w:t>
      </w:r>
      <w:r w:rsidR="00917E68" w:rsidRPr="00944B25">
        <w:rPr>
          <w:rFonts w:ascii="Arial" w:hAnsi="Arial" w:cs="Arial"/>
          <w:sz w:val="24"/>
          <w:szCs w:val="24"/>
        </w:rPr>
        <w:t xml:space="preserve"> and </w:t>
      </w:r>
      <w:r w:rsidR="000C0444" w:rsidRPr="00944B25">
        <w:rPr>
          <w:rFonts w:ascii="Arial" w:hAnsi="Arial" w:cs="Arial"/>
          <w:sz w:val="24"/>
          <w:szCs w:val="24"/>
        </w:rPr>
        <w:t>rulings</w:t>
      </w:r>
      <w:r w:rsidR="00917E68" w:rsidRPr="00944B25">
        <w:rPr>
          <w:rFonts w:ascii="Arial" w:hAnsi="Arial" w:cs="Arial"/>
          <w:sz w:val="24"/>
          <w:szCs w:val="24"/>
        </w:rPr>
        <w:t xml:space="preserve">, and judges are confined to applying the </w:t>
      </w:r>
      <w:r w:rsidR="000C0444" w:rsidRPr="00944B25">
        <w:rPr>
          <w:rFonts w:ascii="Arial" w:hAnsi="Arial" w:cs="Arial"/>
          <w:sz w:val="24"/>
          <w:szCs w:val="24"/>
        </w:rPr>
        <w:t>rule</w:t>
      </w:r>
      <w:r w:rsidR="00917E68" w:rsidRPr="00944B25">
        <w:rPr>
          <w:rFonts w:ascii="Arial" w:hAnsi="Arial" w:cs="Arial"/>
          <w:sz w:val="24"/>
          <w:szCs w:val="24"/>
        </w:rPr>
        <w:t xml:space="preserve"> as </w:t>
      </w:r>
      <w:r w:rsidR="000C0444" w:rsidRPr="00944B25">
        <w:rPr>
          <w:rFonts w:ascii="Arial" w:hAnsi="Arial" w:cs="Arial"/>
          <w:sz w:val="24"/>
          <w:szCs w:val="24"/>
        </w:rPr>
        <w:t>printed</w:t>
      </w:r>
      <w:r w:rsidR="00917E68" w:rsidRPr="00944B25">
        <w:rPr>
          <w:rFonts w:ascii="Arial" w:hAnsi="Arial" w:cs="Arial"/>
          <w:sz w:val="24"/>
          <w:szCs w:val="24"/>
        </w:rPr>
        <w:t xml:space="preserve">. The </w:t>
      </w:r>
      <w:r w:rsidR="000C0444" w:rsidRPr="00944B25">
        <w:rPr>
          <w:rFonts w:ascii="Arial" w:hAnsi="Arial" w:cs="Arial"/>
          <w:sz w:val="24"/>
          <w:szCs w:val="24"/>
        </w:rPr>
        <w:t>“</w:t>
      </w:r>
      <w:r w:rsidR="00917E68" w:rsidRPr="00944B25">
        <w:rPr>
          <w:rFonts w:ascii="Arial" w:hAnsi="Arial" w:cs="Arial"/>
          <w:sz w:val="24"/>
          <w:szCs w:val="24"/>
        </w:rPr>
        <w:t>common law</w:t>
      </w:r>
      <w:r w:rsidR="000C0444" w:rsidRPr="00944B25">
        <w:rPr>
          <w:rFonts w:ascii="Arial" w:hAnsi="Arial" w:cs="Arial"/>
          <w:sz w:val="24"/>
          <w:szCs w:val="24"/>
        </w:rPr>
        <w:t>”</w:t>
      </w:r>
      <w:r w:rsidR="00917E68" w:rsidRPr="00944B25">
        <w:rPr>
          <w:rFonts w:ascii="Arial" w:hAnsi="Arial" w:cs="Arial"/>
          <w:sz w:val="24"/>
          <w:szCs w:val="24"/>
        </w:rPr>
        <w:t xml:space="preserve"> system has a rich </w:t>
      </w:r>
      <w:r w:rsidR="00917E68" w:rsidRPr="00944B25">
        <w:rPr>
          <w:rFonts w:ascii="Arial" w:hAnsi="Arial" w:cs="Arial"/>
          <w:sz w:val="24"/>
          <w:szCs w:val="24"/>
        </w:rPr>
        <w:lastRenderedPageBreak/>
        <w:t xml:space="preserve">and evolving history, making it an important legal system in modern times. Its continued influence plays a </w:t>
      </w:r>
      <w:r w:rsidR="000C0444" w:rsidRPr="00944B25">
        <w:rPr>
          <w:rFonts w:ascii="Arial" w:hAnsi="Arial" w:cs="Arial"/>
          <w:sz w:val="24"/>
          <w:szCs w:val="24"/>
        </w:rPr>
        <w:t>vital</w:t>
      </w:r>
      <w:r w:rsidR="00917E68" w:rsidRPr="00944B25">
        <w:rPr>
          <w:rFonts w:ascii="Arial" w:hAnsi="Arial" w:cs="Arial"/>
          <w:sz w:val="24"/>
          <w:szCs w:val="24"/>
        </w:rPr>
        <w:t xml:space="preserve"> </w:t>
      </w:r>
      <w:r w:rsidR="000C0444" w:rsidRPr="00944B25">
        <w:rPr>
          <w:rFonts w:ascii="Arial" w:hAnsi="Arial" w:cs="Arial"/>
          <w:sz w:val="24"/>
          <w:szCs w:val="24"/>
        </w:rPr>
        <w:t>part</w:t>
      </w:r>
      <w:r w:rsidR="00917E68" w:rsidRPr="00944B25">
        <w:rPr>
          <w:rFonts w:ascii="Arial" w:hAnsi="Arial" w:cs="Arial"/>
          <w:sz w:val="24"/>
          <w:szCs w:val="24"/>
        </w:rPr>
        <w:t xml:space="preserve"> in </w:t>
      </w:r>
      <w:r w:rsidR="000C0444" w:rsidRPr="00944B25">
        <w:rPr>
          <w:rFonts w:ascii="Arial" w:hAnsi="Arial" w:cs="Arial"/>
          <w:sz w:val="24"/>
          <w:szCs w:val="24"/>
        </w:rPr>
        <w:t>determining</w:t>
      </w:r>
      <w:r w:rsidR="00917E68" w:rsidRPr="00944B25">
        <w:rPr>
          <w:rFonts w:ascii="Arial" w:hAnsi="Arial" w:cs="Arial"/>
          <w:sz w:val="24"/>
          <w:szCs w:val="24"/>
        </w:rPr>
        <w:t xml:space="preserve"> the </w:t>
      </w:r>
      <w:r w:rsidR="000C0444" w:rsidRPr="00944B25">
        <w:rPr>
          <w:rFonts w:ascii="Arial" w:hAnsi="Arial" w:cs="Arial"/>
          <w:sz w:val="24"/>
          <w:szCs w:val="24"/>
        </w:rPr>
        <w:t>regulation</w:t>
      </w:r>
      <w:r w:rsidR="00917E68" w:rsidRPr="00944B25">
        <w:rPr>
          <w:rFonts w:ascii="Arial" w:hAnsi="Arial" w:cs="Arial"/>
          <w:sz w:val="24"/>
          <w:szCs w:val="24"/>
        </w:rPr>
        <w:t xml:space="preserve"> and ensuring justice for individuals and society as a whole.</w:t>
      </w:r>
    </w:p>
    <w:bookmarkStart w:id="0" w:name="_Toc129934158" w:displacedByCustomXml="next"/>
    <w:sdt>
      <w:sdtPr>
        <w:rPr>
          <w:rFonts w:ascii="Arial" w:eastAsiaTheme="minorHAnsi" w:hAnsi="Arial" w:cs="Arial"/>
          <w:color w:val="auto"/>
          <w:sz w:val="24"/>
          <w:szCs w:val="24"/>
        </w:rPr>
        <w:id w:val="-776717027"/>
        <w:docPartObj>
          <w:docPartGallery w:val="Bibliographies"/>
          <w:docPartUnique/>
        </w:docPartObj>
      </w:sdtPr>
      <w:sdtEndPr/>
      <w:sdtContent>
        <w:p w14:paraId="6B865CBB" w14:textId="470A1528" w:rsidR="00944B25" w:rsidRPr="00944B25" w:rsidRDefault="00944B25" w:rsidP="00944B25">
          <w:pPr>
            <w:pStyle w:val="Heading1"/>
            <w:jc w:val="both"/>
            <w:rPr>
              <w:rFonts w:ascii="Arial" w:hAnsi="Arial" w:cs="Arial"/>
              <w:sz w:val="24"/>
              <w:szCs w:val="24"/>
            </w:rPr>
          </w:pPr>
          <w:r w:rsidRPr="00944B25">
            <w:rPr>
              <w:rFonts w:ascii="Arial" w:hAnsi="Arial" w:cs="Arial"/>
              <w:sz w:val="24"/>
              <w:szCs w:val="24"/>
            </w:rPr>
            <w:t>References</w:t>
          </w:r>
          <w:bookmarkEnd w:id="0"/>
        </w:p>
        <w:sdt>
          <w:sdtPr>
            <w:rPr>
              <w:rFonts w:ascii="Arial" w:hAnsi="Arial" w:cs="Arial"/>
              <w:sz w:val="24"/>
              <w:szCs w:val="24"/>
            </w:rPr>
            <w:id w:val="-573587230"/>
            <w:bibliography/>
          </w:sdtPr>
          <w:sdtEndPr/>
          <w:sdtContent>
            <w:p w14:paraId="0A43FC1F" w14:textId="6C192D2C" w:rsidR="00944B25" w:rsidRPr="00187651" w:rsidRDefault="00944B25" w:rsidP="00187651">
              <w:pPr>
                <w:pStyle w:val="Bibliography"/>
                <w:jc w:val="both"/>
                <w:rPr>
                  <w:rFonts w:ascii="Arial" w:hAnsi="Arial" w:cs="Arial"/>
                  <w:noProof/>
                  <w:sz w:val="24"/>
                  <w:szCs w:val="24"/>
                </w:rPr>
              </w:pPr>
              <w:r w:rsidRPr="00187651">
                <w:rPr>
                  <w:rFonts w:ascii="Arial" w:hAnsi="Arial" w:cs="Arial"/>
                  <w:sz w:val="24"/>
                  <w:szCs w:val="24"/>
                </w:rPr>
                <w:fldChar w:fldCharType="begin"/>
              </w:r>
              <w:r w:rsidRPr="00187651">
                <w:rPr>
                  <w:rFonts w:ascii="Arial" w:hAnsi="Arial" w:cs="Arial"/>
                  <w:sz w:val="24"/>
                  <w:szCs w:val="24"/>
                </w:rPr>
                <w:instrText xml:space="preserve"> BIBLIOGRAPHY </w:instrText>
              </w:r>
              <w:r w:rsidRPr="00187651">
                <w:rPr>
                  <w:rFonts w:ascii="Arial" w:hAnsi="Arial" w:cs="Arial"/>
                  <w:sz w:val="24"/>
                  <w:szCs w:val="24"/>
                </w:rPr>
                <w:fldChar w:fldCharType="separate"/>
              </w:r>
              <w:r w:rsidRPr="00187651">
                <w:rPr>
                  <w:rFonts w:ascii="Arial" w:hAnsi="Arial" w:cs="Arial"/>
                  <w:noProof/>
                  <w:sz w:val="24"/>
                  <w:szCs w:val="24"/>
                </w:rPr>
                <w:t>Asongu, S. A., Nwachukwu, J. C. &amp; Pyke, C., 2019. The comparative economics of ICT, environmental degradation and inclusive human development in Sub-Saharan Africa. s</w:t>
              </w:r>
              <w:r w:rsidRPr="00187651">
                <w:rPr>
                  <w:rFonts w:ascii="Arial" w:hAnsi="Arial" w:cs="Arial"/>
                  <w:i/>
                  <w:iCs/>
                  <w:noProof/>
                  <w:sz w:val="24"/>
                  <w:szCs w:val="24"/>
                </w:rPr>
                <w:t xml:space="preserve">ocial Indicators Research, </w:t>
              </w:r>
              <w:r w:rsidRPr="00187651">
                <w:rPr>
                  <w:rFonts w:ascii="Arial" w:hAnsi="Arial" w:cs="Arial"/>
                  <w:noProof/>
                  <w:sz w:val="24"/>
                  <w:szCs w:val="24"/>
                </w:rPr>
                <w:t>pp. 1271-1297.</w:t>
              </w:r>
            </w:p>
            <w:p w14:paraId="7AF1F367" w14:textId="3FE97354" w:rsidR="00944B25" w:rsidRPr="00187651" w:rsidRDefault="007761D3" w:rsidP="00187651">
              <w:pPr>
                <w:jc w:val="both"/>
                <w:rPr>
                  <w:rFonts w:ascii="Arial" w:hAnsi="Arial" w:cs="Arial"/>
                  <w:sz w:val="24"/>
                  <w:szCs w:val="24"/>
                </w:rPr>
              </w:pPr>
              <w:hyperlink r:id="rId7" w:history="1">
                <w:r w:rsidR="00944B25" w:rsidRPr="00187651">
                  <w:rPr>
                    <w:rStyle w:val="Hyperlink"/>
                    <w:rFonts w:ascii="Arial" w:hAnsi="Arial" w:cs="Arial"/>
                    <w:sz w:val="24"/>
                    <w:szCs w:val="24"/>
                  </w:rPr>
                  <w:t>https://scholar.google.com/scholar?start=0&amp;q=Outline+the+history+of+the+common+law&amp;hl=en&amp;as_sdt=0,5&amp;as_ylo=2019#d=gs_cit&amp;t=1679066135889&amp;u=%2Fscholar%3Fq%3Dinfo%3AHZo_TpHFfdUJ%3Ascholar.google.com%2F%26output%3Dcite%26scirp%3D4%26hl%3Den</w:t>
                </w:r>
              </w:hyperlink>
            </w:p>
            <w:p w14:paraId="6D2BF0F3" w14:textId="0785B16C" w:rsidR="00944B25" w:rsidRPr="00187651" w:rsidRDefault="00944B25" w:rsidP="00187651">
              <w:pPr>
                <w:pStyle w:val="Bibliography"/>
                <w:jc w:val="both"/>
                <w:rPr>
                  <w:rFonts w:ascii="Arial" w:hAnsi="Arial" w:cs="Arial"/>
                  <w:noProof/>
                  <w:sz w:val="24"/>
                  <w:szCs w:val="24"/>
                </w:rPr>
              </w:pPr>
              <w:r w:rsidRPr="00187651">
                <w:rPr>
                  <w:rFonts w:ascii="Arial" w:hAnsi="Arial" w:cs="Arial"/>
                  <w:noProof/>
                  <w:sz w:val="24"/>
                  <w:szCs w:val="24"/>
                </w:rPr>
                <w:t xml:space="preserve">Bersier, N., 2022. The Civil Law as the Foundation of the Common Law: Roscoe Pound Considers the Origins of the Common Law. </w:t>
              </w:r>
              <w:r w:rsidRPr="00187651">
                <w:rPr>
                  <w:rFonts w:ascii="Arial" w:hAnsi="Arial" w:cs="Arial"/>
                  <w:i/>
                  <w:iCs/>
                  <w:noProof/>
                  <w:sz w:val="24"/>
                  <w:szCs w:val="24"/>
                </w:rPr>
                <w:t xml:space="preserve">Common Law–Civil Law: The Great Divide? </w:t>
              </w:r>
              <w:r w:rsidRPr="00187651">
                <w:rPr>
                  <w:rFonts w:ascii="Arial" w:hAnsi="Arial" w:cs="Arial"/>
                  <w:noProof/>
                  <w:sz w:val="24"/>
                  <w:szCs w:val="24"/>
                </w:rPr>
                <w:t>pp. 51-60.</w:t>
              </w:r>
            </w:p>
            <w:p w14:paraId="2EF42872" w14:textId="657464F1" w:rsidR="00AA7993" w:rsidRPr="00187651" w:rsidRDefault="007761D3" w:rsidP="00187651">
              <w:pPr>
                <w:jc w:val="both"/>
                <w:rPr>
                  <w:rFonts w:ascii="Arial" w:hAnsi="Arial" w:cs="Arial"/>
                  <w:sz w:val="24"/>
                  <w:szCs w:val="24"/>
                </w:rPr>
              </w:pPr>
              <w:hyperlink r:id="rId8" w:history="1">
                <w:r w:rsidR="00AA7993" w:rsidRPr="00187651">
                  <w:rPr>
                    <w:rStyle w:val="Hyperlink"/>
                    <w:rFonts w:ascii="Arial" w:hAnsi="Arial" w:cs="Arial"/>
                    <w:sz w:val="24"/>
                    <w:szCs w:val="24"/>
                  </w:rPr>
                  <w:t>https://link.springer.com/chapter/10.1007/978-3-030-87718-7_5</w:t>
                </w:r>
              </w:hyperlink>
            </w:p>
            <w:p w14:paraId="49C78340" w14:textId="3B1828FB" w:rsidR="00944B25" w:rsidRPr="00187651" w:rsidRDefault="00944B25" w:rsidP="00187651">
              <w:pPr>
                <w:pStyle w:val="Bibliography"/>
                <w:jc w:val="both"/>
                <w:rPr>
                  <w:rFonts w:ascii="Arial" w:hAnsi="Arial" w:cs="Arial"/>
                  <w:i/>
                  <w:iCs/>
                  <w:noProof/>
                  <w:sz w:val="24"/>
                  <w:szCs w:val="24"/>
                </w:rPr>
              </w:pPr>
              <w:r w:rsidRPr="00187651">
                <w:rPr>
                  <w:rFonts w:ascii="Arial" w:hAnsi="Arial" w:cs="Arial"/>
                  <w:noProof/>
                  <w:sz w:val="24"/>
                  <w:szCs w:val="24"/>
                </w:rPr>
                <w:t xml:space="preserve">Bussani, M., Sebok, A. &amp; Infantino, M., 2022. Common Law and Civil Law Perspectives on Tort Law. </w:t>
              </w:r>
              <w:r w:rsidRPr="00187651">
                <w:rPr>
                  <w:rFonts w:ascii="Arial" w:hAnsi="Arial" w:cs="Arial"/>
                  <w:i/>
                  <w:iCs/>
                  <w:noProof/>
                  <w:sz w:val="24"/>
                  <w:szCs w:val="24"/>
                </w:rPr>
                <w:t>Oxford University Press.</w:t>
              </w:r>
            </w:p>
            <w:p w14:paraId="28E8F0B7" w14:textId="144DA5D3" w:rsidR="00187651" w:rsidRPr="00187651" w:rsidRDefault="007761D3" w:rsidP="00187651">
              <w:pPr>
                <w:jc w:val="both"/>
                <w:rPr>
                  <w:rFonts w:ascii="Arial" w:hAnsi="Arial" w:cs="Arial"/>
                  <w:sz w:val="24"/>
                  <w:szCs w:val="24"/>
                </w:rPr>
              </w:pPr>
              <w:hyperlink r:id="rId9" w:history="1">
                <w:r w:rsidR="00187651" w:rsidRPr="00187651">
                  <w:rPr>
                    <w:rStyle w:val="Hyperlink"/>
                    <w:rFonts w:ascii="Arial" w:hAnsi="Arial" w:cs="Arial"/>
                    <w:sz w:val="24"/>
                    <w:szCs w:val="24"/>
                  </w:rPr>
                  <w:t>https://books.google.com.pk/books?hl=en&amp;lr=&amp;id=nptlEAAAQBAJ&amp;oi=fnd&amp;pg=PP1&amp;dq=Bussani,+M.,+Sebok,+A.+%26+Infantino,+M.,+2022.+Common+Law+and+Civil+Law+Perspectives+on+Tort+Law.+Oxford+University+Press.&amp;ots=j3UmYFe-Qi&amp;sig=0LlYorc4DgcJMh0U78OobmM_UJI&amp;redir_esc=y#v=onepage&amp;q=Bussani%2C%20M.%2C%20Sebok%2C%20A.%20%26%20Infantino%2C%20M.%2C%202022.%20Common%20Law%20and%20Civil%20Law%20Perspectives%20on%20Tort%20Law.%20Oxford%20University%20Press.&amp;f=false</w:t>
                </w:r>
              </w:hyperlink>
            </w:p>
            <w:p w14:paraId="06031A86" w14:textId="5DE285A2" w:rsidR="00944B25" w:rsidRPr="00187651" w:rsidRDefault="00944B25" w:rsidP="00187651">
              <w:pPr>
                <w:pStyle w:val="Bibliography"/>
                <w:jc w:val="both"/>
                <w:rPr>
                  <w:rFonts w:ascii="Arial" w:hAnsi="Arial" w:cs="Arial"/>
                  <w:noProof/>
                  <w:sz w:val="24"/>
                  <w:szCs w:val="24"/>
                </w:rPr>
              </w:pPr>
              <w:r w:rsidRPr="00187651">
                <w:rPr>
                  <w:rFonts w:ascii="Arial" w:hAnsi="Arial" w:cs="Arial"/>
                  <w:noProof/>
                  <w:sz w:val="24"/>
                  <w:szCs w:val="24"/>
                </w:rPr>
                <w:t xml:space="preserve">Kershaw, F. et al., 2022. The Coalition for Conservation Genetics: Working across organizations to build capacity and achieve change in policy and practice. </w:t>
              </w:r>
              <w:r w:rsidRPr="00187651">
                <w:rPr>
                  <w:rFonts w:ascii="Arial" w:hAnsi="Arial" w:cs="Arial"/>
                  <w:i/>
                  <w:iCs/>
                  <w:noProof/>
                  <w:sz w:val="24"/>
                  <w:szCs w:val="24"/>
                </w:rPr>
                <w:t xml:space="preserve">Conservation Science and Practice, </w:t>
              </w:r>
              <w:r w:rsidRPr="00187651">
                <w:rPr>
                  <w:rFonts w:ascii="Arial" w:hAnsi="Arial" w:cs="Arial"/>
                  <w:noProof/>
                  <w:sz w:val="24"/>
                  <w:szCs w:val="24"/>
                </w:rPr>
                <w:t>4(4).</w:t>
              </w:r>
            </w:p>
            <w:p w14:paraId="562D6DDE" w14:textId="110F3420" w:rsidR="00187651" w:rsidRPr="00187651" w:rsidRDefault="007761D3" w:rsidP="00187651">
              <w:pPr>
                <w:jc w:val="both"/>
                <w:rPr>
                  <w:rFonts w:ascii="Arial" w:hAnsi="Arial" w:cs="Arial"/>
                  <w:sz w:val="24"/>
                  <w:szCs w:val="24"/>
                </w:rPr>
              </w:pPr>
              <w:hyperlink r:id="rId10" w:history="1">
                <w:r w:rsidR="00187651" w:rsidRPr="00187651">
                  <w:rPr>
                    <w:rStyle w:val="Hyperlink"/>
                    <w:rFonts w:ascii="Arial" w:hAnsi="Arial" w:cs="Arial"/>
                    <w:sz w:val="24"/>
                    <w:szCs w:val="24"/>
                  </w:rPr>
                  <w:t>https://conbio.onlinelibrary.wiley.com/doi/full/10.1111/csp2.12635</w:t>
                </w:r>
              </w:hyperlink>
            </w:p>
            <w:p w14:paraId="401D4C37" w14:textId="79FA21C6" w:rsidR="00944B25" w:rsidRPr="00187651" w:rsidRDefault="00944B25" w:rsidP="00187651">
              <w:pPr>
                <w:pStyle w:val="Bibliography"/>
                <w:jc w:val="both"/>
                <w:rPr>
                  <w:rFonts w:ascii="Arial" w:hAnsi="Arial" w:cs="Arial"/>
                  <w:noProof/>
                  <w:sz w:val="24"/>
                  <w:szCs w:val="24"/>
                </w:rPr>
              </w:pPr>
              <w:r w:rsidRPr="00187651">
                <w:rPr>
                  <w:rFonts w:ascii="Arial" w:hAnsi="Arial" w:cs="Arial"/>
                  <w:noProof/>
                  <w:sz w:val="24"/>
                  <w:szCs w:val="24"/>
                </w:rPr>
                <w:t>Kolev, K. D., Wangrow, D. B., Barker III, V. L. &amp; Schepker, D. J., 2019. Board committees in corporate governance: A cross</w:t>
              </w:r>
              <w:r w:rsidRPr="00187651">
                <w:rPr>
                  <w:rFonts w:ascii="Cambria Math" w:hAnsi="Cambria Math" w:cs="Cambria Math"/>
                  <w:noProof/>
                  <w:sz w:val="24"/>
                  <w:szCs w:val="24"/>
                </w:rPr>
                <w:t>‐</w:t>
              </w:r>
              <w:r w:rsidRPr="00187651">
                <w:rPr>
                  <w:rFonts w:ascii="Arial" w:hAnsi="Arial" w:cs="Arial"/>
                  <w:noProof/>
                  <w:sz w:val="24"/>
                  <w:szCs w:val="24"/>
                </w:rPr>
                <w:t xml:space="preserve">disciplinary review and agenda for the future. </w:t>
              </w:r>
              <w:r w:rsidRPr="00187651">
                <w:rPr>
                  <w:rFonts w:ascii="Arial" w:hAnsi="Arial" w:cs="Arial"/>
                  <w:i/>
                  <w:iCs/>
                  <w:noProof/>
                  <w:sz w:val="24"/>
                  <w:szCs w:val="24"/>
                </w:rPr>
                <w:t xml:space="preserve">Journal of Management Studies, </w:t>
              </w:r>
              <w:r w:rsidRPr="00187651">
                <w:rPr>
                  <w:rFonts w:ascii="Arial" w:hAnsi="Arial" w:cs="Arial"/>
                  <w:noProof/>
                  <w:sz w:val="24"/>
                  <w:szCs w:val="24"/>
                </w:rPr>
                <w:t>56(6), pp. 1138-1193.</w:t>
              </w:r>
            </w:p>
            <w:p w14:paraId="3F01A309" w14:textId="562266FD" w:rsidR="00944B25" w:rsidRPr="00187651" w:rsidRDefault="00944B25" w:rsidP="00187651">
              <w:pPr>
                <w:pStyle w:val="Bibliography"/>
                <w:jc w:val="both"/>
                <w:rPr>
                  <w:rFonts w:ascii="Arial" w:hAnsi="Arial" w:cs="Arial"/>
                  <w:noProof/>
                  <w:sz w:val="24"/>
                  <w:szCs w:val="24"/>
                </w:rPr>
              </w:pPr>
              <w:r w:rsidRPr="00187651">
                <w:rPr>
                  <w:rFonts w:ascii="Arial" w:hAnsi="Arial" w:cs="Arial"/>
                  <w:noProof/>
                  <w:sz w:val="24"/>
                  <w:szCs w:val="24"/>
                </w:rPr>
                <w:t xml:space="preserve">Leider, R., 2021. The Modern Common Law of Crime. </w:t>
              </w:r>
              <w:r w:rsidRPr="00187651">
                <w:rPr>
                  <w:rFonts w:ascii="Arial" w:hAnsi="Arial" w:cs="Arial"/>
                  <w:i/>
                  <w:iCs/>
                  <w:noProof/>
                  <w:sz w:val="24"/>
                  <w:szCs w:val="24"/>
                </w:rPr>
                <w:t xml:space="preserve">The Journal of Criminal Law and Criminology, </w:t>
              </w:r>
              <w:r w:rsidRPr="00187651">
                <w:rPr>
                  <w:rFonts w:ascii="Arial" w:hAnsi="Arial" w:cs="Arial"/>
                  <w:noProof/>
                  <w:sz w:val="24"/>
                  <w:szCs w:val="24"/>
                </w:rPr>
                <w:t>111(2), pp. 407-499.</w:t>
              </w:r>
            </w:p>
            <w:p w14:paraId="00D5DF51" w14:textId="2BFD884B" w:rsidR="00187651" w:rsidRPr="00187651" w:rsidRDefault="007761D3" w:rsidP="00187651">
              <w:pPr>
                <w:jc w:val="both"/>
                <w:rPr>
                  <w:rFonts w:ascii="Arial" w:hAnsi="Arial" w:cs="Arial"/>
                  <w:sz w:val="24"/>
                  <w:szCs w:val="24"/>
                </w:rPr>
              </w:pPr>
              <w:hyperlink r:id="rId11" w:history="1">
                <w:r w:rsidR="00187651" w:rsidRPr="00187651">
                  <w:rPr>
                    <w:rStyle w:val="Hyperlink"/>
                    <w:rFonts w:ascii="Arial" w:hAnsi="Arial" w:cs="Arial"/>
                    <w:sz w:val="24"/>
                    <w:szCs w:val="24"/>
                  </w:rPr>
                  <w:t>https://scholarlycommons.law.northwestern.edu/cgi/viewcontent.cgi?article=7698&amp;context=jclc</w:t>
                </w:r>
              </w:hyperlink>
            </w:p>
            <w:p w14:paraId="53CAFDB2" w14:textId="77777777" w:rsidR="00187651" w:rsidRPr="00187651" w:rsidRDefault="00187651" w:rsidP="00187651">
              <w:pPr>
                <w:jc w:val="both"/>
                <w:rPr>
                  <w:rFonts w:ascii="Arial" w:hAnsi="Arial" w:cs="Arial"/>
                  <w:sz w:val="24"/>
                  <w:szCs w:val="24"/>
                </w:rPr>
              </w:pPr>
            </w:p>
            <w:p w14:paraId="3CD86DEE" w14:textId="0E9096FC" w:rsidR="00944B25" w:rsidRPr="00187651" w:rsidRDefault="00944B25" w:rsidP="00187651">
              <w:pPr>
                <w:pStyle w:val="Bibliography"/>
                <w:jc w:val="both"/>
                <w:rPr>
                  <w:rFonts w:ascii="Arial" w:hAnsi="Arial" w:cs="Arial"/>
                  <w:noProof/>
                  <w:sz w:val="24"/>
                  <w:szCs w:val="24"/>
                </w:rPr>
              </w:pPr>
              <w:r w:rsidRPr="00187651">
                <w:rPr>
                  <w:rFonts w:ascii="Arial" w:hAnsi="Arial" w:cs="Arial"/>
                  <w:noProof/>
                  <w:sz w:val="24"/>
                  <w:szCs w:val="24"/>
                </w:rPr>
                <w:lastRenderedPageBreak/>
                <w:t xml:space="preserve">Syam, M., Ismansyah, I., Azheri, B. &amp; Hasbi, M., 2021. Consumer protection enforcement law characteristics on civil law aspects in Indonesia. </w:t>
              </w:r>
              <w:r w:rsidRPr="00187651">
                <w:rPr>
                  <w:rFonts w:ascii="Arial" w:hAnsi="Arial" w:cs="Arial"/>
                  <w:i/>
                  <w:iCs/>
                  <w:noProof/>
                  <w:sz w:val="24"/>
                  <w:szCs w:val="24"/>
                </w:rPr>
                <w:t xml:space="preserve">Linguistics and Culture Review, </w:t>
              </w:r>
              <w:r w:rsidRPr="00187651">
                <w:rPr>
                  <w:rFonts w:ascii="Arial" w:hAnsi="Arial" w:cs="Arial"/>
                  <w:noProof/>
                  <w:sz w:val="24"/>
                  <w:szCs w:val="24"/>
                </w:rPr>
                <w:t>pp. 1471-1481.</w:t>
              </w:r>
            </w:p>
            <w:p w14:paraId="5BFCE849" w14:textId="44119D88" w:rsidR="00187651" w:rsidRPr="00187651" w:rsidRDefault="007761D3" w:rsidP="00187651">
              <w:pPr>
                <w:jc w:val="both"/>
                <w:rPr>
                  <w:rFonts w:ascii="Arial" w:hAnsi="Arial" w:cs="Arial"/>
                  <w:sz w:val="24"/>
                  <w:szCs w:val="24"/>
                </w:rPr>
              </w:pPr>
              <w:hyperlink r:id="rId12" w:history="1">
                <w:r w:rsidR="00187651" w:rsidRPr="00187651">
                  <w:rPr>
                    <w:rStyle w:val="Hyperlink"/>
                    <w:rFonts w:ascii="Arial" w:hAnsi="Arial" w:cs="Arial"/>
                    <w:sz w:val="24"/>
                    <w:szCs w:val="24"/>
                  </w:rPr>
                  <w:t>https://lingcure.org/index.php/journal/article/view/1976/764</w:t>
                </w:r>
              </w:hyperlink>
            </w:p>
            <w:p w14:paraId="55FE1F3F" w14:textId="6DEAE7B8" w:rsidR="00944B25" w:rsidRPr="00187651" w:rsidRDefault="00944B25" w:rsidP="00187651">
              <w:pPr>
                <w:pStyle w:val="Bibliography"/>
                <w:jc w:val="both"/>
                <w:rPr>
                  <w:rFonts w:ascii="Arial" w:hAnsi="Arial" w:cs="Arial"/>
                  <w:noProof/>
                  <w:sz w:val="24"/>
                  <w:szCs w:val="24"/>
                </w:rPr>
              </w:pPr>
              <w:r w:rsidRPr="00187651">
                <w:rPr>
                  <w:rFonts w:ascii="Arial" w:hAnsi="Arial" w:cs="Arial"/>
                  <w:noProof/>
                  <w:sz w:val="24"/>
                  <w:szCs w:val="24"/>
                </w:rPr>
                <w:t xml:space="preserve">Ylvisaker, S. &amp; Rugkåsa, M., 2022. Dilemmas and conflicting pressures in social work practice. </w:t>
              </w:r>
              <w:r w:rsidRPr="00187651">
                <w:rPr>
                  <w:rFonts w:ascii="Arial" w:hAnsi="Arial" w:cs="Arial"/>
                  <w:i/>
                  <w:iCs/>
                  <w:noProof/>
                  <w:sz w:val="24"/>
                  <w:szCs w:val="24"/>
                </w:rPr>
                <w:t xml:space="preserve">European Journal of Social Work, </w:t>
              </w:r>
              <w:r w:rsidRPr="00187651">
                <w:rPr>
                  <w:rFonts w:ascii="Arial" w:hAnsi="Arial" w:cs="Arial"/>
                  <w:noProof/>
                  <w:sz w:val="24"/>
                  <w:szCs w:val="24"/>
                </w:rPr>
                <w:t>25(4), pp. 643-654.</w:t>
              </w:r>
            </w:p>
            <w:p w14:paraId="1CA0501F" w14:textId="28C836A9" w:rsidR="00944B25" w:rsidRPr="00187651" w:rsidRDefault="00944B25" w:rsidP="00187651">
              <w:pPr>
                <w:jc w:val="both"/>
                <w:rPr>
                  <w:rFonts w:ascii="Arial" w:hAnsi="Arial" w:cs="Arial"/>
                  <w:sz w:val="24"/>
                  <w:szCs w:val="24"/>
                </w:rPr>
              </w:pPr>
              <w:r w:rsidRPr="00187651">
                <w:rPr>
                  <w:rFonts w:ascii="Arial" w:hAnsi="Arial" w:cs="Arial"/>
                  <w:b/>
                  <w:bCs/>
                  <w:noProof/>
                  <w:sz w:val="24"/>
                  <w:szCs w:val="24"/>
                </w:rPr>
                <w:fldChar w:fldCharType="end"/>
              </w:r>
              <w:hyperlink r:id="rId13" w:history="1">
                <w:r w:rsidR="00187651" w:rsidRPr="00187651">
                  <w:rPr>
                    <w:rStyle w:val="Hyperlink"/>
                    <w:rFonts w:ascii="Arial" w:hAnsi="Arial" w:cs="Arial"/>
                    <w:sz w:val="24"/>
                    <w:szCs w:val="24"/>
                  </w:rPr>
                  <w:t xml:space="preserve"> </w:t>
                </w:r>
                <w:r w:rsidR="00187651" w:rsidRPr="00187651">
                  <w:rPr>
                    <w:rStyle w:val="Hyperlink"/>
                    <w:rFonts w:ascii="Arial" w:hAnsi="Arial" w:cs="Arial"/>
                    <w:noProof/>
                    <w:sz w:val="24"/>
                    <w:szCs w:val="24"/>
                  </w:rPr>
                  <w:t>https://www.tandfonline.com/doi/full/10.1080/13691457.2021.1954884</w:t>
                </w:r>
              </w:hyperlink>
            </w:p>
          </w:sdtContent>
        </w:sdt>
      </w:sdtContent>
    </w:sdt>
    <w:p w14:paraId="601AE63D" w14:textId="77777777" w:rsidR="00944B25" w:rsidRPr="00187651" w:rsidRDefault="00944B25" w:rsidP="00187651">
      <w:pPr>
        <w:jc w:val="both"/>
        <w:rPr>
          <w:rFonts w:ascii="Arial" w:hAnsi="Arial" w:cs="Arial"/>
          <w:b/>
          <w:bCs/>
          <w:sz w:val="24"/>
          <w:szCs w:val="24"/>
        </w:rPr>
      </w:pPr>
    </w:p>
    <w:sectPr w:rsidR="00944B25" w:rsidRPr="00187651">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B0324" w14:textId="77777777" w:rsidR="003E02EF" w:rsidRDefault="003E02EF" w:rsidP="004F3AAF">
      <w:pPr>
        <w:spacing w:after="0" w:line="240" w:lineRule="auto"/>
      </w:pPr>
      <w:r>
        <w:separator/>
      </w:r>
    </w:p>
  </w:endnote>
  <w:endnote w:type="continuationSeparator" w:id="0">
    <w:p w14:paraId="18B14737" w14:textId="77777777" w:rsidR="003E02EF" w:rsidRDefault="003E02EF" w:rsidP="004F3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75D7D" w14:textId="77777777" w:rsidR="003E02EF" w:rsidRDefault="003E02EF" w:rsidP="004F3AAF">
      <w:pPr>
        <w:spacing w:after="0" w:line="240" w:lineRule="auto"/>
      </w:pPr>
      <w:r>
        <w:separator/>
      </w:r>
    </w:p>
  </w:footnote>
  <w:footnote w:type="continuationSeparator" w:id="0">
    <w:p w14:paraId="7FF8EC55" w14:textId="77777777" w:rsidR="003E02EF" w:rsidRDefault="003E02EF" w:rsidP="004F3A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ACD6D" w14:textId="2A17583D" w:rsidR="00A52CE4" w:rsidRDefault="00A52CE4">
    <w:pPr>
      <w:pStyle w:val="Header"/>
      <w:jc w:val="right"/>
    </w:pPr>
    <w:r>
      <w:t xml:space="preserve">COMMON LAW AND CIVIL LAW </w:t>
    </w:r>
    <w:sdt>
      <w:sdtPr>
        <w:id w:val="-44045493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674D6D2E" w14:textId="77777777" w:rsidR="00A52CE4" w:rsidRDefault="00A52C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Y1NrY0MzQ0N7QwMDZW0lEKTi0uzszPAykwqgUASI+E0CwAAAA="/>
  </w:docVars>
  <w:rsids>
    <w:rsidRoot w:val="003B4FDB"/>
    <w:rsid w:val="000C0444"/>
    <w:rsid w:val="000E59DA"/>
    <w:rsid w:val="001355B2"/>
    <w:rsid w:val="00156715"/>
    <w:rsid w:val="00187651"/>
    <w:rsid w:val="002D158E"/>
    <w:rsid w:val="003B4FDB"/>
    <w:rsid w:val="003E02EF"/>
    <w:rsid w:val="00421573"/>
    <w:rsid w:val="004F2FDA"/>
    <w:rsid w:val="004F3AAF"/>
    <w:rsid w:val="0065032C"/>
    <w:rsid w:val="006526C3"/>
    <w:rsid w:val="00690713"/>
    <w:rsid w:val="006C1D17"/>
    <w:rsid w:val="0077068E"/>
    <w:rsid w:val="00816494"/>
    <w:rsid w:val="008B0C09"/>
    <w:rsid w:val="008D33CB"/>
    <w:rsid w:val="009004BA"/>
    <w:rsid w:val="00917E68"/>
    <w:rsid w:val="00944B25"/>
    <w:rsid w:val="00A17BB2"/>
    <w:rsid w:val="00A52CE4"/>
    <w:rsid w:val="00AA7993"/>
    <w:rsid w:val="00D33DBE"/>
    <w:rsid w:val="00EB37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C1F9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64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3A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3AAF"/>
  </w:style>
  <w:style w:type="paragraph" w:styleId="Footer">
    <w:name w:val="footer"/>
    <w:basedOn w:val="Normal"/>
    <w:link w:val="FooterChar"/>
    <w:uiPriority w:val="99"/>
    <w:unhideWhenUsed/>
    <w:rsid w:val="004F3A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3AAF"/>
  </w:style>
  <w:style w:type="character" w:customStyle="1" w:styleId="Heading1Char">
    <w:name w:val="Heading 1 Char"/>
    <w:basedOn w:val="DefaultParagraphFont"/>
    <w:link w:val="Heading1"/>
    <w:uiPriority w:val="9"/>
    <w:rsid w:val="00816494"/>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816494"/>
    <w:pPr>
      <w:spacing w:after="0" w:line="240" w:lineRule="auto"/>
    </w:pPr>
  </w:style>
  <w:style w:type="paragraph" w:styleId="TOCHeading">
    <w:name w:val="TOC Heading"/>
    <w:basedOn w:val="Heading1"/>
    <w:next w:val="Normal"/>
    <w:uiPriority w:val="39"/>
    <w:unhideWhenUsed/>
    <w:qFormat/>
    <w:rsid w:val="00A52CE4"/>
    <w:pPr>
      <w:outlineLvl w:val="9"/>
    </w:pPr>
    <w:rPr>
      <w:kern w:val="0"/>
      <w14:ligatures w14:val="none"/>
    </w:rPr>
  </w:style>
  <w:style w:type="paragraph" w:styleId="TOC1">
    <w:name w:val="toc 1"/>
    <w:basedOn w:val="Normal"/>
    <w:next w:val="Normal"/>
    <w:autoRedefine/>
    <w:uiPriority w:val="39"/>
    <w:unhideWhenUsed/>
    <w:rsid w:val="00A52CE4"/>
    <w:pPr>
      <w:spacing w:after="100"/>
    </w:pPr>
  </w:style>
  <w:style w:type="character" w:styleId="Hyperlink">
    <w:name w:val="Hyperlink"/>
    <w:basedOn w:val="DefaultParagraphFont"/>
    <w:uiPriority w:val="99"/>
    <w:unhideWhenUsed/>
    <w:rsid w:val="00A52CE4"/>
    <w:rPr>
      <w:color w:val="0563C1" w:themeColor="hyperlink"/>
      <w:u w:val="single"/>
    </w:rPr>
  </w:style>
  <w:style w:type="paragraph" w:styleId="Bibliography">
    <w:name w:val="Bibliography"/>
    <w:basedOn w:val="Normal"/>
    <w:next w:val="Normal"/>
    <w:uiPriority w:val="37"/>
    <w:unhideWhenUsed/>
    <w:rsid w:val="00944B25"/>
  </w:style>
  <w:style w:type="character" w:styleId="UnresolvedMention">
    <w:name w:val="Unresolved Mention"/>
    <w:basedOn w:val="DefaultParagraphFont"/>
    <w:uiPriority w:val="99"/>
    <w:semiHidden/>
    <w:unhideWhenUsed/>
    <w:rsid w:val="00944B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370440">
      <w:bodyDiv w:val="1"/>
      <w:marLeft w:val="0"/>
      <w:marRight w:val="0"/>
      <w:marTop w:val="0"/>
      <w:marBottom w:val="0"/>
      <w:divBdr>
        <w:top w:val="none" w:sz="0" w:space="0" w:color="auto"/>
        <w:left w:val="none" w:sz="0" w:space="0" w:color="auto"/>
        <w:bottom w:val="none" w:sz="0" w:space="0" w:color="auto"/>
        <w:right w:val="none" w:sz="0" w:space="0" w:color="auto"/>
      </w:divBdr>
    </w:div>
    <w:div w:id="484589762">
      <w:bodyDiv w:val="1"/>
      <w:marLeft w:val="0"/>
      <w:marRight w:val="0"/>
      <w:marTop w:val="0"/>
      <w:marBottom w:val="0"/>
      <w:divBdr>
        <w:top w:val="none" w:sz="0" w:space="0" w:color="auto"/>
        <w:left w:val="none" w:sz="0" w:space="0" w:color="auto"/>
        <w:bottom w:val="none" w:sz="0" w:space="0" w:color="auto"/>
        <w:right w:val="none" w:sz="0" w:space="0" w:color="auto"/>
      </w:divBdr>
    </w:div>
    <w:div w:id="507066112">
      <w:bodyDiv w:val="1"/>
      <w:marLeft w:val="0"/>
      <w:marRight w:val="0"/>
      <w:marTop w:val="0"/>
      <w:marBottom w:val="0"/>
      <w:divBdr>
        <w:top w:val="none" w:sz="0" w:space="0" w:color="auto"/>
        <w:left w:val="none" w:sz="0" w:space="0" w:color="auto"/>
        <w:bottom w:val="none" w:sz="0" w:space="0" w:color="auto"/>
        <w:right w:val="none" w:sz="0" w:space="0" w:color="auto"/>
      </w:divBdr>
    </w:div>
    <w:div w:id="568660857">
      <w:bodyDiv w:val="1"/>
      <w:marLeft w:val="0"/>
      <w:marRight w:val="0"/>
      <w:marTop w:val="0"/>
      <w:marBottom w:val="0"/>
      <w:divBdr>
        <w:top w:val="none" w:sz="0" w:space="0" w:color="auto"/>
        <w:left w:val="none" w:sz="0" w:space="0" w:color="auto"/>
        <w:bottom w:val="none" w:sz="0" w:space="0" w:color="auto"/>
        <w:right w:val="none" w:sz="0" w:space="0" w:color="auto"/>
      </w:divBdr>
    </w:div>
    <w:div w:id="730271565">
      <w:bodyDiv w:val="1"/>
      <w:marLeft w:val="0"/>
      <w:marRight w:val="0"/>
      <w:marTop w:val="0"/>
      <w:marBottom w:val="0"/>
      <w:divBdr>
        <w:top w:val="none" w:sz="0" w:space="0" w:color="auto"/>
        <w:left w:val="none" w:sz="0" w:space="0" w:color="auto"/>
        <w:bottom w:val="none" w:sz="0" w:space="0" w:color="auto"/>
        <w:right w:val="none" w:sz="0" w:space="0" w:color="auto"/>
      </w:divBdr>
    </w:div>
    <w:div w:id="1018120863">
      <w:bodyDiv w:val="1"/>
      <w:marLeft w:val="0"/>
      <w:marRight w:val="0"/>
      <w:marTop w:val="0"/>
      <w:marBottom w:val="0"/>
      <w:divBdr>
        <w:top w:val="none" w:sz="0" w:space="0" w:color="auto"/>
        <w:left w:val="none" w:sz="0" w:space="0" w:color="auto"/>
        <w:bottom w:val="none" w:sz="0" w:space="0" w:color="auto"/>
        <w:right w:val="none" w:sz="0" w:space="0" w:color="auto"/>
      </w:divBdr>
    </w:div>
    <w:div w:id="1208878077">
      <w:bodyDiv w:val="1"/>
      <w:marLeft w:val="0"/>
      <w:marRight w:val="0"/>
      <w:marTop w:val="0"/>
      <w:marBottom w:val="0"/>
      <w:divBdr>
        <w:top w:val="none" w:sz="0" w:space="0" w:color="auto"/>
        <w:left w:val="none" w:sz="0" w:space="0" w:color="auto"/>
        <w:bottom w:val="none" w:sz="0" w:space="0" w:color="auto"/>
        <w:right w:val="none" w:sz="0" w:space="0" w:color="auto"/>
      </w:divBdr>
      <w:divsChild>
        <w:div w:id="1650555684">
          <w:marLeft w:val="0"/>
          <w:marRight w:val="0"/>
          <w:marTop w:val="0"/>
          <w:marBottom w:val="0"/>
          <w:divBdr>
            <w:top w:val="single" w:sz="2" w:space="0" w:color="D9D9E3"/>
            <w:left w:val="single" w:sz="2" w:space="0" w:color="D9D9E3"/>
            <w:bottom w:val="single" w:sz="2" w:space="0" w:color="D9D9E3"/>
            <w:right w:val="single" w:sz="2" w:space="0" w:color="D9D9E3"/>
          </w:divBdr>
          <w:divsChild>
            <w:div w:id="1137802008">
              <w:marLeft w:val="0"/>
              <w:marRight w:val="0"/>
              <w:marTop w:val="0"/>
              <w:marBottom w:val="0"/>
              <w:divBdr>
                <w:top w:val="single" w:sz="2" w:space="0" w:color="D9D9E3"/>
                <w:left w:val="single" w:sz="2" w:space="0" w:color="D9D9E3"/>
                <w:bottom w:val="single" w:sz="2" w:space="0" w:color="D9D9E3"/>
                <w:right w:val="single" w:sz="2" w:space="0" w:color="D9D9E3"/>
              </w:divBdr>
              <w:divsChild>
                <w:div w:id="1120033376">
                  <w:marLeft w:val="0"/>
                  <w:marRight w:val="0"/>
                  <w:marTop w:val="0"/>
                  <w:marBottom w:val="0"/>
                  <w:divBdr>
                    <w:top w:val="single" w:sz="2" w:space="0" w:color="D9D9E3"/>
                    <w:left w:val="single" w:sz="2" w:space="0" w:color="D9D9E3"/>
                    <w:bottom w:val="single" w:sz="2" w:space="0" w:color="D9D9E3"/>
                    <w:right w:val="single" w:sz="2" w:space="0" w:color="D9D9E3"/>
                  </w:divBdr>
                  <w:divsChild>
                    <w:div w:id="325861018">
                      <w:marLeft w:val="0"/>
                      <w:marRight w:val="0"/>
                      <w:marTop w:val="0"/>
                      <w:marBottom w:val="0"/>
                      <w:divBdr>
                        <w:top w:val="single" w:sz="2" w:space="0" w:color="D9D9E3"/>
                        <w:left w:val="single" w:sz="2" w:space="0" w:color="D9D9E3"/>
                        <w:bottom w:val="single" w:sz="2" w:space="0" w:color="D9D9E3"/>
                        <w:right w:val="single" w:sz="2" w:space="0" w:color="D9D9E3"/>
                      </w:divBdr>
                      <w:divsChild>
                        <w:div w:id="855193798">
                          <w:marLeft w:val="0"/>
                          <w:marRight w:val="0"/>
                          <w:marTop w:val="0"/>
                          <w:marBottom w:val="0"/>
                          <w:divBdr>
                            <w:top w:val="single" w:sz="2" w:space="0" w:color="auto"/>
                            <w:left w:val="single" w:sz="2" w:space="0" w:color="auto"/>
                            <w:bottom w:val="single" w:sz="6" w:space="0" w:color="auto"/>
                            <w:right w:val="single" w:sz="2" w:space="0" w:color="auto"/>
                          </w:divBdr>
                          <w:divsChild>
                            <w:div w:id="1308899954">
                              <w:marLeft w:val="0"/>
                              <w:marRight w:val="0"/>
                              <w:marTop w:val="100"/>
                              <w:marBottom w:val="100"/>
                              <w:divBdr>
                                <w:top w:val="single" w:sz="2" w:space="0" w:color="D9D9E3"/>
                                <w:left w:val="single" w:sz="2" w:space="0" w:color="D9D9E3"/>
                                <w:bottom w:val="single" w:sz="2" w:space="0" w:color="D9D9E3"/>
                                <w:right w:val="single" w:sz="2" w:space="0" w:color="D9D9E3"/>
                              </w:divBdr>
                              <w:divsChild>
                                <w:div w:id="1228999189">
                                  <w:marLeft w:val="0"/>
                                  <w:marRight w:val="0"/>
                                  <w:marTop w:val="0"/>
                                  <w:marBottom w:val="0"/>
                                  <w:divBdr>
                                    <w:top w:val="single" w:sz="2" w:space="0" w:color="D9D9E3"/>
                                    <w:left w:val="single" w:sz="2" w:space="0" w:color="D9D9E3"/>
                                    <w:bottom w:val="single" w:sz="2" w:space="0" w:color="D9D9E3"/>
                                    <w:right w:val="single" w:sz="2" w:space="0" w:color="D9D9E3"/>
                                  </w:divBdr>
                                  <w:divsChild>
                                    <w:div w:id="48840894">
                                      <w:marLeft w:val="0"/>
                                      <w:marRight w:val="0"/>
                                      <w:marTop w:val="0"/>
                                      <w:marBottom w:val="0"/>
                                      <w:divBdr>
                                        <w:top w:val="single" w:sz="2" w:space="0" w:color="D9D9E3"/>
                                        <w:left w:val="single" w:sz="2" w:space="0" w:color="D9D9E3"/>
                                        <w:bottom w:val="single" w:sz="2" w:space="0" w:color="D9D9E3"/>
                                        <w:right w:val="single" w:sz="2" w:space="0" w:color="D9D9E3"/>
                                      </w:divBdr>
                                      <w:divsChild>
                                        <w:div w:id="1088308302">
                                          <w:marLeft w:val="0"/>
                                          <w:marRight w:val="0"/>
                                          <w:marTop w:val="0"/>
                                          <w:marBottom w:val="0"/>
                                          <w:divBdr>
                                            <w:top w:val="single" w:sz="2" w:space="0" w:color="D9D9E3"/>
                                            <w:left w:val="single" w:sz="2" w:space="0" w:color="D9D9E3"/>
                                            <w:bottom w:val="single" w:sz="2" w:space="0" w:color="D9D9E3"/>
                                            <w:right w:val="single" w:sz="2" w:space="0" w:color="D9D9E3"/>
                                          </w:divBdr>
                                          <w:divsChild>
                                            <w:div w:id="6790873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52205659">
          <w:marLeft w:val="0"/>
          <w:marRight w:val="0"/>
          <w:marTop w:val="0"/>
          <w:marBottom w:val="0"/>
          <w:divBdr>
            <w:top w:val="none" w:sz="0" w:space="0" w:color="auto"/>
            <w:left w:val="none" w:sz="0" w:space="0" w:color="auto"/>
            <w:bottom w:val="none" w:sz="0" w:space="0" w:color="auto"/>
            <w:right w:val="none" w:sz="0" w:space="0" w:color="auto"/>
          </w:divBdr>
          <w:divsChild>
            <w:div w:id="989404280">
              <w:marLeft w:val="0"/>
              <w:marRight w:val="0"/>
              <w:marTop w:val="0"/>
              <w:marBottom w:val="0"/>
              <w:divBdr>
                <w:top w:val="single" w:sz="2" w:space="0" w:color="D9D9E3"/>
                <w:left w:val="single" w:sz="2" w:space="0" w:color="D9D9E3"/>
                <w:bottom w:val="single" w:sz="2" w:space="0" w:color="D9D9E3"/>
                <w:right w:val="single" w:sz="2" w:space="0" w:color="D9D9E3"/>
              </w:divBdr>
              <w:divsChild>
                <w:div w:id="468134576">
                  <w:marLeft w:val="0"/>
                  <w:marRight w:val="0"/>
                  <w:marTop w:val="0"/>
                  <w:marBottom w:val="0"/>
                  <w:divBdr>
                    <w:top w:val="single" w:sz="2" w:space="0" w:color="D9D9E3"/>
                    <w:left w:val="single" w:sz="2" w:space="0" w:color="D9D9E3"/>
                    <w:bottom w:val="single" w:sz="2" w:space="0" w:color="D9D9E3"/>
                    <w:right w:val="single" w:sz="2" w:space="0" w:color="D9D9E3"/>
                  </w:divBdr>
                  <w:divsChild>
                    <w:div w:id="13374188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76062310">
      <w:bodyDiv w:val="1"/>
      <w:marLeft w:val="0"/>
      <w:marRight w:val="0"/>
      <w:marTop w:val="0"/>
      <w:marBottom w:val="0"/>
      <w:divBdr>
        <w:top w:val="none" w:sz="0" w:space="0" w:color="auto"/>
        <w:left w:val="none" w:sz="0" w:space="0" w:color="auto"/>
        <w:bottom w:val="none" w:sz="0" w:space="0" w:color="auto"/>
        <w:right w:val="none" w:sz="0" w:space="0" w:color="auto"/>
      </w:divBdr>
    </w:div>
    <w:div w:id="1294797395">
      <w:bodyDiv w:val="1"/>
      <w:marLeft w:val="0"/>
      <w:marRight w:val="0"/>
      <w:marTop w:val="0"/>
      <w:marBottom w:val="0"/>
      <w:divBdr>
        <w:top w:val="none" w:sz="0" w:space="0" w:color="auto"/>
        <w:left w:val="none" w:sz="0" w:space="0" w:color="auto"/>
        <w:bottom w:val="none" w:sz="0" w:space="0" w:color="auto"/>
        <w:right w:val="none" w:sz="0" w:space="0" w:color="auto"/>
      </w:divBdr>
    </w:div>
    <w:div w:id="1564221623">
      <w:bodyDiv w:val="1"/>
      <w:marLeft w:val="0"/>
      <w:marRight w:val="0"/>
      <w:marTop w:val="0"/>
      <w:marBottom w:val="0"/>
      <w:divBdr>
        <w:top w:val="none" w:sz="0" w:space="0" w:color="auto"/>
        <w:left w:val="none" w:sz="0" w:space="0" w:color="auto"/>
        <w:bottom w:val="none" w:sz="0" w:space="0" w:color="auto"/>
        <w:right w:val="none" w:sz="0" w:space="0" w:color="auto"/>
      </w:divBdr>
    </w:div>
    <w:div w:id="1626496690">
      <w:bodyDiv w:val="1"/>
      <w:marLeft w:val="0"/>
      <w:marRight w:val="0"/>
      <w:marTop w:val="0"/>
      <w:marBottom w:val="0"/>
      <w:divBdr>
        <w:top w:val="none" w:sz="0" w:space="0" w:color="auto"/>
        <w:left w:val="none" w:sz="0" w:space="0" w:color="auto"/>
        <w:bottom w:val="none" w:sz="0" w:space="0" w:color="auto"/>
        <w:right w:val="none" w:sz="0" w:space="0" w:color="auto"/>
      </w:divBdr>
    </w:div>
    <w:div w:id="202906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chapter/10.1007/978-3-030-87718-7_5" TargetMode="External" /><Relationship Id="rId13" Type="http://schemas.openxmlformats.org/officeDocument/2006/relationships/hyperlink" Target="%20https:/www.tandfonline.com/doi/full/10.1080/13691457.2021.1954884" TargetMode="External" /><Relationship Id="rId3" Type="http://schemas.openxmlformats.org/officeDocument/2006/relationships/settings" Target="settings.xml" /><Relationship Id="rId7" Type="http://schemas.openxmlformats.org/officeDocument/2006/relationships/hyperlink" Target="https://scholar.google.com/scholar?start=0&amp;q=Outline+the+history+of+the+common+law&amp;hl=en&amp;as_sdt=0,5&amp;as_ylo=2019%23d=gs_cit&amp;t=1679066135889&amp;u=%2Fscholar%3Fq%3Dinfo%3AHZo_TpHFfdUJ%3Ascholar.google.com%2F%26output%3Dcite%26scirp%3D4%26hl%3Den" TargetMode="External" /><Relationship Id="rId12" Type="http://schemas.openxmlformats.org/officeDocument/2006/relationships/hyperlink" Target="https://lingcure.org/index.php/journal/article/view/1976/764"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scholarlycommons.law.northwestern.edu/cgi/viewcontent.cgi?article=7698&amp;context=jclc" TargetMode="Externa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yperlink" Target="https://conbio.onlinelibrary.wiley.com/doi/full/10.1111/csp2.12635" TargetMode="External" /><Relationship Id="rId4" Type="http://schemas.openxmlformats.org/officeDocument/2006/relationships/webSettings" Target="webSettings.xml" /><Relationship Id="rId9" Type="http://schemas.openxmlformats.org/officeDocument/2006/relationships/hyperlink" Target="https://books.google.com.pk/books?hl=en&amp;lr=&amp;id=nptlEAAAQBAJ&amp;oi=fnd&amp;pg=PP1&amp;dq=Bussani,+M.,+Sebok,+A.+%26+Infantino,+M.,+2022.+Common+Law+and+Civil+Law+Perspectives+on+Tort+Law.+Oxford+University+Press.&amp;ots=j3UmYFe-Qi&amp;sig=0LlYorc4DgcJMh0U78OobmM_UJI&amp;redir_esc=y%23v=onepage&amp;q=Bussani%2C%20M.%2C%20Sebok%2C%20A.%20%26%20Infantino%2C%20M.%2C%202022.%20Common%20Law%20and%20Civil%20Law%20Perspectives%20on%20Tort%20Law.%20Oxford%20University%20Press.&amp;f=false" TargetMode="External" /><Relationship Id="rId14"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Bus22</b:Tag>
    <b:SourceType>JournalArticle</b:SourceType>
    <b:Guid>{028435A2-5671-43EE-8BB1-885F476BB996}</b:Guid>
    <b:Author>
      <b:Author>
        <b:NameList>
          <b:Person>
            <b:Last>Bussani</b:Last>
            <b:First>M</b:First>
          </b:Person>
          <b:Person>
            <b:Last>Sebok</b:Last>
            <b:First>A</b:First>
          </b:Person>
          <b:Person>
            <b:Last>Infantino</b:Last>
            <b:First>M</b:First>
          </b:Person>
        </b:NameList>
      </b:Author>
    </b:Author>
    <b:Title>Common Law and Civil Law Perspectives on Tort Law</b:Title>
    <b:JournalName>Oxford University Press</b:JournalName>
    <b:Year>2022</b:Year>
    <b:URL>https://scholar.google.com/scholar?as_ylo=2019&amp;q=+COMMON+LAW+AND+CIVIL+LAW&amp;hl=en&amp;as_sdt=0,5#d=gs_cit&amp;t=1679065344738&amp;u=%2Fscholar%3Fq%3Dinfo%3AUraRDhk4k6gJ%3Ascholar.google.com%2F%26output%3Dcite%26scirp%3D3%26hl%3Den</b:URL>
    <b:RefOrder>1</b:RefOrder>
  </b:Source>
  <b:Source>
    <b:Tag>Lei21</b:Tag>
    <b:SourceType>JournalArticle</b:SourceType>
    <b:Guid>{E0FDF847-3A90-40C3-8CFB-718D86CABEF1}</b:Guid>
    <b:Author>
      <b:Author>
        <b:NameList>
          <b:Person>
            <b:Last>Leider</b:Last>
            <b:First>R</b:First>
          </b:Person>
        </b:NameList>
      </b:Author>
    </b:Author>
    <b:Title>The Modern Common Law of Crime</b:Title>
    <b:JournalName>The Journal of Criminal Law and Criminology</b:JournalName>
    <b:Year>2021</b:Year>
    <b:Pages>407-499</b:Pages>
    <b:Volume>111</b:Volume>
    <b:Issue>2</b:Issue>
    <b:URL>https://scholar.google.com/scholar?hl=en&amp;as_sdt=0%2C5&amp;as_ylo=2019&amp;q=Common+Law&amp;btnG=#d=gs_cit&amp;t=1679065526704&amp;u=%2Fscholar%3Fq%3Dinfo%3AnPM_b8AFPkQJ%3Ascholar.google.com%2F%26output%3Dcite%26scirp%3D6%26hl%3Den</b:URL>
    <b:RefOrder>2</b:RefOrder>
  </b:Source>
  <b:Source>
    <b:Tag>Sya21</b:Tag>
    <b:SourceType>JournalArticle</b:SourceType>
    <b:Guid>{2A33EB17-348D-4BB2-BBB6-196B7A76A808}</b:Guid>
    <b:Author>
      <b:Author>
        <b:NameList>
          <b:Person>
            <b:Last>Syam</b:Last>
            <b:First>M</b:First>
          </b:Person>
          <b:Person>
            <b:Last>Ismansyah</b:Last>
            <b:First>I</b:First>
          </b:Person>
          <b:Person>
            <b:Last>Azheri</b:Last>
            <b:First>B</b:First>
          </b:Person>
          <b:Person>
            <b:Last>Hasbi</b:Last>
            <b:First>M</b:First>
          </b:Person>
        </b:NameList>
      </b:Author>
    </b:Author>
    <b:Title>Consumer protection enforcement law characteristics on civil law aspects in Indonesia</b:Title>
    <b:JournalName>Linguistics and Culture Review</b:JournalName>
    <b:Year>2021</b:Year>
    <b:Pages>1471-1481</b:Pages>
    <b:URL>https://scholar.google.com/scholar?hl=en&amp;as_sdt=0%2C5&amp;as_ylo=2019&amp;q=Civil+Law&amp;btnG=#d=gs_cit&amp;t=1679065622928&amp;u=%2Fscholar%3Fq%3Dinfo%3ATikroO6PoEIJ%3Ascholar.google.com%2F%26output%3Dcite%26scirp%3D2%26hl%3Den</b:URL>
    <b:RefOrder>3</b:RefOrder>
  </b:Source>
  <b:Source>
    <b:Tag>Ber222</b:Tag>
    <b:SourceType>JournalArticle</b:SourceType>
    <b:Guid>{4D947F10-5EEE-4409-ADC5-948CD6AC1E10}</b:Guid>
    <b:Author>
      <b:Author>
        <b:NameList>
          <b:Person>
            <b:Last>Bersier</b:Last>
            <b:First>N</b:First>
          </b:Person>
        </b:NameList>
      </b:Author>
    </b:Author>
    <b:Title>The Civil Law as the Foundation of the Common Law: Roscoe Pound Considers the Origins of the Common Law</b:Title>
    <b:JournalName>Common Law–Civil Law: The Great Divide?</b:JournalName>
    <b:Year>2022</b:Year>
    <b:Pages>51-60</b:Pages>
    <b:URL>https://scholar.google.com/scholar?hl=en&amp;as_sdt=0%2C5&amp;as_ylo=2019&amp;q=Contrast+the+two+systems+The+legal+systems+of+%E2%80%9Ccommon+law+and+civil+law%E2%80%9D+&amp;btnG=#d=gs_cit&amp;t=1679065769174&amp;u=%2Fscholar%3Fq%3Dinfo%3AhsrjmWT86EUJ%3Ascholar.google.com%2F%26o</b:URL>
    <b:RefOrder>4</b:RefOrder>
  </b:Source>
  <b:Source>
    <b:Tag>Kol19</b:Tag>
    <b:SourceType>JournalArticle</b:SourceType>
    <b:Guid>{918431DC-48ED-4446-9F2A-EE0D12257E4E}</b:Guid>
    <b:Author>
      <b:Author>
        <b:NameList>
          <b:Person>
            <b:Last>Kolev</b:Last>
            <b:First>K.</b:First>
            <b:Middle>D</b:Middle>
          </b:Person>
          <b:Person>
            <b:Last>Wangrow</b:Last>
            <b:First>D.</b:First>
            <b:Middle>B</b:Middle>
          </b:Person>
          <b:Person>
            <b:Last>Barker III</b:Last>
            <b:First>V.</b:First>
            <b:Middle>L</b:Middle>
          </b:Person>
          <b:Person>
            <b:Last>Schepker</b:Last>
            <b:First>D.</b:First>
            <b:Middle>J</b:Middle>
          </b:Person>
        </b:NameList>
      </b:Author>
    </b:Author>
    <b:Title>Board committees in corporate governance: A cross‐disciplinary review and agenda for the future</b:Title>
    <b:JournalName>Journal of Management Studies</b:JournalName>
    <b:Year>2019</b:Year>
    <b:Pages>1138-1193</b:Pages>
    <b:Volume>56</b:Volume>
    <b:Issue>6</b:Issue>
    <b:URL>https://scholar.google.com/scholar?start=10&amp;q=Outline+the+history+of+the+common+law&amp;hl=en&amp;as_sdt=0,5&amp;as_ylo=2019#d=gs_cit&amp;t=1679065988129&amp;u=%2Fscholar%3Fq%3Dinfo%3ATLaNcISY8QEJ%3Ascholar.google.com%2F%26output%3Dcite%26scirp%3D15%26hl%3Den</b:URL>
    <b:RefOrder>5</b:RefOrder>
  </b:Source>
  <b:Source>
    <b:Tag>Aso19</b:Tag>
    <b:SourceType>JournalArticle</b:SourceType>
    <b:Guid>{653D1165-10C0-468D-800C-6E6E04D8D1B1}</b:Guid>
    <b:Author>
      <b:Author>
        <b:NameList>
          <b:Person>
            <b:Last>Asongu</b:Last>
            <b:First>S.</b:First>
            <b:Middle>A</b:Middle>
          </b:Person>
          <b:Person>
            <b:Last>Nwachukwu</b:Last>
            <b:First>J.</b:First>
            <b:Middle>C</b:Middle>
          </b:Person>
          <b:Person>
            <b:Last>Pyke</b:Last>
            <b:First>C</b:First>
          </b:Person>
        </b:NameList>
      </b:Author>
    </b:Author>
    <b:Title>The comparative economics of ICT, environmental degradation and inclusive human development in Sub-Saharan Africa</b:Title>
    <b:JournalName>ocial Indicators Research</b:JournalName>
    <b:Year>2019</b:Year>
    <b:Pages>1271-1297</b:Pages>
    <b:URL>https://scholar.google.com/scholar?start=0&amp;q=Outline+the+history+of+the+common+law&amp;hl=en&amp;as_sdt=0,5&amp;as_ylo=2019#d=gs_cit&amp;t=1679066135889&amp;u=%2Fscholar%3Fq%3Dinfo%3AHZo_TpHFfdUJ%3Ascholar.google.com%2F%26output%3Dcite%26scirp%3D4%26hl%3Den</b:URL>
    <b:RefOrder>6</b:RefOrder>
  </b:Source>
  <b:Source>
    <b:Tag>Ker22</b:Tag>
    <b:SourceType>JournalArticle</b:SourceType>
    <b:Guid>{47C4755B-EBE6-4666-931F-8C71B92749A6}</b:Guid>
    <b:Author>
      <b:Author>
        <b:NameList>
          <b:Person>
            <b:Last>Kershaw</b:Last>
            <b:First>F</b:First>
          </b:Person>
          <b:Person>
            <b:Last>Bruford</b:Last>
            <b:First>M.</b:First>
            <b:Middle>W</b:Middle>
          </b:Person>
          <b:Person>
            <b:Last>Funk</b:Last>
            <b:First>W.</b:First>
            <b:Middle>C</b:Middle>
          </b:Person>
          <b:Person>
            <b:Last>Grueber</b:Last>
            <b:First>C.</b:First>
            <b:Middle>E</b:Middle>
          </b:Person>
          <b:Person>
            <b:Last>Hoban</b:Last>
            <b:First>S</b:First>
          </b:Person>
          <b:Person>
            <b:Last>Hunter</b:Last>
            <b:First>M.</b:First>
            <b:Middle>E</b:Middle>
          </b:Person>
          <b:Person>
            <b:Last>Segelbacher</b:Last>
            <b:First>G</b:First>
          </b:Person>
        </b:NameList>
      </b:Author>
    </b:Author>
    <b:Title>The Coalition for Conservation Genetics: Working across organizations to build capacity and achieve change in policy and practice</b:Title>
    <b:JournalName>Conservation Science and Practice</b:JournalName>
    <b:Year>2022</b:Year>
    <b:Volume>4</b:Volume>
    <b:Issue>4</b:Issue>
    <b:URL>https://scholar.google.com/scholar?hl=en&amp;as_sdt=0%2C5&amp;as_ylo=2019&amp;q=Examples+of+Common+Law+working+in+practice&amp;btnG=#d=gs_cit&amp;t=1679066282845&amp;u=%2Fscholar%3Fq%3Dinfo%3ANv0li6ctYz0J%3Ascholar.google.com%2F%26output%3Dcite%26scirp%3D4%26hl%3Den</b:URL>
    <b:RefOrder>7</b:RefOrder>
  </b:Source>
  <b:Source>
    <b:Tag>Ylv22</b:Tag>
    <b:SourceType>JournalArticle</b:SourceType>
    <b:Guid>{9F0D6C7A-49B4-4ED4-AE59-DAFC963B814E}</b:Guid>
    <b:Author>
      <b:Author>
        <b:NameList>
          <b:Person>
            <b:Last>Ylvisaker</b:Last>
            <b:First>S</b:First>
          </b:Person>
          <b:Person>
            <b:Last>Rugkåsa</b:Last>
            <b:First>M</b:First>
          </b:Person>
        </b:NameList>
      </b:Author>
    </b:Author>
    <b:Title>Dilemmas and conflicting pressures in social work practice</b:Title>
    <b:JournalName>European Journal of Social Work</b:JournalName>
    <b:Year>2022</b:Year>
    <b:Pages>643-654</b:Pages>
    <b:Volume>25</b:Volume>
    <b:Issue>4</b:Issue>
    <b:URL>https://scholar.google.com/scholar?hl=en&amp;as_sdt=0%2C5&amp;as_ylo=2019&amp;q=Examples+of+Common+Law+working+in+practice&amp;btnG=#d=gs_cit&amp;t=1679066459277&amp;u=%2Fscholar%3Fq%3Dinfo%3AEGSfXsptq0wJ%3Ascholar.google.com%2F%26output%3Dcite%26scirp%3D5%26hl%3Den</b:URL>
    <b:RefOrder>8</b:RefOrder>
  </b:Source>
</b:Sources>
</file>

<file path=customXml/itemProps1.xml><?xml version="1.0" encoding="utf-8"?>
<ds:datastoreItem xmlns:ds="http://schemas.openxmlformats.org/officeDocument/2006/customXml" ds:itemID="{1E6DA064-26B0-455F-801B-1C01829EF89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2015</Words>
  <Characters>11489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2023-03-21T23:03:00Z</dcterms:created>
  <dcterms:modified xsi:type="dcterms:W3CDTF">2023-03-21T23:03:00Z</dcterms:modified>
</cp:coreProperties>
</file>