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563155" w:rsidP="00563155" w:rsidRDefault="00563155" w14:paraId="22CBEB09" w14:textId="77777777">
      <w:pPr>
        <w:rPr>
          <w:rFonts w:cs="Arial"/>
          <w:szCs w:val="24"/>
        </w:rPr>
      </w:pPr>
      <w:bookmarkStart w:name="_Hlk225248376" w:id="0"/>
      <w:r w:rsidRPr="00C03A91">
        <w:rPr>
          <w:rFonts w:cs="Arial"/>
          <w:noProof/>
          <w:szCs w:val="24"/>
        </w:rPr>
        <w:drawing>
          <wp:anchor distT="0" distB="0" distL="114300" distR="114300" simplePos="0" relativeHeight="251659264" behindDoc="0" locked="0" layoutInCell="1" allowOverlap="1" wp14:anchorId="01DE2E4D" wp14:editId="43A302BC">
            <wp:simplePos x="0" y="0"/>
            <wp:positionH relativeFrom="column">
              <wp:posOffset>0</wp:posOffset>
            </wp:positionH>
            <wp:positionV relativeFrom="paragraph">
              <wp:posOffset>354965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563155" w:rsidP="00563155" w:rsidRDefault="00563155" w14:paraId="04047830" w14:textId="77777777">
      <w:pPr>
        <w:rPr>
          <w:rFonts w:cs="Arial"/>
          <w:szCs w:val="24"/>
        </w:rPr>
      </w:pPr>
    </w:p>
    <w:p w:rsidRPr="00C03A91" w:rsidR="00563155" w:rsidP="00563155" w:rsidRDefault="00563155" w14:paraId="3A837A97" w14:textId="77777777">
      <w:pPr>
        <w:rPr>
          <w:rFonts w:cs="Arial"/>
          <w:szCs w:val="24"/>
        </w:rPr>
      </w:pPr>
    </w:p>
    <w:p w:rsidRPr="00C03A91" w:rsidR="00563155" w:rsidP="00563155" w:rsidRDefault="00563155" w14:paraId="6102D2B0" w14:textId="77777777">
      <w:pPr>
        <w:rPr>
          <w:rFonts w:cs="Arial"/>
          <w:szCs w:val="24"/>
        </w:rPr>
      </w:pPr>
    </w:p>
    <w:p w:rsidR="00563155" w:rsidP="00563155" w:rsidRDefault="00563155" w14:paraId="44598FFD" w14:textId="77777777">
      <w:pPr>
        <w:tabs>
          <w:tab w:val="left" w:pos="6540"/>
        </w:tabs>
        <w:jc w:val="center"/>
        <w:rPr>
          <w:rFonts w:cs="Arial"/>
          <w:sz w:val="28"/>
          <w:szCs w:val="28"/>
          <w:lang w:val="nl-NL"/>
        </w:rPr>
      </w:pPr>
    </w:p>
    <w:p w:rsidRPr="00B013FF" w:rsidR="00563155" w:rsidP="00563155" w:rsidRDefault="00563155" w14:paraId="3AF5C5E3" w14:textId="77777777">
      <w:pPr>
        <w:tabs>
          <w:tab w:val="left" w:pos="6540"/>
        </w:tabs>
        <w:jc w:val="center"/>
        <w:rPr>
          <w:rFonts w:cs="Arial"/>
          <w:sz w:val="24"/>
          <w:szCs w:val="24"/>
          <w:lang w:val="nl-NL"/>
        </w:rPr>
      </w:pPr>
    </w:p>
    <w:p w:rsidRPr="00B013FF" w:rsidR="00563155" w:rsidP="00563155" w:rsidRDefault="00563155" w14:paraId="01B55B4D" w14:textId="77777777">
      <w:pPr>
        <w:tabs>
          <w:tab w:val="left" w:pos="6540"/>
        </w:tabs>
        <w:jc w:val="center"/>
        <w:rPr>
          <w:rFonts w:cs="Arial"/>
          <w:sz w:val="28"/>
          <w:szCs w:val="28"/>
          <w:lang w:val="nl-NL"/>
        </w:rPr>
      </w:pPr>
      <w:r w:rsidRPr="00B013FF">
        <w:rPr>
          <w:rFonts w:cs="Arial"/>
          <w:b/>
          <w:bCs/>
          <w:sz w:val="28"/>
          <w:szCs w:val="28"/>
          <w:lang w:val="nl-NL"/>
        </w:rPr>
        <w:t>Module name</w:t>
      </w:r>
      <w:r w:rsidRPr="00B013FF">
        <w:rPr>
          <w:rFonts w:cs="Arial"/>
          <w:sz w:val="28"/>
          <w:szCs w:val="28"/>
          <w:lang w:val="nl-NL"/>
        </w:rPr>
        <w:t xml:space="preserve">: </w:t>
      </w:r>
      <w:r w:rsidRPr="00B013FF">
        <w:rPr>
          <w:rFonts w:cs="Arial"/>
          <w:b/>
          <w:bCs/>
          <w:sz w:val="28"/>
          <w:szCs w:val="28"/>
          <w:lang w:val="nl-NL"/>
        </w:rPr>
        <w:t>Principles of Health and Social Care Practice</w:t>
      </w:r>
      <w:r w:rsidRPr="00B013FF">
        <w:rPr>
          <w:rFonts w:cs="Arial"/>
          <w:sz w:val="28"/>
          <w:szCs w:val="28"/>
          <w:lang w:val="nl-NL"/>
        </w:rPr>
        <w:t xml:space="preserve"> </w:t>
      </w:r>
    </w:p>
    <w:p w:rsidRPr="00B013FF" w:rsidR="00563155" w:rsidP="00563155" w:rsidRDefault="00563155" w14:paraId="257C578A" w14:textId="77777777">
      <w:pPr>
        <w:tabs>
          <w:tab w:val="left" w:pos="6540"/>
        </w:tabs>
        <w:jc w:val="center"/>
        <w:rPr>
          <w:rFonts w:cs="Arial"/>
          <w:sz w:val="28"/>
          <w:szCs w:val="28"/>
        </w:rPr>
      </w:pPr>
      <w:r w:rsidRPr="00B013FF">
        <w:rPr>
          <w:rFonts w:cs="Arial"/>
          <w:b/>
          <w:bCs/>
          <w:sz w:val="28"/>
          <w:szCs w:val="28"/>
        </w:rPr>
        <w:t>Module code</w:t>
      </w:r>
      <w:r w:rsidRPr="00B013FF">
        <w:rPr>
          <w:rFonts w:cs="Arial"/>
          <w:sz w:val="28"/>
          <w:szCs w:val="28"/>
        </w:rPr>
        <w:t xml:space="preserve">:  </w:t>
      </w:r>
      <w:r w:rsidRPr="00B013FF">
        <w:rPr>
          <w:rFonts w:cs="Arial"/>
          <w:b/>
          <w:bCs/>
          <w:sz w:val="28"/>
          <w:szCs w:val="28"/>
        </w:rPr>
        <w:t xml:space="preserve">BMHP5016 </w:t>
      </w:r>
    </w:p>
    <w:p w:rsidRPr="00B013FF" w:rsidR="00563155" w:rsidP="00563155" w:rsidRDefault="00563155" w14:paraId="2E371650" w14:textId="77777777">
      <w:pPr>
        <w:tabs>
          <w:tab w:val="left" w:pos="6540"/>
        </w:tabs>
        <w:jc w:val="center"/>
        <w:rPr>
          <w:rFonts w:cs="Arial"/>
          <w:b/>
          <w:bCs/>
          <w:sz w:val="24"/>
          <w:szCs w:val="24"/>
        </w:rPr>
      </w:pPr>
      <w:r w:rsidRPr="00B013FF">
        <w:rPr>
          <w:rFonts w:cs="Arial"/>
          <w:b/>
          <w:bCs/>
          <w:sz w:val="24"/>
          <w:szCs w:val="24"/>
        </w:rPr>
        <w:t xml:space="preserve">Component 2: Component 2: Written </w:t>
      </w:r>
    </w:p>
    <w:p w:rsidR="00563155" w:rsidP="00563155" w:rsidRDefault="00563155" w14:paraId="125FC8FE" w14:textId="77777777">
      <w:pPr>
        <w:tabs>
          <w:tab w:val="left" w:pos="6540"/>
        </w:tabs>
        <w:jc w:val="center"/>
        <w:rPr>
          <w:rFonts w:cs="Arial"/>
          <w:b/>
          <w:bCs/>
          <w:sz w:val="28"/>
          <w:szCs w:val="28"/>
        </w:rPr>
      </w:pPr>
      <w:r w:rsidRPr="001440B6">
        <w:rPr>
          <w:rFonts w:cs="Arial"/>
          <w:b/>
          <w:bCs/>
          <w:sz w:val="28"/>
          <w:szCs w:val="28"/>
        </w:rPr>
        <w:t>Essay</w:t>
      </w:r>
    </w:p>
    <w:p w:rsidR="00563155" w:rsidP="00563155" w:rsidRDefault="00563155" w14:paraId="7FAE6826" w14:textId="77777777">
      <w:pPr>
        <w:tabs>
          <w:tab w:val="left" w:pos="6540"/>
        </w:tabs>
        <w:jc w:val="center"/>
        <w:rPr>
          <w:rFonts w:cs="Arial"/>
          <w:b/>
          <w:bCs/>
          <w:sz w:val="28"/>
          <w:szCs w:val="28"/>
        </w:rPr>
      </w:pPr>
      <w:r>
        <w:rPr>
          <w:rFonts w:cs="Arial"/>
          <w:b/>
          <w:bCs/>
          <w:sz w:val="28"/>
          <w:szCs w:val="28"/>
        </w:rPr>
        <w:t xml:space="preserve">On </w:t>
      </w:r>
    </w:p>
    <w:p w:rsidRPr="00B013FF" w:rsidR="00563155" w:rsidP="00563155" w:rsidRDefault="00563155" w14:paraId="60DE7CA1" w14:textId="77777777">
      <w:pPr>
        <w:jc w:val="center"/>
        <w:rPr>
          <w:b/>
          <w:bCs/>
        </w:rPr>
      </w:pPr>
      <w:r w:rsidRPr="00B013FF">
        <w:rPr>
          <w:b/>
          <w:bCs/>
        </w:rPr>
        <w:t>The Social Model of Disability: Evolution, Critiques, and Application in NHS Acute Hospital Settings</w:t>
      </w:r>
    </w:p>
    <w:p w:rsidR="00563155" w:rsidP="00563155" w:rsidRDefault="00563155" w14:paraId="52600C05" w14:textId="77777777">
      <w:pPr>
        <w:tabs>
          <w:tab w:val="left" w:pos="6540"/>
        </w:tabs>
        <w:jc w:val="center"/>
        <w:rPr>
          <w:rFonts w:cs="Arial"/>
          <w:b/>
          <w:bCs/>
          <w:sz w:val="28"/>
          <w:szCs w:val="28"/>
        </w:rPr>
      </w:pPr>
    </w:p>
    <w:p w:rsidR="00563155" w:rsidP="00563155" w:rsidRDefault="00563155" w14:paraId="49BA0C5C" w14:textId="031BE4E0">
      <w:pPr>
        <w:tabs>
          <w:tab w:val="left" w:pos="6540"/>
        </w:tabs>
        <w:rPr>
          <w:rFonts w:cs="Arial"/>
          <w:b w:val="1"/>
          <w:bCs w:val="1"/>
          <w:sz w:val="28"/>
          <w:szCs w:val="28"/>
        </w:rPr>
      </w:pPr>
      <w:r w:rsidRPr="5D7C5AE8" w:rsidR="621D3FAC">
        <w:rPr>
          <w:rFonts w:cs="Arial"/>
          <w:b w:val="1"/>
          <w:bCs w:val="1"/>
          <w:sz w:val="28"/>
          <w:szCs w:val="28"/>
        </w:rPr>
        <w:t xml:space="preserve">Lecture </w:t>
      </w:r>
      <w:r w:rsidRPr="5D7C5AE8" w:rsidR="621D3FAC">
        <w:rPr>
          <w:rFonts w:cs="Arial"/>
          <w:b w:val="1"/>
          <w:bCs w:val="1"/>
          <w:sz w:val="28"/>
          <w:szCs w:val="28"/>
        </w:rPr>
        <w:t>Name :</w:t>
      </w:r>
      <w:r w:rsidRPr="5D7C5AE8" w:rsidR="621D3FAC">
        <w:rPr>
          <w:rFonts w:cs="Arial"/>
          <w:b w:val="1"/>
          <w:bCs w:val="1"/>
          <w:sz w:val="28"/>
          <w:szCs w:val="28"/>
        </w:rPr>
        <w:t xml:space="preserve"> Farah Wiita</w:t>
      </w:r>
    </w:p>
    <w:p w:rsidR="00563155" w:rsidP="00563155" w:rsidRDefault="00563155" w14:paraId="0178F886" w14:textId="77777777">
      <w:pPr>
        <w:tabs>
          <w:tab w:val="left" w:pos="6540"/>
        </w:tabs>
        <w:rPr>
          <w:rFonts w:cs="Arial"/>
          <w:b/>
          <w:bCs/>
          <w:sz w:val="28"/>
          <w:szCs w:val="28"/>
        </w:rPr>
      </w:pPr>
    </w:p>
    <w:p w:rsidRPr="00076AC0" w:rsidR="000E56F3" w:rsidP="000E56F3" w:rsidRDefault="000E56F3" w14:paraId="2C366327" w14:textId="77777777">
      <w:pPr>
        <w:tabs>
          <w:tab w:val="left" w:pos="6540"/>
        </w:tabs>
        <w:rPr>
          <w:rFonts w:cs="Arial"/>
          <w:sz w:val="28"/>
          <w:szCs w:val="28"/>
          <w:lang w:val="nl-NL"/>
        </w:rPr>
      </w:pPr>
      <w:r w:rsidRPr="00076AC0">
        <w:rPr>
          <w:rFonts w:cs="Arial"/>
          <w:b/>
          <w:bCs/>
          <w:sz w:val="28"/>
          <w:szCs w:val="28"/>
          <w:lang w:val="nl-NL"/>
        </w:rPr>
        <w:t xml:space="preserve">Student </w:t>
      </w:r>
      <w:r>
        <w:rPr>
          <w:rFonts w:cs="Arial"/>
          <w:b/>
          <w:bCs/>
          <w:sz w:val="28"/>
          <w:szCs w:val="28"/>
          <w:lang w:val="nl-NL"/>
        </w:rPr>
        <w:t>N</w:t>
      </w:r>
      <w:r w:rsidRPr="00076AC0">
        <w:rPr>
          <w:rFonts w:cs="Arial"/>
          <w:b/>
          <w:bCs/>
          <w:sz w:val="28"/>
          <w:szCs w:val="28"/>
          <w:lang w:val="nl-NL"/>
        </w:rPr>
        <w:t>ame</w:t>
      </w:r>
      <w:r w:rsidRPr="00076AC0">
        <w:rPr>
          <w:rFonts w:cs="Arial"/>
          <w:sz w:val="28"/>
          <w:szCs w:val="28"/>
          <w:lang w:val="nl-NL"/>
        </w:rPr>
        <w:t>:</w:t>
      </w:r>
      <w:r>
        <w:rPr>
          <w:rFonts w:cs="Arial"/>
          <w:sz w:val="28"/>
          <w:szCs w:val="28"/>
          <w:lang w:val="nl-NL"/>
        </w:rPr>
        <w:t xml:space="preserve"> </w:t>
      </w:r>
      <w:proofErr w:type="spellStart"/>
      <w:r w:rsidRPr="00A9705E">
        <w:rPr>
          <w:rFonts w:cs="Arial"/>
          <w:sz w:val="28"/>
          <w:szCs w:val="28"/>
          <w:lang w:val="nl-NL"/>
        </w:rPr>
        <w:t>Berthe</w:t>
      </w:r>
      <w:proofErr w:type="spellEnd"/>
      <w:r w:rsidRPr="00A9705E">
        <w:rPr>
          <w:rFonts w:cs="Arial"/>
          <w:sz w:val="28"/>
          <w:szCs w:val="28"/>
          <w:lang w:val="nl-NL"/>
        </w:rPr>
        <w:t xml:space="preserve"> M </w:t>
      </w:r>
      <w:proofErr w:type="spellStart"/>
      <w:r w:rsidRPr="00A9705E">
        <w:rPr>
          <w:rFonts w:cs="Arial"/>
          <w:sz w:val="28"/>
          <w:szCs w:val="28"/>
          <w:lang w:val="nl-NL"/>
        </w:rPr>
        <w:t>Mutombo</w:t>
      </w:r>
      <w:proofErr w:type="spellEnd"/>
    </w:p>
    <w:p w:rsidRPr="00076AC0" w:rsidR="000E56F3" w:rsidP="000E56F3" w:rsidRDefault="000E56F3" w14:paraId="3D868CFC" w14:textId="77777777">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Pr>
          <w:rFonts w:cs="Arial"/>
          <w:sz w:val="28"/>
          <w:szCs w:val="28"/>
          <w:lang w:val="nl-NL"/>
        </w:rPr>
        <w:t xml:space="preserve"> </w:t>
      </w:r>
      <w:r w:rsidRPr="00A9705E">
        <w:rPr>
          <w:rFonts w:cs="Arial"/>
          <w:sz w:val="28"/>
          <w:szCs w:val="28"/>
          <w:lang w:val="nl-NL"/>
        </w:rPr>
        <w:t>2427851</w:t>
      </w:r>
    </w:p>
    <w:p w:rsidRPr="00563155" w:rsidR="00AB1F9B" w:rsidRDefault="00563155" w14:paraId="2242B0FF" w14:textId="5ECCF04B">
      <w:pPr>
        <w:spacing w:line="259" w:lineRule="auto"/>
        <w:jc w:val="left"/>
      </w:pPr>
      <w:r>
        <w:br w:type="page"/>
      </w:r>
    </w:p>
    <w:p w:rsidRPr="00AB1F9B" w:rsidR="002F03EC" w:rsidP="00AB1F9B" w:rsidRDefault="002F03EC" w14:paraId="5B305777" w14:textId="77777777">
      <w:pPr>
        <w:pStyle w:val="Heading1"/>
      </w:pPr>
      <w:bookmarkStart w:name="_Toc225277067" w:id="1"/>
      <w:r w:rsidRPr="00AB1F9B">
        <w:lastRenderedPageBreak/>
        <w:t>Introduction</w:t>
      </w:r>
      <w:bookmarkEnd w:id="1"/>
    </w:p>
    <w:p w:rsidR="009808E9" w:rsidP="00AB1F9B" w:rsidRDefault="009808E9" w14:paraId="0C53B180" w14:textId="3B9B38D9">
      <w:r w:rsidRPr="009808E9">
        <w:t>Person-</w:t>
      </w:r>
      <w:proofErr w:type="spellStart"/>
      <w:r w:rsidRPr="009808E9">
        <w:t>centred</w:t>
      </w:r>
      <w:proofErr w:type="spellEnd"/>
      <w:r w:rsidRPr="009808E9">
        <w:t xml:space="preserve"> care has become a popular notion perceived as the foundation of contemporary health and social care since it places a person at the heart of every decision and </w:t>
      </w:r>
      <w:proofErr w:type="spellStart"/>
      <w:r w:rsidRPr="009808E9">
        <w:t>emphasises</w:t>
      </w:r>
      <w:proofErr w:type="spellEnd"/>
      <w:r w:rsidRPr="009808E9">
        <w:t xml:space="preserve"> their autonomy, dignity, and individual conditions (NHS England, 2024). This approach is based on a number of theoretical frameworks each of which provides the unique perspective of understanding and addressing the needs of service users. The social model of disability is one of them. Instead of the disability being in the person, it identifies the barriers that exist in society as the primary source of disadvantage among the disabled; these are the attitudinal, physical, and institutional barriers (SCOPE, 2024). The focal point of this essay is acute hospital settings in the NHS, where the hospitals are the most visited and, at the same time, always inaccessible to disabled individuals (Read et al., 2018). </w:t>
      </w:r>
      <w:r w:rsidRPr="00563155" w:rsidR="00AB1F9B">
        <w:t>This essay</w:t>
      </w:r>
      <w:r w:rsidR="00AB1F9B">
        <w:rPr>
          <w:b/>
          <w:bCs/>
        </w:rPr>
        <w:t xml:space="preserve"> </w:t>
      </w:r>
      <w:r w:rsidRPr="009808E9">
        <w:t xml:space="preserve">critically discusses the origins and evolution of the social model, considers the criticisms that it has received and the reactions to the criticisms, and discusses its applicability in the health and social care policy and </w:t>
      </w:r>
      <w:proofErr w:type="spellStart"/>
      <w:r w:rsidRPr="009808E9">
        <w:t>practise</w:t>
      </w:r>
      <w:proofErr w:type="spellEnd"/>
      <w:r w:rsidRPr="009808E9">
        <w:t xml:space="preserve"> of the United Kingdom. The conclusion provides evidence-based suggestions to enhance the role of the model in the NHS hospital settings.</w:t>
      </w:r>
    </w:p>
    <w:p w:rsidRPr="009808E9" w:rsidR="00AB1F9B" w:rsidP="00AB1F9B" w:rsidRDefault="00AB1F9B" w14:paraId="4CE0AB0F" w14:textId="77777777">
      <w:pPr>
        <w:rPr>
          <w:b/>
          <w:bCs/>
        </w:rPr>
      </w:pPr>
    </w:p>
    <w:p w:rsidRPr="0027527F" w:rsidR="002F03EC" w:rsidP="0027527F" w:rsidRDefault="002F03EC" w14:paraId="3489AFC8" w14:textId="218BD413">
      <w:pPr>
        <w:pStyle w:val="Heading1"/>
      </w:pPr>
      <w:bookmarkStart w:name="_Toc225277068" w:id="2"/>
      <w:r w:rsidRPr="0027527F">
        <w:t>Emergence and Development of the Social Model of Disability</w:t>
      </w:r>
      <w:bookmarkEnd w:id="2"/>
    </w:p>
    <w:p w:rsidR="009808E9" w:rsidP="009808E9" w:rsidRDefault="009808E9" w14:paraId="71A5657B" w14:textId="30590830">
      <w:r>
        <w:t>The social model of disability was a product of the concerted activism of the disabled people in the UK in the 1970s. The breakthrough document was a self-declared landmark, UPIAS, 1976, titled Fundamental Principles of Disability, which specifically differentiated between impairment, which is a restriction of physical, mental, or sensory functioning and disability, which is simply the disadvantage of being in a society that cannot accommodate impaired people. This was a revolution of sorts: disability was redefined not as a medical disorder to be treated but as social oppression and had to be changed structurally.</w:t>
      </w:r>
    </w:p>
    <w:p w:rsidR="009808E9" w:rsidP="009808E9" w:rsidRDefault="009808E9" w14:paraId="413F68A1" w14:textId="620F2A33">
      <w:r>
        <w:t xml:space="preserve">This framework has been </w:t>
      </w:r>
      <w:proofErr w:type="spellStart"/>
      <w:r>
        <w:t>formalised</w:t>
      </w:r>
      <w:proofErr w:type="spellEnd"/>
      <w:r>
        <w:t xml:space="preserve"> by the disabled academic and activist, Mike Oliver, who came up with the term social model of disability and evolved it into a conceptual framework to use in the </w:t>
      </w:r>
      <w:proofErr w:type="spellStart"/>
      <w:r>
        <w:t>practise</w:t>
      </w:r>
      <w:proofErr w:type="spellEnd"/>
      <w:r>
        <w:t xml:space="preserve"> of health and social care (Oliver, 1992). Oliver (2013) subsequently observed that the model had reshaped the discussion of disability studies, inspired the legislative reform, and restructured self-advocacy by the disabled people in three decades. The main fact about the social model is that it is an opposition to the medical model, which assumes defining disability as a personal inadequacy that should be remedied through clinical means (SCOPE, 2024). A </w:t>
      </w:r>
      <w:r>
        <w:lastRenderedPageBreak/>
        <w:t xml:space="preserve">medical model poses the question of what is wrong about this person, whereas the social model poses the question of what obstacles have not been overcome by society? And this difference has direct implications in the design and provision of NHS hospital services. Barnes et al. (2017) demonstrate the influence of this change on social care policy, indicating the focus on social care </w:t>
      </w:r>
      <w:proofErr w:type="spellStart"/>
      <w:r>
        <w:t>personalisation</w:t>
      </w:r>
      <w:proofErr w:type="spellEnd"/>
      <w:r>
        <w:t xml:space="preserve">, whereas Disability Rights UK (2012) highlights that the terminology of practitioners indicates whether social or medical model is running </w:t>
      </w:r>
      <w:proofErr w:type="spellStart"/>
      <w:r>
        <w:t>practise</w:t>
      </w:r>
      <w:proofErr w:type="spellEnd"/>
      <w:r>
        <w:t>.</w:t>
      </w:r>
    </w:p>
    <w:p w:rsidR="00AB1F9B" w:rsidP="009808E9" w:rsidRDefault="00AB1F9B" w14:paraId="7AD2D8DD" w14:textId="77777777"/>
    <w:p w:rsidRPr="0027527F" w:rsidR="002F03EC" w:rsidP="0027527F" w:rsidRDefault="002F03EC" w14:paraId="5B37C416" w14:textId="669D7286">
      <w:pPr>
        <w:pStyle w:val="Heading1"/>
      </w:pPr>
      <w:bookmarkStart w:name="_Toc225277069" w:id="3"/>
      <w:r w:rsidRPr="0027527F">
        <w:t>Critiques of the Social Model and Responses</w:t>
      </w:r>
      <w:bookmarkEnd w:id="3"/>
    </w:p>
    <w:p w:rsidR="009808E9" w:rsidP="009808E9" w:rsidRDefault="009808E9" w14:paraId="08FB7A1A" w14:textId="22DC1674">
      <w:r>
        <w:t xml:space="preserve">The social model of disability has received ongoing and critical critique in spite of its radical impact. One of the most notable criticisms that Tom Shakespeare has faced (as examined by Phillips, 2009) is that in this model, he contends that the categories of impairment and disability are too strictly defined. Shakespeare argued that a large number of disabled individuals have a high degree of pain and fatigue and functional impairment that cannot be explained by external constraints and he believed that the model was going to </w:t>
      </w:r>
      <w:proofErr w:type="spellStart"/>
      <w:r>
        <w:t>marginalise</w:t>
      </w:r>
      <w:proofErr w:type="spellEnd"/>
      <w:r>
        <w:t xml:space="preserve"> those individuals whose bodily experience forms an integral part of their everyday experiences. This elicited much controversy, with the proponents of the model continuing to argue that its structural orientation is necessary in order to bring about systemic change (Phillips, 2009).</w:t>
      </w:r>
    </w:p>
    <w:p w:rsidR="009808E9" w:rsidP="009808E9" w:rsidRDefault="009808E9" w14:paraId="0450C502" w14:textId="6F5E3F0E">
      <w:r>
        <w:t xml:space="preserve">The other criticism is the initial emphasis on the physical impairment of the model which scholars indicate excluded people with mental illnesses, learning disabilities, and cognitive impairment. In a pre-emptive consideration of social science models, </w:t>
      </w:r>
      <w:proofErr w:type="gramStart"/>
      <w:r w:rsidR="00053F5D">
        <w:t>That</w:t>
      </w:r>
      <w:proofErr w:type="gramEnd"/>
      <w:r w:rsidR="00053F5D">
        <w:t xml:space="preserve"> </w:t>
      </w:r>
      <w:r>
        <w:t xml:space="preserve">structural theories tend to give greater preference to dominant modes of experience compared to marginal ones, which critics assert is replicated by the original </w:t>
      </w:r>
      <w:proofErr w:type="spellStart"/>
      <w:r>
        <w:t>conceptualisation</w:t>
      </w:r>
      <w:proofErr w:type="spellEnd"/>
      <w:r>
        <w:t xml:space="preserve"> of the social model. This is of particular importance in hospitals, where there is a tremendous heterogeneity of presentations, and where a single-axis conceptualization of disability risks replicating the exclusions that the model was intended to oppose. Symonds et al. (2019) </w:t>
      </w:r>
      <w:proofErr w:type="spellStart"/>
      <w:r>
        <w:t>emphasise</w:t>
      </w:r>
      <w:proofErr w:type="spellEnd"/>
      <w:r>
        <w:t xml:space="preserve"> that person-</w:t>
      </w:r>
      <w:proofErr w:type="spellStart"/>
      <w:r>
        <w:t>centred</w:t>
      </w:r>
      <w:proofErr w:type="spellEnd"/>
      <w:r>
        <w:t xml:space="preserve"> tests should consider the whole complexity of the personal situation, including the ones that do not easily fit within the physical disability paradigm. Reactions to these criticisms have added value to, and not diluted, the model. Oliver (2013) explained that it was never meant to be an instrument of structural transformation, not a denial of the fact of impairment, and the nowadays uses are more and more focused on the integration of its barrier-removal emphasis with a real understanding of personal experience.</w:t>
      </w:r>
    </w:p>
    <w:p w:rsidRPr="0027527F" w:rsidR="002F03EC" w:rsidP="0027527F" w:rsidRDefault="002F03EC" w14:paraId="25C1D293" w14:textId="4CD78D33">
      <w:pPr>
        <w:pStyle w:val="Heading1"/>
      </w:pPr>
      <w:bookmarkStart w:name="_Toc225277070" w:id="4"/>
      <w:r w:rsidRPr="0027527F">
        <w:t>Application to Health and Social Care Policy and Practice</w:t>
      </w:r>
      <w:bookmarkEnd w:id="4"/>
    </w:p>
    <w:p w:rsidR="0027527F" w:rsidP="0027527F" w:rsidRDefault="0027527F" w14:paraId="241A9408" w14:textId="5CC49961">
      <w:r>
        <w:lastRenderedPageBreak/>
        <w:t xml:space="preserve">The social model has contributed significantly to the UK health and social care policy and its principles are best experimented in NHS acute hospital environment. The Equality Act 2010 states that all public </w:t>
      </w:r>
      <w:proofErr w:type="spellStart"/>
      <w:r>
        <w:t>organisations</w:t>
      </w:r>
      <w:proofErr w:type="spellEnd"/>
      <w:r>
        <w:t xml:space="preserve">, such as NHS trusts are obligated to make reasonable modifications so that disabled people can be offered equal access to services. According to Public Health England (2020), this obligation is anticipatory: hospitals are not required to wait until patients can experience any barriers. The NHS England (2022) has attempted to </w:t>
      </w:r>
      <w:proofErr w:type="spellStart"/>
      <w:r>
        <w:t>operationalise</w:t>
      </w:r>
      <w:proofErr w:type="spellEnd"/>
      <w:r>
        <w:t xml:space="preserve"> this by a </w:t>
      </w:r>
      <w:proofErr w:type="spellStart"/>
      <w:r>
        <w:t>programme</w:t>
      </w:r>
      <w:proofErr w:type="spellEnd"/>
      <w:r>
        <w:t xml:space="preserve"> of digital reasonable-adjustment flags, which are planned to make sure that personal access requirement </w:t>
      </w:r>
      <w:proofErr w:type="gramStart"/>
      <w:r>
        <w:t>are</w:t>
      </w:r>
      <w:proofErr w:type="gramEnd"/>
      <w:r>
        <w:t xml:space="preserve"> systematically documented and shared throughout the hospital teams. Such actions are the direct legislative interpretation of the social model principles into the work of hospitals.</w:t>
      </w:r>
    </w:p>
    <w:p w:rsidR="0027527F" w:rsidP="0027527F" w:rsidRDefault="0027527F" w14:paraId="64D2B33C" w14:textId="7D3D0530">
      <w:r>
        <w:t xml:space="preserve">The Care Act 2014 echoes the same values of social model, and the legal responsibility of local authorities is to enhance the wellbeing of each individual, his dignity, and autonomy (Care Act 2014). Barnes et al. (2017) prove that the </w:t>
      </w:r>
      <w:proofErr w:type="spellStart"/>
      <w:r>
        <w:t>individualisation</w:t>
      </w:r>
      <w:proofErr w:type="spellEnd"/>
      <w:r>
        <w:t xml:space="preserve"> paradigm of the Act transformed the service-based assessment methods to needs-based one, allowing disabled individuals to have more control over their assistance. Although the Care Act governs more in the social care than the acute hospital care, its impact on the overall culture of person-</w:t>
      </w:r>
      <w:proofErr w:type="spellStart"/>
      <w:r>
        <w:t>centred</w:t>
      </w:r>
      <w:proofErr w:type="spellEnd"/>
      <w:r>
        <w:t xml:space="preserve"> </w:t>
      </w:r>
      <w:proofErr w:type="spellStart"/>
      <w:r>
        <w:t>practise</w:t>
      </w:r>
      <w:proofErr w:type="spellEnd"/>
      <w:r>
        <w:t xml:space="preserve"> can be profound: its provision of a normative expectation that the service should be </w:t>
      </w:r>
      <w:proofErr w:type="spellStart"/>
      <w:r>
        <w:t>moulded</w:t>
      </w:r>
      <w:proofErr w:type="spellEnd"/>
      <w:r>
        <w:t xml:space="preserve"> by priorities of the individual rather than the convenience of the professionals or systems is equally applicable to hospital discharge planning as to inpatient care.</w:t>
      </w:r>
    </w:p>
    <w:p w:rsidR="0027527F" w:rsidP="0027527F" w:rsidRDefault="00AB1F9B" w14:paraId="06D7911C" w14:textId="7DD62729">
      <w:r>
        <w:t>H</w:t>
      </w:r>
      <w:r w:rsidR="0027527F">
        <w:t xml:space="preserve">owever, there is a long running and problematic discrepancy between these policy promises and the experience of disabled people in hospitals. A qualitative study by Read et al. (2018) that specifically </w:t>
      </w:r>
      <w:proofErr w:type="spellStart"/>
      <w:r w:rsidR="0027527F">
        <w:t>analysed</w:t>
      </w:r>
      <w:proofErr w:type="spellEnd"/>
      <w:r w:rsidR="0027527F">
        <w:t xml:space="preserve"> the experiences of disabled people with reasonable adjustments in hospitals discovered that the </w:t>
      </w:r>
      <w:proofErr w:type="spellStart"/>
      <w:r w:rsidR="0027527F">
        <w:t>practise</w:t>
      </w:r>
      <w:proofErr w:type="spellEnd"/>
      <w:r w:rsidR="0027527F">
        <w:t xml:space="preserve"> was always and severely underperforming in spite of the legal framework. The respondents noted that hospital staff members were used to neglect or not documenting their access requirements, physical access to the hospital was still too restrictive, and communication habits were not flexible enough to meet the needs of patients with sensory or cognitive disabilities. Importantly, these failures were not accidental but systematic, which refers to institutional cultures that still assumed the medical model in spite of the legislative requirements that they were to operate otherwise. The researchers also expressed the similarity between the findings of Symonds et al. (2019) and other researchers who found that the person-</w:t>
      </w:r>
      <w:proofErr w:type="spellStart"/>
      <w:r w:rsidR="0027527F">
        <w:t>centred</w:t>
      </w:r>
      <w:proofErr w:type="spellEnd"/>
      <w:r w:rsidR="0027527F">
        <w:t xml:space="preserve"> assessment according to the Care Act often degenerated into service-based </w:t>
      </w:r>
      <w:proofErr w:type="spellStart"/>
      <w:r w:rsidR="0027527F">
        <w:t>practise</w:t>
      </w:r>
      <w:proofErr w:type="spellEnd"/>
      <w:r w:rsidR="0027527F">
        <w:t xml:space="preserve"> and that the issue is not isolated to hospitals but rather permeates throughout the entire system. The NHS England (2024) person-</w:t>
      </w:r>
      <w:proofErr w:type="spellStart"/>
      <w:r w:rsidR="0027527F">
        <w:t>centred</w:t>
      </w:r>
      <w:proofErr w:type="spellEnd"/>
      <w:r w:rsidR="0027527F">
        <w:t xml:space="preserve"> care framework </w:t>
      </w:r>
      <w:proofErr w:type="spellStart"/>
      <w:r w:rsidR="0027527F">
        <w:t>recognises</w:t>
      </w:r>
      <w:proofErr w:type="spellEnd"/>
      <w:r w:rsidR="0027527F">
        <w:t xml:space="preserve"> the fact that real co-production is not </w:t>
      </w:r>
      <w:r w:rsidR="0027527F">
        <w:lastRenderedPageBreak/>
        <w:t xml:space="preserve">always achieved, which means that the gap between the policy ambition and the reality of the </w:t>
      </w:r>
      <w:proofErr w:type="spellStart"/>
      <w:r w:rsidR="0027527F">
        <w:t>practise</w:t>
      </w:r>
      <w:proofErr w:type="spellEnd"/>
      <w:r w:rsidR="0027527F">
        <w:t xml:space="preserve"> is a structural issue that needs structural solutions.</w:t>
      </w:r>
    </w:p>
    <w:p w:rsidR="00AB1F9B" w:rsidP="0027527F" w:rsidRDefault="00AB1F9B" w14:paraId="1BA944A3" w14:textId="77777777"/>
    <w:p w:rsidRPr="00AB1F9B" w:rsidR="002F03EC" w:rsidP="00AB1F9B" w:rsidRDefault="002F03EC" w14:paraId="3AD3BC7A" w14:textId="2DB7FFA8">
      <w:pPr>
        <w:pStyle w:val="Heading1"/>
      </w:pPr>
      <w:bookmarkStart w:name="_Toc225277071" w:id="5"/>
      <w:r w:rsidRPr="00AB1F9B">
        <w:t>Recommendations for Health and Social Care Policy and Practice</w:t>
      </w:r>
      <w:bookmarkEnd w:id="5"/>
    </w:p>
    <w:p w:rsidR="0027527F" w:rsidP="0027527F" w:rsidRDefault="0027527F" w14:paraId="4630E77A" w14:textId="4E888233">
      <w:r>
        <w:t>Taking into consideration the evidence that we have examined, there are three pieces of advice I would present to help improve the social model in NHS acute hospitals.</w:t>
      </w:r>
    </w:p>
    <w:p w:rsidR="0027527F" w:rsidP="0027527F" w:rsidRDefault="0027527F" w14:paraId="2375DA0B" w14:textId="0AC93250">
      <w:r>
        <w:t xml:space="preserve">First, NHS trusts should implement it as compulsory to all the clinical and non-clinical personnel to undergo disability awareness training that is informed by a social model. Read et al. (2018) discovered that frontline staff do not always have the expertise to identify and address the needs of disabled patients, which is a colossal cause of bad adaptations. The disability people should also co-design the training and Disability Rights UK (2012) </w:t>
      </w:r>
      <w:proofErr w:type="spellStart"/>
      <w:r>
        <w:t>emphasises</w:t>
      </w:r>
      <w:proofErr w:type="spellEnd"/>
      <w:r>
        <w:t xml:space="preserve"> on changing the attitudes and use of inclusive language. As a fact, trusts are already overworked and understaffed, so it might be challenging to sell more training (NHS England, 2022). When staff complete the session, </w:t>
      </w:r>
      <w:proofErr w:type="spellStart"/>
      <w:r>
        <w:t>behaviour</w:t>
      </w:r>
      <w:proofErr w:type="spellEnd"/>
      <w:r>
        <w:t xml:space="preserve"> is not always changed, single session workshops are hardly sustained particularly where the medical model is the default. Training is therefore not enough, it must be supported by leadership, appraisal systems and accountability measures in order to develop a real lasting change.</w:t>
      </w:r>
    </w:p>
    <w:p w:rsidR="0027527F" w:rsidP="0027527F" w:rsidRDefault="0027527F" w14:paraId="13FC24FB" w14:textId="639BE793">
      <w:r>
        <w:t xml:space="preserve">Second, NHS England (2022) should accelerate implementation of the concept of digital reasonable adjustment flags and ensure that they are regularly monitored independently. According to Public Health England (2020), the anticipatory duty in the Equality Act 2010 is law binding, but Read et al. (2018) demonstrate that it is frequently disregarded. Having the process tied to CQC inspections and commissioning would bring actual responsibility. Nonetheless, there are chances that online regimes will be little better than ticking box exercises where modifications are made but nothing implemented on them </w:t>
      </w:r>
      <w:proofErr w:type="gramStart"/>
      <w:r>
        <w:t>thus</w:t>
      </w:r>
      <w:proofErr w:type="gramEnd"/>
      <w:r>
        <w:t xml:space="preserve"> they will appear in order but not change the issue. Qualitative feedback offered by disabled patients with the help of available, independent channels should support audit data to ensure that modifications indeed influence care rather than turn into paperwork.</w:t>
      </w:r>
    </w:p>
    <w:p w:rsidR="0027527F" w:rsidP="0027527F" w:rsidRDefault="0027527F" w14:paraId="2840F46A" w14:textId="2879EB74">
      <w:r>
        <w:t>Third, hospital trusts ought to establish institutional co-production arrangements to make disabled individuals have a consistent say concerning the design and assessment of hospital services. According to NHS England (2024), co-production is considered at the heart of person-</w:t>
      </w:r>
      <w:proofErr w:type="spellStart"/>
      <w:r>
        <w:t>centred</w:t>
      </w:r>
      <w:proofErr w:type="spellEnd"/>
      <w:r>
        <w:t xml:space="preserve"> care, but in reality, participation in governance by disabled people is hardly ever more than a </w:t>
      </w:r>
      <w:r>
        <w:lastRenderedPageBreak/>
        <w:t>figurative thing. Their experience is a source of specific knowledge on the current barriers.</w:t>
      </w:r>
      <w:r w:rsidR="00AB1F9B">
        <w:t xml:space="preserve"> A key limitation is</w:t>
      </w:r>
      <w:r>
        <w:t xml:space="preserve"> that co-production is time and resource consuming and </w:t>
      </w:r>
      <w:proofErr w:type="spellStart"/>
      <w:r>
        <w:t>organisations</w:t>
      </w:r>
      <w:proofErr w:type="spellEnd"/>
      <w:r>
        <w:t xml:space="preserve"> mostly do it in a shallow manner. The disabled respondents tend to complain that they are not listened to but their proposals are not followed, which gives rise to disillusionment. To have co-production count, it has to be seen to be a visible manifestation of how the input of disabled people is incorporated into decisions, it is a principle of leadership and not a box to cheque.</w:t>
      </w:r>
    </w:p>
    <w:p w:rsidR="0027527F" w:rsidP="0027527F" w:rsidRDefault="0027527F" w14:paraId="5FBD253B" w14:textId="47BAD4B1">
      <w:r>
        <w:t xml:space="preserve">Collectively the three recommendations lead to a larger fact that the gap between the social model policy and the </w:t>
      </w:r>
      <w:proofErr w:type="spellStart"/>
      <w:r>
        <w:t>practise</w:t>
      </w:r>
      <w:proofErr w:type="spellEnd"/>
      <w:r>
        <w:t xml:space="preserve"> in hospitals cannot be bridged solely by law or systems. It requires cultural shift on all levels, consistent investment in the participation of disabled people and strong measures of accountability that are capable of identifying the real inclusion rather than only the appearance of the same.</w:t>
      </w:r>
    </w:p>
    <w:p w:rsidR="00AB1F9B" w:rsidP="0027527F" w:rsidRDefault="00AB1F9B" w14:paraId="657E5BF8" w14:textId="77777777"/>
    <w:p w:rsidRPr="00AB1F9B" w:rsidR="002F03EC" w:rsidP="00AB1F9B" w:rsidRDefault="002F03EC" w14:paraId="518221A3" w14:textId="76741E59">
      <w:pPr>
        <w:pStyle w:val="Heading1"/>
      </w:pPr>
      <w:bookmarkStart w:name="_Toc225277072" w:id="6"/>
      <w:r w:rsidRPr="00AB1F9B">
        <w:t>Conclusion</w:t>
      </w:r>
      <w:bookmarkEnd w:id="6"/>
    </w:p>
    <w:p w:rsidR="0027527F" w:rsidP="0027527F" w:rsidRDefault="0027527F" w14:paraId="034321E3" w14:textId="55BC1C52">
      <w:r>
        <w:t xml:space="preserve">The social model of disability has significantly and permanently impacted on the theory and </w:t>
      </w:r>
      <w:proofErr w:type="spellStart"/>
      <w:r>
        <w:t>practise</w:t>
      </w:r>
      <w:proofErr w:type="spellEnd"/>
      <w:r>
        <w:t xml:space="preserve"> of person-</w:t>
      </w:r>
      <w:proofErr w:type="spellStart"/>
      <w:r>
        <w:t>centred</w:t>
      </w:r>
      <w:proofErr w:type="spellEnd"/>
      <w:r>
        <w:t xml:space="preserve"> health and social care. The model was developed as an idea and emerged as a result of the activism of disabled people (UPIAS, 1976), but derailed disability as the result of social barriers instead of personal deficit, which essentially challenges health and social care services to think about the structures and attitudes that </w:t>
      </w:r>
      <w:proofErr w:type="spellStart"/>
      <w:r>
        <w:t>marginalise</w:t>
      </w:r>
      <w:proofErr w:type="spellEnd"/>
      <w:r>
        <w:t xml:space="preserve"> disabled people. Though it has drawn legitimate criticism over its approach to experience of impairment and its applicability to various types of disability (Phillips, 2009), its main argument remains forcefully relevant to the </w:t>
      </w:r>
      <w:proofErr w:type="spellStart"/>
      <w:r>
        <w:t>practise</w:t>
      </w:r>
      <w:proofErr w:type="spellEnd"/>
      <w:r>
        <w:t xml:space="preserve"> in hospitals, namely that the disadvantage of disabled patients in acute context is not to a large part constructed by the disabled themselves, but by institutional failure.</w:t>
      </w:r>
    </w:p>
    <w:p w:rsidR="002F03EC" w:rsidP="0027527F" w:rsidRDefault="0027527F" w14:paraId="4C6A18BE" w14:textId="4177BB62">
      <w:r>
        <w:t xml:space="preserve">Much policy development can be seen in the legislation of the UK, particularly that of the Care Act 2014 and the Equality Act 2010, which incorporate values of the social model. Nevertheless, as Read et al. (2018) and Symonds et al. (2019) both prove again and again, there is a significant disconnect between legislative desire and the experience of disabled individuals in the NHS hospital. It is impossible to bridge this divide only with policy statements or digital systems. It requires real cultural change: training that never leaves the </w:t>
      </w:r>
      <w:proofErr w:type="spellStart"/>
      <w:r>
        <w:t>behaviour</w:t>
      </w:r>
      <w:proofErr w:type="spellEnd"/>
      <w:r>
        <w:t xml:space="preserve"> unchanged but knowledge, accountability systems that go beyond the paper to the demonstrable </w:t>
      </w:r>
      <w:proofErr w:type="spellStart"/>
      <w:r>
        <w:t>practise</w:t>
      </w:r>
      <w:proofErr w:type="spellEnd"/>
      <w:r>
        <w:t xml:space="preserve"> change, and co-production systems that provide the disabled people with real and permanent power in influencing the services they consume. The vision of inclusive, person-</w:t>
      </w:r>
      <w:proofErr w:type="spellStart"/>
      <w:r>
        <w:t>centred</w:t>
      </w:r>
      <w:proofErr w:type="spellEnd"/>
      <w:r>
        <w:t xml:space="preserve"> care contained in the social </w:t>
      </w:r>
      <w:r>
        <w:lastRenderedPageBreak/>
        <w:t xml:space="preserve">model can only be fulfilled fully and on a consistent basis by incorporating such commitments at all levels of </w:t>
      </w:r>
      <w:proofErr w:type="spellStart"/>
      <w:r>
        <w:t>organisational</w:t>
      </w:r>
      <w:proofErr w:type="spellEnd"/>
      <w:r>
        <w:t xml:space="preserve"> structure of the hospital.</w:t>
      </w:r>
      <w:r w:rsidR="002F03EC">
        <w:br w:type="page"/>
      </w:r>
    </w:p>
    <w:p w:rsidR="000414A3" w:rsidP="002F03EC" w:rsidRDefault="002F03EC" w14:paraId="16E8F437" w14:textId="419BC929">
      <w:pPr>
        <w:pStyle w:val="Heading1"/>
      </w:pPr>
      <w:bookmarkStart w:name="_Toc225277073" w:id="7"/>
      <w:r>
        <w:lastRenderedPageBreak/>
        <w:t>References</w:t>
      </w:r>
      <w:bookmarkEnd w:id="7"/>
    </w:p>
    <w:p w:rsidR="000414A3" w:rsidP="000414A3" w:rsidRDefault="000414A3" w14:paraId="6D1A8825" w14:textId="156B3201">
      <w:r>
        <w:t>Barnes, D., Boland, B., Linhart, K. and Wilson, K. (2017) ‘</w:t>
      </w:r>
      <w:proofErr w:type="spellStart"/>
      <w:r>
        <w:t>Personalisation</w:t>
      </w:r>
      <w:proofErr w:type="spellEnd"/>
      <w:r>
        <w:t xml:space="preserve"> and Social Care Assessment – the Care Act 2014’. </w:t>
      </w:r>
      <w:proofErr w:type="spellStart"/>
      <w:r w:rsidRPr="00024333">
        <w:rPr>
          <w:i/>
          <w:iCs/>
        </w:rPr>
        <w:t>BJPsych</w:t>
      </w:r>
      <w:proofErr w:type="spellEnd"/>
      <w:r w:rsidRPr="00024333">
        <w:rPr>
          <w:i/>
          <w:iCs/>
        </w:rPr>
        <w:t xml:space="preserve"> Bulletin</w:t>
      </w:r>
      <w:r>
        <w:t xml:space="preserve"> 41(3), pp. 176–180. Available at: https://pmc.ncbi.nlm.nih.gov/articles/PMC5451654/.</w:t>
      </w:r>
    </w:p>
    <w:p w:rsidR="000414A3" w:rsidP="000414A3" w:rsidRDefault="000414A3" w14:paraId="2DE5E0B0" w14:textId="77777777">
      <w:r>
        <w:t xml:space="preserve">Disability Rights UK (2012) </w:t>
      </w:r>
      <w:r w:rsidRPr="00024333">
        <w:rPr>
          <w:i/>
          <w:iCs/>
        </w:rPr>
        <w:t>Social Model of Disability: Language</w:t>
      </w:r>
      <w:r>
        <w:t>. Available at: https://www.disabilityrightsuk.org/social-model-disability-language.</w:t>
      </w:r>
    </w:p>
    <w:p w:rsidR="000414A3" w:rsidP="000414A3" w:rsidRDefault="000414A3" w14:paraId="66E9937B" w14:textId="77777777">
      <w:r>
        <w:t xml:space="preserve">NHS England (2022) </w:t>
      </w:r>
      <w:r w:rsidRPr="00024333">
        <w:rPr>
          <w:i/>
          <w:iCs/>
        </w:rPr>
        <w:t>Reasonable Adjustments</w:t>
      </w:r>
      <w:r>
        <w:t xml:space="preserve">. Available at: </w:t>
      </w:r>
      <w:hyperlink w:history="1" r:id="rId10">
        <w:r w:rsidRPr="005C7AAA">
          <w:rPr>
            <w:rStyle w:val="Hyperlink"/>
          </w:rPr>
          <w:t>https://www.england.nhs.uk/learning-disabilities/improving-health/reasonable-adjustments/</w:t>
        </w:r>
      </w:hyperlink>
      <w:r>
        <w:t>.</w:t>
      </w:r>
    </w:p>
    <w:p w:rsidR="000414A3" w:rsidP="000414A3" w:rsidRDefault="000414A3" w14:paraId="29CBC3D4" w14:textId="77777777">
      <w:r>
        <w:t xml:space="preserve">NHS England (2024) </w:t>
      </w:r>
      <w:r w:rsidRPr="00024333">
        <w:rPr>
          <w:i/>
          <w:iCs/>
        </w:rPr>
        <w:t>Person-</w:t>
      </w:r>
      <w:proofErr w:type="spellStart"/>
      <w:r w:rsidRPr="00024333">
        <w:rPr>
          <w:i/>
          <w:iCs/>
        </w:rPr>
        <w:t>centred</w:t>
      </w:r>
      <w:proofErr w:type="spellEnd"/>
      <w:r w:rsidRPr="00024333">
        <w:rPr>
          <w:i/>
          <w:iCs/>
        </w:rPr>
        <w:t xml:space="preserve"> Care</w:t>
      </w:r>
      <w:r>
        <w:t xml:space="preserve">. Available at: </w:t>
      </w:r>
      <w:hyperlink w:history="1" r:id="rId11">
        <w:r w:rsidRPr="005C7AAA">
          <w:rPr>
            <w:rStyle w:val="Hyperlink"/>
          </w:rPr>
          <w:t>https://www.hee.nhs.uk/our-work/person-centred-care</w:t>
        </w:r>
      </w:hyperlink>
      <w:r>
        <w:t>.</w:t>
      </w:r>
    </w:p>
    <w:p w:rsidR="000414A3" w:rsidP="000414A3" w:rsidRDefault="000414A3" w14:paraId="0924764F" w14:textId="77777777">
      <w:r>
        <w:t xml:space="preserve">Oliver, M. (1992) ‘Social Work’. </w:t>
      </w:r>
      <w:r w:rsidRPr="00024333">
        <w:rPr>
          <w:i/>
          <w:iCs/>
        </w:rPr>
        <w:t>International Journal of Rehabilitation Research</w:t>
      </w:r>
      <w:r>
        <w:t xml:space="preserve"> 15(2), p. 184. </w:t>
      </w:r>
      <w:proofErr w:type="spellStart"/>
      <w:r>
        <w:t>doi</w:t>
      </w:r>
      <w:proofErr w:type="spellEnd"/>
      <w:r>
        <w:t xml:space="preserve">: </w:t>
      </w:r>
      <w:hyperlink w:history="1" r:id="rId12">
        <w:r w:rsidRPr="005C7AAA">
          <w:rPr>
            <w:rStyle w:val="Hyperlink"/>
          </w:rPr>
          <w:t>https://doi.org/10.1097/00004356-199206000-00019</w:t>
        </w:r>
      </w:hyperlink>
      <w:r>
        <w:t>.</w:t>
      </w:r>
    </w:p>
    <w:p w:rsidR="000414A3" w:rsidP="000414A3" w:rsidRDefault="000414A3" w14:paraId="56DB6374" w14:textId="77777777">
      <w:r>
        <w:t xml:space="preserve">Oliver, M. (2013) ‘The Social Model of Disability: Thirty Years On’. </w:t>
      </w:r>
      <w:r w:rsidRPr="00024333">
        <w:rPr>
          <w:i/>
          <w:iCs/>
        </w:rPr>
        <w:t>Disability &amp; Society</w:t>
      </w:r>
      <w:r>
        <w:t xml:space="preserve"> 28(7), pp. 1024–1026. Available at: </w:t>
      </w:r>
      <w:hyperlink w:history="1" r:id="rId13">
        <w:r w:rsidRPr="005C7AAA">
          <w:rPr>
            <w:rStyle w:val="Hyperlink"/>
          </w:rPr>
          <w:t>https://www.tandfonline.com/doi/epdf/10.1080/09687599.2013.818773?needAccess=true</w:t>
        </w:r>
      </w:hyperlink>
      <w:r>
        <w:t>.</w:t>
      </w:r>
    </w:p>
    <w:p w:rsidR="000414A3" w:rsidP="000414A3" w:rsidRDefault="000414A3" w14:paraId="3983402B" w14:textId="77777777">
      <w:r>
        <w:t xml:space="preserve">Phillips, C. (2009) ‘Disability Rights and Wrongs- by Shakespeare, T.’ </w:t>
      </w:r>
      <w:r w:rsidRPr="00024333">
        <w:rPr>
          <w:i/>
          <w:iCs/>
        </w:rPr>
        <w:t>Sociology of Health &amp; Illness</w:t>
      </w:r>
      <w:r>
        <w:t xml:space="preserve"> 31(2), pp. 303–304. Available at: </w:t>
      </w:r>
      <w:hyperlink w:history="1" r:id="rId14">
        <w:r w:rsidRPr="005C7AAA">
          <w:rPr>
            <w:rStyle w:val="Hyperlink"/>
          </w:rPr>
          <w:t>https://onlinelibrary.wiley.com/doi/full/10.1111/j.1467-9566.2008.1154_4.x</w:t>
        </w:r>
      </w:hyperlink>
      <w:r>
        <w:t>.</w:t>
      </w:r>
    </w:p>
    <w:p w:rsidR="000414A3" w:rsidP="000414A3" w:rsidRDefault="000414A3" w14:paraId="7B418217" w14:textId="77777777">
      <w:r w:rsidRPr="000515F2">
        <w:t xml:space="preserve">Public Health England (2020) </w:t>
      </w:r>
      <w:r w:rsidRPr="000515F2">
        <w:rPr>
          <w:i/>
          <w:iCs/>
        </w:rPr>
        <w:t>Reasonable adjustments: A legal duty</w:t>
      </w:r>
      <w:r w:rsidRPr="000515F2">
        <w:t xml:space="preserve">. Available at: </w:t>
      </w:r>
      <w:hyperlink w:history="1" r:id="rId15">
        <w:r w:rsidRPr="000515F2">
          <w:rPr>
            <w:rStyle w:val="Hyperlink"/>
          </w:rPr>
          <w:t>https://www.gov.uk/government/publications/reasonable-adjustments-a-legal-duty/reasonable-adjustments-a-legal-duty</w:t>
        </w:r>
      </w:hyperlink>
      <w:r w:rsidRPr="000515F2">
        <w:t>.</w:t>
      </w:r>
    </w:p>
    <w:p w:rsidR="000414A3" w:rsidP="000414A3" w:rsidRDefault="000414A3" w14:paraId="1B28AFB5" w14:textId="77777777">
      <w:r>
        <w:t>Read, S., Heslop, P., Turner, S., Mason-</w:t>
      </w:r>
      <w:proofErr w:type="spellStart"/>
      <w:r>
        <w:t>Angelow</w:t>
      </w:r>
      <w:proofErr w:type="spellEnd"/>
      <w:r>
        <w:t xml:space="preserve">, V., Tilbury, N., Miles, C. and Hatton, C. (2018) ‘Disabled people’s experiences of accessing reasonable adjustments in hospitals: a qualitative study’. </w:t>
      </w:r>
      <w:r w:rsidRPr="00024333">
        <w:rPr>
          <w:i/>
          <w:iCs/>
        </w:rPr>
        <w:t>BMC Health Services Research</w:t>
      </w:r>
      <w:r>
        <w:t xml:space="preserve"> 18(1). Available at: </w:t>
      </w:r>
      <w:hyperlink w:history="1" r:id="rId16">
        <w:r w:rsidRPr="005C7AAA">
          <w:rPr>
            <w:rStyle w:val="Hyperlink"/>
          </w:rPr>
          <w:t>https://www.ncbi.nlm.nih.gov/pmc/articles/PMC6278140/</w:t>
        </w:r>
      </w:hyperlink>
      <w:r>
        <w:t>.</w:t>
      </w:r>
    </w:p>
    <w:p w:rsidR="000414A3" w:rsidP="000414A3" w:rsidRDefault="000414A3" w14:paraId="02E97645" w14:textId="77777777">
      <w:r>
        <w:t xml:space="preserve">SCOPE (2024) </w:t>
      </w:r>
      <w:r w:rsidRPr="00024333">
        <w:rPr>
          <w:i/>
          <w:iCs/>
        </w:rPr>
        <w:t>Social Model of Disability | Disability Charity Scope UK</w:t>
      </w:r>
      <w:r>
        <w:t xml:space="preserve">. Available at: </w:t>
      </w:r>
      <w:hyperlink w:history="1" r:id="rId17">
        <w:r w:rsidRPr="005C7AAA">
          <w:rPr>
            <w:rStyle w:val="Hyperlink"/>
          </w:rPr>
          <w:t>https://www.scope.org.uk/social-model-of-disability</w:t>
        </w:r>
      </w:hyperlink>
      <w:r>
        <w:t>.</w:t>
      </w:r>
    </w:p>
    <w:p w:rsidR="000414A3" w:rsidP="000414A3" w:rsidRDefault="000414A3" w14:paraId="516ADB6E" w14:textId="77777777">
      <w:r>
        <w:lastRenderedPageBreak/>
        <w:t>Symonds, J., Miles, C., Steel, M., Porter, S. and Williams, V. (2019) ‘Making person-</w:t>
      </w:r>
      <w:proofErr w:type="spellStart"/>
      <w:r>
        <w:t>centred</w:t>
      </w:r>
      <w:proofErr w:type="spellEnd"/>
      <w:r>
        <w:t xml:space="preserve"> Assessments’. </w:t>
      </w:r>
      <w:r w:rsidRPr="00024333">
        <w:rPr>
          <w:i/>
          <w:iCs/>
        </w:rPr>
        <w:t>Journal of Social Work</w:t>
      </w:r>
      <w:r>
        <w:t xml:space="preserve"> 20(4). Available at: </w:t>
      </w:r>
      <w:hyperlink w:history="1" r:id="rId18">
        <w:r w:rsidRPr="005C7AAA">
          <w:rPr>
            <w:rStyle w:val="Hyperlink"/>
          </w:rPr>
          <w:t>https://journals.sagepub.com/doi/full/10.1177/1468017319830593</w:t>
        </w:r>
      </w:hyperlink>
      <w:r>
        <w:t>.</w:t>
      </w:r>
    </w:p>
    <w:p w:rsidR="000414A3" w:rsidP="000414A3" w:rsidRDefault="000414A3" w14:paraId="0B70E4CE" w14:textId="77777777">
      <w:r w:rsidRPr="00D45289">
        <w:t>Union of the Physically Impaired Against Segregation (UPIAS) (1976) Fundamental principles of disability. London: UPIAS.</w:t>
      </w:r>
    </w:p>
    <w:p w:rsidR="000414A3" w:rsidP="000414A3" w:rsidRDefault="000414A3" w14:paraId="63C90320" w14:textId="77777777">
      <w:r>
        <w:t xml:space="preserve">Care Act (2014) </w:t>
      </w:r>
      <w:r>
        <w:rPr>
          <w:i/>
          <w:iCs/>
        </w:rPr>
        <w:t>Care Act 2014</w:t>
      </w:r>
      <w:r>
        <w:t xml:space="preserve">. Available at: </w:t>
      </w:r>
      <w:hyperlink w:history="1" r:id="rId19">
        <w:r w:rsidRPr="005C7AAA">
          <w:rPr>
            <w:rStyle w:val="Hyperlink"/>
          </w:rPr>
          <w:t>https://www.legislation.gov.uk/ukpga/2014/23/contents</w:t>
        </w:r>
      </w:hyperlink>
      <w:r>
        <w:t>.</w:t>
      </w:r>
    </w:p>
    <w:p w:rsidRPr="000414A3" w:rsidR="000414A3" w:rsidP="000414A3" w:rsidRDefault="000414A3" w14:paraId="3189D80A" w14:textId="77777777">
      <w:pPr>
        <w:rPr>
          <w:color w:val="000000" w:themeColor="text1"/>
        </w:rPr>
      </w:pPr>
      <w:r w:rsidRPr="000414A3">
        <w:rPr>
          <w:color w:val="000000" w:themeColor="text1"/>
        </w:rPr>
        <w:t xml:space="preserve">GOV.UK (2010) </w:t>
      </w:r>
      <w:r w:rsidRPr="000414A3">
        <w:rPr>
          <w:i/>
          <w:iCs/>
          <w:color w:val="000000" w:themeColor="text1"/>
        </w:rPr>
        <w:t>Equality Act 2010</w:t>
      </w:r>
      <w:r w:rsidRPr="000414A3">
        <w:rPr>
          <w:color w:val="000000" w:themeColor="text1"/>
        </w:rPr>
        <w:t>. Available at: https://www.legislation.gov.uk/ukpga/2010/15/contents.</w:t>
      </w:r>
    </w:p>
    <w:bookmarkEnd w:id="0"/>
    <w:p w:rsidR="00303D5F" w:rsidRDefault="00303D5F" w14:paraId="6F45D2A5" w14:textId="722ED988">
      <w:pPr>
        <w:spacing w:line="259" w:lineRule="auto"/>
        <w:jc w:val="left"/>
      </w:pPr>
      <w:r>
        <w:br w:type="page"/>
      </w:r>
    </w:p>
    <w:p w:rsidR="000414A3" w:rsidP="00DB49F4" w:rsidRDefault="000414A3" w14:paraId="0A5C3543" w14:textId="7A96DFAC"/>
    <w:sectPr w:rsidR="000414A3">
      <w:footerReference w:type="default" r:id="rId2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7150" w:rsidP="001440B6" w:rsidRDefault="00487150" w14:paraId="7EF14E7F" w14:textId="77777777">
      <w:pPr>
        <w:spacing w:after="0" w:line="240" w:lineRule="auto"/>
      </w:pPr>
      <w:r>
        <w:separator/>
      </w:r>
    </w:p>
  </w:endnote>
  <w:endnote w:type="continuationSeparator" w:id="0">
    <w:p w:rsidR="00487150" w:rsidP="001440B6" w:rsidRDefault="00487150" w14:paraId="3AC543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87545"/>
      <w:docPartObj>
        <w:docPartGallery w:val="Page Numbers (Bottom of Page)"/>
        <w:docPartUnique/>
      </w:docPartObj>
    </w:sdtPr>
    <w:sdtEndPr>
      <w:rPr>
        <w:noProof/>
      </w:rPr>
    </w:sdtEndPr>
    <w:sdtContent>
      <w:p w:rsidR="001440B6" w:rsidRDefault="001440B6" w14:paraId="45BC94CB" w14:textId="4CB28E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440B6" w:rsidRDefault="001440B6" w14:paraId="3840CAE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7150" w:rsidP="001440B6" w:rsidRDefault="00487150" w14:paraId="5D386838" w14:textId="77777777">
      <w:pPr>
        <w:spacing w:after="0" w:line="240" w:lineRule="auto"/>
      </w:pPr>
      <w:r>
        <w:separator/>
      </w:r>
    </w:p>
  </w:footnote>
  <w:footnote w:type="continuationSeparator" w:id="0">
    <w:p w:rsidR="00487150" w:rsidP="001440B6" w:rsidRDefault="00487150" w14:paraId="089DB8E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292648"/>
    <w:multiLevelType w:val="hybridMultilevel"/>
    <w:tmpl w:val="8A30C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984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A3"/>
    <w:rsid w:val="000414A3"/>
    <w:rsid w:val="000515F2"/>
    <w:rsid w:val="00053F5D"/>
    <w:rsid w:val="00062CD6"/>
    <w:rsid w:val="000A473A"/>
    <w:rsid w:val="000E56F3"/>
    <w:rsid w:val="001440B6"/>
    <w:rsid w:val="0027527F"/>
    <w:rsid w:val="002F03EC"/>
    <w:rsid w:val="00303D5F"/>
    <w:rsid w:val="00330022"/>
    <w:rsid w:val="004623C9"/>
    <w:rsid w:val="00487150"/>
    <w:rsid w:val="004901E2"/>
    <w:rsid w:val="004C34BA"/>
    <w:rsid w:val="00516941"/>
    <w:rsid w:val="005565F9"/>
    <w:rsid w:val="00563155"/>
    <w:rsid w:val="006A2A43"/>
    <w:rsid w:val="00704F25"/>
    <w:rsid w:val="00771270"/>
    <w:rsid w:val="007A5D40"/>
    <w:rsid w:val="007E1800"/>
    <w:rsid w:val="00925209"/>
    <w:rsid w:val="009808E9"/>
    <w:rsid w:val="00AB1F9B"/>
    <w:rsid w:val="00B41274"/>
    <w:rsid w:val="00C00A8F"/>
    <w:rsid w:val="00D5643C"/>
    <w:rsid w:val="00DB49F4"/>
    <w:rsid w:val="00DC686C"/>
    <w:rsid w:val="00F90FBD"/>
    <w:rsid w:val="00FD54FE"/>
    <w:rsid w:val="425AFCED"/>
    <w:rsid w:val="5D7C5AE8"/>
    <w:rsid w:val="621D3F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FA82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414A3"/>
    <w:pPr>
      <w:spacing w:line="360" w:lineRule="auto"/>
      <w:jc w:val="both"/>
    </w:pPr>
    <w:rPr>
      <w:rFonts w:ascii="Arial" w:hAnsi="Arial"/>
    </w:rPr>
  </w:style>
  <w:style w:type="paragraph" w:styleId="Heading1">
    <w:name w:val="heading 1"/>
    <w:link w:val="Heading1Char"/>
    <w:uiPriority w:val="9"/>
    <w:qFormat/>
    <w:rsid w:val="000414A3"/>
    <w:pPr>
      <w:spacing w:before="280" w:line="360" w:lineRule="auto"/>
      <w:jc w:val="both"/>
      <w:outlineLvl w:val="0"/>
    </w:pPr>
    <w:rPr>
      <w:rFonts w:ascii="Arial" w:hAnsi="Arial" w:eastAsia="Arial" w:cs="Arial"/>
      <w:b/>
      <w:bCs/>
      <w:color w:val="000000"/>
      <w:sz w:val="3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qFormat/>
    <w:rsid w:val="000414A3"/>
    <w:pPr>
      <w:spacing w:after="0" w:line="240" w:lineRule="auto"/>
    </w:pPr>
    <w:rPr>
      <w:rFonts w:ascii="Arial" w:hAnsi="Arial" w:eastAsia="Arial" w:cs="Arial"/>
    </w:rPr>
  </w:style>
  <w:style w:type="character" w:styleId="Hyperlink">
    <w:name w:val="Hyperlink"/>
    <w:uiPriority w:val="99"/>
    <w:unhideWhenUsed/>
    <w:rsid w:val="000414A3"/>
    <w:rPr>
      <w:color w:val="0563C1"/>
      <w:u w:val="single"/>
    </w:rPr>
  </w:style>
  <w:style w:type="paragraph" w:styleId="NormalWeb">
    <w:name w:val="Normal (Web)"/>
    <w:basedOn w:val="Normal"/>
    <w:uiPriority w:val="99"/>
    <w:semiHidden/>
    <w:unhideWhenUsed/>
    <w:rsid w:val="000414A3"/>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0414A3"/>
    <w:rPr>
      <w:rFonts w:ascii="Arial" w:hAnsi="Arial" w:eastAsia="Arial" w:cs="Arial"/>
      <w:b/>
      <w:bCs/>
      <w:color w:val="000000"/>
      <w:sz w:val="30"/>
      <w:szCs w:val="24"/>
    </w:rPr>
  </w:style>
  <w:style w:type="paragraph" w:styleId="Header">
    <w:name w:val="header"/>
    <w:basedOn w:val="Normal"/>
    <w:link w:val="HeaderChar"/>
    <w:uiPriority w:val="99"/>
    <w:unhideWhenUsed/>
    <w:rsid w:val="001440B6"/>
    <w:pPr>
      <w:tabs>
        <w:tab w:val="center" w:pos="4680"/>
        <w:tab w:val="right" w:pos="9360"/>
      </w:tabs>
      <w:spacing w:after="0" w:line="240" w:lineRule="auto"/>
    </w:pPr>
  </w:style>
  <w:style w:type="character" w:styleId="HeaderChar" w:customStyle="1">
    <w:name w:val="Header Char"/>
    <w:basedOn w:val="DefaultParagraphFont"/>
    <w:link w:val="Header"/>
    <w:uiPriority w:val="99"/>
    <w:rsid w:val="001440B6"/>
    <w:rPr>
      <w:rFonts w:ascii="Arial" w:hAnsi="Arial"/>
    </w:rPr>
  </w:style>
  <w:style w:type="paragraph" w:styleId="Footer">
    <w:name w:val="footer"/>
    <w:basedOn w:val="Normal"/>
    <w:link w:val="FooterChar"/>
    <w:uiPriority w:val="99"/>
    <w:unhideWhenUsed/>
    <w:rsid w:val="001440B6"/>
    <w:pPr>
      <w:tabs>
        <w:tab w:val="center" w:pos="4680"/>
        <w:tab w:val="right" w:pos="9360"/>
      </w:tabs>
      <w:spacing w:after="0" w:line="240" w:lineRule="auto"/>
    </w:pPr>
  </w:style>
  <w:style w:type="character" w:styleId="FooterChar" w:customStyle="1">
    <w:name w:val="Footer Char"/>
    <w:basedOn w:val="DefaultParagraphFont"/>
    <w:link w:val="Footer"/>
    <w:uiPriority w:val="99"/>
    <w:rsid w:val="001440B6"/>
    <w:rPr>
      <w:rFonts w:ascii="Arial" w:hAnsi="Arial"/>
    </w:rPr>
  </w:style>
  <w:style w:type="paragraph" w:styleId="TOCHeading">
    <w:name w:val="TOC Heading"/>
    <w:basedOn w:val="Heading1"/>
    <w:next w:val="Normal"/>
    <w:uiPriority w:val="39"/>
    <w:unhideWhenUsed/>
    <w:qFormat/>
    <w:rsid w:val="00AB1F9B"/>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AB1F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tandfonline.com/doi/epdf/10.1080/09687599.2013.818773?needAccess=true" TargetMode="External" Id="rId13" /><Relationship Type="http://schemas.openxmlformats.org/officeDocument/2006/relationships/hyperlink" Target="https://journals.sagepub.com/doi/full/10.1177/1468017319830593"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doi.org/10.1097/00004356-199206000-00019" TargetMode="External" Id="rId12" /><Relationship Type="http://schemas.openxmlformats.org/officeDocument/2006/relationships/hyperlink" Target="https://www.scope.org.uk/social-model-of-disability" TargetMode="External" Id="rId17" /><Relationship Type="http://schemas.openxmlformats.org/officeDocument/2006/relationships/numbering" Target="numbering.xml" Id="rId2" /><Relationship Type="http://schemas.openxmlformats.org/officeDocument/2006/relationships/hyperlink" Target="https://www.ncbi.nlm.nih.gov/pmc/articles/PMC6278140/"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ee.nhs.uk/our-work/person-centred-care" TargetMode="External" Id="rId11" /><Relationship Type="http://schemas.openxmlformats.org/officeDocument/2006/relationships/webSettings" Target="webSettings.xml" Id="rId5" /><Relationship Type="http://schemas.openxmlformats.org/officeDocument/2006/relationships/hyperlink" Target="https://www.gov.uk/government/publications/reasonable-adjustments-a-legal-duty/reasonable-adjustments-a-legal-duty" TargetMode="External" Id="rId15" /><Relationship Type="http://schemas.openxmlformats.org/officeDocument/2006/relationships/hyperlink" Target="https://www.england.nhs.uk/learning-disabilities/improving-health/reasonable-adjustments/" TargetMode="External" Id="rId10" /><Relationship Type="http://schemas.openxmlformats.org/officeDocument/2006/relationships/hyperlink" Target="https://www.legislation.gov.uk/ukpga/2014/23/contents" TargetMode="External"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yperlink" Target="https://onlinelibrary.wiley.com/doi/full/10.1111/j.1467-9566.2008.1154_4.x" TargetMode="External" Id="rId14" /><Relationship Type="http://schemas.openxmlformats.org/officeDocument/2006/relationships/theme" Target="theme/theme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8A93C-2A37-44DC-BF23-F868E91EC3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Berthe Mukendi Mutombo (2427851)</lastModifiedBy>
  <revision>2</revision>
  <dcterms:created xsi:type="dcterms:W3CDTF">2026-04-06T17:05:00.0000000Z</dcterms:created>
  <dcterms:modified xsi:type="dcterms:W3CDTF">2026-04-21T04:06:17.4180016Z</dcterms:modified>
  <category/>
</coreProperties>
</file>