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9638D" w14:textId="77777777" w:rsidR="003E6AA5" w:rsidRDefault="003E6AA5">
      <w:pPr>
        <w:spacing w:after="160" w:line="360" w:lineRule="auto"/>
        <w:jc w:val="center"/>
        <w:rPr>
          <w:rFonts w:ascii="Times New Roman" w:eastAsia="Times New Roman" w:hAnsi="Times New Roman" w:cs="Times New Roman"/>
          <w:b/>
          <w:bCs/>
          <w:sz w:val="24"/>
          <w:szCs w:val="24"/>
        </w:rPr>
      </w:pPr>
      <w:bookmarkStart w:id="0" w:name="_gy66f1gqlzxn" w:colFirst="0" w:colLast="0"/>
      <w:bookmarkEnd w:id="0"/>
    </w:p>
    <w:p w14:paraId="1DDCE866" w14:textId="77777777" w:rsidR="003E6AA5" w:rsidRDefault="003E6AA5">
      <w:pPr>
        <w:spacing w:after="160" w:line="360" w:lineRule="auto"/>
        <w:jc w:val="center"/>
        <w:rPr>
          <w:rFonts w:ascii="Times New Roman" w:eastAsia="Times New Roman" w:hAnsi="Times New Roman" w:cs="Times New Roman"/>
          <w:b/>
          <w:bCs/>
          <w:sz w:val="24"/>
          <w:szCs w:val="24"/>
        </w:rPr>
      </w:pPr>
    </w:p>
    <w:p w14:paraId="3ECC522B" w14:textId="77777777" w:rsidR="003E6AA5" w:rsidRDefault="00000000">
      <w:pPr>
        <w:spacing w:after="160" w:line="360" w:lineRule="auto"/>
        <w:ind w:left="1651"/>
        <w:jc w:val="both"/>
        <w:rPr>
          <w:b/>
          <w:bCs/>
          <w:sz w:val="24"/>
          <w:szCs w:val="24"/>
        </w:rPr>
      </w:pPr>
      <w:bookmarkStart w:id="1" w:name="_bv69tr2oc6n7" w:colFirst="0" w:colLast="0"/>
      <w:bookmarkEnd w:id="1"/>
      <w:r>
        <w:rPr>
          <w:b/>
          <w:bCs/>
          <w:noProof/>
          <w:sz w:val="24"/>
          <w:szCs w:val="24"/>
        </w:rPr>
        <w:drawing>
          <wp:inline distT="0" distB="0" distL="0" distR="0" wp14:anchorId="38957602" wp14:editId="58DD09A9">
            <wp:extent cx="3379851" cy="1352550"/>
            <wp:effectExtent l="0" t="0" r="0" b="0"/>
            <wp:docPr id="5"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7"/>
                    <a:srcRect/>
                    <a:stretch>
                      <a:fillRect/>
                    </a:stretch>
                  </pic:blipFill>
                  <pic:spPr>
                    <a:xfrm>
                      <a:off x="0" y="0"/>
                      <a:ext cx="3379851" cy="1352550"/>
                    </a:xfrm>
                    <a:prstGeom prst="rect">
                      <a:avLst/>
                    </a:prstGeom>
                    <a:ln/>
                  </pic:spPr>
                </pic:pic>
              </a:graphicData>
            </a:graphic>
          </wp:inline>
        </w:drawing>
      </w:r>
    </w:p>
    <w:p w14:paraId="3F790F8B" w14:textId="77777777" w:rsidR="003E6AA5" w:rsidRDefault="003E6AA5">
      <w:pPr>
        <w:spacing w:before="333" w:after="160" w:line="360" w:lineRule="auto"/>
        <w:jc w:val="both"/>
        <w:rPr>
          <w:b/>
          <w:bCs/>
          <w:sz w:val="32"/>
          <w:szCs w:val="32"/>
        </w:rPr>
      </w:pPr>
    </w:p>
    <w:p w14:paraId="22560BC2" w14:textId="77777777" w:rsidR="003E6AA5" w:rsidRDefault="00000000">
      <w:pPr>
        <w:spacing w:before="1" w:after="160" w:line="360" w:lineRule="auto"/>
        <w:ind w:left="893" w:right="901"/>
        <w:jc w:val="center"/>
        <w:rPr>
          <w:b/>
          <w:bCs/>
          <w:sz w:val="32"/>
          <w:szCs w:val="32"/>
        </w:rPr>
      </w:pPr>
      <w:r>
        <w:rPr>
          <w:b/>
          <w:bCs/>
          <w:sz w:val="32"/>
          <w:szCs w:val="32"/>
        </w:rPr>
        <w:t xml:space="preserve">Student Name: Kevin Thakarshibhai Maniya </w:t>
      </w:r>
    </w:p>
    <w:p w14:paraId="5A0DD729" w14:textId="77777777" w:rsidR="003E6AA5" w:rsidRDefault="003E6AA5">
      <w:pPr>
        <w:spacing w:before="1" w:after="160" w:line="360" w:lineRule="auto"/>
        <w:ind w:left="893" w:right="901"/>
        <w:jc w:val="center"/>
        <w:rPr>
          <w:b/>
          <w:bCs/>
          <w:sz w:val="32"/>
          <w:szCs w:val="32"/>
        </w:rPr>
      </w:pPr>
    </w:p>
    <w:p w14:paraId="600416E2" w14:textId="77777777" w:rsidR="003E6AA5" w:rsidRDefault="00000000">
      <w:pPr>
        <w:spacing w:before="1" w:after="160" w:line="360" w:lineRule="auto"/>
        <w:ind w:left="893" w:right="901"/>
        <w:jc w:val="center"/>
        <w:rPr>
          <w:b/>
          <w:bCs/>
          <w:sz w:val="32"/>
          <w:szCs w:val="32"/>
        </w:rPr>
      </w:pPr>
      <w:r>
        <w:rPr>
          <w:b/>
          <w:bCs/>
          <w:sz w:val="32"/>
          <w:szCs w:val="32"/>
        </w:rPr>
        <w:t>Student ID: 2437416</w:t>
      </w:r>
    </w:p>
    <w:p w14:paraId="17EED7E3" w14:textId="77777777" w:rsidR="003E6AA5" w:rsidRDefault="00000000">
      <w:pPr>
        <w:spacing w:before="1" w:after="160" w:line="360" w:lineRule="auto"/>
        <w:ind w:left="893" w:right="901"/>
        <w:jc w:val="center"/>
        <w:rPr>
          <w:b/>
          <w:bCs/>
          <w:sz w:val="32"/>
          <w:szCs w:val="32"/>
        </w:rPr>
      </w:pPr>
      <w:r>
        <w:rPr>
          <w:b/>
          <w:bCs/>
          <w:sz w:val="32"/>
          <w:szCs w:val="32"/>
        </w:rPr>
        <w:t xml:space="preserve">Module Name: Human Capital Management </w:t>
      </w:r>
    </w:p>
    <w:p w14:paraId="40DCD5A3" w14:textId="77777777" w:rsidR="003E6AA5" w:rsidRDefault="00000000">
      <w:pPr>
        <w:spacing w:after="160" w:line="360" w:lineRule="auto"/>
        <w:ind w:left="896" w:right="901"/>
        <w:jc w:val="center"/>
        <w:rPr>
          <w:b/>
          <w:bCs/>
          <w:sz w:val="32"/>
          <w:szCs w:val="32"/>
        </w:rPr>
      </w:pPr>
      <w:r>
        <w:rPr>
          <w:b/>
          <w:bCs/>
          <w:sz w:val="32"/>
          <w:szCs w:val="32"/>
        </w:rPr>
        <w:t>Module Code: LCMB7023</w:t>
      </w:r>
    </w:p>
    <w:p w14:paraId="72FCB490" w14:textId="77777777" w:rsidR="003E6AA5" w:rsidRDefault="003E6AA5">
      <w:pPr>
        <w:spacing w:before="184" w:after="160" w:line="360" w:lineRule="auto"/>
        <w:jc w:val="both"/>
        <w:rPr>
          <w:b/>
          <w:bCs/>
          <w:sz w:val="32"/>
          <w:szCs w:val="32"/>
        </w:rPr>
      </w:pPr>
    </w:p>
    <w:p w14:paraId="63A7FD29" w14:textId="77777777" w:rsidR="003E6AA5" w:rsidRDefault="00000000">
      <w:pPr>
        <w:spacing w:after="160" w:line="360" w:lineRule="auto"/>
        <w:ind w:left="755" w:right="762"/>
        <w:jc w:val="center"/>
        <w:rPr>
          <w:b/>
          <w:bCs/>
          <w:sz w:val="32"/>
          <w:szCs w:val="32"/>
        </w:rPr>
      </w:pPr>
      <w:r>
        <w:rPr>
          <w:b/>
          <w:bCs/>
          <w:sz w:val="32"/>
          <w:szCs w:val="32"/>
        </w:rPr>
        <w:t>Lecturer's Name: Dr. Gladius Kulothungan</w:t>
      </w:r>
    </w:p>
    <w:p w14:paraId="3EA7E9AF" w14:textId="77777777" w:rsidR="003E6AA5" w:rsidRDefault="003E6AA5">
      <w:pPr>
        <w:spacing w:after="160" w:line="360" w:lineRule="auto"/>
        <w:ind w:right="762"/>
        <w:jc w:val="both"/>
        <w:rPr>
          <w:b/>
          <w:bCs/>
          <w:sz w:val="32"/>
          <w:szCs w:val="32"/>
        </w:rPr>
      </w:pPr>
    </w:p>
    <w:p w14:paraId="4ABCA59B" w14:textId="77777777" w:rsidR="003E6AA5" w:rsidRDefault="00000000">
      <w:pPr>
        <w:spacing w:after="160" w:line="360" w:lineRule="auto"/>
        <w:ind w:left="900" w:right="901"/>
        <w:jc w:val="center"/>
        <w:rPr>
          <w:b/>
          <w:bCs/>
          <w:sz w:val="32"/>
          <w:szCs w:val="32"/>
        </w:rPr>
      </w:pPr>
      <w:r>
        <w:rPr>
          <w:b/>
          <w:bCs/>
          <w:sz w:val="32"/>
          <w:szCs w:val="32"/>
        </w:rPr>
        <w:t>Words Count: 2541</w:t>
      </w:r>
      <w:r>
        <w:rPr>
          <w:b/>
          <w:bCs/>
          <w:sz w:val="32"/>
          <w:szCs w:val="32"/>
        </w:rPr>
        <w:br/>
      </w:r>
      <w:r>
        <w:rPr>
          <w:b/>
          <w:bCs/>
          <w:sz w:val="32"/>
          <w:szCs w:val="32"/>
        </w:rPr>
        <w:br/>
      </w:r>
      <w:r>
        <w:rPr>
          <w:b/>
          <w:bCs/>
          <w:sz w:val="32"/>
          <w:szCs w:val="32"/>
        </w:rPr>
        <w:br/>
      </w:r>
      <w:r>
        <w:rPr>
          <w:b/>
          <w:bCs/>
          <w:sz w:val="32"/>
          <w:szCs w:val="32"/>
        </w:rPr>
        <w:br/>
        <w:t>Term: 1</w:t>
      </w:r>
    </w:p>
    <w:p w14:paraId="422A0CA4" w14:textId="77777777" w:rsidR="003E6AA5" w:rsidRDefault="003E6AA5">
      <w:pPr>
        <w:spacing w:after="160" w:line="360" w:lineRule="auto"/>
        <w:jc w:val="center"/>
        <w:rPr>
          <w:rFonts w:ascii="Times New Roman" w:eastAsia="Times New Roman" w:hAnsi="Times New Roman" w:cs="Times New Roman"/>
          <w:b/>
          <w:bCs/>
          <w:sz w:val="40"/>
          <w:szCs w:val="40"/>
        </w:rPr>
      </w:pPr>
    </w:p>
    <w:p w14:paraId="6233C78B" w14:textId="77777777" w:rsidR="003E6AA5" w:rsidRDefault="003E6AA5">
      <w:pPr>
        <w:spacing w:after="160" w:line="360" w:lineRule="auto"/>
        <w:jc w:val="center"/>
        <w:rPr>
          <w:rFonts w:ascii="Times New Roman" w:eastAsia="Times New Roman" w:hAnsi="Times New Roman" w:cs="Times New Roman"/>
          <w:b/>
          <w:bCs/>
          <w:sz w:val="40"/>
          <w:szCs w:val="40"/>
        </w:rPr>
      </w:pPr>
    </w:p>
    <w:p w14:paraId="777B02C6" w14:textId="77777777" w:rsidR="003E6AA5" w:rsidRDefault="003E6AA5">
      <w:pPr>
        <w:spacing w:after="160" w:line="360" w:lineRule="auto"/>
        <w:jc w:val="center"/>
        <w:rPr>
          <w:rFonts w:ascii="Times New Roman" w:eastAsia="Times New Roman" w:hAnsi="Times New Roman" w:cs="Times New Roman"/>
          <w:b/>
          <w:bCs/>
          <w:sz w:val="40"/>
          <w:szCs w:val="40"/>
        </w:rPr>
      </w:pPr>
    </w:p>
    <w:p w14:paraId="4526599E" w14:textId="77777777" w:rsidR="003E6AA5" w:rsidRDefault="003E6AA5">
      <w:pPr>
        <w:spacing w:after="160" w:line="360" w:lineRule="auto"/>
        <w:jc w:val="center"/>
        <w:rPr>
          <w:rFonts w:ascii="Times New Roman" w:eastAsia="Times New Roman" w:hAnsi="Times New Roman" w:cs="Times New Roman"/>
          <w:b/>
          <w:bCs/>
          <w:sz w:val="40"/>
          <w:szCs w:val="40"/>
        </w:rPr>
      </w:pPr>
    </w:p>
    <w:p w14:paraId="6B48ED9E" w14:textId="77777777" w:rsidR="003E6AA5" w:rsidRDefault="003E6AA5">
      <w:pPr>
        <w:spacing w:after="160" w:line="360" w:lineRule="auto"/>
        <w:jc w:val="center"/>
        <w:rPr>
          <w:rFonts w:ascii="Times New Roman" w:eastAsia="Times New Roman" w:hAnsi="Times New Roman" w:cs="Times New Roman"/>
          <w:b/>
          <w:bCs/>
          <w:sz w:val="40"/>
          <w:szCs w:val="40"/>
        </w:rPr>
      </w:pPr>
    </w:p>
    <w:p w14:paraId="67D0C3D4"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Executive Summary </w:t>
      </w:r>
    </w:p>
    <w:p w14:paraId="4EF5788D" w14:textId="5C27E5C8"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investigated the ongoing transformation in labour market globally. This transformation is stimulated by technological, demographic, and geopolitical factors. Question1 described the impact of automation, artificial intelligence (AI), and digital platforms in labour market. Technology creates new job opportunities and also increases efficiency but it is also a reason for elimination of the job. Hence adaptive HRM strategies are required which focuses on reskilling, AI governance, and hybrid workforce management. Question 2 investigated demographic and geopolitical impact on the labour market like ageing populations, migration shifts, and trade tensions. These circumstances resulted in labour shortages and talent mobility challenges. To mitigate this challenges HR professionals should implement inclusive, flexible, and ethically aligned international HRM (IHRM) policies. Question 3 identified global skills gaps and misalignment between education and requirement of labour market. To enhance capability of workforce across various sectors it discussed strategic HRM approaches using the “build, buy, borrow, and bind” framework. Ultimately, Question 4 provided a reflective self-assessment based on Gibbs’ Reflective Cycle. It uncovered strength in digital literacy, communication, and teamwork. It also highted the areas for improvement in leadership and data visualisation.</w:t>
      </w:r>
    </w:p>
    <w:p w14:paraId="3A1E9F93" w14:textId="77777777" w:rsidR="003E6AA5" w:rsidRDefault="003E6AA5">
      <w:pPr>
        <w:spacing w:after="160" w:line="360" w:lineRule="auto"/>
        <w:jc w:val="both"/>
        <w:rPr>
          <w:rFonts w:ascii="Times New Roman" w:eastAsia="Times New Roman" w:hAnsi="Times New Roman" w:cs="Times New Roman"/>
          <w:sz w:val="24"/>
          <w:szCs w:val="24"/>
        </w:rPr>
      </w:pPr>
    </w:p>
    <w:p w14:paraId="43DCA8E3" w14:textId="77777777" w:rsidR="003E6AA5" w:rsidRDefault="003E6AA5">
      <w:pPr>
        <w:spacing w:after="160" w:line="360" w:lineRule="auto"/>
        <w:jc w:val="both"/>
        <w:rPr>
          <w:rFonts w:ascii="Times New Roman" w:eastAsia="Times New Roman" w:hAnsi="Times New Roman" w:cs="Times New Roman"/>
          <w:sz w:val="24"/>
          <w:szCs w:val="24"/>
        </w:rPr>
      </w:pPr>
    </w:p>
    <w:p w14:paraId="0347E82E" w14:textId="77777777" w:rsidR="003E6AA5" w:rsidRDefault="003E6AA5">
      <w:pPr>
        <w:spacing w:after="160" w:line="360" w:lineRule="auto"/>
        <w:jc w:val="both"/>
        <w:rPr>
          <w:rFonts w:ascii="Times New Roman" w:eastAsia="Times New Roman" w:hAnsi="Times New Roman" w:cs="Times New Roman"/>
          <w:sz w:val="24"/>
          <w:szCs w:val="24"/>
        </w:rPr>
      </w:pPr>
    </w:p>
    <w:p w14:paraId="78A2ECC6" w14:textId="77777777" w:rsidR="003E6AA5" w:rsidRDefault="003E6AA5">
      <w:pPr>
        <w:spacing w:after="160" w:line="360" w:lineRule="auto"/>
        <w:jc w:val="both"/>
        <w:rPr>
          <w:rFonts w:ascii="Times New Roman" w:eastAsia="Times New Roman" w:hAnsi="Times New Roman" w:cs="Times New Roman"/>
          <w:sz w:val="24"/>
          <w:szCs w:val="24"/>
        </w:rPr>
      </w:pPr>
    </w:p>
    <w:p w14:paraId="1D624D63" w14:textId="77777777" w:rsidR="003E6AA5" w:rsidRDefault="003E6AA5">
      <w:pPr>
        <w:spacing w:after="160" w:line="360" w:lineRule="auto"/>
        <w:jc w:val="both"/>
        <w:rPr>
          <w:rFonts w:ascii="Times New Roman" w:eastAsia="Times New Roman" w:hAnsi="Times New Roman" w:cs="Times New Roman"/>
          <w:sz w:val="24"/>
          <w:szCs w:val="24"/>
        </w:rPr>
      </w:pPr>
    </w:p>
    <w:p w14:paraId="5F3F9745" w14:textId="77777777" w:rsidR="003E6AA5" w:rsidRDefault="003E6AA5">
      <w:pPr>
        <w:spacing w:after="160" w:line="360" w:lineRule="auto"/>
        <w:jc w:val="both"/>
        <w:rPr>
          <w:rFonts w:ascii="Times New Roman" w:eastAsia="Times New Roman" w:hAnsi="Times New Roman" w:cs="Times New Roman"/>
          <w:sz w:val="24"/>
          <w:szCs w:val="24"/>
        </w:rPr>
      </w:pPr>
    </w:p>
    <w:p w14:paraId="259B16C6" w14:textId="77777777" w:rsidR="003E6AA5" w:rsidRDefault="003E6AA5">
      <w:pPr>
        <w:spacing w:after="160" w:line="360" w:lineRule="auto"/>
        <w:jc w:val="both"/>
        <w:rPr>
          <w:rFonts w:ascii="Times New Roman" w:eastAsia="Times New Roman" w:hAnsi="Times New Roman" w:cs="Times New Roman"/>
          <w:sz w:val="24"/>
          <w:szCs w:val="24"/>
        </w:rPr>
      </w:pPr>
    </w:p>
    <w:p w14:paraId="49C56233" w14:textId="77777777" w:rsidR="003E6AA5" w:rsidRDefault="003E6AA5">
      <w:pPr>
        <w:spacing w:after="160" w:line="360" w:lineRule="auto"/>
        <w:jc w:val="both"/>
        <w:rPr>
          <w:rFonts w:ascii="Times New Roman" w:eastAsia="Times New Roman" w:hAnsi="Times New Roman" w:cs="Times New Roman"/>
          <w:sz w:val="24"/>
          <w:szCs w:val="24"/>
        </w:rPr>
      </w:pPr>
    </w:p>
    <w:p w14:paraId="3455282D" w14:textId="77777777" w:rsidR="003E6AA5" w:rsidRDefault="003E6AA5">
      <w:pPr>
        <w:spacing w:after="160" w:line="360" w:lineRule="auto"/>
        <w:jc w:val="both"/>
        <w:rPr>
          <w:rFonts w:ascii="Times New Roman" w:eastAsia="Times New Roman" w:hAnsi="Times New Roman" w:cs="Times New Roman"/>
          <w:sz w:val="24"/>
          <w:szCs w:val="24"/>
        </w:rPr>
      </w:pPr>
    </w:p>
    <w:p w14:paraId="41F32488" w14:textId="77777777" w:rsidR="003E6AA5" w:rsidRDefault="003E6AA5">
      <w:pPr>
        <w:spacing w:after="160" w:line="360" w:lineRule="auto"/>
        <w:jc w:val="both"/>
        <w:rPr>
          <w:rFonts w:ascii="Times New Roman" w:eastAsia="Times New Roman" w:hAnsi="Times New Roman" w:cs="Times New Roman"/>
          <w:sz w:val="24"/>
          <w:szCs w:val="24"/>
        </w:rPr>
      </w:pPr>
    </w:p>
    <w:p w14:paraId="27CD5B9C" w14:textId="77777777" w:rsidR="003E6AA5" w:rsidRDefault="003E6AA5">
      <w:pPr>
        <w:spacing w:after="160" w:line="360" w:lineRule="auto"/>
        <w:jc w:val="both"/>
        <w:rPr>
          <w:rFonts w:ascii="Times New Roman" w:eastAsia="Times New Roman" w:hAnsi="Times New Roman" w:cs="Times New Roman"/>
          <w:sz w:val="24"/>
          <w:szCs w:val="24"/>
        </w:rPr>
      </w:pPr>
    </w:p>
    <w:p w14:paraId="0C404039" w14:textId="77777777" w:rsidR="003E6AA5" w:rsidRDefault="00000000">
      <w:pPr>
        <w:keepNext/>
        <w:keepLines/>
        <w:spacing w:before="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Table of Contents</w:t>
      </w:r>
    </w:p>
    <w:sdt>
      <w:sdtPr>
        <w:id w:val="-1418739852"/>
        <w:docPartObj>
          <w:docPartGallery w:val="Table of Contents"/>
          <w:docPartUnique/>
        </w:docPartObj>
      </w:sdtPr>
      <w:sdtContent>
        <w:p w14:paraId="17EC884D" w14:textId="77777777" w:rsidR="003E6AA5" w:rsidRDefault="00000000">
          <w:pPr>
            <w:tabs>
              <w:tab w:val="right" w:leader="dot" w:pos="9016"/>
            </w:tabs>
            <w:spacing w:after="100" w:line="360" w:lineRule="auto"/>
            <w:jc w:val="both"/>
            <w:rPr>
              <w:rFonts w:ascii="Calibri" w:eastAsia="Calibri" w:hAnsi="Calibri" w:cs="Calibri"/>
            </w:rPr>
          </w:pPr>
          <w:r>
            <w:fldChar w:fldCharType="begin"/>
          </w:r>
          <w:r>
            <w:instrText xml:space="preserve"> TOC \h \u \z \t "Heading 1,1,Heading 2,2,Heading 3,3,"</w:instrText>
          </w:r>
          <w:r>
            <w:fldChar w:fldCharType="separate"/>
          </w:r>
          <w:hyperlink w:anchor="_15l86o3lrq30">
            <w:r w:rsidR="003E6AA5">
              <w:rPr>
                <w:rFonts w:ascii="Times New Roman" w:eastAsia="Times New Roman" w:hAnsi="Times New Roman" w:cs="Times New Roman"/>
                <w:sz w:val="24"/>
                <w:szCs w:val="24"/>
              </w:rPr>
              <w:t>Introduction</w:t>
            </w:r>
            <w:r w:rsidR="003E6AA5">
              <w:rPr>
                <w:rFonts w:ascii="Times New Roman" w:eastAsia="Times New Roman" w:hAnsi="Times New Roman" w:cs="Times New Roman"/>
                <w:sz w:val="24"/>
                <w:szCs w:val="24"/>
              </w:rPr>
              <w:tab/>
              <w:t>4</w:t>
            </w:r>
          </w:hyperlink>
        </w:p>
        <w:p w14:paraId="6835B149" w14:textId="77777777" w:rsidR="003E6AA5" w:rsidRDefault="003E6AA5">
          <w:pPr>
            <w:tabs>
              <w:tab w:val="right" w:leader="dot" w:pos="9016"/>
            </w:tabs>
            <w:spacing w:after="100" w:line="360" w:lineRule="auto"/>
            <w:jc w:val="both"/>
            <w:rPr>
              <w:rFonts w:ascii="Calibri" w:eastAsia="Calibri" w:hAnsi="Calibri" w:cs="Calibri"/>
            </w:rPr>
          </w:pPr>
          <w:hyperlink w:anchor="_l0k8kotovoto">
            <w:r>
              <w:rPr>
                <w:rFonts w:ascii="Times New Roman" w:eastAsia="Times New Roman" w:hAnsi="Times New Roman" w:cs="Times New Roman"/>
                <w:sz w:val="24"/>
                <w:szCs w:val="24"/>
              </w:rPr>
              <w:t>Question 1: Technology and Labour Markets</w:t>
            </w:r>
            <w:r>
              <w:rPr>
                <w:rFonts w:ascii="Times New Roman" w:eastAsia="Times New Roman" w:hAnsi="Times New Roman" w:cs="Times New Roman"/>
                <w:sz w:val="24"/>
                <w:szCs w:val="24"/>
              </w:rPr>
              <w:tab/>
              <w:t>4</w:t>
            </w:r>
          </w:hyperlink>
        </w:p>
        <w:p w14:paraId="6EDF2A03" w14:textId="77777777" w:rsidR="003E6AA5" w:rsidRDefault="003E6AA5">
          <w:pPr>
            <w:tabs>
              <w:tab w:val="right" w:leader="dot" w:pos="9016"/>
            </w:tabs>
            <w:spacing w:after="100" w:line="360" w:lineRule="auto"/>
            <w:ind w:left="240"/>
            <w:jc w:val="both"/>
            <w:rPr>
              <w:rFonts w:ascii="Calibri" w:eastAsia="Calibri" w:hAnsi="Calibri" w:cs="Calibri"/>
            </w:rPr>
          </w:pPr>
          <w:hyperlink w:anchor="_jnsdoynlvmrs">
            <w:r>
              <w:rPr>
                <w:rFonts w:ascii="Times New Roman" w:eastAsia="Times New Roman" w:hAnsi="Times New Roman" w:cs="Times New Roman"/>
                <w:sz w:val="24"/>
                <w:szCs w:val="24"/>
              </w:rPr>
              <w:t>1.1 The Reshaping of Labour Markets</w:t>
            </w:r>
            <w:r>
              <w:rPr>
                <w:rFonts w:ascii="Times New Roman" w:eastAsia="Times New Roman" w:hAnsi="Times New Roman" w:cs="Times New Roman"/>
                <w:sz w:val="24"/>
                <w:szCs w:val="24"/>
              </w:rPr>
              <w:tab/>
              <w:t>4</w:t>
            </w:r>
          </w:hyperlink>
        </w:p>
        <w:p w14:paraId="025BB5E5" w14:textId="77777777" w:rsidR="003E6AA5" w:rsidRDefault="003E6AA5">
          <w:pPr>
            <w:tabs>
              <w:tab w:val="right" w:leader="dot" w:pos="9016"/>
            </w:tabs>
            <w:spacing w:after="100" w:line="360" w:lineRule="auto"/>
            <w:ind w:left="240"/>
            <w:jc w:val="both"/>
            <w:rPr>
              <w:rFonts w:ascii="Calibri" w:eastAsia="Calibri" w:hAnsi="Calibri" w:cs="Calibri"/>
            </w:rPr>
          </w:pPr>
          <w:hyperlink w:anchor="_7yppde6xdwsl">
            <w:r>
              <w:rPr>
                <w:rFonts w:ascii="Times New Roman" w:eastAsia="Times New Roman" w:hAnsi="Times New Roman" w:cs="Times New Roman"/>
                <w:sz w:val="24"/>
                <w:szCs w:val="24"/>
              </w:rPr>
              <w:t>1.2 Implications for HRM and IHRM Strategies</w:t>
            </w:r>
            <w:r>
              <w:rPr>
                <w:rFonts w:ascii="Times New Roman" w:eastAsia="Times New Roman" w:hAnsi="Times New Roman" w:cs="Times New Roman"/>
                <w:sz w:val="24"/>
                <w:szCs w:val="24"/>
              </w:rPr>
              <w:tab/>
              <w:t>6</w:t>
            </w:r>
          </w:hyperlink>
        </w:p>
        <w:p w14:paraId="135DCEF6" w14:textId="77777777" w:rsidR="003E6AA5" w:rsidRDefault="003E6AA5">
          <w:pPr>
            <w:tabs>
              <w:tab w:val="right" w:leader="dot" w:pos="9016"/>
            </w:tabs>
            <w:spacing w:after="100" w:line="360" w:lineRule="auto"/>
            <w:jc w:val="both"/>
            <w:rPr>
              <w:rFonts w:ascii="Calibri" w:eastAsia="Calibri" w:hAnsi="Calibri" w:cs="Calibri"/>
            </w:rPr>
          </w:pPr>
          <w:hyperlink w:anchor="_o9kd03n9crx">
            <w:r>
              <w:rPr>
                <w:rFonts w:ascii="Times New Roman" w:eastAsia="Times New Roman" w:hAnsi="Times New Roman" w:cs="Times New Roman"/>
                <w:sz w:val="24"/>
                <w:szCs w:val="24"/>
              </w:rPr>
              <w:t>Question 2: Demographic and Geopolitical Factors</w:t>
            </w:r>
            <w:r>
              <w:rPr>
                <w:rFonts w:ascii="Times New Roman" w:eastAsia="Times New Roman" w:hAnsi="Times New Roman" w:cs="Times New Roman"/>
                <w:sz w:val="24"/>
                <w:szCs w:val="24"/>
              </w:rPr>
              <w:tab/>
              <w:t>8</w:t>
            </w:r>
          </w:hyperlink>
        </w:p>
        <w:p w14:paraId="10D972C3" w14:textId="77777777" w:rsidR="003E6AA5" w:rsidRDefault="003E6AA5">
          <w:pPr>
            <w:tabs>
              <w:tab w:val="right" w:leader="dot" w:pos="9016"/>
            </w:tabs>
            <w:spacing w:after="100" w:line="360" w:lineRule="auto"/>
            <w:ind w:left="240"/>
            <w:jc w:val="both"/>
            <w:rPr>
              <w:rFonts w:ascii="Calibri" w:eastAsia="Calibri" w:hAnsi="Calibri" w:cs="Calibri"/>
            </w:rPr>
          </w:pPr>
          <w:hyperlink w:anchor="_10kv1ia5qlb6">
            <w:r>
              <w:rPr>
                <w:rFonts w:ascii="Times New Roman" w:eastAsia="Times New Roman" w:hAnsi="Times New Roman" w:cs="Times New Roman"/>
                <w:sz w:val="24"/>
                <w:szCs w:val="24"/>
              </w:rPr>
              <w:t>2.1 Key Demographic Factors</w:t>
            </w:r>
            <w:r>
              <w:rPr>
                <w:rFonts w:ascii="Times New Roman" w:eastAsia="Times New Roman" w:hAnsi="Times New Roman" w:cs="Times New Roman"/>
                <w:sz w:val="24"/>
                <w:szCs w:val="24"/>
              </w:rPr>
              <w:tab/>
              <w:t>8</w:t>
            </w:r>
          </w:hyperlink>
        </w:p>
        <w:p w14:paraId="01146096" w14:textId="77777777" w:rsidR="003E6AA5" w:rsidRDefault="003E6AA5">
          <w:pPr>
            <w:tabs>
              <w:tab w:val="right" w:leader="dot" w:pos="9016"/>
            </w:tabs>
            <w:spacing w:after="100" w:line="360" w:lineRule="auto"/>
            <w:ind w:left="240"/>
            <w:jc w:val="both"/>
            <w:rPr>
              <w:rFonts w:ascii="Calibri" w:eastAsia="Calibri" w:hAnsi="Calibri" w:cs="Calibri"/>
            </w:rPr>
          </w:pPr>
          <w:hyperlink w:anchor="_375pz3jys0ya">
            <w:r>
              <w:rPr>
                <w:rFonts w:ascii="Times New Roman" w:eastAsia="Times New Roman" w:hAnsi="Times New Roman" w:cs="Times New Roman"/>
                <w:sz w:val="24"/>
                <w:szCs w:val="24"/>
              </w:rPr>
              <w:t>2.2 Key Geopolitical Factors</w:t>
            </w:r>
            <w:r>
              <w:rPr>
                <w:rFonts w:ascii="Times New Roman" w:eastAsia="Times New Roman" w:hAnsi="Times New Roman" w:cs="Times New Roman"/>
                <w:sz w:val="24"/>
                <w:szCs w:val="24"/>
              </w:rPr>
              <w:tab/>
              <w:t>9</w:t>
            </w:r>
          </w:hyperlink>
        </w:p>
        <w:p w14:paraId="05CA0162" w14:textId="77777777" w:rsidR="003E6AA5" w:rsidRDefault="003E6AA5">
          <w:pPr>
            <w:tabs>
              <w:tab w:val="right" w:leader="dot" w:pos="9016"/>
            </w:tabs>
            <w:spacing w:after="100" w:line="360" w:lineRule="auto"/>
            <w:ind w:left="240"/>
            <w:jc w:val="both"/>
            <w:rPr>
              <w:rFonts w:ascii="Calibri" w:eastAsia="Calibri" w:hAnsi="Calibri" w:cs="Calibri"/>
            </w:rPr>
          </w:pPr>
          <w:hyperlink w:anchor="_tv0oci6nna1z">
            <w:r>
              <w:rPr>
                <w:rFonts w:ascii="Times New Roman" w:eastAsia="Times New Roman" w:hAnsi="Times New Roman" w:cs="Times New Roman"/>
                <w:sz w:val="24"/>
                <w:szCs w:val="24"/>
              </w:rPr>
              <w:t>2.3 Challenges for HR Professionals</w:t>
            </w:r>
            <w:r>
              <w:rPr>
                <w:rFonts w:ascii="Times New Roman" w:eastAsia="Times New Roman" w:hAnsi="Times New Roman" w:cs="Times New Roman"/>
                <w:sz w:val="24"/>
                <w:szCs w:val="24"/>
              </w:rPr>
              <w:tab/>
              <w:t>10</w:t>
            </w:r>
          </w:hyperlink>
        </w:p>
        <w:p w14:paraId="31A3CA7F" w14:textId="77777777" w:rsidR="003E6AA5" w:rsidRDefault="003E6AA5">
          <w:pPr>
            <w:tabs>
              <w:tab w:val="right" w:leader="dot" w:pos="9016"/>
            </w:tabs>
            <w:spacing w:after="100" w:line="360" w:lineRule="auto"/>
            <w:jc w:val="both"/>
            <w:rPr>
              <w:rFonts w:ascii="Calibri" w:eastAsia="Calibri" w:hAnsi="Calibri" w:cs="Calibri"/>
            </w:rPr>
          </w:pPr>
          <w:hyperlink w:anchor="_utfnwff55l96">
            <w:r>
              <w:rPr>
                <w:rFonts w:ascii="Times New Roman" w:eastAsia="Times New Roman" w:hAnsi="Times New Roman" w:cs="Times New Roman"/>
                <w:sz w:val="24"/>
                <w:szCs w:val="24"/>
              </w:rPr>
              <w:t>Question 3:  Skills Gaps and Strategic HRM</w:t>
            </w:r>
            <w:r>
              <w:rPr>
                <w:rFonts w:ascii="Times New Roman" w:eastAsia="Times New Roman" w:hAnsi="Times New Roman" w:cs="Times New Roman"/>
                <w:sz w:val="24"/>
                <w:szCs w:val="24"/>
              </w:rPr>
              <w:tab/>
              <w:t>11</w:t>
            </w:r>
          </w:hyperlink>
        </w:p>
        <w:p w14:paraId="739C2A75" w14:textId="77777777" w:rsidR="003E6AA5" w:rsidRDefault="003E6AA5">
          <w:pPr>
            <w:tabs>
              <w:tab w:val="right" w:leader="dot" w:pos="9016"/>
            </w:tabs>
            <w:spacing w:after="100" w:line="360" w:lineRule="auto"/>
            <w:ind w:left="240"/>
            <w:jc w:val="both"/>
            <w:rPr>
              <w:rFonts w:ascii="Calibri" w:eastAsia="Calibri" w:hAnsi="Calibri" w:cs="Calibri"/>
            </w:rPr>
          </w:pPr>
          <w:hyperlink w:anchor="_nmekj54ktozz">
            <w:r>
              <w:rPr>
                <w:rFonts w:ascii="Times New Roman" w:eastAsia="Times New Roman" w:hAnsi="Times New Roman" w:cs="Times New Roman"/>
                <w:sz w:val="24"/>
                <w:szCs w:val="24"/>
              </w:rPr>
              <w:t>3.1 Understanding the Causes of Skills Gaps</w:t>
            </w:r>
            <w:r>
              <w:rPr>
                <w:rFonts w:ascii="Times New Roman" w:eastAsia="Times New Roman" w:hAnsi="Times New Roman" w:cs="Times New Roman"/>
                <w:sz w:val="24"/>
                <w:szCs w:val="24"/>
              </w:rPr>
              <w:tab/>
              <w:t>11</w:t>
            </w:r>
          </w:hyperlink>
        </w:p>
        <w:p w14:paraId="4915AD85" w14:textId="77777777" w:rsidR="003E6AA5" w:rsidRDefault="003E6AA5">
          <w:pPr>
            <w:tabs>
              <w:tab w:val="right" w:leader="dot" w:pos="9016"/>
            </w:tabs>
            <w:spacing w:after="100" w:line="360" w:lineRule="auto"/>
            <w:ind w:left="240"/>
            <w:jc w:val="both"/>
            <w:rPr>
              <w:rFonts w:ascii="Calibri" w:eastAsia="Calibri" w:hAnsi="Calibri" w:cs="Calibri"/>
            </w:rPr>
          </w:pPr>
          <w:hyperlink w:anchor="_m5suvzfgi0wd">
            <w:r>
              <w:rPr>
                <w:rFonts w:ascii="Times New Roman" w:eastAsia="Times New Roman" w:hAnsi="Times New Roman" w:cs="Times New Roman"/>
                <w:sz w:val="24"/>
                <w:szCs w:val="24"/>
              </w:rPr>
              <w:t>3.2 Strategic HRM Approaches</w:t>
            </w:r>
            <w:r>
              <w:rPr>
                <w:rFonts w:ascii="Times New Roman" w:eastAsia="Times New Roman" w:hAnsi="Times New Roman" w:cs="Times New Roman"/>
                <w:sz w:val="24"/>
                <w:szCs w:val="24"/>
              </w:rPr>
              <w:tab/>
              <w:t>11</w:t>
            </w:r>
          </w:hyperlink>
        </w:p>
        <w:p w14:paraId="5FAEB5D6" w14:textId="77777777" w:rsidR="003E6AA5" w:rsidRDefault="003E6AA5">
          <w:pPr>
            <w:tabs>
              <w:tab w:val="right" w:leader="dot" w:pos="9016"/>
            </w:tabs>
            <w:spacing w:after="100" w:line="360" w:lineRule="auto"/>
            <w:ind w:left="240"/>
            <w:jc w:val="both"/>
            <w:rPr>
              <w:rFonts w:ascii="Calibri" w:eastAsia="Calibri" w:hAnsi="Calibri" w:cs="Calibri"/>
            </w:rPr>
          </w:pPr>
          <w:hyperlink w:anchor="_95j8rsavvzr3">
            <w:r>
              <w:rPr>
                <w:rFonts w:ascii="Times New Roman" w:eastAsia="Times New Roman" w:hAnsi="Times New Roman" w:cs="Times New Roman"/>
                <w:sz w:val="24"/>
                <w:szCs w:val="24"/>
              </w:rPr>
              <w:t>3.3 Sector-Specific Examples</w:t>
            </w:r>
            <w:r>
              <w:rPr>
                <w:rFonts w:ascii="Times New Roman" w:eastAsia="Times New Roman" w:hAnsi="Times New Roman" w:cs="Times New Roman"/>
                <w:sz w:val="24"/>
                <w:szCs w:val="24"/>
              </w:rPr>
              <w:tab/>
              <w:t>13</w:t>
            </w:r>
          </w:hyperlink>
        </w:p>
        <w:p w14:paraId="4C82A982" w14:textId="77777777" w:rsidR="003E6AA5" w:rsidRDefault="003E6AA5">
          <w:pPr>
            <w:tabs>
              <w:tab w:val="right" w:leader="dot" w:pos="9016"/>
            </w:tabs>
            <w:spacing w:after="100" w:line="360" w:lineRule="auto"/>
            <w:jc w:val="both"/>
            <w:rPr>
              <w:rFonts w:ascii="Calibri" w:eastAsia="Calibri" w:hAnsi="Calibri" w:cs="Calibri"/>
            </w:rPr>
          </w:pPr>
          <w:hyperlink w:anchor="_s1yveplay9wm">
            <w:r>
              <w:rPr>
                <w:rFonts w:ascii="Times New Roman" w:eastAsia="Times New Roman" w:hAnsi="Times New Roman" w:cs="Times New Roman"/>
                <w:sz w:val="24"/>
                <w:szCs w:val="24"/>
              </w:rPr>
              <w:t>Question 4: Reflective Report on Capabilities</w:t>
            </w:r>
            <w:r>
              <w:rPr>
                <w:rFonts w:ascii="Times New Roman" w:eastAsia="Times New Roman" w:hAnsi="Times New Roman" w:cs="Times New Roman"/>
                <w:sz w:val="24"/>
                <w:szCs w:val="24"/>
              </w:rPr>
              <w:tab/>
              <w:t>15</w:t>
            </w:r>
          </w:hyperlink>
        </w:p>
        <w:p w14:paraId="4BADC71A" w14:textId="77777777" w:rsidR="003E6AA5" w:rsidRDefault="003E6AA5">
          <w:pPr>
            <w:tabs>
              <w:tab w:val="right" w:leader="dot" w:pos="9016"/>
            </w:tabs>
            <w:spacing w:after="100" w:line="360" w:lineRule="auto"/>
            <w:ind w:left="240"/>
            <w:jc w:val="both"/>
            <w:rPr>
              <w:rFonts w:ascii="Calibri" w:eastAsia="Calibri" w:hAnsi="Calibri" w:cs="Calibri"/>
            </w:rPr>
          </w:pPr>
          <w:hyperlink w:anchor="_ogauvm59o6wx">
            <w:r>
              <w:rPr>
                <w:rFonts w:ascii="Times New Roman" w:eastAsia="Times New Roman" w:hAnsi="Times New Roman" w:cs="Times New Roman"/>
                <w:sz w:val="24"/>
                <w:szCs w:val="24"/>
              </w:rPr>
              <w:t>4.1 Introduction</w:t>
            </w:r>
            <w:r>
              <w:rPr>
                <w:rFonts w:ascii="Times New Roman" w:eastAsia="Times New Roman" w:hAnsi="Times New Roman" w:cs="Times New Roman"/>
                <w:sz w:val="24"/>
                <w:szCs w:val="24"/>
              </w:rPr>
              <w:tab/>
              <w:t>15</w:t>
            </w:r>
          </w:hyperlink>
        </w:p>
        <w:p w14:paraId="64BC1958" w14:textId="77777777" w:rsidR="003E6AA5" w:rsidRDefault="003E6AA5">
          <w:pPr>
            <w:tabs>
              <w:tab w:val="right" w:leader="dot" w:pos="9016"/>
            </w:tabs>
            <w:spacing w:after="100" w:line="360" w:lineRule="auto"/>
            <w:ind w:left="240"/>
            <w:jc w:val="both"/>
            <w:rPr>
              <w:rFonts w:ascii="Calibri" w:eastAsia="Calibri" w:hAnsi="Calibri" w:cs="Calibri"/>
            </w:rPr>
          </w:pPr>
          <w:hyperlink w:anchor="_ppw8dq6jx25b">
            <w:r>
              <w:rPr>
                <w:rFonts w:ascii="Times New Roman" w:eastAsia="Times New Roman" w:hAnsi="Times New Roman" w:cs="Times New Roman"/>
                <w:sz w:val="24"/>
                <w:szCs w:val="24"/>
              </w:rPr>
              <w:t>4.2 Self-assessment using Gibbs’ Reflective Cycle</w:t>
            </w:r>
            <w:r>
              <w:rPr>
                <w:rFonts w:ascii="Times New Roman" w:eastAsia="Times New Roman" w:hAnsi="Times New Roman" w:cs="Times New Roman"/>
                <w:sz w:val="24"/>
                <w:szCs w:val="24"/>
              </w:rPr>
              <w:tab/>
              <w:t>15</w:t>
            </w:r>
          </w:hyperlink>
        </w:p>
        <w:p w14:paraId="1F252A33" w14:textId="77777777" w:rsidR="003E6AA5" w:rsidRDefault="003E6AA5">
          <w:pPr>
            <w:tabs>
              <w:tab w:val="right" w:leader="dot" w:pos="9016"/>
            </w:tabs>
            <w:spacing w:after="100" w:line="360" w:lineRule="auto"/>
            <w:ind w:left="240"/>
            <w:jc w:val="both"/>
            <w:rPr>
              <w:rFonts w:ascii="Calibri" w:eastAsia="Calibri" w:hAnsi="Calibri" w:cs="Calibri"/>
            </w:rPr>
          </w:pPr>
          <w:hyperlink w:anchor="_a9cgoxa5s7tk">
            <w:r>
              <w:rPr>
                <w:rFonts w:ascii="Times New Roman" w:eastAsia="Times New Roman" w:hAnsi="Times New Roman" w:cs="Times New Roman"/>
                <w:sz w:val="24"/>
                <w:szCs w:val="24"/>
              </w:rPr>
              <w:t>4.3 SWOT Analysis</w:t>
            </w:r>
            <w:r>
              <w:rPr>
                <w:rFonts w:ascii="Times New Roman" w:eastAsia="Times New Roman" w:hAnsi="Times New Roman" w:cs="Times New Roman"/>
                <w:sz w:val="24"/>
                <w:szCs w:val="24"/>
              </w:rPr>
              <w:tab/>
              <w:t>16</w:t>
            </w:r>
          </w:hyperlink>
        </w:p>
        <w:p w14:paraId="6FD0A936" w14:textId="77777777" w:rsidR="003E6AA5" w:rsidRDefault="003E6AA5">
          <w:pPr>
            <w:tabs>
              <w:tab w:val="right" w:leader="dot" w:pos="9016"/>
            </w:tabs>
            <w:spacing w:after="100" w:line="360" w:lineRule="auto"/>
            <w:ind w:left="240"/>
            <w:jc w:val="both"/>
            <w:rPr>
              <w:rFonts w:ascii="Calibri" w:eastAsia="Calibri" w:hAnsi="Calibri" w:cs="Calibri"/>
            </w:rPr>
          </w:pPr>
          <w:hyperlink w:anchor="_jx519pc3zbc8">
            <w:r>
              <w:rPr>
                <w:rFonts w:ascii="Times New Roman" w:eastAsia="Times New Roman" w:hAnsi="Times New Roman" w:cs="Times New Roman"/>
                <w:sz w:val="24"/>
                <w:szCs w:val="24"/>
              </w:rPr>
              <w:t>4.4 Development Plan</w:t>
            </w:r>
            <w:r>
              <w:rPr>
                <w:rFonts w:ascii="Times New Roman" w:eastAsia="Times New Roman" w:hAnsi="Times New Roman" w:cs="Times New Roman"/>
                <w:sz w:val="24"/>
                <w:szCs w:val="24"/>
              </w:rPr>
              <w:tab/>
              <w:t>16</w:t>
            </w:r>
          </w:hyperlink>
        </w:p>
        <w:p w14:paraId="32F86FC8" w14:textId="77777777" w:rsidR="003E6AA5" w:rsidRDefault="003E6AA5">
          <w:pPr>
            <w:tabs>
              <w:tab w:val="right" w:leader="dot" w:pos="9016"/>
            </w:tabs>
            <w:spacing w:after="100" w:line="360" w:lineRule="auto"/>
            <w:jc w:val="both"/>
            <w:rPr>
              <w:rFonts w:ascii="Calibri" w:eastAsia="Calibri" w:hAnsi="Calibri" w:cs="Calibri"/>
            </w:rPr>
          </w:pPr>
          <w:hyperlink w:anchor="_aye2xncea65e">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t>17</w:t>
            </w:r>
          </w:hyperlink>
        </w:p>
        <w:p w14:paraId="7FE52C89" w14:textId="77777777" w:rsidR="003E6AA5" w:rsidRDefault="003E6AA5">
          <w:pPr>
            <w:tabs>
              <w:tab w:val="right" w:leader="dot" w:pos="9016"/>
            </w:tabs>
            <w:spacing w:after="100" w:line="360" w:lineRule="auto"/>
            <w:jc w:val="both"/>
            <w:rPr>
              <w:rFonts w:ascii="Calibri" w:eastAsia="Calibri" w:hAnsi="Calibri" w:cs="Calibri"/>
            </w:rPr>
          </w:pPr>
          <w:hyperlink w:anchor="_jipsy2t6xc7e">
            <w:r>
              <w:rPr>
                <w:rFonts w:ascii="Times New Roman" w:eastAsia="Times New Roman" w:hAnsi="Times New Roman" w:cs="Times New Roman"/>
                <w:sz w:val="24"/>
                <w:szCs w:val="24"/>
              </w:rPr>
              <w:t>Reference List</w:t>
            </w:r>
            <w:r>
              <w:rPr>
                <w:rFonts w:ascii="Times New Roman" w:eastAsia="Times New Roman" w:hAnsi="Times New Roman" w:cs="Times New Roman"/>
                <w:sz w:val="24"/>
                <w:szCs w:val="24"/>
              </w:rPr>
              <w:tab/>
              <w:t>18</w:t>
            </w:r>
          </w:hyperlink>
        </w:p>
        <w:p w14:paraId="15EA7EA8" w14:textId="77777777" w:rsidR="003E6AA5" w:rsidRDefault="00000000">
          <w:pPr>
            <w:spacing w:after="160" w:line="360" w:lineRule="auto"/>
            <w:jc w:val="both"/>
            <w:rPr>
              <w:rFonts w:ascii="Times New Roman" w:eastAsia="Times New Roman" w:hAnsi="Times New Roman" w:cs="Times New Roman"/>
              <w:sz w:val="24"/>
              <w:szCs w:val="24"/>
            </w:rPr>
          </w:pPr>
          <w:r>
            <w:fldChar w:fldCharType="end"/>
          </w:r>
        </w:p>
      </w:sdtContent>
    </w:sdt>
    <w:p w14:paraId="6009A24F" w14:textId="77777777" w:rsidR="003E6AA5" w:rsidRDefault="003E6AA5">
      <w:pPr>
        <w:spacing w:after="160" w:line="360" w:lineRule="auto"/>
        <w:jc w:val="both"/>
        <w:rPr>
          <w:rFonts w:ascii="Times New Roman" w:eastAsia="Times New Roman" w:hAnsi="Times New Roman" w:cs="Times New Roman"/>
          <w:sz w:val="24"/>
          <w:szCs w:val="24"/>
        </w:rPr>
      </w:pPr>
    </w:p>
    <w:p w14:paraId="6CA4A223" w14:textId="77777777" w:rsidR="003E6AA5" w:rsidRDefault="003E6AA5">
      <w:pPr>
        <w:spacing w:after="160" w:line="360" w:lineRule="auto"/>
        <w:jc w:val="both"/>
        <w:rPr>
          <w:rFonts w:ascii="Times New Roman" w:eastAsia="Times New Roman" w:hAnsi="Times New Roman" w:cs="Times New Roman"/>
          <w:sz w:val="24"/>
          <w:szCs w:val="24"/>
        </w:rPr>
      </w:pPr>
    </w:p>
    <w:p w14:paraId="02ED1912" w14:textId="77777777" w:rsidR="003E6AA5" w:rsidRDefault="003E6AA5">
      <w:pPr>
        <w:spacing w:after="160" w:line="360" w:lineRule="auto"/>
        <w:jc w:val="both"/>
        <w:rPr>
          <w:rFonts w:ascii="Times New Roman" w:eastAsia="Times New Roman" w:hAnsi="Times New Roman" w:cs="Times New Roman"/>
          <w:sz w:val="24"/>
          <w:szCs w:val="24"/>
        </w:rPr>
      </w:pPr>
    </w:p>
    <w:p w14:paraId="5CE780DC" w14:textId="77777777" w:rsidR="003E6AA5" w:rsidRDefault="003E6AA5">
      <w:pPr>
        <w:spacing w:after="160" w:line="360" w:lineRule="auto"/>
        <w:jc w:val="both"/>
        <w:rPr>
          <w:rFonts w:ascii="Times New Roman" w:eastAsia="Times New Roman" w:hAnsi="Times New Roman" w:cs="Times New Roman"/>
          <w:sz w:val="24"/>
          <w:szCs w:val="24"/>
        </w:rPr>
      </w:pPr>
    </w:p>
    <w:p w14:paraId="3847500A" w14:textId="77777777" w:rsidR="003E6AA5" w:rsidRDefault="003E6AA5">
      <w:pPr>
        <w:spacing w:after="160" w:line="360" w:lineRule="auto"/>
        <w:jc w:val="both"/>
        <w:rPr>
          <w:rFonts w:ascii="Times New Roman" w:eastAsia="Times New Roman" w:hAnsi="Times New Roman" w:cs="Times New Roman"/>
          <w:sz w:val="24"/>
          <w:szCs w:val="24"/>
        </w:rPr>
      </w:pPr>
    </w:p>
    <w:p w14:paraId="22D6717E" w14:textId="77777777" w:rsidR="003E6AA5" w:rsidRDefault="00000000">
      <w:pPr>
        <w:pStyle w:val="Heading1"/>
        <w:spacing w:before="360" w:after="80" w:line="360" w:lineRule="auto"/>
        <w:jc w:val="both"/>
        <w:rPr>
          <w:rFonts w:ascii="Times New Roman" w:eastAsia="Times New Roman" w:hAnsi="Times New Roman" w:cs="Times New Roman"/>
          <w:b/>
          <w:bCs/>
          <w:sz w:val="28"/>
          <w:szCs w:val="28"/>
          <w:u w:val="single"/>
        </w:rPr>
      </w:pPr>
      <w:bookmarkStart w:id="2" w:name="_15l86o3lrq30" w:colFirst="0" w:colLast="0"/>
      <w:bookmarkEnd w:id="2"/>
      <w:r>
        <w:rPr>
          <w:rFonts w:ascii="Times New Roman" w:eastAsia="Times New Roman" w:hAnsi="Times New Roman" w:cs="Times New Roman"/>
          <w:b/>
          <w:bCs/>
          <w:sz w:val="28"/>
          <w:szCs w:val="28"/>
          <w:u w:val="single"/>
        </w:rPr>
        <w:t>Introduction</w:t>
      </w:r>
    </w:p>
    <w:p w14:paraId="17CCAACB"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Labour markets globally are going through major transformation. This transformation is stimulated by various dynamics such as technological innovation, demographic shifts, and geopolitical. The work structures are redefined by development in artificial intelligence (AI), automation, and digital platforms. The employers expected that due to automation 69 million structural job will be created and 83 million jobs will be declined (World Economic Forum, 2023). In the same way ageing demographic, migration, and shortage of skill shortages are stimulating competition for talent globally. These circumstances create a need for adaptive Human Resource Management (HRM) and International HRM (IHRM) strategies.</w:t>
      </w:r>
    </w:p>
    <w:p w14:paraId="21C0F42E" w14:textId="77777777" w:rsidR="003E6AA5" w:rsidRDefault="00000000">
      <w:pPr>
        <w:pStyle w:val="Heading1"/>
        <w:spacing w:before="360" w:after="80" w:line="360" w:lineRule="auto"/>
        <w:jc w:val="both"/>
        <w:rPr>
          <w:rFonts w:ascii="Times New Roman" w:eastAsia="Times New Roman" w:hAnsi="Times New Roman" w:cs="Times New Roman"/>
          <w:b/>
          <w:bCs/>
          <w:sz w:val="28"/>
          <w:szCs w:val="28"/>
          <w:u w:val="single"/>
        </w:rPr>
      </w:pPr>
      <w:bookmarkStart w:id="3" w:name="_l0k8kotovoto" w:colFirst="0" w:colLast="0"/>
      <w:bookmarkEnd w:id="3"/>
      <w:r>
        <w:rPr>
          <w:rFonts w:ascii="Times New Roman" w:eastAsia="Times New Roman" w:hAnsi="Times New Roman" w:cs="Times New Roman"/>
          <w:b/>
          <w:bCs/>
          <w:sz w:val="28"/>
          <w:szCs w:val="28"/>
          <w:u w:val="single"/>
        </w:rPr>
        <w:t>Question 1: Technology and Labour Markets</w:t>
      </w:r>
    </w:p>
    <w:p w14:paraId="026458AA"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4" w:name="_jnsdoynlvmrs" w:colFirst="0" w:colLast="0"/>
      <w:bookmarkEnd w:id="4"/>
      <w:r>
        <w:rPr>
          <w:rFonts w:ascii="Times New Roman" w:eastAsia="Times New Roman" w:hAnsi="Times New Roman" w:cs="Times New Roman"/>
          <w:b/>
          <w:bCs/>
          <w:sz w:val="24"/>
          <w:szCs w:val="24"/>
          <w:u w:val="single"/>
        </w:rPr>
        <w:t>1.1 The Reshaping of Labour Markets</w:t>
      </w:r>
    </w:p>
    <w:p w14:paraId="5EAA1DF7"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Automation and AI: Job Displacement vs. Creation</w:t>
      </w:r>
    </w:p>
    <w:p w14:paraId="3F4C6D04"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in technology such as artificial intelligence (AI) and automation are changing the environment of labour market globally. According to a report 14 million jobs, or 2% of current employment are expected to be eliminated in next 5 years (Zahidi, 2023). Routine and manual jobs are at risk. In contrast job roles in AI ethicists, data analysts, and automation specialist are evolving. According to Brynjolfsson and McAfee (2014) Progress in technology is leaving behind a lot of people because digital technologies are replacing the ordinary skills of the people and the robots are doing work at an extraordinary rate. The strategies for HR should also change to prevent technological unemployment.</w:t>
      </w:r>
    </w:p>
    <w:p w14:paraId="71FF0C97"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Gig Economy and Digital Platforms</w:t>
      </w:r>
      <w:r>
        <w:rPr>
          <w:rFonts w:ascii="Times New Roman" w:eastAsia="Times New Roman" w:hAnsi="Times New Roman" w:cs="Times New Roman"/>
          <w:sz w:val="24"/>
          <w:szCs w:val="24"/>
        </w:rPr>
        <w:t xml:space="preserve">: Traditional relationship of the employment is changed because of various digital platforms such as Upwork, Fiverr, and Uber. According to </w:t>
      </w:r>
      <w:r>
        <w:rPr>
          <w:rFonts w:ascii="Times New Roman" w:eastAsia="Times New Roman" w:hAnsi="Times New Roman" w:cs="Times New Roman"/>
          <w:sz w:val="24"/>
          <w:szCs w:val="24"/>
        </w:rPr>
        <w:lastRenderedPageBreak/>
        <w:t>a report in 2021, 36% of US workforce (59 million) performed freelance work which contributed up to US$1.3 trillion to the US economy (World bank group, 2023)</w:t>
      </w:r>
    </w:p>
    <w:p w14:paraId="6092EA6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2C8778E" wp14:editId="4F9F5049">
            <wp:extent cx="5731200" cy="2235200"/>
            <wp:effectExtent l="38100" t="38100" r="38100" b="381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731200" cy="2235200"/>
                    </a:xfrm>
                    <a:prstGeom prst="rect">
                      <a:avLst/>
                    </a:prstGeom>
                    <a:ln w="38100">
                      <a:solidFill>
                        <a:srgbClr val="000000"/>
                      </a:solidFill>
                      <a:prstDash val="solid"/>
                    </a:ln>
                  </pic:spPr>
                </pic:pic>
              </a:graphicData>
            </a:graphic>
          </wp:inline>
        </w:drawing>
      </w:r>
    </w:p>
    <w:p w14:paraId="7F373A78"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Average number of unique visitors to gig work platforms in 2022 per internet user</w:t>
      </w:r>
    </w:p>
    <w:p w14:paraId="04CB119F"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World bank group, 2023)</w:t>
      </w:r>
    </w:p>
    <w:p w14:paraId="7D6FB65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type of platform prides flexibility and access to global talent, but it also creates some challenges such as job security, worker classification, and employment rights. For HR professionals need to balance cost-efficiency with fair labour practices due to expansion of gig and remote workforces. Therefore, strategies if IHRM must incorporate digital governance, data protection compliance (such as GDPR in the EU).</w:t>
      </w:r>
    </w:p>
    <w:p w14:paraId="41B2D63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Skills Churn and the Half-Life of Skills</w:t>
      </w:r>
      <w:r>
        <w:rPr>
          <w:rFonts w:ascii="Times New Roman" w:eastAsia="Times New Roman" w:hAnsi="Times New Roman" w:cs="Times New Roman"/>
          <w:sz w:val="24"/>
          <w:szCs w:val="24"/>
        </w:rPr>
        <w:t>:The shelf life of skills is disrupted due to technology. According to World Economic Forum (2023), in next 5 years 44% of the worker’s skill will be distorted.</w:t>
      </w:r>
    </w:p>
    <w:p w14:paraId="04D0AEDC"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DD7E839" wp14:editId="4EF4952B">
            <wp:extent cx="3789829" cy="2044786"/>
            <wp:effectExtent l="38100" t="38100" r="38100" b="381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89829" cy="2044786"/>
                    </a:xfrm>
                    <a:prstGeom prst="rect">
                      <a:avLst/>
                    </a:prstGeom>
                    <a:ln w="38100">
                      <a:solidFill>
                        <a:srgbClr val="000000"/>
                      </a:solidFill>
                      <a:prstDash val="solid"/>
                    </a:ln>
                  </pic:spPr>
                </pic:pic>
              </a:graphicData>
            </a:graphic>
          </wp:inline>
        </w:drawing>
      </w:r>
    </w:p>
    <w:p w14:paraId="54D0EE36"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Figure 2: Disruption of workforce skills</w:t>
      </w:r>
    </w:p>
    <w:p w14:paraId="6E4F619C"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Gerpe, 2023)</w:t>
      </w:r>
    </w:p>
    <w:p w14:paraId="76608F43"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job roles related to cybersecurity, machine learning, and sustainability are increasing, while value of outdated technical competencies is decreasing. Predictive analytics and workforce planning tools should be implemented by HR to estimate the need of future skills. In this environment, learning agility is becoming an essential criterion for recruitment.</w:t>
      </w:r>
    </w:p>
    <w:p w14:paraId="7164E543"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5" w:name="_7yppde6xdwsl" w:colFirst="0" w:colLast="0"/>
      <w:bookmarkEnd w:id="5"/>
      <w:r>
        <w:rPr>
          <w:rFonts w:ascii="Times New Roman" w:eastAsia="Times New Roman" w:hAnsi="Times New Roman" w:cs="Times New Roman"/>
          <w:b/>
          <w:bCs/>
          <w:sz w:val="24"/>
          <w:szCs w:val="24"/>
          <w:u w:val="single"/>
        </w:rPr>
        <w:t>1.2 Implications for HRM and IHRM Strategies</w:t>
      </w:r>
    </w:p>
    <w:p w14:paraId="46BC392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Talent Acquisition and Recruitment: </w:t>
      </w:r>
      <w:r>
        <w:rPr>
          <w:rFonts w:ascii="Times New Roman" w:eastAsia="Times New Roman" w:hAnsi="Times New Roman" w:cs="Times New Roman"/>
          <w:sz w:val="24"/>
          <w:szCs w:val="24"/>
        </w:rPr>
        <w:t>AI is transforming the process of recruitment. According to a report 66% of organisation reported AI has increased the hiring efficiency (CIPD, 2024). Following graph shows the usage of AI by industry.</w:t>
      </w:r>
    </w:p>
    <w:p w14:paraId="3DE91962"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80B70E2" wp14:editId="09F654EA">
            <wp:extent cx="5731200" cy="3543300"/>
            <wp:effectExtent l="38100" t="38100" r="38100" b="381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731200" cy="3543300"/>
                    </a:xfrm>
                    <a:prstGeom prst="rect">
                      <a:avLst/>
                    </a:prstGeom>
                    <a:ln w="38100">
                      <a:solidFill>
                        <a:srgbClr val="000000"/>
                      </a:solidFill>
                      <a:prstDash val="solid"/>
                    </a:ln>
                  </pic:spPr>
                </pic:pic>
              </a:graphicData>
            </a:graphic>
          </wp:inline>
        </w:drawing>
      </w:r>
    </w:p>
    <w:p w14:paraId="327F8F62"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Usage of AI by industry</w:t>
      </w:r>
    </w:p>
    <w:p w14:paraId="62AC60B7"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Azumo, 2025)</w:t>
      </w:r>
    </w:p>
    <w:p w14:paraId="0A073C94"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 the use of AI There are also some ethical challenges related to transparency in algorithm and fairness. HR professionals must supervise to maintain the goal of diversity and inclusion.</w:t>
      </w:r>
    </w:p>
    <w:p w14:paraId="52ABA30D"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Learning and Development (L&amp;D)</w:t>
      </w:r>
      <w:r>
        <w:rPr>
          <w:rFonts w:ascii="Times New Roman" w:eastAsia="Times New Roman" w:hAnsi="Times New Roman" w:cs="Times New Roman"/>
          <w:sz w:val="24"/>
          <w:szCs w:val="24"/>
        </w:rPr>
        <w:t xml:space="preserve">: Currently constant upskilling and reskilling is important. Organisations are using various Micro-learning platforms, to develop the skills of the </w:t>
      </w:r>
      <w:r>
        <w:rPr>
          <w:rFonts w:ascii="Times New Roman" w:eastAsia="Times New Roman" w:hAnsi="Times New Roman" w:cs="Times New Roman"/>
          <w:sz w:val="24"/>
          <w:szCs w:val="24"/>
        </w:rPr>
        <w:lastRenderedPageBreak/>
        <w:t xml:space="preserve">employee. For example, </w:t>
      </w:r>
      <w:r>
        <w:rPr>
          <w:rFonts w:ascii="Times New Roman" w:eastAsia="Times New Roman" w:hAnsi="Times New Roman" w:cs="Times New Roman"/>
          <w:i/>
          <w:iCs/>
          <w:sz w:val="24"/>
          <w:szCs w:val="24"/>
        </w:rPr>
        <w:t xml:space="preserve">SkillsBuild </w:t>
      </w:r>
      <w:r>
        <w:rPr>
          <w:rFonts w:ascii="Times New Roman" w:eastAsia="Times New Roman" w:hAnsi="Times New Roman" w:cs="Times New Roman"/>
          <w:sz w:val="24"/>
          <w:szCs w:val="24"/>
        </w:rPr>
        <w:t>initiative of IBM uses AI to design learning journey of individual (Skillsbuild, 2025). Strategy of IHRM must include digital learning ecosystems.</w:t>
      </w:r>
    </w:p>
    <w:p w14:paraId="1D9B06C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IHRM specifics</w:t>
      </w:r>
      <w:r>
        <w:rPr>
          <w:rFonts w:ascii="Times New Roman" w:eastAsia="Times New Roman" w:hAnsi="Times New Roman" w:cs="Times New Roman"/>
          <w:sz w:val="24"/>
          <w:szCs w:val="24"/>
        </w:rPr>
        <w:t>: Presently, IHRM has to manage a hybrid workforce involving full-time employees, gig workers, and remote teams. Shortage of talent can be detected by Predictive analytics. IHRM should resolve cross border issues like cultural diversity, varying labour regulations.</w:t>
      </w:r>
    </w:p>
    <w:p w14:paraId="5F60176C" w14:textId="77777777" w:rsidR="003E6AA5" w:rsidRDefault="003E6AA5">
      <w:pPr>
        <w:spacing w:after="160" w:line="360" w:lineRule="auto"/>
        <w:jc w:val="both"/>
        <w:rPr>
          <w:rFonts w:ascii="Times New Roman" w:eastAsia="Times New Roman" w:hAnsi="Times New Roman" w:cs="Times New Roman"/>
          <w:sz w:val="24"/>
          <w:szCs w:val="24"/>
        </w:rPr>
      </w:pPr>
    </w:p>
    <w:p w14:paraId="046F723D" w14:textId="77777777" w:rsidR="003E6AA5" w:rsidRDefault="003E6AA5">
      <w:pPr>
        <w:spacing w:after="160" w:line="360" w:lineRule="auto"/>
        <w:jc w:val="both"/>
        <w:rPr>
          <w:rFonts w:ascii="Times New Roman" w:eastAsia="Times New Roman" w:hAnsi="Times New Roman" w:cs="Times New Roman"/>
          <w:sz w:val="24"/>
          <w:szCs w:val="24"/>
        </w:rPr>
      </w:pPr>
    </w:p>
    <w:p w14:paraId="427E4622" w14:textId="77777777" w:rsidR="003E6AA5" w:rsidRDefault="003E6AA5">
      <w:pPr>
        <w:spacing w:after="160" w:line="360" w:lineRule="auto"/>
        <w:jc w:val="both"/>
        <w:rPr>
          <w:rFonts w:ascii="Times New Roman" w:eastAsia="Times New Roman" w:hAnsi="Times New Roman" w:cs="Times New Roman"/>
          <w:sz w:val="24"/>
          <w:szCs w:val="24"/>
        </w:rPr>
      </w:pPr>
    </w:p>
    <w:p w14:paraId="01555422" w14:textId="77777777" w:rsidR="003E6AA5" w:rsidRDefault="003E6AA5">
      <w:pPr>
        <w:spacing w:after="160" w:line="360" w:lineRule="auto"/>
        <w:jc w:val="both"/>
        <w:rPr>
          <w:rFonts w:ascii="Times New Roman" w:eastAsia="Times New Roman" w:hAnsi="Times New Roman" w:cs="Times New Roman"/>
          <w:sz w:val="24"/>
          <w:szCs w:val="24"/>
        </w:rPr>
      </w:pPr>
    </w:p>
    <w:p w14:paraId="41893E4B" w14:textId="77777777" w:rsidR="003E6AA5" w:rsidRDefault="003E6AA5">
      <w:pPr>
        <w:spacing w:after="160" w:line="360" w:lineRule="auto"/>
        <w:jc w:val="both"/>
        <w:rPr>
          <w:rFonts w:ascii="Times New Roman" w:eastAsia="Times New Roman" w:hAnsi="Times New Roman" w:cs="Times New Roman"/>
          <w:sz w:val="24"/>
          <w:szCs w:val="24"/>
        </w:rPr>
      </w:pPr>
    </w:p>
    <w:p w14:paraId="4927A7F3" w14:textId="77777777" w:rsidR="003E6AA5" w:rsidRDefault="003E6AA5">
      <w:pPr>
        <w:spacing w:after="160" w:line="360" w:lineRule="auto"/>
        <w:jc w:val="both"/>
        <w:rPr>
          <w:rFonts w:ascii="Times New Roman" w:eastAsia="Times New Roman" w:hAnsi="Times New Roman" w:cs="Times New Roman"/>
          <w:sz w:val="24"/>
          <w:szCs w:val="24"/>
        </w:rPr>
      </w:pPr>
    </w:p>
    <w:p w14:paraId="1162FF61" w14:textId="77777777" w:rsidR="003E6AA5" w:rsidRDefault="003E6AA5">
      <w:pPr>
        <w:spacing w:after="160" w:line="360" w:lineRule="auto"/>
        <w:jc w:val="both"/>
        <w:rPr>
          <w:rFonts w:ascii="Times New Roman" w:eastAsia="Times New Roman" w:hAnsi="Times New Roman" w:cs="Times New Roman"/>
          <w:sz w:val="24"/>
          <w:szCs w:val="24"/>
        </w:rPr>
      </w:pPr>
    </w:p>
    <w:p w14:paraId="1DEBE782" w14:textId="77777777" w:rsidR="003E6AA5" w:rsidRDefault="003E6AA5">
      <w:pPr>
        <w:spacing w:after="160" w:line="360" w:lineRule="auto"/>
        <w:jc w:val="both"/>
        <w:rPr>
          <w:rFonts w:ascii="Times New Roman" w:eastAsia="Times New Roman" w:hAnsi="Times New Roman" w:cs="Times New Roman"/>
          <w:sz w:val="24"/>
          <w:szCs w:val="24"/>
        </w:rPr>
      </w:pPr>
    </w:p>
    <w:p w14:paraId="7E1D33B3" w14:textId="77777777" w:rsidR="003E6AA5" w:rsidRDefault="003E6AA5">
      <w:pPr>
        <w:spacing w:after="160" w:line="360" w:lineRule="auto"/>
        <w:jc w:val="both"/>
        <w:rPr>
          <w:rFonts w:ascii="Times New Roman" w:eastAsia="Times New Roman" w:hAnsi="Times New Roman" w:cs="Times New Roman"/>
          <w:sz w:val="24"/>
          <w:szCs w:val="24"/>
        </w:rPr>
      </w:pPr>
    </w:p>
    <w:p w14:paraId="41555330" w14:textId="77777777" w:rsidR="003E6AA5" w:rsidRDefault="003E6AA5">
      <w:pPr>
        <w:spacing w:after="160" w:line="360" w:lineRule="auto"/>
        <w:jc w:val="both"/>
        <w:rPr>
          <w:rFonts w:ascii="Times New Roman" w:eastAsia="Times New Roman" w:hAnsi="Times New Roman" w:cs="Times New Roman"/>
          <w:sz w:val="24"/>
          <w:szCs w:val="24"/>
        </w:rPr>
      </w:pPr>
    </w:p>
    <w:p w14:paraId="01652757" w14:textId="77777777" w:rsidR="003E6AA5" w:rsidRDefault="003E6AA5">
      <w:pPr>
        <w:spacing w:after="160" w:line="360" w:lineRule="auto"/>
        <w:jc w:val="both"/>
        <w:rPr>
          <w:rFonts w:ascii="Times New Roman" w:eastAsia="Times New Roman" w:hAnsi="Times New Roman" w:cs="Times New Roman"/>
          <w:sz w:val="24"/>
          <w:szCs w:val="24"/>
        </w:rPr>
      </w:pPr>
    </w:p>
    <w:p w14:paraId="20A2F259" w14:textId="77777777" w:rsidR="003E6AA5" w:rsidRDefault="003E6AA5">
      <w:pPr>
        <w:spacing w:after="160" w:line="360" w:lineRule="auto"/>
        <w:jc w:val="both"/>
        <w:rPr>
          <w:rFonts w:ascii="Times New Roman" w:eastAsia="Times New Roman" w:hAnsi="Times New Roman" w:cs="Times New Roman"/>
          <w:sz w:val="24"/>
          <w:szCs w:val="24"/>
        </w:rPr>
      </w:pPr>
    </w:p>
    <w:p w14:paraId="26380D96" w14:textId="77777777" w:rsidR="003E6AA5" w:rsidRDefault="003E6AA5">
      <w:pPr>
        <w:spacing w:after="160" w:line="360" w:lineRule="auto"/>
        <w:jc w:val="both"/>
        <w:rPr>
          <w:rFonts w:ascii="Times New Roman" w:eastAsia="Times New Roman" w:hAnsi="Times New Roman" w:cs="Times New Roman"/>
          <w:sz w:val="24"/>
          <w:szCs w:val="24"/>
        </w:rPr>
      </w:pPr>
    </w:p>
    <w:p w14:paraId="4F6DFCE2" w14:textId="77777777" w:rsidR="003E6AA5" w:rsidRDefault="003E6AA5">
      <w:pPr>
        <w:spacing w:after="160" w:line="360" w:lineRule="auto"/>
        <w:jc w:val="both"/>
        <w:rPr>
          <w:rFonts w:ascii="Times New Roman" w:eastAsia="Times New Roman" w:hAnsi="Times New Roman" w:cs="Times New Roman"/>
          <w:sz w:val="24"/>
          <w:szCs w:val="24"/>
        </w:rPr>
      </w:pPr>
    </w:p>
    <w:p w14:paraId="498B53F0" w14:textId="77777777" w:rsidR="003E6AA5" w:rsidRDefault="003E6AA5">
      <w:pPr>
        <w:spacing w:after="160" w:line="360" w:lineRule="auto"/>
        <w:jc w:val="both"/>
        <w:rPr>
          <w:rFonts w:ascii="Times New Roman" w:eastAsia="Times New Roman" w:hAnsi="Times New Roman" w:cs="Times New Roman"/>
          <w:sz w:val="24"/>
          <w:szCs w:val="24"/>
        </w:rPr>
      </w:pPr>
    </w:p>
    <w:p w14:paraId="011FFAA7" w14:textId="77777777" w:rsidR="003E6AA5" w:rsidRDefault="003E6AA5">
      <w:pPr>
        <w:spacing w:after="160" w:line="360" w:lineRule="auto"/>
        <w:jc w:val="both"/>
        <w:rPr>
          <w:rFonts w:ascii="Times New Roman" w:eastAsia="Times New Roman" w:hAnsi="Times New Roman" w:cs="Times New Roman"/>
          <w:sz w:val="24"/>
          <w:szCs w:val="24"/>
        </w:rPr>
      </w:pPr>
    </w:p>
    <w:p w14:paraId="42DF91B0" w14:textId="77777777" w:rsidR="003E6AA5" w:rsidRDefault="003E6AA5">
      <w:pPr>
        <w:spacing w:after="160" w:line="360" w:lineRule="auto"/>
        <w:jc w:val="both"/>
        <w:rPr>
          <w:rFonts w:ascii="Times New Roman" w:eastAsia="Times New Roman" w:hAnsi="Times New Roman" w:cs="Times New Roman"/>
          <w:sz w:val="24"/>
          <w:szCs w:val="24"/>
        </w:rPr>
      </w:pPr>
    </w:p>
    <w:p w14:paraId="15E4EF8C" w14:textId="77777777" w:rsidR="003E6AA5" w:rsidRDefault="003E6AA5">
      <w:pPr>
        <w:spacing w:after="160" w:line="360" w:lineRule="auto"/>
        <w:jc w:val="both"/>
        <w:rPr>
          <w:rFonts w:ascii="Times New Roman" w:eastAsia="Times New Roman" w:hAnsi="Times New Roman" w:cs="Times New Roman"/>
          <w:sz w:val="24"/>
          <w:szCs w:val="24"/>
        </w:rPr>
      </w:pPr>
    </w:p>
    <w:p w14:paraId="0AC68E4D" w14:textId="77777777" w:rsidR="003E6AA5" w:rsidRDefault="003E6AA5">
      <w:pPr>
        <w:spacing w:after="160" w:line="360" w:lineRule="auto"/>
        <w:jc w:val="both"/>
        <w:rPr>
          <w:rFonts w:ascii="Times New Roman" w:eastAsia="Times New Roman" w:hAnsi="Times New Roman" w:cs="Times New Roman"/>
          <w:sz w:val="24"/>
          <w:szCs w:val="24"/>
        </w:rPr>
      </w:pPr>
    </w:p>
    <w:p w14:paraId="7E4DDB8A" w14:textId="77777777" w:rsidR="003E6AA5" w:rsidRDefault="00000000">
      <w:pPr>
        <w:pStyle w:val="Heading1"/>
        <w:spacing w:before="360" w:after="80" w:line="360" w:lineRule="auto"/>
        <w:jc w:val="both"/>
        <w:rPr>
          <w:rFonts w:ascii="Times New Roman" w:eastAsia="Times New Roman" w:hAnsi="Times New Roman" w:cs="Times New Roman"/>
          <w:b/>
          <w:bCs/>
          <w:sz w:val="28"/>
          <w:szCs w:val="28"/>
          <w:u w:val="single"/>
        </w:rPr>
      </w:pPr>
      <w:bookmarkStart w:id="6" w:name="_o9kd03n9crx" w:colFirst="0" w:colLast="0"/>
      <w:bookmarkEnd w:id="6"/>
      <w:r>
        <w:rPr>
          <w:rFonts w:ascii="Times New Roman" w:eastAsia="Times New Roman" w:hAnsi="Times New Roman" w:cs="Times New Roman"/>
          <w:b/>
          <w:bCs/>
          <w:sz w:val="28"/>
          <w:szCs w:val="28"/>
          <w:u w:val="single"/>
        </w:rPr>
        <w:lastRenderedPageBreak/>
        <w:t>Question 2: Demographic and Geopolitical Factors</w:t>
      </w:r>
    </w:p>
    <w:p w14:paraId="0BEC267C"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7" w:name="_10kv1ia5qlb6" w:colFirst="0" w:colLast="0"/>
      <w:bookmarkEnd w:id="7"/>
      <w:r>
        <w:rPr>
          <w:rFonts w:ascii="Times New Roman" w:eastAsia="Times New Roman" w:hAnsi="Times New Roman" w:cs="Times New Roman"/>
          <w:b/>
          <w:bCs/>
          <w:sz w:val="24"/>
          <w:szCs w:val="24"/>
          <w:u w:val="single"/>
        </w:rPr>
        <w:t>2.1 Key Demographic Factors</w:t>
      </w:r>
    </w:p>
    <w:p w14:paraId="7D8D258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Ageing Populations and Workforce Sustainability</w:t>
      </w:r>
      <w:r>
        <w:rPr>
          <w:rFonts w:ascii="Times New Roman" w:eastAsia="Times New Roman" w:hAnsi="Times New Roman" w:cs="Times New Roman"/>
          <w:sz w:val="24"/>
          <w:szCs w:val="24"/>
        </w:rPr>
        <w:t>: Supply of labour and productivity is affected by ageing population. In EU portion of individual aged 65 years and above estimated to reach 32.5 % (136.1 million) in 2100 (Ec.Europa, 2023).</w:t>
      </w:r>
    </w:p>
    <w:p w14:paraId="2AE4CA7D"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A243B12" wp14:editId="6AFB05DE">
            <wp:extent cx="5731200" cy="3365500"/>
            <wp:effectExtent l="38100" t="38100" r="38100" b="381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365500"/>
                    </a:xfrm>
                    <a:prstGeom prst="rect">
                      <a:avLst/>
                    </a:prstGeom>
                    <a:ln w="38100">
                      <a:solidFill>
                        <a:srgbClr val="000000"/>
                      </a:solidFill>
                      <a:prstDash val="solid"/>
                    </a:ln>
                  </pic:spPr>
                </pic:pic>
              </a:graphicData>
            </a:graphic>
          </wp:inline>
        </w:drawing>
      </w:r>
    </w:p>
    <w:p w14:paraId="2638E45F"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Projected population in EU</w:t>
      </w:r>
    </w:p>
    <w:p w14:paraId="6F9DC482"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(Ec.Europa, 2023).</w:t>
      </w:r>
    </w:p>
    <w:p w14:paraId="1288B1AE"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same way the median age of Japan has increased to 49 years (Keulen, 2024). This creates deficiency of labour. These demographic trends have forced HR to implement multi-generational workforce strategies like flexible retirement plans, reverse mentoring. According to a report 48% of workers with specialist training seem to be much more aware of how the skills required for their job may evolve (PWC, 2024).</w:t>
      </w:r>
    </w:p>
    <w:p w14:paraId="21151CD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Changing Migration Patterns and Global Talent Mobility</w:t>
      </w:r>
      <w:r>
        <w:rPr>
          <w:rFonts w:ascii="Times New Roman" w:eastAsia="Times New Roman" w:hAnsi="Times New Roman" w:cs="Times New Roman"/>
          <w:sz w:val="24"/>
          <w:szCs w:val="24"/>
        </w:rPr>
        <w:t xml:space="preserve">: One of the solutions to decrease the demographic imbalances is migration but geopolitical tensions and restrictive immigration policies are altering flow of migration. According to United Nations (2024), international migrants comprise 3.7% of the global population. High-income nations like Canada and Germany will experience brain gain and developing countries like Africa and South Asia will </w:t>
      </w:r>
      <w:r>
        <w:rPr>
          <w:rFonts w:ascii="Times New Roman" w:eastAsia="Times New Roman" w:hAnsi="Times New Roman" w:cs="Times New Roman"/>
          <w:sz w:val="24"/>
          <w:szCs w:val="24"/>
        </w:rPr>
        <w:lastRenderedPageBreak/>
        <w:t>experience “brain drain”. For HR professionals, this dynamic demand requires ethical recruitment practices and partnerships with governments. Beside this there are also several challenges for IHRM like complex visa regimes and recognition of foreign qualifications</w:t>
      </w:r>
    </w:p>
    <w:p w14:paraId="41FFC8D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Increasing Workforce Diversity</w:t>
      </w:r>
      <w:r>
        <w:rPr>
          <w:rFonts w:ascii="Times New Roman" w:eastAsia="Times New Roman" w:hAnsi="Times New Roman" w:cs="Times New Roman"/>
          <w:sz w:val="24"/>
          <w:szCs w:val="24"/>
        </w:rPr>
        <w:t>: Globalisation and migration have created a diverse workplace. In 2023, participation of women’s global labour force rate stood was 48.7% (ILO, 2024).</w:t>
      </w:r>
    </w:p>
    <w:p w14:paraId="0CC868BA"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B1CF7CE" wp14:editId="615B71E0">
            <wp:extent cx="5731200" cy="2692400"/>
            <wp:effectExtent l="38100" t="38100" r="38100" b="381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2692400"/>
                    </a:xfrm>
                    <a:prstGeom prst="rect">
                      <a:avLst/>
                    </a:prstGeom>
                    <a:ln w="38100">
                      <a:solidFill>
                        <a:srgbClr val="000000"/>
                      </a:solidFill>
                      <a:prstDash val="solid"/>
                    </a:ln>
                  </pic:spPr>
                </pic:pic>
              </a:graphicData>
            </a:graphic>
          </wp:inline>
        </w:drawing>
      </w:r>
    </w:p>
    <w:p w14:paraId="7F6656C6"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Rate of participation of labour forceby sex</w:t>
      </w:r>
    </w:p>
    <w:p w14:paraId="141BD468"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ILO, 2024)</w:t>
      </w:r>
    </w:p>
    <w:p w14:paraId="0AB0519B"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department need to enhance inclusion, equity, and belonging policies because of his diversity. According toa studies inclusive companies are 1.7 times more innovative than others (Bersin, 2025).</w:t>
      </w:r>
    </w:p>
    <w:p w14:paraId="29376726"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8" w:name="_375pz3jys0ya" w:colFirst="0" w:colLast="0"/>
      <w:bookmarkEnd w:id="8"/>
      <w:r>
        <w:rPr>
          <w:rFonts w:ascii="Times New Roman" w:eastAsia="Times New Roman" w:hAnsi="Times New Roman" w:cs="Times New Roman"/>
          <w:b/>
          <w:bCs/>
          <w:sz w:val="24"/>
          <w:szCs w:val="24"/>
          <w:u w:val="single"/>
        </w:rPr>
        <w:t>2.2 Key Geopolitical Factors</w:t>
      </w:r>
    </w:p>
    <w:p w14:paraId="4D7CED5A"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Trade Wars and Protectionism</w:t>
      </w:r>
      <w:r>
        <w:rPr>
          <w:rFonts w:ascii="Times New Roman" w:eastAsia="Times New Roman" w:hAnsi="Times New Roman" w:cs="Times New Roman"/>
          <w:sz w:val="24"/>
          <w:szCs w:val="24"/>
        </w:rPr>
        <w:t>: Organisation are forced to relocate operations and adjust their process of hiring due to trade tensions like between the U.S. and China. World merchandise Trade volume was down 1.2% in 2023 (WTO, 2024).</w:t>
      </w:r>
    </w:p>
    <w:p w14:paraId="4CAA79A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C2C88A0" wp14:editId="23822B55">
            <wp:extent cx="5731200" cy="3136900"/>
            <wp:effectExtent l="38100" t="38100" r="38100" b="381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3136900"/>
                    </a:xfrm>
                    <a:prstGeom prst="rect">
                      <a:avLst/>
                    </a:prstGeom>
                    <a:ln w="38100">
                      <a:solidFill>
                        <a:srgbClr val="000000"/>
                      </a:solidFill>
                      <a:prstDash val="solid"/>
                    </a:ln>
                  </pic:spPr>
                </pic:pic>
              </a:graphicData>
            </a:graphic>
          </wp:inline>
        </w:drawing>
      </w:r>
    </w:p>
    <w:p w14:paraId="4309BAFC"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Volume of world merchandise trade</w:t>
      </w:r>
    </w:p>
    <w:p w14:paraId="67571BAD"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WTO, 2024)</w:t>
      </w:r>
    </w:p>
    <w:p w14:paraId="13CDBCA7"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respect to change in geographic locations professionals must manage talent redeployment, retraining, and workforce transitions. To eliminate the political risks and supply chain shocks. Strategic HR planning should include scenario forecasting.</w:t>
      </w:r>
    </w:p>
    <w:p w14:paraId="56CB0F5C"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Political Instability and Sanctions</w:t>
      </w:r>
      <w:r>
        <w:rPr>
          <w:rFonts w:ascii="Times New Roman" w:eastAsia="Times New Roman" w:hAnsi="Times New Roman" w:cs="Times New Roman"/>
          <w:sz w:val="24"/>
          <w:szCs w:val="24"/>
        </w:rPr>
        <w:t xml:space="preserve">: Conflicts between Europe and the Middle East pose threats to financial stability (S&amp;P Global, 2025). This also creates operational and ethical challenges for international businesses. </w:t>
      </w:r>
    </w:p>
    <w:p w14:paraId="47191B3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Pandemic and global health crisis</w:t>
      </w:r>
      <w:r>
        <w:rPr>
          <w:rFonts w:ascii="Times New Roman" w:eastAsia="Times New Roman" w:hAnsi="Times New Roman" w:cs="Times New Roman"/>
          <w:sz w:val="24"/>
          <w:szCs w:val="24"/>
        </w:rPr>
        <w:t>: Due to COVID-19 pandemic remote work culture was increased to 28% in 2023 (Statista, 2024). Now HR professionals struggling with dual challenge of maintain wellbeing of the employee and cybersecurity.</w:t>
      </w:r>
    </w:p>
    <w:p w14:paraId="2935917A"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9" w:name="_tv0oci6nna1z" w:colFirst="0" w:colLast="0"/>
      <w:bookmarkEnd w:id="9"/>
      <w:r>
        <w:rPr>
          <w:rFonts w:ascii="Times New Roman" w:eastAsia="Times New Roman" w:hAnsi="Times New Roman" w:cs="Times New Roman"/>
          <w:b/>
          <w:bCs/>
          <w:sz w:val="24"/>
          <w:szCs w:val="24"/>
          <w:u w:val="single"/>
        </w:rPr>
        <w:t>2.3 Challenges for HR Professionals</w:t>
      </w:r>
    </w:p>
    <w:p w14:paraId="071ACB44"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u w:val="single"/>
        </w:rPr>
        <w:t>Talent mobility</w:t>
      </w:r>
      <w:r>
        <w:rPr>
          <w:rFonts w:ascii="Times New Roman" w:eastAsia="Times New Roman" w:hAnsi="Times New Roman" w:cs="Times New Roman"/>
          <w:sz w:val="24"/>
          <w:szCs w:val="24"/>
        </w:rPr>
        <w:t xml:space="preserve">: HR professionals are facing talent mobility issues as global migration in OECD countries are decreased by 4% in 2024 (OECD, 2025). </w:t>
      </w:r>
    </w:p>
    <w:p w14:paraId="29F4B04B"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u w:val="single"/>
        </w:rPr>
        <w:t>Risk management</w:t>
      </w:r>
      <w:r>
        <w:rPr>
          <w:rFonts w:ascii="Times New Roman" w:eastAsia="Times New Roman" w:hAnsi="Times New Roman" w:cs="Times New Roman"/>
          <w:sz w:val="24"/>
          <w:szCs w:val="24"/>
        </w:rPr>
        <w:t>: HR faces difficulties to ensure safety of the staff and business continuity global risk management frameworks should be developed.</w:t>
      </w:r>
    </w:p>
    <w:p w14:paraId="2B1BF6C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u w:val="single"/>
        </w:rPr>
        <w:t>Compliance:</w:t>
      </w:r>
      <w:r>
        <w:rPr>
          <w:rFonts w:ascii="Times New Roman" w:eastAsia="Times New Roman" w:hAnsi="Times New Roman" w:cs="Times New Roman"/>
          <w:sz w:val="24"/>
          <w:szCs w:val="24"/>
        </w:rPr>
        <w:t xml:space="preserve"> Compliance issues have increased as increasing number of employees in the world is under various labour and data protection laws (Abraha, 2025).</w:t>
      </w:r>
    </w:p>
    <w:p w14:paraId="6AD604DB"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u w:val="single"/>
        </w:rPr>
        <w:lastRenderedPageBreak/>
        <w:t>Cultural integration</w:t>
      </w:r>
      <w:r>
        <w:rPr>
          <w:rFonts w:ascii="Times New Roman" w:eastAsia="Times New Roman" w:hAnsi="Times New Roman" w:cs="Times New Roman"/>
          <w:sz w:val="24"/>
          <w:szCs w:val="24"/>
        </w:rPr>
        <w:t xml:space="preserve">: To manage diverse, dispersed teams HR needs cultural intelligence and digital collaboration tools. </w:t>
      </w:r>
    </w:p>
    <w:p w14:paraId="2F852EFC" w14:textId="77777777" w:rsidR="003E6AA5" w:rsidRDefault="00000000">
      <w:pPr>
        <w:pStyle w:val="Heading1"/>
        <w:spacing w:before="360" w:after="80" w:line="360" w:lineRule="auto"/>
        <w:jc w:val="both"/>
        <w:rPr>
          <w:rFonts w:ascii="Times New Roman" w:eastAsia="Times New Roman" w:hAnsi="Times New Roman" w:cs="Times New Roman"/>
          <w:b/>
          <w:bCs/>
          <w:sz w:val="28"/>
          <w:szCs w:val="28"/>
          <w:u w:val="single"/>
        </w:rPr>
      </w:pPr>
      <w:bookmarkStart w:id="10" w:name="_utfnwff55l96" w:colFirst="0" w:colLast="0"/>
      <w:bookmarkEnd w:id="10"/>
      <w:r>
        <w:rPr>
          <w:rFonts w:ascii="Times New Roman" w:eastAsia="Times New Roman" w:hAnsi="Times New Roman" w:cs="Times New Roman"/>
          <w:b/>
          <w:bCs/>
          <w:sz w:val="28"/>
          <w:szCs w:val="28"/>
          <w:u w:val="single"/>
        </w:rPr>
        <w:t>Question 3:  Skills Gaps and Strategic HRM</w:t>
      </w:r>
    </w:p>
    <w:p w14:paraId="236842E7"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11" w:name="_nmekj54ktozz" w:colFirst="0" w:colLast="0"/>
      <w:bookmarkEnd w:id="11"/>
      <w:r>
        <w:rPr>
          <w:rFonts w:ascii="Times New Roman" w:eastAsia="Times New Roman" w:hAnsi="Times New Roman" w:cs="Times New Roman"/>
          <w:b/>
          <w:bCs/>
          <w:sz w:val="24"/>
          <w:szCs w:val="24"/>
          <w:u w:val="single"/>
        </w:rPr>
        <w:t>3.1 Understanding the Causes of Skills Gaps</w:t>
      </w:r>
    </w:p>
    <w:p w14:paraId="71DB6B1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Because of rapid development of technology, misalignment between education systems and need of labour market there is a constant skill gap globally. The gap is also stimulated by insufficient investment in learning and development (L&amp;D). According to a report 74% of employers are struggling to find the right talent (ManpowerGroup, 2025).</w:t>
      </w:r>
    </w:p>
    <w:p w14:paraId="09A81CA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3C5211D" wp14:editId="4C942914">
            <wp:extent cx="5731200" cy="2044700"/>
            <wp:effectExtent l="38100" t="38100" r="38100" b="381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2044700"/>
                    </a:xfrm>
                    <a:prstGeom prst="rect">
                      <a:avLst/>
                    </a:prstGeom>
                    <a:ln w="38100">
                      <a:solidFill>
                        <a:srgbClr val="000000"/>
                      </a:solidFill>
                      <a:prstDash val="solid"/>
                    </a:ln>
                  </pic:spPr>
                </pic:pic>
              </a:graphicData>
            </a:graphic>
          </wp:inline>
        </w:drawing>
      </w:r>
    </w:p>
    <w:p w14:paraId="11604801"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Global talent shortage</w:t>
      </w:r>
    </w:p>
    <w:p w14:paraId="35B70237"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ManpowerGroup, 2025)</w:t>
      </w:r>
    </w:p>
    <w:p w14:paraId="48DCC62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traditional skills became obsolete because education systems failed to incorporate curricula according to the demand of emerging industry. To improve the return on investment in developing staffs to get employees to share in the costs of development (Cappelli, 2009).HR professionals must manage the “build, buy, borrow, and bind” dimensions of workforce for development of the capability</w:t>
      </w:r>
    </w:p>
    <w:p w14:paraId="58A9CB22"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12" w:name="_m5suvzfgi0wd" w:colFirst="0" w:colLast="0"/>
      <w:bookmarkEnd w:id="12"/>
      <w:r>
        <w:rPr>
          <w:rFonts w:ascii="Times New Roman" w:eastAsia="Times New Roman" w:hAnsi="Times New Roman" w:cs="Times New Roman"/>
          <w:b/>
          <w:bCs/>
          <w:sz w:val="24"/>
          <w:szCs w:val="24"/>
          <w:u w:val="single"/>
        </w:rPr>
        <w:t>3.2 Strategic HRM Approaches</w:t>
      </w:r>
    </w:p>
    <w:p w14:paraId="04E2CDD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“Build” Strategies (Internal Talent Development)</w:t>
      </w:r>
      <w:r>
        <w:rPr>
          <w:rFonts w:ascii="Times New Roman" w:eastAsia="Times New Roman" w:hAnsi="Times New Roman" w:cs="Times New Roman"/>
          <w:sz w:val="24"/>
          <w:szCs w:val="24"/>
        </w:rPr>
        <w:t>: To reduce long term skill gap, talent should be developed internally through apprenticeships, upskilling, and reskilling programs. For instance, Siemens invests around €180 million annually in training and extra €237 million in the continuing education of its people globally (Siemens, 2024).Tocustomise the path of employee development, HRM can use micro-credentials and AI-driven learning platforms.</w:t>
      </w:r>
    </w:p>
    <w:p w14:paraId="0BFE8513"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AF8D268" wp14:editId="66ACE06E">
            <wp:extent cx="5731200" cy="2882900"/>
            <wp:effectExtent l="38100" t="38100" r="38100" b="3810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731200" cy="2882900"/>
                    </a:xfrm>
                    <a:prstGeom prst="rect">
                      <a:avLst/>
                    </a:prstGeom>
                    <a:ln w="38100">
                      <a:solidFill>
                        <a:srgbClr val="000000"/>
                      </a:solidFill>
                      <a:prstDash val="solid"/>
                    </a:ln>
                  </pic:spPr>
                </pic:pic>
              </a:graphicData>
            </a:graphic>
          </wp:inline>
        </w:drawing>
      </w:r>
    </w:p>
    <w:p w14:paraId="3E43DB95"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8: Seimen’s investment in training</w:t>
      </w:r>
    </w:p>
    <w:p w14:paraId="4C4BA703"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Siemens, 2024)</w:t>
      </w:r>
    </w:p>
    <w:p w14:paraId="0D530DA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“Buy” Strategies (Strategic Recruitment and Talent Acquisition)</w:t>
      </w:r>
      <w:r>
        <w:rPr>
          <w:rFonts w:ascii="Times New Roman" w:eastAsia="Times New Roman" w:hAnsi="Times New Roman" w:cs="Times New Roman"/>
          <w:sz w:val="24"/>
          <w:szCs w:val="24"/>
        </w:rPr>
        <w:t>: If immediate skills are not available, HR should recruit candidate externally. 67% TA expert believe that sourcing candidate will be faster using AI (Deloitte, 2024). Employer branding is also important to attract rare talent. To overcome local labour shortage organisation may offer remote work flexibility. This will broaden access to global talent markets. But overdependency on buy” strategies may increase costs and turnover risks.</w:t>
      </w:r>
    </w:p>
    <w:p w14:paraId="463FD1A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“Borrow” Strategies (Leveraging External Expertise)</w:t>
      </w:r>
      <w:r>
        <w:rPr>
          <w:rFonts w:ascii="Times New Roman" w:eastAsia="Times New Roman" w:hAnsi="Times New Roman" w:cs="Times New Roman"/>
          <w:sz w:val="24"/>
          <w:szCs w:val="24"/>
        </w:rPr>
        <w:t>: To fill the shortage in skills firm may recruit external specialists, freelancers, and consultant. According to The World Bank (2023) the gig economy makes 12% of workforce globally. Strategic HRM frameworks should incorporate flexible models responsibly. This will make sure that external talent resonates with values of the organisation,data privacy standards, and legal compliance across borders.</w:t>
      </w:r>
    </w:p>
    <w:p w14:paraId="1959E10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“Bind” Strategies (Retention and Engagement)</w:t>
      </w:r>
      <w:r>
        <w:rPr>
          <w:rFonts w:ascii="Times New Roman" w:eastAsia="Times New Roman" w:hAnsi="Times New Roman" w:cs="Times New Roman"/>
          <w:sz w:val="24"/>
          <w:szCs w:val="24"/>
        </w:rPr>
        <w:t>: To increase the engagement of the staff HRM may introduce mentorship programs, job rotation, and transparent career progression pathways. Firms with a strong culture of learning culture have 30%-50% higher engagement and retention rates (Herbert, 2024).</w:t>
      </w:r>
    </w:p>
    <w:p w14:paraId="281ADE0D"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13" w:name="_95j8rsavvzr3" w:colFirst="0" w:colLast="0"/>
      <w:bookmarkEnd w:id="13"/>
      <w:r>
        <w:rPr>
          <w:rFonts w:ascii="Times New Roman" w:eastAsia="Times New Roman" w:hAnsi="Times New Roman" w:cs="Times New Roman"/>
          <w:b/>
          <w:bCs/>
          <w:sz w:val="24"/>
          <w:szCs w:val="24"/>
          <w:u w:val="single"/>
        </w:rPr>
        <w:lastRenderedPageBreak/>
        <w:t>3.3 Sector-Specific Examples</w:t>
      </w:r>
    </w:p>
    <w:p w14:paraId="29C57303" w14:textId="77777777" w:rsidR="003E6AA5" w:rsidRDefault="00000000">
      <w:pPr>
        <w:numPr>
          <w:ilvl w:val="0"/>
          <w:numId w:val="1"/>
        </w:numPr>
        <w:spacing w:after="160" w:line="360" w:lineRule="auto"/>
        <w:jc w:val="both"/>
        <w:rPr>
          <w:rFonts w:ascii="Noto Sans Symbols" w:eastAsia="Noto Sans Symbols" w:hAnsi="Noto Sans Symbols" w:cs="Noto Sans Symbols"/>
          <w:sz w:val="24"/>
          <w:szCs w:val="24"/>
        </w:rPr>
      </w:pPr>
      <w:r>
        <w:rPr>
          <w:rFonts w:ascii="Times New Roman" w:eastAsia="Times New Roman" w:hAnsi="Times New Roman" w:cs="Times New Roman"/>
          <w:sz w:val="24"/>
          <w:szCs w:val="24"/>
        </w:rPr>
        <w:t xml:space="preserve">In the sector of technology, various tech companies like </w:t>
      </w:r>
      <w:r>
        <w:rPr>
          <w:rFonts w:ascii="Times New Roman" w:eastAsia="Times New Roman" w:hAnsi="Times New Roman" w:cs="Times New Roman"/>
          <w:i/>
          <w:iCs/>
          <w:sz w:val="24"/>
          <w:szCs w:val="24"/>
        </w:rPr>
        <w:t>Amazon</w:t>
      </w:r>
      <w:r>
        <w:rPr>
          <w:rFonts w:ascii="Times New Roman" w:eastAsia="Times New Roman" w:hAnsi="Times New Roman" w:cs="Times New Roman"/>
          <w:sz w:val="24"/>
          <w:szCs w:val="24"/>
        </w:rPr>
        <w:t xml:space="preserve"> and </w:t>
      </w:r>
      <w:r>
        <w:rPr>
          <w:rFonts w:ascii="Times New Roman" w:eastAsia="Times New Roman" w:hAnsi="Times New Roman" w:cs="Times New Roman"/>
          <w:i/>
          <w:iCs/>
          <w:sz w:val="24"/>
          <w:szCs w:val="24"/>
        </w:rPr>
        <w:t>Google</w:t>
      </w:r>
      <w:r>
        <w:rPr>
          <w:rFonts w:ascii="Times New Roman" w:eastAsia="Times New Roman" w:hAnsi="Times New Roman" w:cs="Times New Roman"/>
          <w:sz w:val="24"/>
          <w:szCs w:val="24"/>
        </w:rPr>
        <w:t>implement“build” strategies through internal coding bootcamps and AI academies. The company also use borrow” strategies to recruit freelance AI and cybersecurity experts. Contractual hiring across the sector increased 22% y-o-y (Financialexpress, 2024).</w:t>
      </w:r>
    </w:p>
    <w:p w14:paraId="16DA0F3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12AD785" wp14:editId="339AD0F3">
            <wp:extent cx="5731200" cy="4178300"/>
            <wp:effectExtent l="38100" t="38100" r="38100" b="381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4178300"/>
                    </a:xfrm>
                    <a:prstGeom prst="rect">
                      <a:avLst/>
                    </a:prstGeom>
                    <a:ln w="38100">
                      <a:solidFill>
                        <a:srgbClr val="000000"/>
                      </a:solidFill>
                      <a:prstDash val="solid"/>
                    </a:ln>
                  </pic:spPr>
                </pic:pic>
              </a:graphicData>
            </a:graphic>
          </wp:inline>
        </w:drawing>
      </w:r>
    </w:p>
    <w:p w14:paraId="46864B48"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9: Increase of contractual hiring</w:t>
      </w:r>
    </w:p>
    <w:p w14:paraId="2902D9A2"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Financialexpress, 2024)</w:t>
      </w:r>
    </w:p>
    <w:p w14:paraId="6D63D279" w14:textId="77777777" w:rsidR="003E6AA5" w:rsidRDefault="00000000">
      <w:pPr>
        <w:numPr>
          <w:ilvl w:val="0"/>
          <w:numId w:val="1"/>
        </w:numPr>
        <w:spacing w:after="160" w:line="360" w:lineRule="auto"/>
        <w:jc w:val="both"/>
        <w:rPr>
          <w:rFonts w:ascii="Noto Sans Symbols" w:eastAsia="Noto Sans Symbols" w:hAnsi="Noto Sans Symbols" w:cs="Noto Sans Symbols"/>
          <w:sz w:val="24"/>
          <w:szCs w:val="24"/>
        </w:rPr>
      </w:pPr>
      <w:r>
        <w:rPr>
          <w:rFonts w:ascii="Times New Roman" w:eastAsia="Times New Roman" w:hAnsi="Times New Roman" w:cs="Times New Roman"/>
          <w:sz w:val="24"/>
          <w:szCs w:val="24"/>
        </w:rPr>
        <w:t>The healthcare sector uses “buy” strategies. For example</w:t>
      </w:r>
      <w:r>
        <w:rPr>
          <w:rFonts w:ascii="Times New Roman" w:eastAsia="Times New Roman" w:hAnsi="Times New Roman" w:cs="Times New Roman"/>
          <w:i/>
          <w:iCs/>
          <w:sz w:val="24"/>
          <w:szCs w:val="24"/>
        </w:rPr>
        <w:t xml:space="preserve"> NHS</w:t>
      </w:r>
      <w:r>
        <w:rPr>
          <w:rFonts w:ascii="Times New Roman" w:eastAsia="Times New Roman" w:hAnsi="Times New Roman" w:cs="Times New Roman"/>
          <w:sz w:val="24"/>
          <w:szCs w:val="24"/>
        </w:rPr>
        <w:t xml:space="preserve"> recruiting 40% of international nurses annually (The Health Foundation, 2023). To enhance retention of the staff they also use “bind” initiatives such as mentorship and flexible scheduling.</w:t>
      </w:r>
    </w:p>
    <w:p w14:paraId="298E55C2"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54EC6A1" wp14:editId="4A26EBD9">
            <wp:extent cx="5731200" cy="2768600"/>
            <wp:effectExtent l="38100" t="38100" r="38100" b="381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731200" cy="2768600"/>
                    </a:xfrm>
                    <a:prstGeom prst="rect">
                      <a:avLst/>
                    </a:prstGeom>
                    <a:ln w="38100">
                      <a:solidFill>
                        <a:srgbClr val="000000"/>
                      </a:solidFill>
                      <a:prstDash val="solid"/>
                    </a:ln>
                  </pic:spPr>
                </pic:pic>
              </a:graphicData>
            </a:graphic>
          </wp:inline>
        </w:drawing>
      </w:r>
    </w:p>
    <w:p w14:paraId="547CB93C" w14:textId="77777777" w:rsidR="003E6AA5"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10: Annual intake of new nurses</w:t>
      </w:r>
    </w:p>
    <w:p w14:paraId="4FDB10C2" w14:textId="77777777" w:rsidR="003E6AA5"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The Health Foundation, 2023)</w:t>
      </w:r>
    </w:p>
    <w:p w14:paraId="221EB3C7" w14:textId="77777777" w:rsidR="003E6AA5" w:rsidRDefault="00000000">
      <w:pPr>
        <w:numPr>
          <w:ilvl w:val="0"/>
          <w:numId w:val="1"/>
        </w:numPr>
        <w:spacing w:after="160" w:line="360" w:lineRule="auto"/>
        <w:jc w:val="both"/>
        <w:rPr>
          <w:rFonts w:ascii="Noto Sans Symbols" w:eastAsia="Noto Sans Symbols" w:hAnsi="Noto Sans Symbols" w:cs="Noto Sans Symbols"/>
          <w:sz w:val="24"/>
          <w:szCs w:val="24"/>
        </w:rPr>
      </w:pPr>
      <w:r>
        <w:rPr>
          <w:rFonts w:ascii="Times New Roman" w:eastAsia="Times New Roman" w:hAnsi="Times New Roman" w:cs="Times New Roman"/>
          <w:sz w:val="24"/>
          <w:szCs w:val="24"/>
        </w:rPr>
        <w:t>In hospitality sector the organization implement build” strategies by using management training programs. To buy” young, skilled talent they also increase employer branding.</w:t>
      </w:r>
    </w:p>
    <w:p w14:paraId="0EE38FD8" w14:textId="77777777" w:rsidR="003E6AA5" w:rsidRDefault="003E6AA5">
      <w:pPr>
        <w:spacing w:after="160" w:line="360" w:lineRule="auto"/>
        <w:jc w:val="both"/>
        <w:rPr>
          <w:rFonts w:ascii="Times New Roman" w:eastAsia="Times New Roman" w:hAnsi="Times New Roman" w:cs="Times New Roman"/>
          <w:sz w:val="24"/>
          <w:szCs w:val="24"/>
        </w:rPr>
      </w:pPr>
    </w:p>
    <w:p w14:paraId="4B120DEF" w14:textId="77777777" w:rsidR="003E6AA5" w:rsidRDefault="003E6AA5">
      <w:pPr>
        <w:spacing w:after="160" w:line="360" w:lineRule="auto"/>
        <w:jc w:val="both"/>
        <w:rPr>
          <w:rFonts w:ascii="Times New Roman" w:eastAsia="Times New Roman" w:hAnsi="Times New Roman" w:cs="Times New Roman"/>
          <w:sz w:val="24"/>
          <w:szCs w:val="24"/>
        </w:rPr>
      </w:pPr>
    </w:p>
    <w:p w14:paraId="0EAD7A12" w14:textId="77777777" w:rsidR="003E6AA5" w:rsidRDefault="003E6AA5">
      <w:pPr>
        <w:spacing w:after="160" w:line="360" w:lineRule="auto"/>
        <w:jc w:val="both"/>
        <w:rPr>
          <w:rFonts w:ascii="Times New Roman" w:eastAsia="Times New Roman" w:hAnsi="Times New Roman" w:cs="Times New Roman"/>
          <w:sz w:val="24"/>
          <w:szCs w:val="24"/>
        </w:rPr>
      </w:pPr>
    </w:p>
    <w:p w14:paraId="3030BBC3" w14:textId="77777777" w:rsidR="003E6AA5" w:rsidRDefault="003E6AA5">
      <w:pPr>
        <w:spacing w:after="160" w:line="360" w:lineRule="auto"/>
        <w:jc w:val="both"/>
        <w:rPr>
          <w:rFonts w:ascii="Times New Roman" w:eastAsia="Times New Roman" w:hAnsi="Times New Roman" w:cs="Times New Roman"/>
          <w:sz w:val="24"/>
          <w:szCs w:val="24"/>
        </w:rPr>
      </w:pPr>
    </w:p>
    <w:p w14:paraId="589FFCA8" w14:textId="77777777" w:rsidR="003E6AA5" w:rsidRDefault="003E6AA5">
      <w:pPr>
        <w:spacing w:after="160" w:line="360" w:lineRule="auto"/>
        <w:jc w:val="both"/>
        <w:rPr>
          <w:rFonts w:ascii="Times New Roman" w:eastAsia="Times New Roman" w:hAnsi="Times New Roman" w:cs="Times New Roman"/>
          <w:sz w:val="24"/>
          <w:szCs w:val="24"/>
        </w:rPr>
      </w:pPr>
    </w:p>
    <w:p w14:paraId="0CACAA8D" w14:textId="77777777" w:rsidR="003E6AA5" w:rsidRDefault="003E6AA5">
      <w:pPr>
        <w:spacing w:after="160" w:line="360" w:lineRule="auto"/>
        <w:jc w:val="both"/>
        <w:rPr>
          <w:rFonts w:ascii="Times New Roman" w:eastAsia="Times New Roman" w:hAnsi="Times New Roman" w:cs="Times New Roman"/>
          <w:sz w:val="24"/>
          <w:szCs w:val="24"/>
        </w:rPr>
      </w:pPr>
    </w:p>
    <w:p w14:paraId="57179DD1" w14:textId="77777777" w:rsidR="003E6AA5" w:rsidRDefault="003E6AA5">
      <w:pPr>
        <w:spacing w:after="160" w:line="360" w:lineRule="auto"/>
        <w:jc w:val="both"/>
        <w:rPr>
          <w:rFonts w:ascii="Times New Roman" w:eastAsia="Times New Roman" w:hAnsi="Times New Roman" w:cs="Times New Roman"/>
          <w:sz w:val="24"/>
          <w:szCs w:val="24"/>
        </w:rPr>
      </w:pPr>
    </w:p>
    <w:p w14:paraId="400E366A" w14:textId="77777777" w:rsidR="003E6AA5" w:rsidRDefault="003E6AA5">
      <w:pPr>
        <w:spacing w:after="160" w:line="360" w:lineRule="auto"/>
        <w:jc w:val="both"/>
        <w:rPr>
          <w:rFonts w:ascii="Times New Roman" w:eastAsia="Times New Roman" w:hAnsi="Times New Roman" w:cs="Times New Roman"/>
          <w:sz w:val="24"/>
          <w:szCs w:val="24"/>
        </w:rPr>
      </w:pPr>
    </w:p>
    <w:p w14:paraId="7C4A5207" w14:textId="77777777" w:rsidR="003E6AA5" w:rsidRDefault="003E6AA5">
      <w:pPr>
        <w:spacing w:after="160" w:line="360" w:lineRule="auto"/>
        <w:jc w:val="both"/>
        <w:rPr>
          <w:rFonts w:ascii="Times New Roman" w:eastAsia="Times New Roman" w:hAnsi="Times New Roman" w:cs="Times New Roman"/>
          <w:sz w:val="24"/>
          <w:szCs w:val="24"/>
        </w:rPr>
      </w:pPr>
    </w:p>
    <w:p w14:paraId="4A39C85C" w14:textId="77777777" w:rsidR="003E6AA5" w:rsidRDefault="003E6AA5">
      <w:pPr>
        <w:spacing w:after="160" w:line="360" w:lineRule="auto"/>
        <w:jc w:val="both"/>
        <w:rPr>
          <w:rFonts w:ascii="Times New Roman" w:eastAsia="Times New Roman" w:hAnsi="Times New Roman" w:cs="Times New Roman"/>
          <w:sz w:val="24"/>
          <w:szCs w:val="24"/>
        </w:rPr>
      </w:pPr>
    </w:p>
    <w:p w14:paraId="25C847F7" w14:textId="77777777" w:rsidR="003E6AA5" w:rsidRDefault="003E6AA5">
      <w:pPr>
        <w:spacing w:after="160" w:line="360" w:lineRule="auto"/>
        <w:jc w:val="both"/>
        <w:rPr>
          <w:rFonts w:ascii="Times New Roman" w:eastAsia="Times New Roman" w:hAnsi="Times New Roman" w:cs="Times New Roman"/>
          <w:sz w:val="24"/>
          <w:szCs w:val="24"/>
        </w:rPr>
      </w:pPr>
    </w:p>
    <w:p w14:paraId="0F7DA0B5" w14:textId="77777777" w:rsidR="003E6AA5" w:rsidRDefault="003E6AA5">
      <w:pPr>
        <w:spacing w:after="160" w:line="360" w:lineRule="auto"/>
        <w:jc w:val="both"/>
        <w:rPr>
          <w:rFonts w:ascii="Times New Roman" w:eastAsia="Times New Roman" w:hAnsi="Times New Roman" w:cs="Times New Roman"/>
          <w:sz w:val="24"/>
          <w:szCs w:val="24"/>
        </w:rPr>
      </w:pPr>
    </w:p>
    <w:p w14:paraId="618AE84A" w14:textId="77777777" w:rsidR="003E6AA5" w:rsidRDefault="00000000">
      <w:pPr>
        <w:pStyle w:val="Heading1"/>
        <w:spacing w:before="360" w:after="80" w:line="360" w:lineRule="auto"/>
        <w:jc w:val="both"/>
        <w:rPr>
          <w:rFonts w:ascii="Times New Roman" w:eastAsia="Times New Roman" w:hAnsi="Times New Roman" w:cs="Times New Roman"/>
          <w:b/>
          <w:bCs/>
          <w:sz w:val="28"/>
          <w:szCs w:val="28"/>
          <w:u w:val="single"/>
        </w:rPr>
      </w:pPr>
      <w:bookmarkStart w:id="14" w:name="_s1yveplay9wm" w:colFirst="0" w:colLast="0"/>
      <w:bookmarkEnd w:id="14"/>
      <w:r>
        <w:rPr>
          <w:rFonts w:ascii="Times New Roman" w:eastAsia="Times New Roman" w:hAnsi="Times New Roman" w:cs="Times New Roman"/>
          <w:b/>
          <w:bCs/>
          <w:sz w:val="28"/>
          <w:szCs w:val="28"/>
          <w:u w:val="single"/>
        </w:rPr>
        <w:lastRenderedPageBreak/>
        <w:t>Question 4: Reflective Report on Capabilities</w:t>
      </w:r>
    </w:p>
    <w:p w14:paraId="28FE42FD" w14:textId="77777777" w:rsidR="003E6AA5" w:rsidRDefault="00000000">
      <w:pPr>
        <w:spacing w:after="160" w:line="360" w:lineRule="auto"/>
        <w:jc w:val="both"/>
        <w:rPr>
          <w:rFonts w:ascii="Times New Roman" w:eastAsia="Times New Roman" w:hAnsi="Times New Roman" w:cs="Times New Roman"/>
          <w:b/>
          <w:bCs/>
          <w:sz w:val="24"/>
          <w:szCs w:val="24"/>
          <w:u w:val="single"/>
        </w:rPr>
      </w:pPr>
      <w:bookmarkStart w:id="15" w:name="_ogauvm59o6wx" w:colFirst="0" w:colLast="0"/>
      <w:bookmarkEnd w:id="15"/>
      <w:r>
        <w:rPr>
          <w:rFonts w:ascii="Times New Roman" w:eastAsia="Times New Roman" w:hAnsi="Times New Roman" w:cs="Times New Roman"/>
          <w:b/>
          <w:bCs/>
          <w:sz w:val="24"/>
          <w:szCs w:val="24"/>
          <w:u w:val="single"/>
        </w:rPr>
        <w:t>4.1 Introduction</w:t>
      </w:r>
    </w:p>
    <w:p w14:paraId="3D5CB129"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MBA graduates must develop adaptive and global competencies in today’s dynamic global business environment. Individual must develop skills like technological proficiency, cross-cultural communication, leadership agility, and self-directed learning. These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century skills are important for managing complexity, innovation and collaboration globally (OECD, 2021). Through this MBA journey I have developed and investigated by professional capabilities. With the help of Gibbs’ Reflective Cycle (Pieper et al., 2020), I analysed my strength and weakness.</w:t>
      </w:r>
    </w:p>
    <w:p w14:paraId="28055626"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16" w:name="_ppw8dq6jx25b" w:colFirst="0" w:colLast="0"/>
      <w:bookmarkEnd w:id="16"/>
      <w:r>
        <w:rPr>
          <w:rFonts w:ascii="Times New Roman" w:eastAsia="Times New Roman" w:hAnsi="Times New Roman" w:cs="Times New Roman"/>
          <w:b/>
          <w:bCs/>
          <w:sz w:val="24"/>
          <w:szCs w:val="24"/>
          <w:u w:val="single"/>
        </w:rPr>
        <w:t>4.2 Self-assessment using Gibbs’ Reflective Cycle</w:t>
      </w:r>
    </w:p>
    <w:p w14:paraId="6FC6CAFD"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Description</w:t>
      </w:r>
    </w:p>
    <w:p w14:paraId="38664E49"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 was involved in various collaborative and individual learning activities. I finished my assignment with the help of tools like Excel and SPSS (Rahman and Muktadir, 2021). I also participated in group work and presentation. I managed virtual collaboration through MS Teams and Zoom.</w:t>
      </w:r>
    </w:p>
    <w:p w14:paraId="47D62275"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Feelings</w:t>
      </w:r>
    </w:p>
    <w:p w14:paraId="7CF4B778"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first, I was very curious about using advanced digital tools such as data analysis software and AI platforms. As the module progressed, I became more confident. I realised that proficiency in technology increased my productivity. It also supported evidence-based HRM practices. After successfully communicating a complex idea in group presentations, I felt satisfied.</w:t>
      </w:r>
    </w:p>
    <w:p w14:paraId="532F760C"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Evaluation</w:t>
      </w:r>
    </w:p>
    <w:p w14:paraId="5ED0832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time tracking the data from the project log, I realised that my efficiency increased by 30% by using AI-assisted analysis. I received positive feedback for my clear communication and delivery of structured presentation.My performance in teamwork was also reflected in my peer evaluation score. But I realised that my representation in team project could be more strategic. I struggled to cope up with advanced visualization tools like Power BI and Tableau.</w:t>
      </w:r>
    </w:p>
    <w:p w14:paraId="00442C04"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Analysis</w:t>
      </w:r>
    </w:p>
    <w:p w14:paraId="52593572"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After this experience I learned that for modern HRM professionals’, adaptability and digital literacy are primary competencies. This aligns with OECD (2021)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century skill sets. My </w:t>
      </w:r>
      <w:r>
        <w:rPr>
          <w:rFonts w:ascii="Times New Roman" w:eastAsia="Times New Roman" w:hAnsi="Times New Roman" w:cs="Times New Roman"/>
          <w:sz w:val="24"/>
          <w:szCs w:val="24"/>
        </w:rPr>
        <w:lastRenderedPageBreak/>
        <w:t>increasing confidence in technology highlights a level of learning agility. Beside this my cultural intelligence and emotional awareness was also improved because of exposure to communication and teamwork. After applying Garrison’s model of self-directed learning (IRRODL, 2023) I identified my capability to self-monitor and look for additional learning. But my depth of leadership development was restricted due to limited exposure of leading cross-cultural teams</w:t>
      </w:r>
      <w:r>
        <w:rPr>
          <w:rFonts w:ascii="Times New Roman" w:eastAsia="Times New Roman" w:hAnsi="Times New Roman" w:cs="Times New Roman"/>
          <w:b/>
          <w:bCs/>
          <w:sz w:val="24"/>
          <w:szCs w:val="24"/>
        </w:rPr>
        <w:t>.</w:t>
      </w:r>
    </w:p>
    <w:p w14:paraId="436445C2"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Conclusion</w:t>
      </w:r>
      <w:r>
        <w:rPr>
          <w:rFonts w:ascii="Times New Roman" w:eastAsia="Times New Roman" w:hAnsi="Times New Roman" w:cs="Times New Roman"/>
          <w:sz w:val="24"/>
          <w:szCs w:val="24"/>
        </w:rPr>
        <w:br/>
        <w:t>I have developed strong digital, interpersonal, and self-management capabilities after finishing this module. This renovates with future requirements of HRM. I also need to enhance my leadership and delegation skills to reach a higher level of professional readiness. I will try to expand my knowledge of advanced data visualization for strategic workforce analytics.</w:t>
      </w:r>
    </w:p>
    <w:p w14:paraId="78D5088D"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Action Plan</w:t>
      </w:r>
      <w:r>
        <w:rPr>
          <w:rFonts w:ascii="Times New Roman" w:eastAsia="Times New Roman" w:hAnsi="Times New Roman" w:cs="Times New Roman"/>
          <w:sz w:val="24"/>
          <w:szCs w:val="24"/>
        </w:rPr>
        <w:t>: In future I Plan to enrol in various courses to improve my analytical and visualization proficiency.To apply learned leadership concepts in real settings I intend to volunteer for team leader roles. To track my progress, I will continue using SMART goal-setting for time management and reflective journaling</w:t>
      </w:r>
    </w:p>
    <w:p w14:paraId="1FB60AB3"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17" w:name="_a9cgoxa5s7tk" w:colFirst="0" w:colLast="0"/>
      <w:bookmarkEnd w:id="17"/>
      <w:r>
        <w:rPr>
          <w:rFonts w:ascii="Times New Roman" w:eastAsia="Times New Roman" w:hAnsi="Times New Roman" w:cs="Times New Roman"/>
          <w:b/>
          <w:bCs/>
          <w:sz w:val="24"/>
          <w:szCs w:val="24"/>
          <w:u w:val="single"/>
        </w:rPr>
        <w:t>4.3 SWOT Analysis</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45"/>
        <w:gridCol w:w="2216"/>
        <w:gridCol w:w="2220"/>
        <w:gridCol w:w="2235"/>
      </w:tblGrid>
      <w:tr w:rsidR="003E6AA5" w14:paraId="4BAF2C53" w14:textId="77777777">
        <w:tc>
          <w:tcPr>
            <w:tcW w:w="2345" w:type="dxa"/>
          </w:tcPr>
          <w:p w14:paraId="25C54A13"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tc>
        <w:tc>
          <w:tcPr>
            <w:tcW w:w="2216" w:type="dxa"/>
          </w:tcPr>
          <w:p w14:paraId="1CB7749A"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Weaknesses</w:t>
            </w:r>
          </w:p>
        </w:tc>
        <w:tc>
          <w:tcPr>
            <w:tcW w:w="2220" w:type="dxa"/>
          </w:tcPr>
          <w:p w14:paraId="4500E62D"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Opportunities</w:t>
            </w:r>
          </w:p>
        </w:tc>
        <w:tc>
          <w:tcPr>
            <w:tcW w:w="2235" w:type="dxa"/>
          </w:tcPr>
          <w:p w14:paraId="4E8B28F5" w14:textId="77777777" w:rsidR="003E6AA5" w:rsidRDefault="00000000">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Threats</w:t>
            </w:r>
          </w:p>
        </w:tc>
      </w:tr>
      <w:tr w:rsidR="003E6AA5" w14:paraId="476088A6" w14:textId="77777777">
        <w:tc>
          <w:tcPr>
            <w:tcW w:w="2345" w:type="dxa"/>
          </w:tcPr>
          <w:p w14:paraId="1A44468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strong self-directed learning ability</w:t>
            </w:r>
          </w:p>
        </w:tc>
        <w:tc>
          <w:tcPr>
            <w:tcW w:w="2216" w:type="dxa"/>
          </w:tcPr>
          <w:p w14:paraId="4852120A"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limited cross-cultural leadership experience</w:t>
            </w:r>
          </w:p>
        </w:tc>
        <w:tc>
          <w:tcPr>
            <w:tcW w:w="2220" w:type="dxa"/>
          </w:tcPr>
          <w:p w14:paraId="0F8AEC8B"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demand for HR analytics skills</w:t>
            </w:r>
          </w:p>
        </w:tc>
        <w:tc>
          <w:tcPr>
            <w:tcW w:w="2235" w:type="dxa"/>
          </w:tcPr>
          <w:p w14:paraId="5FA13AFB"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AI-driven changes in HRM practices</w:t>
            </w:r>
          </w:p>
        </w:tc>
      </w:tr>
      <w:tr w:rsidR="003E6AA5" w14:paraId="146FE908" w14:textId="77777777">
        <w:tc>
          <w:tcPr>
            <w:tcW w:w="2345" w:type="dxa"/>
          </w:tcPr>
          <w:p w14:paraId="5D671D7F"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effective teamwork and communication</w:t>
            </w:r>
          </w:p>
        </w:tc>
        <w:tc>
          <w:tcPr>
            <w:tcW w:w="2216" w:type="dxa"/>
          </w:tcPr>
          <w:p w14:paraId="57E37F2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moderate data visualization proficiency</w:t>
            </w:r>
          </w:p>
        </w:tc>
        <w:tc>
          <w:tcPr>
            <w:tcW w:w="2220" w:type="dxa"/>
          </w:tcPr>
          <w:p w14:paraId="4D9107B4"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 to global online learning platforms</w:t>
            </w:r>
          </w:p>
        </w:tc>
        <w:tc>
          <w:tcPr>
            <w:tcW w:w="2235" w:type="dxa"/>
          </w:tcPr>
          <w:p w14:paraId="4FE161C0"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 among globally skilled MBA graduates</w:t>
            </w:r>
          </w:p>
        </w:tc>
      </w:tr>
    </w:tbl>
    <w:p w14:paraId="244B8910" w14:textId="77777777" w:rsidR="003E6AA5" w:rsidRDefault="00000000">
      <w:pPr>
        <w:pStyle w:val="Heading2"/>
        <w:spacing w:before="160" w:after="80" w:line="360" w:lineRule="auto"/>
        <w:jc w:val="both"/>
        <w:rPr>
          <w:rFonts w:ascii="Times New Roman" w:eastAsia="Times New Roman" w:hAnsi="Times New Roman" w:cs="Times New Roman"/>
          <w:b/>
          <w:bCs/>
          <w:sz w:val="24"/>
          <w:szCs w:val="24"/>
          <w:u w:val="single"/>
        </w:rPr>
      </w:pPr>
      <w:bookmarkStart w:id="18" w:name="_jx519pc3zbc8" w:colFirst="0" w:colLast="0"/>
      <w:bookmarkEnd w:id="18"/>
      <w:r>
        <w:rPr>
          <w:rFonts w:ascii="Times New Roman" w:eastAsia="Times New Roman" w:hAnsi="Times New Roman" w:cs="Times New Roman"/>
          <w:b/>
          <w:bCs/>
          <w:sz w:val="24"/>
          <w:szCs w:val="24"/>
          <w:u w:val="single"/>
        </w:rPr>
        <w:t>4.4 Development Plan</w:t>
      </w:r>
    </w:p>
    <w:p w14:paraId="00D5E44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Leverage Strengths</w:t>
      </w:r>
      <w:r>
        <w:rPr>
          <w:rFonts w:ascii="Times New Roman" w:eastAsia="Times New Roman" w:hAnsi="Times New Roman" w:cs="Times New Roman"/>
          <w:sz w:val="24"/>
          <w:szCs w:val="24"/>
        </w:rPr>
        <w:t>: My primary strength is self-directed learning and teamwork. I rapidly adapt to new roles and collaborate successfully in multicultural organisations. I will use these strengths by looking for roles in HR transformation projects where learning agility and collaboration are very important.</w:t>
      </w:r>
    </w:p>
    <w:p w14:paraId="28A3843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Address Weaknesses</w:t>
      </w:r>
      <w:r>
        <w:rPr>
          <w:rFonts w:ascii="Times New Roman" w:eastAsia="Times New Roman" w:hAnsi="Times New Roman" w:cs="Times New Roman"/>
          <w:sz w:val="24"/>
          <w:szCs w:val="24"/>
        </w:rPr>
        <w:t xml:space="preserve">: To improve my leadership and communication I will enrol in Coursera course “Leading Global Teams” by January 2026.I will also volunteer to lead the next </w:t>
      </w:r>
      <w:r>
        <w:rPr>
          <w:rFonts w:ascii="Times New Roman" w:eastAsia="Times New Roman" w:hAnsi="Times New Roman" w:cs="Times New Roman"/>
          <w:sz w:val="24"/>
          <w:szCs w:val="24"/>
        </w:rPr>
        <w:lastRenderedPageBreak/>
        <w:t>multicultural project team in my MBA program. To develop public speaking and persuasive communication skills I will join Toastmasters International club.</w:t>
      </w:r>
    </w:p>
    <w:p w14:paraId="2413CE3B" w14:textId="77777777" w:rsidR="003E6AA5" w:rsidRDefault="00000000">
      <w:pPr>
        <w:pStyle w:val="Heading1"/>
        <w:spacing w:before="360" w:after="80" w:line="360" w:lineRule="auto"/>
        <w:jc w:val="both"/>
        <w:rPr>
          <w:rFonts w:ascii="Times New Roman" w:eastAsia="Times New Roman" w:hAnsi="Times New Roman" w:cs="Times New Roman"/>
          <w:b/>
          <w:bCs/>
          <w:sz w:val="28"/>
          <w:szCs w:val="28"/>
          <w:u w:val="single"/>
        </w:rPr>
      </w:pPr>
      <w:bookmarkStart w:id="19" w:name="_aye2xncea65e" w:colFirst="0" w:colLast="0"/>
      <w:bookmarkEnd w:id="19"/>
      <w:r>
        <w:rPr>
          <w:rFonts w:ascii="Times New Roman" w:eastAsia="Times New Roman" w:hAnsi="Times New Roman" w:cs="Times New Roman"/>
          <w:b/>
          <w:bCs/>
          <w:sz w:val="28"/>
          <w:szCs w:val="28"/>
          <w:u w:val="single"/>
        </w:rPr>
        <w:t>Conclusion</w:t>
      </w:r>
    </w:p>
    <w:p w14:paraId="26DB7EC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Labour market globally is going through rapid transformation. Transformation is powered by various dynamics like technology, demographic shifts, and geopolitical. Because of this change in demand organization should implement innovative and adaptive HRM and IHRM strategies. This will attract, develop and retain talent. For long-term competitiveness skills gaps should be reduced through strategic workforce planning, continuous learning, and ethical leadership. To managing diverse and hybrid workforces, HR professional need to integrate technology, inclusive practices, and global collaboration. After reflecting on my personal growth, I developed digital proficiency, teamwork, and self-directed learning.  I also realise the importance of adaptability and lifelong learning in modern HR practice.</w:t>
      </w:r>
    </w:p>
    <w:p w14:paraId="4D9B18C8" w14:textId="77777777" w:rsidR="003E6AA5" w:rsidRDefault="003E6AA5">
      <w:pPr>
        <w:spacing w:after="160" w:line="360" w:lineRule="auto"/>
        <w:jc w:val="both"/>
        <w:rPr>
          <w:rFonts w:ascii="Times New Roman" w:eastAsia="Times New Roman" w:hAnsi="Times New Roman" w:cs="Times New Roman"/>
          <w:sz w:val="24"/>
          <w:szCs w:val="24"/>
        </w:rPr>
      </w:pPr>
      <w:bookmarkStart w:id="20" w:name="_qcjzij62qzeu" w:colFirst="0" w:colLast="0"/>
      <w:bookmarkEnd w:id="20"/>
    </w:p>
    <w:p w14:paraId="52127E3E" w14:textId="77777777" w:rsidR="003E6AA5" w:rsidRDefault="003E6AA5">
      <w:pPr>
        <w:spacing w:after="160" w:line="360" w:lineRule="auto"/>
        <w:jc w:val="both"/>
        <w:rPr>
          <w:rFonts w:ascii="Times New Roman" w:eastAsia="Times New Roman" w:hAnsi="Times New Roman" w:cs="Times New Roman"/>
          <w:sz w:val="24"/>
          <w:szCs w:val="24"/>
        </w:rPr>
      </w:pPr>
    </w:p>
    <w:p w14:paraId="2A8200EB" w14:textId="77777777" w:rsidR="003E6AA5" w:rsidRDefault="003E6AA5">
      <w:pPr>
        <w:spacing w:after="160" w:line="360" w:lineRule="auto"/>
        <w:jc w:val="both"/>
        <w:rPr>
          <w:rFonts w:ascii="Times New Roman" w:eastAsia="Times New Roman" w:hAnsi="Times New Roman" w:cs="Times New Roman"/>
          <w:sz w:val="24"/>
          <w:szCs w:val="24"/>
        </w:rPr>
      </w:pPr>
    </w:p>
    <w:p w14:paraId="5869FC87" w14:textId="77777777" w:rsidR="003E6AA5" w:rsidRDefault="003E6AA5">
      <w:pPr>
        <w:spacing w:after="160" w:line="360" w:lineRule="auto"/>
        <w:jc w:val="both"/>
        <w:rPr>
          <w:rFonts w:ascii="Times New Roman" w:eastAsia="Times New Roman" w:hAnsi="Times New Roman" w:cs="Times New Roman"/>
          <w:sz w:val="24"/>
          <w:szCs w:val="24"/>
        </w:rPr>
      </w:pPr>
    </w:p>
    <w:p w14:paraId="7509B9FB" w14:textId="77777777" w:rsidR="003E6AA5" w:rsidRDefault="003E6AA5">
      <w:pPr>
        <w:spacing w:after="160" w:line="360" w:lineRule="auto"/>
        <w:jc w:val="both"/>
        <w:rPr>
          <w:rFonts w:ascii="Times New Roman" w:eastAsia="Times New Roman" w:hAnsi="Times New Roman" w:cs="Times New Roman"/>
          <w:sz w:val="24"/>
          <w:szCs w:val="24"/>
        </w:rPr>
      </w:pPr>
    </w:p>
    <w:p w14:paraId="1130C474" w14:textId="77777777" w:rsidR="003E6AA5" w:rsidRDefault="003E6AA5">
      <w:pPr>
        <w:spacing w:after="160" w:line="360" w:lineRule="auto"/>
        <w:jc w:val="both"/>
        <w:rPr>
          <w:rFonts w:ascii="Times New Roman" w:eastAsia="Times New Roman" w:hAnsi="Times New Roman" w:cs="Times New Roman"/>
          <w:sz w:val="24"/>
          <w:szCs w:val="24"/>
        </w:rPr>
      </w:pPr>
    </w:p>
    <w:p w14:paraId="16ED49C5" w14:textId="77777777" w:rsidR="003E6AA5" w:rsidRDefault="003E6AA5">
      <w:pPr>
        <w:spacing w:after="160" w:line="360" w:lineRule="auto"/>
        <w:jc w:val="both"/>
        <w:rPr>
          <w:rFonts w:ascii="Times New Roman" w:eastAsia="Times New Roman" w:hAnsi="Times New Roman" w:cs="Times New Roman"/>
          <w:sz w:val="24"/>
          <w:szCs w:val="24"/>
        </w:rPr>
      </w:pPr>
    </w:p>
    <w:p w14:paraId="2833C3D0" w14:textId="77777777" w:rsidR="003E6AA5" w:rsidRDefault="003E6AA5">
      <w:pPr>
        <w:spacing w:after="160" w:line="360" w:lineRule="auto"/>
        <w:jc w:val="both"/>
        <w:rPr>
          <w:rFonts w:ascii="Times New Roman" w:eastAsia="Times New Roman" w:hAnsi="Times New Roman" w:cs="Times New Roman"/>
          <w:sz w:val="24"/>
          <w:szCs w:val="24"/>
        </w:rPr>
      </w:pPr>
    </w:p>
    <w:p w14:paraId="64EBD3B5" w14:textId="77777777" w:rsidR="003E6AA5" w:rsidRDefault="003E6AA5">
      <w:pPr>
        <w:spacing w:after="160" w:line="360" w:lineRule="auto"/>
        <w:jc w:val="both"/>
        <w:rPr>
          <w:rFonts w:ascii="Times New Roman" w:eastAsia="Times New Roman" w:hAnsi="Times New Roman" w:cs="Times New Roman"/>
          <w:sz w:val="24"/>
          <w:szCs w:val="24"/>
        </w:rPr>
      </w:pPr>
    </w:p>
    <w:p w14:paraId="4625BC17" w14:textId="77777777" w:rsidR="003E6AA5" w:rsidRDefault="003E6AA5">
      <w:pPr>
        <w:spacing w:after="160" w:line="360" w:lineRule="auto"/>
        <w:jc w:val="both"/>
        <w:rPr>
          <w:rFonts w:ascii="Times New Roman" w:eastAsia="Times New Roman" w:hAnsi="Times New Roman" w:cs="Times New Roman"/>
          <w:sz w:val="24"/>
          <w:szCs w:val="24"/>
        </w:rPr>
      </w:pPr>
    </w:p>
    <w:p w14:paraId="30ADA96E" w14:textId="77777777" w:rsidR="003E6AA5" w:rsidRDefault="003E6AA5">
      <w:pPr>
        <w:spacing w:after="160" w:line="360" w:lineRule="auto"/>
        <w:jc w:val="both"/>
        <w:rPr>
          <w:rFonts w:ascii="Times New Roman" w:eastAsia="Times New Roman" w:hAnsi="Times New Roman" w:cs="Times New Roman"/>
          <w:sz w:val="24"/>
          <w:szCs w:val="24"/>
        </w:rPr>
      </w:pPr>
    </w:p>
    <w:p w14:paraId="1149AA18" w14:textId="77777777" w:rsidR="003E6AA5" w:rsidRDefault="003E6AA5">
      <w:pPr>
        <w:spacing w:after="160" w:line="360" w:lineRule="auto"/>
        <w:jc w:val="both"/>
        <w:rPr>
          <w:rFonts w:ascii="Times New Roman" w:eastAsia="Times New Roman" w:hAnsi="Times New Roman" w:cs="Times New Roman"/>
          <w:sz w:val="24"/>
          <w:szCs w:val="24"/>
        </w:rPr>
      </w:pPr>
    </w:p>
    <w:p w14:paraId="520F18FC" w14:textId="77777777" w:rsidR="003E6AA5" w:rsidRDefault="003E6AA5">
      <w:pPr>
        <w:spacing w:after="160" w:line="360" w:lineRule="auto"/>
        <w:jc w:val="both"/>
        <w:rPr>
          <w:rFonts w:ascii="Times New Roman" w:eastAsia="Times New Roman" w:hAnsi="Times New Roman" w:cs="Times New Roman"/>
          <w:sz w:val="24"/>
          <w:szCs w:val="24"/>
        </w:rPr>
      </w:pPr>
    </w:p>
    <w:p w14:paraId="283E5337" w14:textId="77777777" w:rsidR="003E6AA5" w:rsidRDefault="00000000">
      <w:pPr>
        <w:pStyle w:val="Heading1"/>
        <w:spacing w:before="360" w:after="80" w:line="360" w:lineRule="auto"/>
        <w:jc w:val="both"/>
        <w:rPr>
          <w:rFonts w:ascii="Times New Roman" w:eastAsia="Times New Roman" w:hAnsi="Times New Roman" w:cs="Times New Roman"/>
          <w:b/>
          <w:bCs/>
          <w:sz w:val="28"/>
          <w:szCs w:val="28"/>
          <w:u w:val="single"/>
        </w:rPr>
      </w:pPr>
      <w:bookmarkStart w:id="21" w:name="_jipsy2t6xc7e" w:colFirst="0" w:colLast="0"/>
      <w:bookmarkEnd w:id="21"/>
      <w:r>
        <w:rPr>
          <w:rFonts w:ascii="Times New Roman" w:eastAsia="Times New Roman" w:hAnsi="Times New Roman" w:cs="Times New Roman"/>
          <w:b/>
          <w:bCs/>
          <w:sz w:val="28"/>
          <w:szCs w:val="28"/>
          <w:u w:val="single"/>
        </w:rPr>
        <w:lastRenderedPageBreak/>
        <w:t>Reference List</w:t>
      </w:r>
    </w:p>
    <w:p w14:paraId="7A0B2C62"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Abraha, H. (2025). </w:t>
      </w:r>
      <w:r>
        <w:rPr>
          <w:rFonts w:ascii="Times New Roman" w:eastAsia="Times New Roman" w:hAnsi="Times New Roman" w:cs="Times New Roman"/>
          <w:i/>
          <w:iCs/>
          <w:sz w:val="24"/>
          <w:szCs w:val="24"/>
        </w:rPr>
        <w:t>Navigating workers’ data rights in the digital age</w:t>
      </w:r>
      <w:r>
        <w:rPr>
          <w:rFonts w:ascii="Times New Roman" w:eastAsia="Times New Roman" w:hAnsi="Times New Roman" w:cs="Times New Roman"/>
          <w:sz w:val="24"/>
          <w:szCs w:val="24"/>
        </w:rPr>
        <w:t>. [online] Geneva: ILO. doi:https://doi.org/10.54394/mluh5441.</w:t>
      </w:r>
    </w:p>
    <w:p w14:paraId="19B2AFC7"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Azumo (2025). </w:t>
      </w:r>
      <w:r>
        <w:rPr>
          <w:rFonts w:ascii="Times New Roman" w:eastAsia="Times New Roman" w:hAnsi="Times New Roman" w:cs="Times New Roman"/>
          <w:i/>
          <w:iCs/>
          <w:sz w:val="24"/>
          <w:szCs w:val="24"/>
        </w:rPr>
        <w:t>AI in the Workplace Statistics 2025 | Adoption, Impact &amp; Trends</w:t>
      </w:r>
      <w:r>
        <w:rPr>
          <w:rFonts w:ascii="Times New Roman" w:eastAsia="Times New Roman" w:hAnsi="Times New Roman" w:cs="Times New Roman"/>
          <w:sz w:val="24"/>
          <w:szCs w:val="24"/>
        </w:rPr>
        <w:t>. [online] Azumo.com. Available at: https://azumo.com/artificial-intelligence/ai-insights/ai-in-workplace-statistics.</w:t>
      </w:r>
    </w:p>
    <w:p w14:paraId="770E28A7"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Bersin, J. (2025). </w:t>
      </w:r>
      <w:r>
        <w:rPr>
          <w:rFonts w:ascii="Times New Roman" w:eastAsia="Times New Roman" w:hAnsi="Times New Roman" w:cs="Times New Roman"/>
          <w:i/>
          <w:iCs/>
          <w:sz w:val="24"/>
          <w:szCs w:val="24"/>
        </w:rPr>
        <w:t>Why Diversity and Inclusion Has Become a Business Priority</w:t>
      </w:r>
      <w:r>
        <w:rPr>
          <w:rFonts w:ascii="Times New Roman" w:eastAsia="Times New Roman" w:hAnsi="Times New Roman" w:cs="Times New Roman"/>
          <w:sz w:val="24"/>
          <w:szCs w:val="24"/>
        </w:rPr>
        <w:t>. [online] Josh Bersin. Available at: https://joshbersin.com/2015/12/why-diversity-and-inclusion-will-be-a-top-priority-for-2016/.</w:t>
      </w:r>
    </w:p>
    <w:p w14:paraId="753A73D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Brynjolfsson, E., and McAfee, A. (2014). </w:t>
      </w:r>
      <w:r>
        <w:rPr>
          <w:rFonts w:ascii="Times New Roman" w:eastAsia="Times New Roman" w:hAnsi="Times New Roman" w:cs="Times New Roman"/>
          <w:i/>
          <w:iCs/>
          <w:sz w:val="24"/>
          <w:szCs w:val="24"/>
        </w:rPr>
        <w:t>The second machine age: Work, progress, and prosperity in a time of brilliant technologies</w:t>
      </w:r>
      <w:r>
        <w:rPr>
          <w:rFonts w:ascii="Times New Roman" w:eastAsia="Times New Roman" w:hAnsi="Times New Roman" w:cs="Times New Roman"/>
          <w:sz w:val="24"/>
          <w:szCs w:val="24"/>
        </w:rPr>
        <w:t>. WW Norton &amp; company.</w:t>
      </w:r>
    </w:p>
    <w:p w14:paraId="5E7A218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Cappelli, P. (2009). Talent on Demand – Managing Talent in an Age of Uncertainty. </w:t>
      </w:r>
      <w:r>
        <w:rPr>
          <w:rFonts w:ascii="Times New Roman" w:eastAsia="Times New Roman" w:hAnsi="Times New Roman" w:cs="Times New Roman"/>
          <w:i/>
          <w:iCs/>
          <w:sz w:val="24"/>
          <w:szCs w:val="24"/>
        </w:rPr>
        <w:t>Human Resource Management International Digest</w:t>
      </w:r>
      <w:r>
        <w:rPr>
          <w:rFonts w:ascii="Times New Roman" w:eastAsia="Times New Roman" w:hAnsi="Times New Roman" w:cs="Times New Roman"/>
          <w:sz w:val="24"/>
          <w:szCs w:val="24"/>
        </w:rPr>
        <w:t>, 17(6). doi:https://doi.org/10.1108/hrmid.2009.04417fae.002.</w:t>
      </w:r>
    </w:p>
    <w:p w14:paraId="0E64CA4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(2024). </w:t>
      </w:r>
      <w:r>
        <w:rPr>
          <w:rFonts w:ascii="Times New Roman" w:eastAsia="Times New Roman" w:hAnsi="Times New Roman" w:cs="Times New Roman"/>
          <w:i/>
          <w:iCs/>
          <w:sz w:val="24"/>
          <w:szCs w:val="24"/>
        </w:rPr>
        <w:t>Resourcing and talent planning report 2024</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iCs/>
          <w:sz w:val="24"/>
          <w:szCs w:val="24"/>
        </w:rPr>
        <w:t>CIPD</w:t>
      </w:r>
      <w:r>
        <w:rPr>
          <w:rFonts w:ascii="Times New Roman" w:eastAsia="Times New Roman" w:hAnsi="Times New Roman" w:cs="Times New Roman"/>
          <w:sz w:val="24"/>
          <w:szCs w:val="24"/>
        </w:rPr>
        <w:t>, London: CIPD, pp.1–42. Available at: https://www.cipd.org/globalassets/media/knowledge/knowledge-hub/reports/2024-pdfs/8662-resource-and-talent-planning-2024-report-web.pdf.</w:t>
      </w:r>
    </w:p>
    <w:p w14:paraId="4BAFD86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Deloitte (2024). </w:t>
      </w:r>
      <w:r>
        <w:rPr>
          <w:rFonts w:ascii="Times New Roman" w:eastAsia="Times New Roman" w:hAnsi="Times New Roman" w:cs="Times New Roman"/>
          <w:i/>
          <w:iCs/>
          <w:sz w:val="24"/>
          <w:szCs w:val="24"/>
        </w:rPr>
        <w:t>AI-Powered Employee Experience: How Organisations Can Unlock Higher Engagement and Productivity | Deloitte UK</w:t>
      </w:r>
      <w:r>
        <w:rPr>
          <w:rFonts w:ascii="Times New Roman" w:eastAsia="Times New Roman" w:hAnsi="Times New Roman" w:cs="Times New Roman"/>
          <w:sz w:val="24"/>
          <w:szCs w:val="24"/>
        </w:rPr>
        <w:t>. [online] www.deloitte.com. Available at: https://www.deloitte.com/uk/en/services/consulting/blogs/2024/ai-powered-employee-experience.html.</w:t>
      </w:r>
    </w:p>
    <w:p w14:paraId="340E01D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Ec.Europa (2023). </w:t>
      </w:r>
      <w:r>
        <w:rPr>
          <w:rFonts w:ascii="Times New Roman" w:eastAsia="Times New Roman" w:hAnsi="Times New Roman" w:cs="Times New Roman"/>
          <w:i/>
          <w:iCs/>
          <w:sz w:val="24"/>
          <w:szCs w:val="24"/>
        </w:rPr>
        <w:t>Population projections in the EU</w:t>
      </w:r>
      <w:r>
        <w:rPr>
          <w:rFonts w:ascii="Times New Roman" w:eastAsia="Times New Roman" w:hAnsi="Times New Roman" w:cs="Times New Roman"/>
          <w:sz w:val="24"/>
          <w:szCs w:val="24"/>
        </w:rPr>
        <w:t>. [online] ec.europa.eu. Available at: https://ec.europa.eu/eurostat/statistics-explained/index.php?title=Population_projections_in_the_EU.</w:t>
      </w:r>
    </w:p>
    <w:p w14:paraId="1869A32C"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Financialexpress (2024). </w:t>
      </w:r>
      <w:r>
        <w:rPr>
          <w:rFonts w:ascii="Times New Roman" w:eastAsia="Times New Roman" w:hAnsi="Times New Roman" w:cs="Times New Roman"/>
          <w:i/>
          <w:iCs/>
          <w:sz w:val="24"/>
          <w:szCs w:val="24"/>
        </w:rPr>
        <w:t>The Financial Express</w:t>
      </w:r>
      <w:r>
        <w:rPr>
          <w:rFonts w:ascii="Times New Roman" w:eastAsia="Times New Roman" w:hAnsi="Times New Roman" w:cs="Times New Roman"/>
          <w:sz w:val="24"/>
          <w:szCs w:val="24"/>
        </w:rPr>
        <w:t>. [online] Financialexpress.com. Available at: https://www.financialexpress.com/business/industry-contractual-hiring-spreads-beyond-tech-firms-3517153/ [Accessed 7 Nov. 2025].</w:t>
      </w:r>
    </w:p>
    <w:p w14:paraId="27A59173"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Gerpe, M.R. (2023). </w:t>
      </w:r>
      <w:r>
        <w:rPr>
          <w:rFonts w:ascii="Times New Roman" w:eastAsia="Times New Roman" w:hAnsi="Times New Roman" w:cs="Times New Roman"/>
          <w:i/>
          <w:iCs/>
          <w:sz w:val="24"/>
          <w:szCs w:val="24"/>
        </w:rPr>
        <w:t>Four predictions for L&amp;D success in 2024</w:t>
      </w:r>
      <w:r>
        <w:rPr>
          <w:rFonts w:ascii="Times New Roman" w:eastAsia="Times New Roman" w:hAnsi="Times New Roman" w:cs="Times New Roman"/>
          <w:sz w:val="24"/>
          <w:szCs w:val="24"/>
        </w:rPr>
        <w:t>. [online] Docebo. Available at: https://www.docebo.com/learning-network/blog/learning-development-trends/.</w:t>
      </w:r>
    </w:p>
    <w:p w14:paraId="15C9A0AD"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Herbert, T. (2024). Council Post: Improving Employee Retention In 2023 With A Positive Workplace Culture. </w:t>
      </w:r>
      <w:r>
        <w:rPr>
          <w:rFonts w:ascii="Times New Roman" w:eastAsia="Times New Roman" w:hAnsi="Times New Roman" w:cs="Times New Roman"/>
          <w:i/>
          <w:iCs/>
          <w:sz w:val="24"/>
          <w:szCs w:val="24"/>
        </w:rPr>
        <w:t>Forbes</w:t>
      </w:r>
      <w:r>
        <w:rPr>
          <w:rFonts w:ascii="Times New Roman" w:eastAsia="Times New Roman" w:hAnsi="Times New Roman" w:cs="Times New Roman"/>
          <w:sz w:val="24"/>
          <w:szCs w:val="24"/>
        </w:rPr>
        <w:t>. [online] 12 Aug. Available at: https://www.forbes.com/councils/forbesbusinesscouncil/2023/03/08/improving-employee-retention-in-2023-with-a-positive-workplace-culture/.</w:t>
      </w:r>
    </w:p>
    <w:p w14:paraId="7325D3A7"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ILO (2024). </w:t>
      </w:r>
      <w:r>
        <w:rPr>
          <w:rFonts w:ascii="Times New Roman" w:eastAsia="Times New Roman" w:hAnsi="Times New Roman" w:cs="Times New Roman"/>
          <w:i/>
          <w:iCs/>
          <w:sz w:val="24"/>
          <w:szCs w:val="24"/>
        </w:rPr>
        <w:t>The impact of care responsibilities on women’s labour force participation</w:t>
      </w:r>
      <w:r>
        <w:rPr>
          <w:rFonts w:ascii="Times New Roman" w:eastAsia="Times New Roman" w:hAnsi="Times New Roman" w:cs="Times New Roman"/>
          <w:sz w:val="24"/>
          <w:szCs w:val="24"/>
        </w:rPr>
        <w:t>. [online] Available at: https://www.ilo.org/sites/default/files/2024-10/GEDI-STAT%20brief_formatted_28.10.24_final.pdf.</w:t>
      </w:r>
    </w:p>
    <w:p w14:paraId="0D35A07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IRRODL (2023). </w:t>
      </w:r>
      <w:r>
        <w:rPr>
          <w:rFonts w:ascii="Times New Roman" w:eastAsia="Times New Roman" w:hAnsi="Times New Roman" w:cs="Times New Roman"/>
          <w:i/>
          <w:iCs/>
          <w:sz w:val="24"/>
          <w:szCs w:val="24"/>
        </w:rPr>
        <w:t>View of Developing a Conceptual Model of Self-Directed Learning in Virtual Environments for Medical Sciences Students | The International Review of Research in Open and Distributed Learning</w:t>
      </w:r>
      <w:r>
        <w:rPr>
          <w:rFonts w:ascii="Times New Roman" w:eastAsia="Times New Roman" w:hAnsi="Times New Roman" w:cs="Times New Roman"/>
          <w:sz w:val="24"/>
          <w:szCs w:val="24"/>
        </w:rPr>
        <w:t>. [online] Irrodl.org. Available at: https://www.irrodl.org/index.php/irrodl/article/view/7024/5866.</w:t>
      </w:r>
    </w:p>
    <w:p w14:paraId="5D598CD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Keulen, R. van (2024). </w:t>
      </w:r>
      <w:r>
        <w:rPr>
          <w:rFonts w:ascii="Times New Roman" w:eastAsia="Times New Roman" w:hAnsi="Times New Roman" w:cs="Times New Roman"/>
          <w:i/>
          <w:iCs/>
          <w:sz w:val="24"/>
          <w:szCs w:val="24"/>
        </w:rPr>
        <w:t>Understanding Japan’s Demographic ‘Crisis’: An Alternative Perspective on Population Decline</w:t>
      </w:r>
      <w:r>
        <w:rPr>
          <w:rFonts w:ascii="Times New Roman" w:eastAsia="Times New Roman" w:hAnsi="Times New Roman" w:cs="Times New Roman"/>
          <w:sz w:val="24"/>
          <w:szCs w:val="24"/>
        </w:rPr>
        <w:t>. [online] Earth.org. Available at: https://earth.org/understanding-japans-demographic-crisis-an-alternative-perspective-on-population-decline/.</w:t>
      </w:r>
    </w:p>
    <w:p w14:paraId="4F7CA989"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ManpowerGroup (2025). </w:t>
      </w:r>
      <w:r>
        <w:rPr>
          <w:rFonts w:ascii="Times New Roman" w:eastAsia="Times New Roman" w:hAnsi="Times New Roman" w:cs="Times New Roman"/>
          <w:i/>
          <w:iCs/>
          <w:sz w:val="24"/>
          <w:szCs w:val="24"/>
        </w:rPr>
        <w:t>2025 Global Talent Shortage</w:t>
      </w:r>
      <w:r>
        <w:rPr>
          <w:rFonts w:ascii="Times New Roman" w:eastAsia="Times New Roman" w:hAnsi="Times New Roman" w:cs="Times New Roman"/>
          <w:sz w:val="24"/>
          <w:szCs w:val="24"/>
        </w:rPr>
        <w:t>. [online] go.manpowergroup.com. Available at: https://go.manpowergroup.com/talent-shortage.</w:t>
      </w:r>
    </w:p>
    <w:p w14:paraId="7C80C4A8"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(2021). </w:t>
      </w:r>
      <w:r>
        <w:rPr>
          <w:rFonts w:ascii="Times New Roman" w:eastAsia="Times New Roman" w:hAnsi="Times New Roman" w:cs="Times New Roman"/>
          <w:i/>
          <w:iCs/>
          <w:sz w:val="24"/>
          <w:szCs w:val="24"/>
        </w:rPr>
        <w:t>Future of Education and Skills 2030</w:t>
      </w:r>
      <w:r>
        <w:rPr>
          <w:rFonts w:ascii="Times New Roman" w:eastAsia="Times New Roman" w:hAnsi="Times New Roman" w:cs="Times New Roman"/>
          <w:sz w:val="24"/>
          <w:szCs w:val="24"/>
        </w:rPr>
        <w:t>. [online] OECD. Available at: https://www.oecd.org/en/about/projects/future-of-education-and-skills-2030.html.</w:t>
      </w:r>
    </w:p>
    <w:p w14:paraId="730563B4"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(2025). </w:t>
      </w:r>
      <w:r>
        <w:rPr>
          <w:rFonts w:ascii="Times New Roman" w:eastAsia="Times New Roman" w:hAnsi="Times New Roman" w:cs="Times New Roman"/>
          <w:i/>
          <w:iCs/>
          <w:sz w:val="24"/>
          <w:szCs w:val="24"/>
        </w:rPr>
        <w:t>Recent developments in international migration movements and labour market inclusion of immigrants: International Migration Outlook 2025</w:t>
      </w:r>
      <w:r>
        <w:rPr>
          <w:rFonts w:ascii="Times New Roman" w:eastAsia="Times New Roman" w:hAnsi="Times New Roman" w:cs="Times New Roman"/>
          <w:sz w:val="24"/>
          <w:szCs w:val="24"/>
        </w:rPr>
        <w:t>. [online] OECD. Available at: https://www.oecd.org/en/publications/2025/11/international-migration-outlook-2025_355ae9fd/full-report/recent-developments-in-international-migration-movements-and-labour-market-inclusion-of-immigrants_203de29e.html.</w:t>
      </w:r>
    </w:p>
    <w:p w14:paraId="30CEE834"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Pieper, M., Roelle, J., vom Hofe, R., Salle, A. and Berthold, K. (2020). Feedback in Reflective Journals Fosters Reflection Skills of Student Teachers. </w:t>
      </w:r>
      <w:r>
        <w:rPr>
          <w:rFonts w:ascii="Times New Roman" w:eastAsia="Times New Roman" w:hAnsi="Times New Roman" w:cs="Times New Roman"/>
          <w:i/>
          <w:iCs/>
          <w:sz w:val="24"/>
          <w:szCs w:val="24"/>
        </w:rPr>
        <w:t>Psychology Learning &amp; Teaching</w:t>
      </w:r>
      <w:r>
        <w:rPr>
          <w:rFonts w:ascii="Times New Roman" w:eastAsia="Times New Roman" w:hAnsi="Times New Roman" w:cs="Times New Roman"/>
          <w:sz w:val="24"/>
          <w:szCs w:val="24"/>
        </w:rPr>
        <w:t>, 20(1), pp.107–127. doi:https://doi.org/10.1177/1475725720966190.</w:t>
      </w:r>
    </w:p>
    <w:p w14:paraId="0CAED774"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PWC (2024). </w:t>
      </w:r>
      <w:r>
        <w:rPr>
          <w:rFonts w:ascii="Times New Roman" w:eastAsia="Times New Roman" w:hAnsi="Times New Roman" w:cs="Times New Roman"/>
          <w:i/>
          <w:iCs/>
          <w:sz w:val="24"/>
          <w:szCs w:val="24"/>
        </w:rPr>
        <w:t>Global Workforce Hopes and Fears Survey 2024 | PwC</w:t>
      </w:r>
      <w:r>
        <w:rPr>
          <w:rFonts w:ascii="Times New Roman" w:eastAsia="Times New Roman" w:hAnsi="Times New Roman" w:cs="Times New Roman"/>
          <w:sz w:val="24"/>
          <w:szCs w:val="24"/>
        </w:rPr>
        <w:t>. [online] PwC. Available at: https://www.pwc.com/gx/en/issues/workforce/hopes-and-fears.html#recognise-how-critical-skill-building-is-to-workers.</w:t>
      </w:r>
    </w:p>
    <w:p w14:paraId="2A8C385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Rahman, A. and Muktadir, G. (2021). </w:t>
      </w:r>
      <w:r>
        <w:rPr>
          <w:rFonts w:ascii="Times New Roman" w:eastAsia="Times New Roman" w:hAnsi="Times New Roman" w:cs="Times New Roman"/>
          <w:i/>
          <w:iCs/>
          <w:sz w:val="24"/>
          <w:szCs w:val="24"/>
        </w:rPr>
        <w:t>SPSS: An Imperative Quantitative Data Analysis Tool for Social Science Research</w:t>
      </w:r>
      <w:r>
        <w:rPr>
          <w:rFonts w:ascii="Times New Roman" w:eastAsia="Times New Roman" w:hAnsi="Times New Roman" w:cs="Times New Roman"/>
          <w:sz w:val="24"/>
          <w:szCs w:val="24"/>
        </w:rPr>
        <w:t>. [online] ResearchGate. doi:https://doi.org/10.47772/IJRISS.2021.51012.</w:t>
      </w:r>
    </w:p>
    <w:p w14:paraId="605A01C0"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S&amp;P Global (2025). </w:t>
      </w:r>
      <w:r>
        <w:rPr>
          <w:rFonts w:ascii="Times New Roman" w:eastAsia="Times New Roman" w:hAnsi="Times New Roman" w:cs="Times New Roman"/>
          <w:i/>
          <w:iCs/>
          <w:sz w:val="24"/>
          <w:szCs w:val="24"/>
        </w:rPr>
        <w:t>Top Geopolitical Risks of 2025</w:t>
      </w:r>
      <w:r>
        <w:rPr>
          <w:rFonts w:ascii="Times New Roman" w:eastAsia="Times New Roman" w:hAnsi="Times New Roman" w:cs="Times New Roman"/>
          <w:sz w:val="24"/>
          <w:szCs w:val="24"/>
        </w:rPr>
        <w:t>. [online] S&amp;P Global. Available at: https://www.spglobal.com/en/research-insights/market-insights/geopolitical-risk.</w:t>
      </w:r>
    </w:p>
    <w:p w14:paraId="7801F9AA"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Siemens (2024). </w:t>
      </w:r>
      <w:r>
        <w:rPr>
          <w:rFonts w:ascii="Times New Roman" w:eastAsia="Times New Roman" w:hAnsi="Times New Roman" w:cs="Times New Roman"/>
          <w:i/>
          <w:iCs/>
          <w:sz w:val="24"/>
          <w:szCs w:val="24"/>
        </w:rPr>
        <w:t>Training year 2024 begins – Strong focus on future-oriented skills and values training | Press | Company | Siemens</w:t>
      </w:r>
      <w:r>
        <w:rPr>
          <w:rFonts w:ascii="Times New Roman" w:eastAsia="Times New Roman" w:hAnsi="Times New Roman" w:cs="Times New Roman"/>
          <w:sz w:val="24"/>
          <w:szCs w:val="24"/>
        </w:rPr>
        <w:t>. [online] Siemens.com. Available at: https://press.siemens.com/global/en/pressrelease/training-year-2024-begins-strong-focus-future-oriented-skills-and-values-training.</w:t>
      </w:r>
    </w:p>
    <w:p w14:paraId="7ED3E391"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Skillsbuild (2025). </w:t>
      </w:r>
      <w:r>
        <w:rPr>
          <w:rFonts w:ascii="Times New Roman" w:eastAsia="Times New Roman" w:hAnsi="Times New Roman" w:cs="Times New Roman"/>
          <w:i/>
          <w:iCs/>
          <w:sz w:val="24"/>
          <w:szCs w:val="24"/>
        </w:rPr>
        <w:t>Artificial Intelligence | IBM SkillsBuild</w:t>
      </w:r>
      <w:r>
        <w:rPr>
          <w:rFonts w:ascii="Times New Roman" w:eastAsia="Times New Roman" w:hAnsi="Times New Roman" w:cs="Times New Roman"/>
          <w:sz w:val="24"/>
          <w:szCs w:val="24"/>
        </w:rPr>
        <w:t>. [online] IBM SkillsBuild. Available at: https://skillsbuild.org/college-students/artificial-intelligence.</w:t>
      </w:r>
    </w:p>
    <w:p w14:paraId="21CE38C6"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(2024). </w:t>
      </w:r>
      <w:r>
        <w:rPr>
          <w:rFonts w:ascii="Times New Roman" w:eastAsia="Times New Roman" w:hAnsi="Times New Roman" w:cs="Times New Roman"/>
          <w:i/>
          <w:iCs/>
          <w:sz w:val="24"/>
          <w:szCs w:val="24"/>
        </w:rPr>
        <w:t>Topic: Work from home: remote &amp; hybrid work</w:t>
      </w:r>
      <w:r>
        <w:rPr>
          <w:rFonts w:ascii="Times New Roman" w:eastAsia="Times New Roman" w:hAnsi="Times New Roman" w:cs="Times New Roman"/>
          <w:sz w:val="24"/>
          <w:szCs w:val="24"/>
        </w:rPr>
        <w:t>. [online] Statista. Available at: https://www.statista.com/topics/6565/work-from-home-and-remote-work/?srsltid=AfmBOorwK4v1jStjhC-vefn0gm07iwUdBU_ap3yYathgKjixqzkYLcz_#topicOverview [Accessed 7 Nov. 2025].</w:t>
      </w:r>
    </w:p>
    <w:p w14:paraId="7F64CA95"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Health Foundation (2023). </w:t>
      </w:r>
      <w:r>
        <w:rPr>
          <w:rFonts w:ascii="Times New Roman" w:eastAsia="Times New Roman" w:hAnsi="Times New Roman" w:cs="Times New Roman"/>
          <w:i/>
          <w:iCs/>
          <w:sz w:val="24"/>
          <w:szCs w:val="24"/>
        </w:rPr>
        <w:t>How reliant is the NHS in England on international nurse recruitment?</w:t>
      </w:r>
      <w:r>
        <w:rPr>
          <w:rFonts w:ascii="Times New Roman" w:eastAsia="Times New Roman" w:hAnsi="Times New Roman" w:cs="Times New Roman"/>
          <w:sz w:val="24"/>
          <w:szCs w:val="24"/>
        </w:rPr>
        <w:t xml:space="preserve"> [online] The Health Foundation. Available at: https://www.health.org.uk/features-and-opinion/features/how-reliant-is-the-nhs-in-england-on-international-nurse-recruitment.</w:t>
      </w:r>
    </w:p>
    <w:p w14:paraId="58BCC158"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Bank (2023). </w:t>
      </w:r>
      <w:r>
        <w:rPr>
          <w:rFonts w:ascii="Times New Roman" w:eastAsia="Times New Roman" w:hAnsi="Times New Roman" w:cs="Times New Roman"/>
          <w:i/>
          <w:iCs/>
          <w:sz w:val="24"/>
          <w:szCs w:val="24"/>
        </w:rPr>
        <w:t>Demand for online gig work rapidly rising in developing countries</w:t>
      </w:r>
      <w:r>
        <w:rPr>
          <w:rFonts w:ascii="Times New Roman" w:eastAsia="Times New Roman" w:hAnsi="Times New Roman" w:cs="Times New Roman"/>
          <w:sz w:val="24"/>
          <w:szCs w:val="24"/>
        </w:rPr>
        <w:t>. [online] World Bank. Available at: https://www.worldbank.org/en/news/press-release/2023/09/07/demand-for-online-gig-work-rapidly-rising-in-developing-countries.</w:t>
      </w:r>
    </w:p>
    <w:p w14:paraId="5C5239B0"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United Nations (2024). </w:t>
      </w:r>
      <w:r>
        <w:rPr>
          <w:rFonts w:ascii="Times New Roman" w:eastAsia="Times New Roman" w:hAnsi="Times New Roman" w:cs="Times New Roman"/>
          <w:i/>
          <w:iCs/>
          <w:sz w:val="24"/>
          <w:szCs w:val="24"/>
        </w:rPr>
        <w:t>International migration</w:t>
      </w:r>
      <w:r>
        <w:rPr>
          <w:rFonts w:ascii="Times New Roman" w:eastAsia="Times New Roman" w:hAnsi="Times New Roman" w:cs="Times New Roman"/>
          <w:sz w:val="24"/>
          <w:szCs w:val="24"/>
        </w:rPr>
        <w:t>. [online] United Nations. Available at: https://www.un.org/en/global-issues/migration.</w:t>
      </w:r>
    </w:p>
    <w:p w14:paraId="597C0448"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bank group (2023). Available at: https://thedocs.worldbank.org/en/doc/072814bbbb56aebd4db387154c3df3a5-0460012023/original/Working-Without-Boarders-Online-Gig-Work-OVERVIEW.pdf.</w:t>
      </w:r>
    </w:p>
    <w:p w14:paraId="05BD14DA"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Economic Forum (2023). </w:t>
      </w:r>
      <w:r>
        <w:rPr>
          <w:rFonts w:ascii="Times New Roman" w:eastAsia="Times New Roman" w:hAnsi="Times New Roman" w:cs="Times New Roman"/>
          <w:i/>
          <w:iCs/>
          <w:sz w:val="24"/>
          <w:szCs w:val="24"/>
        </w:rPr>
        <w:t>The Future of Jobs Report 2023</w:t>
      </w:r>
      <w:r>
        <w:rPr>
          <w:rFonts w:ascii="Times New Roman" w:eastAsia="Times New Roman" w:hAnsi="Times New Roman" w:cs="Times New Roman"/>
          <w:sz w:val="24"/>
          <w:szCs w:val="24"/>
        </w:rPr>
        <w:t>. [online] World Economic Forum. Available at: https://www.weforum.org/publications/the-future-of-jobs-report-2023/digest/.</w:t>
      </w:r>
    </w:p>
    <w:p w14:paraId="41D5A8BE"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WTO (2024). </w:t>
      </w:r>
      <w:r>
        <w:rPr>
          <w:rFonts w:ascii="Times New Roman" w:eastAsia="Times New Roman" w:hAnsi="Times New Roman" w:cs="Times New Roman"/>
          <w:i/>
          <w:iCs/>
          <w:sz w:val="24"/>
          <w:szCs w:val="24"/>
        </w:rPr>
        <w:t>Global Trade Outlook and Statistics</w:t>
      </w:r>
      <w:r>
        <w:rPr>
          <w:rFonts w:ascii="Times New Roman" w:eastAsia="Times New Roman" w:hAnsi="Times New Roman" w:cs="Times New Roman"/>
          <w:sz w:val="24"/>
          <w:szCs w:val="24"/>
        </w:rPr>
        <w:t>. [online] Available at: https://www.wto.org/english/res_e/booksp_e/trade_outlook24_e.pdf.</w:t>
      </w:r>
    </w:p>
    <w:p w14:paraId="3CB747AE" w14:textId="77777777" w:rsidR="003E6AA5"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Zahidi, S. (2023). </w:t>
      </w:r>
      <w:r>
        <w:rPr>
          <w:rFonts w:ascii="Times New Roman" w:eastAsia="Times New Roman" w:hAnsi="Times New Roman" w:cs="Times New Roman"/>
          <w:i/>
          <w:iCs/>
          <w:sz w:val="24"/>
          <w:szCs w:val="24"/>
        </w:rPr>
        <w:t>See how the future of jobs is changing in the age of AI</w:t>
      </w:r>
      <w:r>
        <w:rPr>
          <w:rFonts w:ascii="Times New Roman" w:eastAsia="Times New Roman" w:hAnsi="Times New Roman" w:cs="Times New Roman"/>
          <w:sz w:val="24"/>
          <w:szCs w:val="24"/>
        </w:rPr>
        <w:t>. [online] World Economic Forum. Available at: https://www.weforum.org/stories/2023/05/future-of-jobs-in-the-age-of-ai-sustainability-and-deglobalization/.</w:t>
      </w:r>
    </w:p>
    <w:p w14:paraId="5E45C310" w14:textId="77777777" w:rsidR="003E6AA5" w:rsidRDefault="003E6AA5">
      <w:pPr>
        <w:spacing w:after="160" w:line="360" w:lineRule="auto"/>
        <w:jc w:val="both"/>
        <w:rPr>
          <w:rFonts w:ascii="Times New Roman" w:eastAsia="Times New Roman" w:hAnsi="Times New Roman" w:cs="Times New Roman"/>
          <w:sz w:val="24"/>
          <w:szCs w:val="24"/>
        </w:rPr>
      </w:pPr>
    </w:p>
    <w:p w14:paraId="35592962" w14:textId="77777777" w:rsidR="003E6AA5" w:rsidRDefault="003E6AA5"/>
    <w:sectPr w:rsidR="003E6AA5">
      <w:headerReference w:type="even" r:id="rId18"/>
      <w:headerReference w:type="default" r:id="rId19"/>
      <w:footerReference w:type="even" r:id="rId20"/>
      <w:footerReference w:type="default" r:id="rId21"/>
      <w:headerReference w:type="first" r:id="rId22"/>
      <w:footerReference w:type="firs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59B05" w14:textId="77777777" w:rsidR="009F3586" w:rsidRDefault="009F3586" w:rsidP="005312B0">
      <w:pPr>
        <w:spacing w:line="240" w:lineRule="auto"/>
      </w:pPr>
      <w:r>
        <w:separator/>
      </w:r>
    </w:p>
  </w:endnote>
  <w:endnote w:type="continuationSeparator" w:id="0">
    <w:p w14:paraId="5A7C619A" w14:textId="77777777" w:rsidR="009F3586" w:rsidRDefault="009F3586" w:rsidP="005312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auto"/>
    <w:pitch w:val="variable"/>
    <w:sig w:usb0="E0002EFF" w:usb1="C000785B" w:usb2="00000009" w:usb3="00000000" w:csb0="000001FF" w:csb1="00000000"/>
  </w:font>
  <w:font w:name="Mangal">
    <w:panose1 w:val="02040503050203030202"/>
    <w:charset w:val="01"/>
    <w:family w:val="auto"/>
    <w:pitch w:val="variable"/>
    <w:sig w:usb0="00008003" w:usb1="00000000" w:usb2="00000000" w:usb3="00000000" w:csb0="00000001" w:csb1="00000000"/>
    <w:embedRegular r:id="rId1" w:fontKey="{C937AD41-35D9-4D95-BA6A-FB39D4AAB8B8}"/>
  </w:font>
  <w:font w:name="Calibri">
    <w:panose1 w:val="020F0502020204030204"/>
    <w:charset w:val="00"/>
    <w:family w:val="swiss"/>
    <w:pitch w:val="variable"/>
    <w:sig w:usb0="E4002EFF" w:usb1="C200247B" w:usb2="00000009" w:usb3="00000000" w:csb0="000001FF" w:csb1="00000000"/>
    <w:embedRegular r:id="rId2" w:fontKey="{DD80DAC8-9D38-477E-A4A6-6994DBD75709}"/>
  </w:font>
  <w:font w:name="Noto Sans Symbols">
    <w:charset w:val="00"/>
    <w:family w:val="auto"/>
    <w:pitch w:val="default"/>
    <w:embedRegular r:id="rId3" w:fontKey="{01A19484-9808-47BB-AF82-21B941909916}"/>
  </w:font>
  <w:font w:name="Cambria">
    <w:panose1 w:val="02040503050406030204"/>
    <w:charset w:val="00"/>
    <w:family w:val="roman"/>
    <w:pitch w:val="variable"/>
    <w:sig w:usb0="E00006FF" w:usb1="420024FF" w:usb2="02000000" w:usb3="00000000" w:csb0="0000019F" w:csb1="00000000"/>
    <w:embedRegular r:id="rId4" w:fontKey="{A93DA9B4-2339-4786-ACC8-EA7071F7B0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DC6CD" w14:textId="77777777" w:rsidR="005312B0" w:rsidRDefault="005312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0918953"/>
      <w:docPartObj>
        <w:docPartGallery w:val="Page Numbers (Bottom of Page)"/>
        <w:docPartUnique/>
      </w:docPartObj>
    </w:sdtPr>
    <w:sdtContent>
      <w:p w14:paraId="2B5AB86C" w14:textId="29CE271C" w:rsidR="005312B0" w:rsidRDefault="005312B0">
        <w:pPr>
          <w:pStyle w:val="Footer"/>
          <w:jc w:val="right"/>
        </w:pPr>
        <w:r>
          <w:fldChar w:fldCharType="begin"/>
        </w:r>
        <w:r>
          <w:instrText>PAGE   \* MERGEFORMAT</w:instrText>
        </w:r>
        <w:r>
          <w:fldChar w:fldCharType="separate"/>
        </w:r>
        <w:r>
          <w:t>2</w:t>
        </w:r>
        <w:r>
          <w:fldChar w:fldCharType="end"/>
        </w:r>
      </w:p>
    </w:sdtContent>
  </w:sdt>
  <w:p w14:paraId="62533A0A" w14:textId="77777777" w:rsidR="005312B0" w:rsidRDefault="005312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75019" w14:textId="77777777" w:rsidR="005312B0" w:rsidRDefault="00531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FE78D" w14:textId="77777777" w:rsidR="009F3586" w:rsidRDefault="009F3586" w:rsidP="005312B0">
      <w:pPr>
        <w:spacing w:line="240" w:lineRule="auto"/>
      </w:pPr>
      <w:r>
        <w:separator/>
      </w:r>
    </w:p>
  </w:footnote>
  <w:footnote w:type="continuationSeparator" w:id="0">
    <w:p w14:paraId="658F8202" w14:textId="77777777" w:rsidR="009F3586" w:rsidRDefault="009F3586" w:rsidP="005312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6CF32F" w14:textId="77777777" w:rsidR="005312B0" w:rsidRDefault="005312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F3ED82" w14:textId="77777777" w:rsidR="005312B0" w:rsidRDefault="005312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505D9C" w14:textId="77777777" w:rsidR="005312B0" w:rsidRDefault="005312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70763A"/>
    <w:multiLevelType w:val="multilevel"/>
    <w:tmpl w:val="7B02A35C"/>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1246844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AA5"/>
    <w:rsid w:val="00352B89"/>
    <w:rsid w:val="003E6AA5"/>
    <w:rsid w:val="005312B0"/>
    <w:rsid w:val="0060374B"/>
    <w:rsid w:val="007162E4"/>
    <w:rsid w:val="009A375D"/>
    <w:rsid w:val="009F3586"/>
    <w:rsid w:val="00D83960"/>
    <w:rsid w:val="00E4659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9519F"/>
  <w15:docId w15:val="{36D4DB51-9D9A-4FDB-86A8-263AFE64E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5312B0"/>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5312B0"/>
    <w:rPr>
      <w:rFonts w:cs="Mangal"/>
      <w:szCs w:val="20"/>
    </w:rPr>
  </w:style>
  <w:style w:type="paragraph" w:styleId="Footer">
    <w:name w:val="footer"/>
    <w:basedOn w:val="Normal"/>
    <w:link w:val="FooterChar"/>
    <w:uiPriority w:val="99"/>
    <w:unhideWhenUsed/>
    <w:rsid w:val="005312B0"/>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5312B0"/>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3928</Words>
  <Characters>22395</Characters>
  <Application>Microsoft Office Word</Application>
  <DocSecurity>0</DocSecurity>
  <Lines>186</Lines>
  <Paragraphs>52</Paragraphs>
  <ScaleCrop>false</ScaleCrop>
  <Company/>
  <LinksUpToDate>false</LinksUpToDate>
  <CharactersWithSpaces>26271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dc:creator>
  <cp:lastModifiedBy>kevin maniya</cp:lastModifiedBy>
  <cp:revision>4</cp:revision>
  <dcterms:created xsi:type="dcterms:W3CDTF">2025-11-13T23:16:00Z</dcterms:created>
  <dcterms:modified xsi:type="dcterms:W3CDTF">2025-11-13T23:50:00Z</dcterms:modified>
</cp:coreProperties>
</file>