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4336B3FB"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26490C">
              <w:rPr>
                <w:rFonts w:asciiTheme="minorHAnsi" w:hAnsiTheme="minorHAnsi" w:cs="Calibri"/>
                <w:lang w:val="de-DE"/>
              </w:rPr>
              <w:t xml:space="preserve"> Haoran</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DEB3C4A"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w:t>
            </w:r>
            <w:r w:rsidR="00961D9C">
              <w:rPr>
                <w:rFonts w:asciiTheme="minorHAnsi" w:hAnsiTheme="minorHAnsi" w:cs="Calibri"/>
              </w:rPr>
              <w:t>035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56EDFC3B"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26490C">
              <w:rPr>
                <w:rFonts w:asciiTheme="minorHAnsi" w:hAnsiTheme="minorHAnsi" w:cs="Calibri"/>
              </w:rPr>
              <w:t xml:space="preserve"> </w:t>
            </w:r>
            <w:r w:rsidR="0026490C" w:rsidRPr="0026490C">
              <w:rPr>
                <w:rFonts w:asciiTheme="minorHAnsi" w:hAnsiTheme="minorHAnsi" w:cs="Calibri"/>
              </w:rPr>
              <w:t>2418456</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7042968E" w14:textId="6C9D9CB2"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26490C">
              <w:rPr>
                <w:rFonts w:asciiTheme="minorHAnsi" w:hAnsiTheme="minorHAnsi" w:cs="Calibri"/>
                <w:b/>
                <w:bCs/>
              </w:rPr>
              <w:t xml:space="preserve"> </w:t>
            </w:r>
            <w:r w:rsidR="0026490C" w:rsidRPr="0026490C">
              <w:rPr>
                <w:rFonts w:asciiTheme="minorHAnsi" w:hAnsiTheme="minorHAnsi" w:cs="Calibri"/>
                <w:b/>
                <w:bCs/>
              </w:rPr>
              <w:t>Maitri Kaushikbhai Patel</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0ADCDA0E" w:rsidR="00160509" w:rsidRPr="00844DE4" w:rsidRDefault="00961D9C"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337F09E0" w:rsidR="00160509" w:rsidRPr="00844DE4" w:rsidRDefault="0026490C" w:rsidP="00A30926">
            <w:pPr>
              <w:pStyle w:val="Header"/>
              <w:jc w:val="center"/>
              <w:rPr>
                <w:rFonts w:cs="Calibri"/>
              </w:rPr>
            </w:pPr>
            <w:r>
              <w:rPr>
                <w:rFonts w:cs="Calibri"/>
              </w:rPr>
              <w:t>11</w:t>
            </w:r>
          </w:p>
        </w:tc>
        <w:tc>
          <w:tcPr>
            <w:tcW w:w="6521" w:type="dxa"/>
            <w:vAlign w:val="bottom"/>
          </w:tcPr>
          <w:p w14:paraId="60F55798" w14:textId="77777777" w:rsidR="00160509" w:rsidRDefault="00160509" w:rsidP="00A30926">
            <w:pPr>
              <w:rPr>
                <w:rFonts w:asciiTheme="minorHAnsi" w:hAnsiTheme="minorHAnsi" w:cs="Calibri"/>
                <w:color w:val="000000"/>
                <w:lang w:eastAsia="zh-CN"/>
              </w:rPr>
            </w:pPr>
          </w:p>
          <w:p w14:paraId="19938567" w14:textId="4F792340" w:rsidR="00FC18FC" w:rsidRDefault="0026490C" w:rsidP="0026490C">
            <w:pPr>
              <w:rPr>
                <w:rFonts w:asciiTheme="minorHAnsi" w:hAnsiTheme="minorHAnsi" w:cs="Calibri"/>
                <w:color w:val="000000"/>
                <w:lang w:eastAsia="zh-CN"/>
              </w:rPr>
            </w:pPr>
            <w:r w:rsidRPr="0026490C">
              <w:rPr>
                <w:rFonts w:asciiTheme="minorHAnsi" w:hAnsiTheme="minorHAnsi" w:cs="Calibri"/>
                <w:color w:val="000000"/>
                <w:lang w:eastAsia="zh-CN"/>
              </w:rPr>
              <w:t>Wide, recent coverage across TPB, green trust, eco</w:t>
            </w:r>
            <w:r w:rsidRPr="0026490C">
              <w:rPr>
                <w:rFonts w:ascii="Cambria Math" w:hAnsi="Cambria Math" w:cs="Cambria Math"/>
                <w:color w:val="000000"/>
                <w:lang w:eastAsia="zh-CN"/>
              </w:rPr>
              <w:t>‑</w:t>
            </w:r>
            <w:r w:rsidRPr="0026490C">
              <w:rPr>
                <w:rFonts w:asciiTheme="minorHAnsi" w:hAnsiTheme="minorHAnsi" w:cs="Calibri"/>
                <w:color w:val="000000"/>
                <w:lang w:eastAsia="zh-CN"/>
              </w:rPr>
              <w:t>labels, retail sustainability, and UK policy; sources span journals, industry, and corporate reports. However, synthesis is often descriptive and citation</w:t>
            </w:r>
            <w:r w:rsidRPr="0026490C">
              <w:rPr>
                <w:rFonts w:ascii="Cambria Math" w:hAnsi="Cambria Math" w:cs="Cambria Math"/>
                <w:color w:val="000000"/>
                <w:lang w:eastAsia="zh-CN"/>
              </w:rPr>
              <w:t>‑</w:t>
            </w:r>
            <w:r w:rsidRPr="0026490C">
              <w:rPr>
                <w:rFonts w:asciiTheme="minorHAnsi" w:hAnsiTheme="minorHAnsi" w:cs="Calibri"/>
                <w:color w:val="000000"/>
                <w:lang w:eastAsia="zh-CN"/>
              </w:rPr>
              <w:t>driven rather than debate</w:t>
            </w:r>
            <w:r w:rsidRPr="0026490C">
              <w:rPr>
                <w:rFonts w:ascii="Cambria Math" w:hAnsi="Cambria Math" w:cs="Cambria Math"/>
                <w:color w:val="000000"/>
                <w:lang w:eastAsia="zh-CN"/>
              </w:rPr>
              <w:t>‑</w:t>
            </w:r>
            <w:r w:rsidRPr="0026490C">
              <w:rPr>
                <w:rFonts w:asciiTheme="minorHAnsi" w:hAnsiTheme="minorHAnsi" w:cs="Calibri"/>
                <w:color w:val="000000"/>
                <w:lang w:eastAsia="zh-CN"/>
              </w:rPr>
              <w:t>driven. Contradictions (e.g., TPB vs. attitude</w:t>
            </w:r>
            <w:r w:rsidRPr="0026490C">
              <w:rPr>
                <w:rFonts w:ascii="Aptos" w:hAnsi="Aptos" w:cs="Aptos"/>
                <w:color w:val="000000"/>
                <w:lang w:eastAsia="zh-CN"/>
              </w:rPr>
              <w:t>–</w:t>
            </w:r>
            <w:r w:rsidRPr="0026490C">
              <w:rPr>
                <w:rFonts w:asciiTheme="minorHAnsi" w:hAnsiTheme="minorHAnsi" w:cs="Calibri"/>
                <w:color w:val="000000"/>
                <w:lang w:eastAsia="zh-CN"/>
              </w:rPr>
              <w:t>behaviour gap; authenticity vs. greenwashing) are noted but not systematically traced into testable propositions or a sharper framework. Strong breadth; moderate critical depth.</w:t>
            </w:r>
          </w:p>
          <w:p w14:paraId="2AB8EBAE" w14:textId="77777777" w:rsidR="00844DE4" w:rsidRPr="00844DE4" w:rsidRDefault="00844DE4" w:rsidP="00A30926">
            <w:pPr>
              <w:rPr>
                <w:rFonts w:asciiTheme="minorHAnsi" w:hAnsiTheme="minorHAnsi" w:cs="Calibri"/>
                <w:color w:val="000000"/>
                <w:lang w:eastAsia="zh-CN"/>
              </w:rPr>
            </w:pPr>
          </w:p>
        </w:tc>
      </w:tr>
      <w:tr w:rsidR="00160509" w:rsidRPr="00844DE4"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633866F5"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36995689" w14:textId="5372A120" w:rsidR="00160509" w:rsidRPr="00844DE4" w:rsidRDefault="0026490C" w:rsidP="00A30926">
            <w:pPr>
              <w:pStyle w:val="Header"/>
              <w:jc w:val="center"/>
              <w:rPr>
                <w:rFonts w:cs="Calibri"/>
              </w:rPr>
            </w:pPr>
            <w:r>
              <w:rPr>
                <w:rFonts w:cs="Calibri"/>
              </w:rPr>
              <w:t>14</w:t>
            </w:r>
          </w:p>
        </w:tc>
        <w:tc>
          <w:tcPr>
            <w:tcW w:w="6521" w:type="dxa"/>
            <w:vAlign w:val="bottom"/>
          </w:tcPr>
          <w:p w14:paraId="2762A20D" w14:textId="77777777" w:rsidR="00160509" w:rsidRDefault="00160509" w:rsidP="00A30926">
            <w:pPr>
              <w:pStyle w:val="Header"/>
              <w:rPr>
                <w:rFonts w:cs="Calibri"/>
              </w:rPr>
            </w:pPr>
          </w:p>
          <w:p w14:paraId="3D5739AD" w14:textId="77777777" w:rsidR="00FC18FC" w:rsidRDefault="00FC18FC" w:rsidP="00A30926">
            <w:pPr>
              <w:pStyle w:val="Header"/>
              <w:rPr>
                <w:rFonts w:cs="Calibri"/>
              </w:rPr>
            </w:pPr>
          </w:p>
          <w:p w14:paraId="4D8E337E" w14:textId="77F81366" w:rsidR="00FC18FC" w:rsidRDefault="0026490C" w:rsidP="00A30926">
            <w:pPr>
              <w:pStyle w:val="Header"/>
              <w:rPr>
                <w:rFonts w:cs="Calibri"/>
              </w:rPr>
            </w:pPr>
            <w:r w:rsidRPr="0026490C">
              <w:rPr>
                <w:rFonts w:cs="Calibri"/>
              </w:rPr>
              <w:t xml:space="preserve">Sound command of theory and UK grocery context. Concepts are correctly explained and linked to Tesco/Sainsbury’s/M&amp;S/ASDA. Yet several passages restate theory instead of specifying operational implications (e.g., how symbolic vs. functional claims should be separated in measures). </w:t>
            </w:r>
          </w:p>
          <w:p w14:paraId="33999233" w14:textId="77777777" w:rsidR="00FC18FC" w:rsidRPr="00844DE4" w:rsidRDefault="00FC18FC" w:rsidP="00A30926">
            <w:pPr>
              <w:pStyle w:val="Header"/>
              <w:rPr>
                <w:rFonts w:cs="Calibri"/>
              </w:rPr>
            </w:pPr>
          </w:p>
        </w:tc>
      </w:tr>
      <w:tr w:rsidR="00160509" w:rsidRPr="00844DE4"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vAlign w:val="center"/>
          </w:tcPr>
          <w:p w14:paraId="6C52802C" w14:textId="63942E7F" w:rsidR="00160509" w:rsidRPr="00844DE4" w:rsidRDefault="00961D9C" w:rsidP="00A30926">
            <w:pPr>
              <w:pStyle w:val="Header"/>
              <w:jc w:val="center"/>
              <w:rPr>
                <w:rFonts w:cs="Calibri"/>
              </w:rPr>
            </w:pPr>
            <w:r>
              <w:rPr>
                <w:rFonts w:cs="Calibri"/>
              </w:rPr>
              <w:t>30</w:t>
            </w:r>
            <w:r w:rsidR="00160509" w:rsidRPr="00844DE4">
              <w:rPr>
                <w:rFonts w:cs="Calibri"/>
              </w:rPr>
              <w:t>%</w:t>
            </w:r>
          </w:p>
        </w:tc>
        <w:tc>
          <w:tcPr>
            <w:tcW w:w="1276" w:type="dxa"/>
            <w:vAlign w:val="center"/>
          </w:tcPr>
          <w:p w14:paraId="340C02D5" w14:textId="54949EC0" w:rsidR="00160509" w:rsidRPr="00844DE4" w:rsidRDefault="0026490C" w:rsidP="00A30926">
            <w:pPr>
              <w:pStyle w:val="Header"/>
              <w:jc w:val="center"/>
              <w:rPr>
                <w:rFonts w:cs="Calibri"/>
              </w:rPr>
            </w:pPr>
            <w:r>
              <w:rPr>
                <w:rFonts w:cs="Calibri"/>
              </w:rPr>
              <w:t>15</w:t>
            </w:r>
          </w:p>
        </w:tc>
        <w:tc>
          <w:tcPr>
            <w:tcW w:w="6521" w:type="dxa"/>
            <w:vAlign w:val="bottom"/>
          </w:tcPr>
          <w:p w14:paraId="644D8E9A" w14:textId="77777777" w:rsidR="00160509" w:rsidRDefault="00160509" w:rsidP="00A30926">
            <w:pPr>
              <w:pStyle w:val="Header"/>
              <w:rPr>
                <w:rFonts w:cs="Calibri"/>
              </w:rPr>
            </w:pPr>
          </w:p>
          <w:p w14:paraId="4BD5801E" w14:textId="07962739" w:rsidR="00FC18FC" w:rsidRPr="00844DE4" w:rsidRDefault="0026490C" w:rsidP="00F15CAF">
            <w:pPr>
              <w:pStyle w:val="Header"/>
              <w:rPr>
                <w:rFonts w:cs="Calibri"/>
              </w:rPr>
            </w:pPr>
            <w:r w:rsidRPr="0026490C">
              <w:rPr>
                <w:rFonts w:cs="Calibri"/>
              </w:rPr>
              <w:t>Argument is coherent and the cross</w:t>
            </w:r>
            <w:r w:rsidRPr="0026490C">
              <w:rPr>
                <w:rFonts w:ascii="Cambria Math" w:hAnsi="Cambria Math" w:cs="Cambria Math"/>
              </w:rPr>
              <w:t>‑</w:t>
            </w:r>
            <w:r w:rsidRPr="0026490C">
              <w:rPr>
                <w:rFonts w:cs="Calibri"/>
              </w:rPr>
              <w:t>case logic is clear. The study acknowledges limitations and the attitude</w:t>
            </w:r>
            <w:r w:rsidRPr="0026490C">
              <w:rPr>
                <w:rFonts w:ascii="Aptos" w:hAnsi="Aptos" w:cs="Aptos"/>
              </w:rPr>
              <w:t>–</w:t>
            </w:r>
            <w:r w:rsidRPr="0026490C">
              <w:rPr>
                <w:rFonts w:cs="Calibri"/>
              </w:rPr>
              <w:t>behaviour gap. But the design is secondary, qualitative and non</w:t>
            </w:r>
            <w:r w:rsidRPr="0026490C">
              <w:rPr>
                <w:rFonts w:ascii="Cambria Math" w:hAnsi="Cambria Math" w:cs="Cambria Math"/>
              </w:rPr>
              <w:t>‑</w:t>
            </w:r>
            <w:r w:rsidRPr="0026490C">
              <w:rPr>
                <w:rFonts w:cs="Calibri"/>
              </w:rPr>
              <w:t xml:space="preserve">inferential; many claims about </w:t>
            </w:r>
            <w:r w:rsidRPr="0026490C">
              <w:rPr>
                <w:rFonts w:ascii="Aptos" w:hAnsi="Aptos" w:cs="Aptos"/>
              </w:rPr>
              <w:t>“</w:t>
            </w:r>
            <w:r w:rsidRPr="0026490C">
              <w:rPr>
                <w:rFonts w:cs="Calibri"/>
              </w:rPr>
              <w:t>impact on intention</w:t>
            </w:r>
            <w:r w:rsidRPr="0026490C">
              <w:rPr>
                <w:rFonts w:ascii="Aptos" w:hAnsi="Aptos" w:cs="Aptos"/>
              </w:rPr>
              <w:t>”</w:t>
            </w:r>
            <w:r w:rsidRPr="0026490C">
              <w:rPr>
                <w:rFonts w:cs="Calibri"/>
              </w:rPr>
              <w:t xml:space="preserve"> rest on curated sources and thematic interpretation, not tests of association or effect sizes</w:t>
            </w:r>
            <w:r w:rsidR="00F15CAF">
              <w:rPr>
                <w:rFonts w:cs="Calibri"/>
              </w:rPr>
              <w:t>.</w:t>
            </w:r>
          </w:p>
        </w:tc>
      </w:tr>
      <w:tr w:rsidR="00160509" w:rsidRPr="00844DE4"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vAlign w:val="center"/>
          </w:tcPr>
          <w:p w14:paraId="704AFEB9" w14:textId="4246C12E"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106E8A20" w:rsidR="00160509" w:rsidRPr="00844DE4" w:rsidRDefault="0026490C" w:rsidP="00A30926">
            <w:pPr>
              <w:pStyle w:val="Header"/>
              <w:jc w:val="center"/>
              <w:rPr>
                <w:rFonts w:cs="Calibri"/>
              </w:rPr>
            </w:pPr>
            <w:r>
              <w:rPr>
                <w:rFonts w:cs="Calibri"/>
              </w:rPr>
              <w:t>13</w:t>
            </w:r>
          </w:p>
        </w:tc>
        <w:tc>
          <w:tcPr>
            <w:tcW w:w="6521" w:type="dxa"/>
            <w:vAlign w:val="bottom"/>
          </w:tcPr>
          <w:p w14:paraId="34DF4CCE" w14:textId="77777777" w:rsidR="00160509" w:rsidRDefault="00160509" w:rsidP="00A30926">
            <w:pPr>
              <w:pStyle w:val="Header"/>
              <w:rPr>
                <w:rFonts w:cs="Calibri"/>
              </w:rPr>
            </w:pPr>
          </w:p>
          <w:p w14:paraId="66E9C5C7" w14:textId="00240E03" w:rsidR="00366927" w:rsidRDefault="0026490C" w:rsidP="00A30926">
            <w:pPr>
              <w:pStyle w:val="Header"/>
              <w:rPr>
                <w:rFonts w:cs="Calibri"/>
              </w:rPr>
            </w:pPr>
            <w:r w:rsidRPr="0026490C">
              <w:rPr>
                <w:rFonts w:cs="Calibri"/>
              </w:rPr>
              <w:t>Managerial implications (keep sustainability affordable, simplify messaging, build long</w:t>
            </w:r>
            <w:r w:rsidRPr="0026490C">
              <w:rPr>
                <w:rFonts w:ascii="Cambria Math" w:hAnsi="Cambria Math" w:cs="Cambria Math"/>
              </w:rPr>
              <w:t>‑</w:t>
            </w:r>
            <w:r w:rsidRPr="0026490C">
              <w:rPr>
                <w:rFonts w:cs="Calibri"/>
              </w:rPr>
              <w:t>term trust, segment by awareness/income) are relevant, but stay strategy</w:t>
            </w:r>
            <w:r w:rsidRPr="0026490C">
              <w:rPr>
                <w:rFonts w:ascii="Cambria Math" w:hAnsi="Cambria Math" w:cs="Cambria Math"/>
              </w:rPr>
              <w:t>‑</w:t>
            </w:r>
            <w:r w:rsidRPr="0026490C">
              <w:rPr>
                <w:rFonts w:cs="Calibri"/>
              </w:rPr>
              <w:t>level. There is little prioritisation, KPI mapping, or feasibility/cost logic. Recommendations would benefit from a brief impact/effort matrix anchored to the evidence assembled.</w:t>
            </w:r>
          </w:p>
          <w:p w14:paraId="0D721715" w14:textId="77777777" w:rsidR="00160509" w:rsidRPr="00844DE4" w:rsidRDefault="00160509" w:rsidP="00A30926">
            <w:pPr>
              <w:pStyle w:val="Header"/>
              <w:rPr>
                <w:rFonts w:cs="Calibri"/>
              </w:rPr>
            </w:pPr>
          </w:p>
        </w:tc>
      </w:tr>
      <w:tr w:rsidR="00160509" w:rsidRPr="00844DE4"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vAlign w:val="center"/>
          </w:tcPr>
          <w:p w14:paraId="626D92B6" w14:textId="2D8D5589" w:rsidR="00160509" w:rsidRPr="00844DE4" w:rsidRDefault="00961D9C" w:rsidP="00366927">
            <w:pPr>
              <w:pStyle w:val="Header"/>
              <w:jc w:val="center"/>
              <w:rPr>
                <w:rFonts w:cs="Calibri"/>
              </w:rPr>
            </w:pPr>
            <w:r>
              <w:rPr>
                <w:rFonts w:cs="Calibri"/>
              </w:rPr>
              <w:t>15</w:t>
            </w:r>
            <w:r w:rsidR="00160509" w:rsidRPr="00844DE4">
              <w:rPr>
                <w:rFonts w:cs="Calibri"/>
              </w:rPr>
              <w:t>%</w:t>
            </w:r>
          </w:p>
        </w:tc>
        <w:tc>
          <w:tcPr>
            <w:tcW w:w="1276" w:type="dxa"/>
            <w:vAlign w:val="center"/>
          </w:tcPr>
          <w:p w14:paraId="20A24814" w14:textId="65FDD0D7" w:rsidR="00160509" w:rsidRPr="00844DE4" w:rsidRDefault="0026490C" w:rsidP="00A30926">
            <w:pPr>
              <w:pStyle w:val="Header"/>
              <w:jc w:val="center"/>
              <w:rPr>
                <w:rFonts w:cs="Calibri"/>
              </w:rPr>
            </w:pPr>
            <w:r>
              <w:rPr>
                <w:rFonts w:cs="Calibri"/>
              </w:rPr>
              <w:t>10</w:t>
            </w:r>
          </w:p>
        </w:tc>
        <w:tc>
          <w:tcPr>
            <w:tcW w:w="6521" w:type="dxa"/>
            <w:vAlign w:val="bottom"/>
          </w:tcPr>
          <w:p w14:paraId="0CB3F9B1" w14:textId="370513B0" w:rsidR="00160509" w:rsidRPr="00844DE4" w:rsidRDefault="0026490C" w:rsidP="00A30926">
            <w:pPr>
              <w:pStyle w:val="Header"/>
              <w:rPr>
                <w:rFonts w:cs="Calibri"/>
              </w:rPr>
            </w:pPr>
            <w:r w:rsidRPr="0026490C">
              <w:rPr>
                <w:rFonts w:cs="Calibri"/>
              </w:rPr>
              <w:t>Well structured, readable, and generally well referenced. tables/figures sometimes restate text rather than advance the argument. Presentation quality is solid and professional overall.</w:t>
            </w: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vAlign w:val="center"/>
          </w:tcPr>
          <w:p w14:paraId="715A98AA" w14:textId="219B58BB" w:rsidR="00160509" w:rsidRPr="00844DE4" w:rsidRDefault="00C028E5" w:rsidP="00A30926">
            <w:pPr>
              <w:pStyle w:val="Header"/>
              <w:jc w:val="center"/>
              <w:rPr>
                <w:rFonts w:cs="Calibri"/>
              </w:rPr>
            </w:pPr>
            <w:r>
              <w:rPr>
                <w:rFonts w:cs="Calibri"/>
              </w:rPr>
              <w:t>63</w:t>
            </w:r>
          </w:p>
        </w:tc>
        <w:tc>
          <w:tcPr>
            <w:tcW w:w="6521" w:type="dxa"/>
          </w:tcPr>
          <w:p w14:paraId="3FD214DE" w14:textId="77777777" w:rsidR="00160509" w:rsidRDefault="00160509" w:rsidP="00A30926">
            <w:pPr>
              <w:pStyle w:val="Header"/>
              <w:rPr>
                <w:rFonts w:cs="Calibri"/>
              </w:rPr>
            </w:pPr>
          </w:p>
          <w:p w14:paraId="3B9FB6E8" w14:textId="74F37B66" w:rsidR="00C028E5" w:rsidRPr="00844DE4" w:rsidRDefault="00C028E5" w:rsidP="00A30926">
            <w:pPr>
              <w:pStyle w:val="Header"/>
              <w:rPr>
                <w:rFonts w:cs="Calibri"/>
              </w:rPr>
            </w:pPr>
            <w:r>
              <w:rPr>
                <w:rFonts w:cs="Calibri"/>
              </w:rPr>
              <w:t>See above</w:t>
            </w: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7ADEAA57" w14:textId="33E6869C" w:rsidR="00197DE6" w:rsidRPr="00844DE4" w:rsidRDefault="00160509" w:rsidP="0026490C">
            <w:pPr>
              <w:pStyle w:val="Header"/>
              <w:rPr>
                <w:rFonts w:cs="Calibri"/>
                <w:sz w:val="20"/>
                <w:szCs w:val="20"/>
              </w:rPr>
            </w:pPr>
            <w:r w:rsidRPr="00844DE4">
              <w:rPr>
                <w:rFonts w:cs="Calibri"/>
                <w:b/>
                <w:bCs/>
              </w:rPr>
              <w:t>General Comments</w:t>
            </w:r>
          </w:p>
          <w:p w14:paraId="2BD488AA" w14:textId="77777777" w:rsidR="00A013CB" w:rsidRPr="0026490C" w:rsidRDefault="00A013CB" w:rsidP="00A30926">
            <w:pPr>
              <w:pStyle w:val="Header"/>
              <w:rPr>
                <w:rFonts w:cs="Calibri"/>
              </w:rPr>
            </w:pPr>
          </w:p>
          <w:p w14:paraId="2366DB92" w14:textId="7AAFDE53" w:rsidR="009F030F" w:rsidRPr="0026490C" w:rsidRDefault="0026490C" w:rsidP="00A30926">
            <w:pPr>
              <w:pStyle w:val="Header"/>
              <w:rPr>
                <w:rFonts w:cs="Calibri"/>
              </w:rPr>
            </w:pPr>
            <w:r w:rsidRPr="0026490C">
              <w:rPr>
                <w:rFonts w:cs="Calibri"/>
              </w:rPr>
              <w:t>A clear, well</w:t>
            </w:r>
            <w:r w:rsidRPr="0026490C">
              <w:rPr>
                <w:rFonts w:ascii="Cambria Math" w:hAnsi="Cambria Math" w:cs="Cambria Math"/>
              </w:rPr>
              <w:t>‑</w:t>
            </w:r>
            <w:r w:rsidRPr="0026490C">
              <w:rPr>
                <w:rFonts w:cs="Calibri"/>
              </w:rPr>
              <w:t>organised dissertation that shows good theoretical command and useful sector insight. It falls short of distinction primarily due to limited methodological rigour (secondary narrative synthesis without inferential testing) and insufficiently critical integration of competing findings into the framework and conclusions.</w:t>
            </w:r>
          </w:p>
          <w:p w14:paraId="3D749E72" w14:textId="77777777" w:rsidR="009F030F" w:rsidRDefault="009F030F" w:rsidP="00A30926">
            <w:pPr>
              <w:pStyle w:val="Header"/>
              <w:rPr>
                <w:rFonts w:cs="Calibri"/>
                <w:sz w:val="20"/>
                <w:szCs w:val="20"/>
              </w:rPr>
            </w:pP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A9CC7" w14:textId="77777777" w:rsidR="0059017C" w:rsidRDefault="0059017C" w:rsidP="003E76A2">
      <w:r>
        <w:separator/>
      </w:r>
    </w:p>
  </w:endnote>
  <w:endnote w:type="continuationSeparator" w:id="0">
    <w:p w14:paraId="20715A36" w14:textId="77777777" w:rsidR="0059017C" w:rsidRDefault="0059017C" w:rsidP="003E76A2">
      <w:r>
        <w:continuationSeparator/>
      </w:r>
    </w:p>
  </w:endnote>
  <w:endnote w:type="continuationNotice" w:id="1">
    <w:p w14:paraId="56A1EE59" w14:textId="77777777" w:rsidR="0059017C" w:rsidRDefault="005901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3EFB2" w14:textId="77777777" w:rsidR="0059017C" w:rsidRDefault="0059017C" w:rsidP="003E76A2">
      <w:r>
        <w:separator/>
      </w:r>
    </w:p>
  </w:footnote>
  <w:footnote w:type="continuationSeparator" w:id="0">
    <w:p w14:paraId="7EF060A4" w14:textId="77777777" w:rsidR="0059017C" w:rsidRDefault="0059017C" w:rsidP="003E76A2">
      <w:r>
        <w:continuationSeparator/>
      </w:r>
    </w:p>
  </w:footnote>
  <w:footnote w:type="continuationNotice" w:id="1">
    <w:p w14:paraId="4B2AC967" w14:textId="77777777" w:rsidR="0059017C" w:rsidRDefault="0059017C"/>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71F61"/>
    <w:rsid w:val="000B4B03"/>
    <w:rsid w:val="00127072"/>
    <w:rsid w:val="00160509"/>
    <w:rsid w:val="00167936"/>
    <w:rsid w:val="00197DE6"/>
    <w:rsid w:val="001B0DAA"/>
    <w:rsid w:val="001C20BE"/>
    <w:rsid w:val="00232DEB"/>
    <w:rsid w:val="00245033"/>
    <w:rsid w:val="002644D2"/>
    <w:rsid w:val="0026490C"/>
    <w:rsid w:val="002677E0"/>
    <w:rsid w:val="002833BF"/>
    <w:rsid w:val="0035292C"/>
    <w:rsid w:val="00366927"/>
    <w:rsid w:val="00387F4E"/>
    <w:rsid w:val="003956F5"/>
    <w:rsid w:val="003A44D5"/>
    <w:rsid w:val="003E76A2"/>
    <w:rsid w:val="00411C50"/>
    <w:rsid w:val="004221C5"/>
    <w:rsid w:val="004326F5"/>
    <w:rsid w:val="0044103B"/>
    <w:rsid w:val="004B56B6"/>
    <w:rsid w:val="004C415A"/>
    <w:rsid w:val="004D4062"/>
    <w:rsid w:val="00514597"/>
    <w:rsid w:val="005849E7"/>
    <w:rsid w:val="0059017C"/>
    <w:rsid w:val="00596DE8"/>
    <w:rsid w:val="005B06E9"/>
    <w:rsid w:val="00603D8C"/>
    <w:rsid w:val="00604D26"/>
    <w:rsid w:val="00627077"/>
    <w:rsid w:val="007015EE"/>
    <w:rsid w:val="00705C9C"/>
    <w:rsid w:val="0081474E"/>
    <w:rsid w:val="00834569"/>
    <w:rsid w:val="00844DE4"/>
    <w:rsid w:val="00875CDF"/>
    <w:rsid w:val="00887819"/>
    <w:rsid w:val="009166FC"/>
    <w:rsid w:val="00961D9C"/>
    <w:rsid w:val="00987D62"/>
    <w:rsid w:val="009C6514"/>
    <w:rsid w:val="009E708B"/>
    <w:rsid w:val="009F030F"/>
    <w:rsid w:val="00A013CB"/>
    <w:rsid w:val="00A30926"/>
    <w:rsid w:val="00A5072F"/>
    <w:rsid w:val="00B466BE"/>
    <w:rsid w:val="00BB715C"/>
    <w:rsid w:val="00C028E5"/>
    <w:rsid w:val="00C4635D"/>
    <w:rsid w:val="00D12369"/>
    <w:rsid w:val="00D51F84"/>
    <w:rsid w:val="00DA6320"/>
    <w:rsid w:val="00DF64EA"/>
    <w:rsid w:val="00E14B1E"/>
    <w:rsid w:val="00E155B9"/>
    <w:rsid w:val="00E84456"/>
    <w:rsid w:val="00EC7053"/>
    <w:rsid w:val="00F020A3"/>
    <w:rsid w:val="00F15CAF"/>
    <w:rsid w:val="00F3380E"/>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 w:type="character" w:styleId="Hyperlink">
    <w:name w:val="Hyperlink"/>
    <w:basedOn w:val="DefaultParagraphFont"/>
    <w:uiPriority w:val="99"/>
    <w:unhideWhenUsed/>
    <w:rsid w:val="0026490C"/>
    <w:rPr>
      <w:color w:val="467886" w:themeColor="hyperlink"/>
      <w:u w:val="single"/>
    </w:rPr>
  </w:style>
  <w:style w:type="character" w:styleId="UnresolvedMention">
    <w:name w:val="Unresolved Mention"/>
    <w:basedOn w:val="DefaultParagraphFont"/>
    <w:uiPriority w:val="99"/>
    <w:semiHidden/>
    <w:unhideWhenUsed/>
    <w:rsid w:val="002649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431</Words>
  <Characters>2461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Haoran Liu</cp:lastModifiedBy>
  <cp:revision>7</cp:revision>
  <dcterms:created xsi:type="dcterms:W3CDTF">2025-06-13T16:09:00Z</dcterms:created>
  <dcterms:modified xsi:type="dcterms:W3CDTF">2026-02-25T13:03:00Z</dcterms:modified>
</cp:coreProperties>
</file>