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15F67A" w14:paraId="5E5787A5" wp14:noSpellErr="1" wp14:textId="2B3CA6C2">
      <w:pPr>
        <w:jc w:val="both"/>
        <w:rPr>
          <w:rFonts w:ascii="Calibri Light" w:hAnsi="Calibri Light" w:eastAsia="Calibri Light" w:cs="Calibri Light" w:asciiTheme="majorAscii" w:hAnsiTheme="majorAscii" w:eastAsiaTheme="majorAscii" w:cstheme="majorAscii"/>
          <w:sz w:val="24"/>
          <w:szCs w:val="24"/>
        </w:rPr>
      </w:pPr>
      <w:bookmarkStart w:name="_GoBack" w:id="0"/>
      <w:bookmarkEnd w:id="0"/>
      <w:r w:rsidRPr="1C15F67A" w:rsidR="1C15F67A">
        <w:rPr>
          <w:rFonts w:ascii="Calibri Light" w:hAnsi="Calibri Light" w:eastAsia="Calibri Light" w:cs="Calibri Light" w:asciiTheme="majorAscii" w:hAnsiTheme="majorAscii" w:eastAsiaTheme="majorAscii" w:cstheme="majorAscii"/>
          <w:sz w:val="28"/>
          <w:szCs w:val="28"/>
        </w:rPr>
        <w:t xml:space="preserve">Natufian </w:t>
      </w:r>
      <w:r w:rsidRPr="1C15F67A" w:rsidR="1C15F67A">
        <w:rPr>
          <w:rFonts w:ascii="Calibri Light" w:hAnsi="Calibri Light" w:eastAsia="Calibri Light" w:cs="Calibri Light" w:asciiTheme="majorAscii" w:hAnsiTheme="majorAscii" w:eastAsiaTheme="majorAscii" w:cstheme="majorAscii"/>
          <w:sz w:val="28"/>
          <w:szCs w:val="28"/>
        </w:rPr>
        <w:t xml:space="preserve">Summary </w:t>
      </w:r>
    </w:p>
    <w:p w:rsidR="2486A7AC" w:rsidP="2486A7AC" w:rsidRDefault="2486A7AC" w14:paraId="733FC552" w14:textId="555E07A8" w14:noSpellErr="1">
      <w:pPr>
        <w:pStyle w:val="Normal"/>
      </w:pPr>
    </w:p>
    <w:p w:rsidR="1C15F67A" w:rsidP="1C15F67A" w:rsidRDefault="1C15F67A" w14:paraId="6ED1F643" w14:textId="010C6E96">
      <w:pPr>
        <w:pStyle w:val="Normal"/>
        <w:rPr>
          <w:rFonts w:ascii="Calibri Light" w:hAnsi="Calibri Light" w:eastAsia="Calibri Light" w:cs="Calibri Light" w:asciiTheme="majorAscii" w:hAnsiTheme="majorAscii" w:eastAsiaTheme="majorAscii" w:cstheme="majorAscii"/>
          <w:sz w:val="24"/>
          <w:szCs w:val="24"/>
        </w:rPr>
      </w:pPr>
      <w:r w:rsidRPr="1C15F67A" w:rsidR="1C15F67A">
        <w:rPr>
          <w:rFonts w:ascii="Calibri Light" w:hAnsi="Calibri Light" w:eastAsia="Calibri Light" w:cs="Calibri Light" w:asciiTheme="majorAscii" w:hAnsiTheme="majorAscii" w:eastAsiaTheme="majorAscii" w:cstheme="majorAscii"/>
          <w:sz w:val="24"/>
          <w:szCs w:val="24"/>
        </w:rPr>
        <w:t xml:space="preserve">This article is about the Natufian culture and </w:t>
      </w:r>
      <w:r w:rsidRPr="1C15F67A" w:rsidR="1C15F67A">
        <w:rPr>
          <w:rFonts w:ascii="Calibri Light" w:hAnsi="Calibri Light" w:eastAsia="Calibri Light" w:cs="Calibri Light" w:asciiTheme="majorAscii" w:hAnsiTheme="majorAscii" w:eastAsiaTheme="majorAscii" w:cstheme="majorAscii"/>
          <w:sz w:val="24"/>
          <w:szCs w:val="24"/>
        </w:rPr>
        <w:t>whether</w:t>
      </w:r>
      <w:r w:rsidRPr="1C15F67A" w:rsidR="1C15F67A">
        <w:rPr>
          <w:rFonts w:ascii="Calibri Light" w:hAnsi="Calibri Light" w:eastAsia="Calibri Light" w:cs="Calibri Light" w:asciiTheme="majorAscii" w:hAnsiTheme="majorAscii" w:eastAsiaTheme="majorAscii" w:cstheme="majorAscii"/>
          <w:sz w:val="24"/>
          <w:szCs w:val="24"/>
        </w:rPr>
        <w:t xml:space="preserve"> this </w:t>
      </w:r>
      <w:r w:rsidRPr="1C15F67A" w:rsidR="1C15F67A">
        <w:rPr>
          <w:rFonts w:ascii="Calibri Light" w:hAnsi="Calibri Light" w:eastAsia="Calibri Light" w:cs="Calibri Light" w:asciiTheme="majorAscii" w:hAnsiTheme="majorAscii" w:eastAsiaTheme="majorAscii" w:cstheme="majorAscii"/>
          <w:sz w:val="24"/>
          <w:szCs w:val="24"/>
        </w:rPr>
        <w:t>Mesolithic</w:t>
      </w:r>
      <w:r w:rsidRPr="1C15F67A" w:rsidR="1C15F67A">
        <w:rPr>
          <w:rFonts w:ascii="Calibri Light" w:hAnsi="Calibri Light" w:eastAsia="Calibri Light" w:cs="Calibri Light" w:asciiTheme="majorAscii" w:hAnsiTheme="majorAscii" w:eastAsiaTheme="majorAscii" w:cstheme="majorAscii"/>
          <w:sz w:val="24"/>
          <w:szCs w:val="24"/>
        </w:rPr>
        <w:t xml:space="preserve"> group of hunter-gatherers discovered in the levant region became sedentary based on the archaeological evidence. The word </w:t>
      </w:r>
      <w:r w:rsidRPr="1C15F67A" w:rsidR="1C15F67A">
        <w:rPr>
          <w:rFonts w:ascii="Calibri Light" w:hAnsi="Calibri Light" w:eastAsia="Calibri Light" w:cs="Calibri Light" w:asciiTheme="majorAscii" w:hAnsiTheme="majorAscii" w:eastAsiaTheme="majorAscii" w:cstheme="majorAscii"/>
          <w:sz w:val="24"/>
          <w:szCs w:val="24"/>
        </w:rPr>
        <w:t xml:space="preserve">sedentism </w:t>
      </w:r>
      <w:r w:rsidRPr="1C15F67A" w:rsidR="1C15F67A">
        <w:rPr>
          <w:rFonts w:ascii="Calibri Light" w:hAnsi="Calibri Light" w:eastAsia="Calibri Light" w:cs="Calibri Light" w:asciiTheme="majorAscii" w:hAnsiTheme="majorAscii" w:eastAsiaTheme="majorAscii" w:cstheme="majorAscii"/>
          <w:sz w:val="24"/>
          <w:szCs w:val="24"/>
        </w:rPr>
        <w:t xml:space="preserve">is used to </w:t>
      </w:r>
      <w:r w:rsidRPr="1C15F67A" w:rsidR="1C15F67A">
        <w:rPr>
          <w:rFonts w:ascii="Calibri Light" w:hAnsi="Calibri Light" w:eastAsia="Calibri Light" w:cs="Calibri Light" w:asciiTheme="majorAscii" w:hAnsiTheme="majorAscii" w:eastAsiaTheme="majorAscii" w:cstheme="majorAscii"/>
          <w:sz w:val="24"/>
          <w:szCs w:val="24"/>
        </w:rPr>
        <w:t>describe</w:t>
      </w:r>
      <w:r w:rsidRPr="1C15F67A" w:rsidR="1C15F67A">
        <w:rPr>
          <w:rFonts w:ascii="Calibri Light" w:hAnsi="Calibri Light" w:eastAsia="Calibri Light" w:cs="Calibri Light" w:asciiTheme="majorAscii" w:hAnsiTheme="majorAscii" w:eastAsiaTheme="majorAscii" w:cstheme="majorAscii"/>
          <w:sz w:val="24"/>
          <w:szCs w:val="24"/>
        </w:rPr>
        <w:t xml:space="preserve"> the cultural practice of living in one place for a long time which became the question for </w:t>
      </w:r>
      <w:r w:rsidRPr="1C15F67A" w:rsidR="1C15F67A">
        <w:rPr>
          <w:rFonts w:ascii="Calibri Light" w:hAnsi="Calibri Light" w:eastAsia="Calibri Light" w:cs="Calibri Light" w:asciiTheme="majorAscii" w:hAnsiTheme="majorAscii" w:eastAsiaTheme="majorAscii" w:cstheme="majorAscii"/>
          <w:sz w:val="24"/>
          <w:szCs w:val="24"/>
        </w:rPr>
        <w:t>archaeologists</w:t>
      </w:r>
      <w:r w:rsidRPr="1C15F67A" w:rsidR="1C15F67A">
        <w:rPr>
          <w:rFonts w:ascii="Calibri Light" w:hAnsi="Calibri Light" w:eastAsia="Calibri Light" w:cs="Calibri Light" w:asciiTheme="majorAscii" w:hAnsiTheme="majorAscii" w:eastAsiaTheme="majorAscii" w:cstheme="majorAscii"/>
          <w:sz w:val="24"/>
          <w:szCs w:val="24"/>
        </w:rPr>
        <w:t xml:space="preserve"> to answer, were the </w:t>
      </w:r>
      <w:r w:rsidRPr="1C15F67A" w:rsidR="1C15F67A">
        <w:rPr>
          <w:rFonts w:ascii="Calibri Light" w:hAnsi="Calibri Light" w:eastAsia="Calibri Light" w:cs="Calibri Light" w:asciiTheme="majorAscii" w:hAnsiTheme="majorAscii" w:eastAsiaTheme="majorAscii" w:cstheme="majorAscii"/>
          <w:sz w:val="24"/>
          <w:szCs w:val="24"/>
        </w:rPr>
        <w:t>Natufian nomadic or sedentary?</w:t>
      </w:r>
      <w:r w:rsidRPr="1C15F67A" w:rsidR="1C15F67A">
        <w:rPr>
          <w:rFonts w:ascii="Calibri Light" w:hAnsi="Calibri Light" w:eastAsia="Calibri Light" w:cs="Calibri Light" w:asciiTheme="majorAscii" w:hAnsiTheme="majorAscii" w:eastAsiaTheme="majorAscii" w:cstheme="majorAscii"/>
          <w:sz w:val="24"/>
          <w:szCs w:val="24"/>
        </w:rPr>
        <w:t xml:space="preserve"> The</w:t>
      </w:r>
      <w:r w:rsidRPr="1C15F67A" w:rsidR="1C15F67A">
        <w:rPr>
          <w:rFonts w:ascii="Calibri Light" w:hAnsi="Calibri Light" w:eastAsia="Calibri Light" w:cs="Calibri Light" w:asciiTheme="majorAscii" w:hAnsiTheme="majorAscii" w:eastAsiaTheme="majorAscii" w:cstheme="majorAscii"/>
          <w:sz w:val="24"/>
          <w:szCs w:val="24"/>
        </w:rPr>
        <w:t xml:space="preserve"> </w:t>
      </w:r>
      <w:r w:rsidRPr="1C15F67A" w:rsidR="1C15F67A">
        <w:rPr>
          <w:rFonts w:ascii="Calibri Light" w:hAnsi="Calibri Light" w:eastAsia="Calibri Light" w:cs="Calibri Light" w:asciiTheme="majorAscii" w:hAnsiTheme="majorAscii" w:eastAsiaTheme="majorAscii" w:cstheme="majorAscii"/>
          <w:sz w:val="24"/>
          <w:szCs w:val="24"/>
        </w:rPr>
        <w:t>Natufian</w:t>
      </w:r>
      <w:r w:rsidRPr="1C15F67A" w:rsidR="1C15F67A">
        <w:rPr>
          <w:rFonts w:ascii="Calibri Light" w:hAnsi="Calibri Light" w:eastAsia="Calibri Light" w:cs="Calibri Light" w:asciiTheme="majorAscii" w:hAnsiTheme="majorAscii" w:eastAsiaTheme="majorAscii" w:cstheme="majorAscii"/>
          <w:sz w:val="24"/>
          <w:szCs w:val="24"/>
        </w:rPr>
        <w:t xml:space="preserve"> were first </w:t>
      </w:r>
      <w:r w:rsidRPr="1C15F67A" w:rsidR="1C15F67A">
        <w:rPr>
          <w:rFonts w:ascii="Calibri Light" w:hAnsi="Calibri Light" w:eastAsia="Calibri Light" w:cs="Calibri Light" w:asciiTheme="majorAscii" w:hAnsiTheme="majorAscii" w:eastAsiaTheme="majorAscii" w:cstheme="majorAscii"/>
          <w:sz w:val="24"/>
          <w:szCs w:val="24"/>
        </w:rPr>
        <w:t>identified</w:t>
      </w:r>
      <w:r w:rsidRPr="1C15F67A" w:rsidR="1C15F67A">
        <w:rPr>
          <w:rFonts w:ascii="Calibri Light" w:hAnsi="Calibri Light" w:eastAsia="Calibri Light" w:cs="Calibri Light" w:asciiTheme="majorAscii" w:hAnsiTheme="majorAscii" w:eastAsiaTheme="majorAscii" w:cstheme="majorAscii"/>
          <w:sz w:val="24"/>
          <w:szCs w:val="24"/>
        </w:rPr>
        <w:t xml:space="preserve"> in 1928 in the caves of </w:t>
      </w:r>
      <w:proofErr w:type="spellStart"/>
      <w:r w:rsidRPr="1C15F67A" w:rsidR="1C15F67A">
        <w:rPr>
          <w:rFonts w:ascii="Calibri Light" w:hAnsi="Calibri Light" w:eastAsia="Calibri Light" w:cs="Calibri Light" w:asciiTheme="majorAscii" w:hAnsiTheme="majorAscii" w:eastAsiaTheme="majorAscii" w:cstheme="majorAscii"/>
          <w:sz w:val="24"/>
          <w:szCs w:val="24"/>
        </w:rPr>
        <w:t>Shuqba</w:t>
      </w:r>
      <w:proofErr w:type="spellEnd"/>
      <w:r w:rsidRPr="1C15F67A" w:rsidR="1C15F67A">
        <w:rPr>
          <w:rFonts w:ascii="Calibri Light" w:hAnsi="Calibri Light" w:eastAsia="Calibri Light" w:cs="Calibri Light" w:asciiTheme="majorAscii" w:hAnsiTheme="majorAscii" w:eastAsiaTheme="majorAscii" w:cstheme="majorAscii"/>
          <w:sz w:val="24"/>
          <w:szCs w:val="24"/>
        </w:rPr>
        <w:t xml:space="preserve">, Palestine </w:t>
      </w:r>
      <w:r w:rsidRPr="1C15F67A" w:rsidR="1C15F67A">
        <w:rPr>
          <w:rFonts w:ascii="Calibri Light" w:hAnsi="Calibri Light" w:eastAsia="Calibri Light" w:cs="Calibri Light" w:asciiTheme="majorAscii" w:hAnsiTheme="majorAscii" w:eastAsiaTheme="majorAscii" w:cstheme="majorAscii"/>
          <w:sz w:val="24"/>
          <w:szCs w:val="24"/>
        </w:rPr>
        <w:t xml:space="preserve">by Dorothy Garrod. Who later excavated the sites El-wad (1928) and </w:t>
      </w:r>
      <w:proofErr w:type="spellStart"/>
      <w:r w:rsidRPr="1C15F67A" w:rsidR="1C15F67A">
        <w:rPr>
          <w:rFonts w:ascii="Calibri Light" w:hAnsi="Calibri Light" w:eastAsia="Calibri Light" w:cs="Calibri Light" w:asciiTheme="majorAscii" w:hAnsiTheme="majorAscii" w:eastAsiaTheme="majorAscii" w:cstheme="majorAscii"/>
          <w:sz w:val="24"/>
          <w:szCs w:val="24"/>
        </w:rPr>
        <w:t>Kebarah</w:t>
      </w:r>
      <w:proofErr w:type="spellEnd"/>
      <w:r w:rsidRPr="1C15F67A" w:rsidR="1C15F67A">
        <w:rPr>
          <w:rFonts w:ascii="Calibri Light" w:hAnsi="Calibri Light" w:eastAsia="Calibri Light" w:cs="Calibri Light" w:asciiTheme="majorAscii" w:hAnsiTheme="majorAscii" w:eastAsiaTheme="majorAscii" w:cstheme="majorAscii"/>
          <w:sz w:val="24"/>
          <w:szCs w:val="24"/>
        </w:rPr>
        <w:t xml:space="preserve"> (1929-1932). Some of the crucial pieces of evidence uncovered between these sites include what is believed to be a sickle which would </w:t>
      </w:r>
      <w:r w:rsidRPr="1C15F67A" w:rsidR="1C15F67A">
        <w:rPr>
          <w:rFonts w:ascii="Calibri Light" w:hAnsi="Calibri Light" w:eastAsia="Calibri Light" w:cs="Calibri Light" w:asciiTheme="majorAscii" w:hAnsiTheme="majorAscii" w:eastAsiaTheme="majorAscii" w:cstheme="majorAscii"/>
          <w:sz w:val="24"/>
          <w:szCs w:val="24"/>
        </w:rPr>
        <w:t>indicate</w:t>
      </w:r>
      <w:r w:rsidRPr="1C15F67A" w:rsidR="1C15F67A">
        <w:rPr>
          <w:rFonts w:ascii="Calibri Light" w:hAnsi="Calibri Light" w:eastAsia="Calibri Light" w:cs="Calibri Light" w:asciiTheme="majorAscii" w:hAnsiTheme="majorAscii" w:eastAsiaTheme="majorAscii" w:cstheme="majorAscii"/>
          <w:sz w:val="24"/>
          <w:szCs w:val="24"/>
        </w:rPr>
        <w:t xml:space="preserve"> the </w:t>
      </w:r>
      <w:r w:rsidRPr="1C15F67A" w:rsidR="1C15F67A">
        <w:rPr>
          <w:rFonts w:ascii="Calibri Light" w:hAnsi="Calibri Light" w:eastAsia="Calibri Light" w:cs="Calibri Light" w:asciiTheme="majorAscii" w:hAnsiTheme="majorAscii" w:eastAsiaTheme="majorAscii" w:cstheme="majorAscii"/>
          <w:sz w:val="24"/>
          <w:szCs w:val="24"/>
        </w:rPr>
        <w:t>Natufian</w:t>
      </w:r>
      <w:r w:rsidRPr="1C15F67A" w:rsidR="1C15F67A">
        <w:rPr>
          <w:rFonts w:ascii="Calibri Light" w:hAnsi="Calibri Light" w:eastAsia="Calibri Light" w:cs="Calibri Light" w:asciiTheme="majorAscii" w:hAnsiTheme="majorAscii" w:eastAsiaTheme="majorAscii" w:cstheme="majorAscii"/>
          <w:sz w:val="24"/>
          <w:szCs w:val="24"/>
        </w:rPr>
        <w:t xml:space="preserve"> establishing a link to food production and agriculture. Garrod decided the best form of classification was looking into the subdivisions of worked flint as the writer states this was least controversial method. It's</w:t>
      </w:r>
      <w:r w:rsidRPr="1C15F67A" w:rsidR="1C15F67A">
        <w:rPr>
          <w:rFonts w:ascii="Calibri Light" w:hAnsi="Calibri Light" w:eastAsia="Calibri Light" w:cs="Calibri Light" w:asciiTheme="majorAscii" w:hAnsiTheme="majorAscii" w:eastAsiaTheme="majorAscii" w:cstheme="majorAscii"/>
          <w:sz w:val="24"/>
          <w:szCs w:val="24"/>
        </w:rPr>
        <w:t xml:space="preserve"> evident the writer of this article wants </w:t>
      </w:r>
      <w:r w:rsidRPr="1C15F67A" w:rsidR="1C15F67A">
        <w:rPr>
          <w:rFonts w:ascii="Calibri Light" w:hAnsi="Calibri Light" w:eastAsia="Calibri Light" w:cs="Calibri Light" w:asciiTheme="majorAscii" w:hAnsiTheme="majorAscii" w:eastAsiaTheme="majorAscii" w:cstheme="majorAscii"/>
          <w:sz w:val="24"/>
          <w:szCs w:val="24"/>
        </w:rPr>
        <w:t xml:space="preserve">to remind us to put </w:t>
      </w:r>
      <w:r w:rsidRPr="1C15F67A" w:rsidR="1C15F67A">
        <w:rPr>
          <w:rFonts w:ascii="Calibri Light" w:hAnsi="Calibri Light" w:eastAsia="Calibri Light" w:cs="Calibri Light" w:asciiTheme="majorAscii" w:hAnsiTheme="majorAscii" w:eastAsiaTheme="majorAscii" w:cstheme="majorAscii"/>
          <w:sz w:val="24"/>
          <w:szCs w:val="24"/>
        </w:rPr>
        <w:t xml:space="preserve">ourselves in the position of Garrod with the limited </w:t>
      </w:r>
      <w:r w:rsidRPr="1C15F67A" w:rsidR="1C15F67A">
        <w:rPr>
          <w:rFonts w:ascii="Calibri Light" w:hAnsi="Calibri Light" w:eastAsia="Calibri Light" w:cs="Calibri Light" w:asciiTheme="majorAscii" w:hAnsiTheme="majorAscii" w:eastAsiaTheme="majorAscii" w:cstheme="majorAscii"/>
          <w:sz w:val="24"/>
          <w:szCs w:val="24"/>
        </w:rPr>
        <w:t xml:space="preserve">knowledge of the time. </w:t>
      </w:r>
    </w:p>
    <w:p w:rsidR="1C15F67A" w:rsidP="1C15F67A" w:rsidRDefault="1C15F67A" w14:paraId="731CE030" w14:textId="7070EA70">
      <w:pPr>
        <w:pStyle w:val="Normal"/>
        <w:rPr>
          <w:rFonts w:ascii="Calibri Light" w:hAnsi="Calibri Light" w:eastAsia="Calibri Light" w:cs="Calibri Light" w:asciiTheme="majorAscii" w:hAnsiTheme="majorAscii" w:eastAsiaTheme="majorAscii" w:cstheme="majorAscii"/>
          <w:sz w:val="24"/>
          <w:szCs w:val="24"/>
        </w:rPr>
      </w:pPr>
      <w:r w:rsidRPr="1C15F67A" w:rsidR="1C15F67A">
        <w:rPr>
          <w:rFonts w:ascii="Calibri Light" w:hAnsi="Calibri Light" w:eastAsia="Calibri Light" w:cs="Calibri Light" w:asciiTheme="majorAscii" w:hAnsiTheme="majorAscii" w:eastAsiaTheme="majorAscii" w:cstheme="majorAscii"/>
          <w:sz w:val="24"/>
          <w:szCs w:val="24"/>
        </w:rPr>
        <w:t xml:space="preserve">Francois Valla is also giving us as readers an insightful perspective into the ways different archaeologist's form varied interpretations from excavations. It is believed that the Natufian may have been sedentary due to burial practices as interpreters at the time thought it symbolised the land having significance to them which would prolong their settlement. This is comparable to the Neolithic houses in Jericho. Later in 1957 Jean Perrot published a detailed paper on the findings at Ain </w:t>
      </w:r>
      <w:proofErr w:type="spellStart"/>
      <w:r w:rsidRPr="1C15F67A" w:rsidR="1C15F67A">
        <w:rPr>
          <w:rFonts w:ascii="Calibri Light" w:hAnsi="Calibri Light" w:eastAsia="Calibri Light" w:cs="Calibri Light" w:asciiTheme="majorAscii" w:hAnsiTheme="majorAscii" w:eastAsiaTheme="majorAscii" w:cstheme="majorAscii"/>
          <w:sz w:val="24"/>
          <w:szCs w:val="24"/>
        </w:rPr>
        <w:t>Mallaha</w:t>
      </w:r>
      <w:proofErr w:type="spellEnd"/>
      <w:r w:rsidRPr="1C15F67A" w:rsidR="1C15F67A">
        <w:rPr>
          <w:rFonts w:ascii="Calibri Light" w:hAnsi="Calibri Light" w:eastAsia="Calibri Light" w:cs="Calibri Light" w:asciiTheme="majorAscii" w:hAnsiTheme="majorAscii" w:eastAsiaTheme="majorAscii" w:cstheme="majorAscii"/>
          <w:sz w:val="24"/>
          <w:szCs w:val="24"/>
        </w:rPr>
        <w:t xml:space="preserve"> (</w:t>
      </w:r>
      <w:proofErr w:type="spellStart"/>
      <w:r w:rsidRPr="1C15F67A" w:rsidR="1C15F67A">
        <w:rPr>
          <w:rFonts w:ascii="Calibri Light" w:hAnsi="Calibri Light" w:eastAsia="Calibri Light" w:cs="Calibri Light" w:asciiTheme="majorAscii" w:hAnsiTheme="majorAscii" w:eastAsiaTheme="majorAscii" w:cstheme="majorAscii"/>
          <w:sz w:val="24"/>
          <w:szCs w:val="24"/>
        </w:rPr>
        <w:t>Eynan</w:t>
      </w:r>
      <w:proofErr w:type="spellEnd"/>
      <w:r w:rsidRPr="1C15F67A" w:rsidR="1C15F67A">
        <w:rPr>
          <w:rFonts w:ascii="Calibri Light" w:hAnsi="Calibri Light" w:eastAsia="Calibri Light" w:cs="Calibri Light" w:asciiTheme="majorAscii" w:hAnsiTheme="majorAscii" w:eastAsiaTheme="majorAscii" w:cstheme="majorAscii"/>
          <w:sz w:val="24"/>
          <w:szCs w:val="24"/>
        </w:rPr>
        <w:t xml:space="preserve">) a site which showed a more permanent state which he was admittedly disappointed with at first as it didn’t fit with his original narrative about the Natufians. Animal bones were being tested for signs of domestication </w:t>
      </w:r>
      <w:r w:rsidRPr="1C15F67A" w:rsidR="1C15F67A">
        <w:rPr>
          <w:rFonts w:ascii="Calibri Light" w:hAnsi="Calibri Light" w:eastAsia="Calibri Light" w:cs="Calibri Light" w:asciiTheme="majorAscii" w:hAnsiTheme="majorAscii" w:eastAsiaTheme="majorAscii" w:cstheme="majorAscii"/>
          <w:sz w:val="24"/>
          <w:szCs w:val="24"/>
        </w:rPr>
        <w:t xml:space="preserve">this </w:t>
      </w:r>
      <w:r w:rsidRPr="1C15F67A" w:rsidR="1C15F67A">
        <w:rPr>
          <w:rFonts w:ascii="Calibri Light" w:hAnsi="Calibri Light" w:eastAsia="Calibri Light" w:cs="Calibri Light" w:asciiTheme="majorAscii" w:hAnsiTheme="majorAscii" w:eastAsiaTheme="majorAscii" w:cstheme="majorAscii"/>
          <w:sz w:val="24"/>
          <w:szCs w:val="24"/>
        </w:rPr>
        <w:t xml:space="preserve">was usually seen alongside plant cultivation, </w:t>
      </w:r>
      <w:r w:rsidRPr="1C15F67A" w:rsidR="1C15F67A">
        <w:rPr>
          <w:rFonts w:ascii="Calibri Light" w:hAnsi="Calibri Light" w:eastAsia="Calibri Light" w:cs="Calibri Light" w:asciiTheme="majorAscii" w:hAnsiTheme="majorAscii" w:eastAsiaTheme="majorAscii" w:cstheme="majorAscii"/>
          <w:sz w:val="24"/>
          <w:szCs w:val="24"/>
        </w:rPr>
        <w:t>whi</w:t>
      </w:r>
      <w:r w:rsidRPr="1C15F67A" w:rsidR="1C15F67A">
        <w:rPr>
          <w:rFonts w:ascii="Calibri Light" w:hAnsi="Calibri Light" w:eastAsia="Calibri Light" w:cs="Calibri Light" w:asciiTheme="majorAscii" w:hAnsiTheme="majorAscii" w:eastAsiaTheme="majorAscii" w:cstheme="majorAscii"/>
          <w:sz w:val="24"/>
          <w:szCs w:val="24"/>
        </w:rPr>
        <w:t xml:space="preserve">le </w:t>
      </w:r>
      <w:r w:rsidRPr="1C15F67A" w:rsidR="1C15F67A">
        <w:rPr>
          <w:rFonts w:ascii="Calibri Light" w:hAnsi="Calibri Light" w:eastAsia="Calibri Light" w:cs="Calibri Light" w:asciiTheme="majorAscii" w:hAnsiTheme="majorAscii" w:eastAsiaTheme="majorAscii" w:cstheme="majorAscii"/>
          <w:sz w:val="24"/>
          <w:szCs w:val="24"/>
        </w:rPr>
        <w:t xml:space="preserve">again would be a strong indicator that they were sedentary.  </w:t>
      </w:r>
    </w:p>
    <w:p w:rsidR="1C15F67A" w:rsidP="1C15F67A" w:rsidRDefault="1C15F67A" w14:noSpellErr="1" w14:paraId="7029BD8C" w14:textId="053372C3">
      <w:pPr>
        <w:pStyle w:val="Normal"/>
        <w:rPr>
          <w:rFonts w:ascii="Calibri Light" w:hAnsi="Calibri Light" w:eastAsia="Calibri Light" w:cs="Calibri Light" w:asciiTheme="majorAscii" w:hAnsiTheme="majorAscii" w:eastAsiaTheme="majorAscii" w:cstheme="majorAscii"/>
          <w:sz w:val="24"/>
          <w:szCs w:val="24"/>
        </w:rPr>
      </w:pPr>
      <w:r w:rsidRPr="1C15F67A" w:rsidR="1C15F67A">
        <w:rPr>
          <w:rFonts w:ascii="Calibri Light" w:hAnsi="Calibri Light" w:eastAsia="Calibri Light" w:cs="Calibri Light" w:asciiTheme="majorAscii" w:hAnsiTheme="majorAscii" w:eastAsiaTheme="majorAscii" w:cstheme="majorAscii"/>
          <w:sz w:val="24"/>
          <w:szCs w:val="24"/>
        </w:rPr>
        <w:t xml:space="preserve">The writer is relaying the information back to us about the empirical evidence alongside his own opinions looking more so into the archaeologists as individuals as well as their interpretations. He has created enough of a basis for readers to see the progression of our understanding of the Natufians from the earliest excavations to the present. </w:t>
      </w:r>
      <w:r w:rsidRPr="1C15F67A" w:rsidR="1C15F67A">
        <w:rPr>
          <w:rFonts w:ascii="Calibri Light" w:hAnsi="Calibri Light" w:eastAsia="Calibri Light" w:cs="Calibri Light" w:asciiTheme="majorAscii" w:hAnsiTheme="majorAscii" w:eastAsiaTheme="majorAscii" w:cstheme="majorAscii"/>
          <w:sz w:val="24"/>
          <w:szCs w:val="24"/>
        </w:rPr>
        <w:t xml:space="preserve">This article also shows the difficulties faced by archaeologists in the field when piecing together the past with the substantial evidence. </w:t>
      </w:r>
    </w:p>
    <w:p w:rsidR="2486A7AC" w:rsidP="2486A7AC" w:rsidRDefault="2486A7AC" w14:paraId="7B930057" w14:noSpellErr="1" w14:textId="0F30F1BC">
      <w:pPr>
        <w:pStyle w:val="Normal"/>
      </w:pPr>
    </w:p>
    <w:p w:rsidR="1C15F67A" w:rsidP="1C15F67A" w:rsidRDefault="1C15F67A" w14:noSpellErr="1" w14:paraId="0FDC4749" w14:textId="1499540F">
      <w:pPr>
        <w:pStyle w:val="Normal"/>
      </w:pPr>
    </w:p>
    <w:p w:rsidR="1C15F67A" w:rsidP="1C15F67A" w:rsidRDefault="1C15F67A" w14:noSpellErr="1" w14:paraId="71F338A1" w14:textId="4FA4F81F">
      <w:pPr>
        <w:pStyle w:val="Normal"/>
      </w:pPr>
    </w:p>
    <w:p w:rsidR="1C15F67A" w:rsidP="1C15F67A" w:rsidRDefault="1C15F67A" w14:noSpellErr="1" w14:paraId="5CBDE28B" w14:textId="4FEB6586">
      <w:pPr>
        <w:pStyle w:val="Normal"/>
      </w:pPr>
      <w:r w:rsidR="1C15F67A">
        <w:rPr/>
        <w:t>Reference List</w:t>
      </w:r>
    </w:p>
    <w:p w:rsidR="1C15F67A" w:rsidP="1C15F67A" w:rsidRDefault="1C15F67A" w14:paraId="6FF18DEA" w14:textId="78EC81DE">
      <w:pPr>
        <w:pStyle w:val="Normal"/>
      </w:pPr>
      <w:r w:rsidR="1C15F67A">
        <w:rPr/>
        <w:t>Valla</w:t>
      </w:r>
      <w:r w:rsidR="1C15F67A">
        <w:rPr/>
        <w:t xml:space="preserve"> </w:t>
      </w:r>
      <w:r w:rsidR="1C15F67A">
        <w:rPr/>
        <w:t>F.R</w:t>
      </w:r>
      <w:r w:rsidR="1C15F67A">
        <w:rPr/>
        <w:t>.</w:t>
      </w:r>
      <w:r w:rsidR="1C15F67A">
        <w:rPr/>
        <w:t xml:space="preserve"> </w:t>
      </w:r>
      <w:r w:rsidR="1C15F67A">
        <w:rPr/>
        <w:t>2018</w:t>
      </w:r>
      <w:r w:rsidR="1C15F67A">
        <w:rPr/>
        <w:t xml:space="preserve"> </w:t>
      </w:r>
      <w:proofErr w:type="spellStart"/>
      <w:r w:rsidR="1C15F67A">
        <w:rPr/>
        <w:t>Paleorient</w:t>
      </w:r>
      <w:proofErr w:type="spellEnd"/>
      <w:r w:rsidR="1C15F67A">
        <w:rPr/>
        <w:t xml:space="preserve"> </w:t>
      </w:r>
      <w:r w:rsidRPr="1C15F67A" w:rsidR="1C15F67A">
        <w:rPr>
          <w:b w:val="1"/>
          <w:bCs w:val="1"/>
        </w:rPr>
        <w:t>Sedentism “The point of no return” and the Natufian issue</w:t>
      </w:r>
      <w:r w:rsidR="1C15F67A">
        <w:rPr/>
        <w:t xml:space="preserve">: An historical perspective. </w:t>
      </w:r>
    </w:p>
    <w:p w:rsidR="1C15F67A" w:rsidP="1C15F67A" w:rsidRDefault="1C15F67A" w14:paraId="3B896F9D" w14:textId="58A4734D">
      <w:pPr>
        <w:pStyle w:val="Normal"/>
      </w:pPr>
    </w:p>
    <w:p w:rsidR="1C15F67A" w:rsidP="1C15F67A" w:rsidRDefault="1C15F67A" w14:paraId="1E42559F" w14:textId="210C83A1">
      <w:pPr>
        <w:pStyle w:val="Normal"/>
      </w:pPr>
    </w:p>
    <w:p w:rsidR="1C15F67A" w:rsidP="1C15F67A" w:rsidRDefault="1C15F67A" w14:paraId="040CE220" w14:textId="3552B587">
      <w:pPr>
        <w:pStyle w:val="Normal"/>
      </w:pPr>
    </w:p>
    <w:p w:rsidR="2486A7AC" w:rsidP="2486A7AC" w:rsidRDefault="2486A7AC" w14:paraId="2D633667" w14:noSpellErr="1" w14:textId="16246B5B">
      <w:pPr>
        <w:pStyle w:val="Normal"/>
      </w:pPr>
    </w:p>
    <w:p w:rsidR="2486A7AC" w:rsidP="2486A7AC" w:rsidRDefault="2486A7AC" w14:paraId="06FADB70" w14:noSpellErr="1" w14:textId="610F5698">
      <w:pPr>
        <w:pStyle w:val="Normal"/>
      </w:pPr>
    </w:p>
    <w:p w:rsidR="2486A7AC" w:rsidP="2486A7AC" w:rsidRDefault="2486A7AC" w14:paraId="7391C534" w14:textId="18644EB1">
      <w:pPr>
        <w:pStyle w:val="Normal"/>
      </w:pPr>
    </w:p>
    <w:p w:rsidR="2486A7AC" w:rsidP="2486A7AC" w:rsidRDefault="2486A7AC" w14:paraId="2C404C6E" w14:noSpellErr="1" w14:textId="060E7BD5">
      <w:pPr>
        <w:pStyle w:val="Normal"/>
      </w:pPr>
    </w:p>
    <w:p w:rsidR="1C15F67A" w:rsidP="1C15F67A" w:rsidRDefault="1C15F67A" w14:noSpellErr="1" w14:paraId="11ACF58A" w14:textId="48F2A1BD">
      <w:pPr>
        <w:pStyle w:val="Normal"/>
      </w:pPr>
    </w:p>
    <w:p w:rsidR="2486A7AC" w:rsidP="2486A7AC" w:rsidRDefault="2486A7AC" w14:noSpellErr="1" w14:paraId="2B67A179" w14:textId="5F0DFB0E">
      <w:pPr>
        <w:pStyle w:val="Normal"/>
      </w:pPr>
      <w:r w:rsidR="2486A7AC">
        <w:rPr/>
        <w:t xml:space="preserve">Neolithization </w:t>
      </w:r>
    </w:p>
    <w:p w:rsidR="2486A7AC" w:rsidP="2486A7AC" w:rsidRDefault="2486A7AC" w14:noSpellErr="1" w14:paraId="50D0A8B8" w14:textId="201E6F6C">
      <w:pPr>
        <w:pStyle w:val="Normal"/>
      </w:pPr>
      <w:r w:rsidR="2486A7AC">
        <w:rPr/>
        <w:t xml:space="preserve">Theorizers and prehistorians </w:t>
      </w:r>
    </w:p>
    <w:p w:rsidR="2486A7AC" w:rsidP="2486A7AC" w:rsidRDefault="2486A7AC" w14:noSpellErr="1" w14:paraId="587B817F" w14:textId="67CF00A5">
      <w:pPr>
        <w:pStyle w:val="Normal"/>
      </w:pPr>
      <w:r w:rsidR="1C15F67A">
        <w:rPr/>
        <w:t>Origin of food production</w:t>
      </w:r>
    </w:p>
    <w:p w:rsidR="2486A7AC" w:rsidP="2486A7AC" w:rsidRDefault="2486A7AC" w14:paraId="273F7205" w14:noSpellErr="1" w14:textId="19AA90AC">
      <w:pPr>
        <w:pStyle w:val="Normal"/>
      </w:pPr>
    </w:p>
    <w:p w:rsidR="2486A7AC" w:rsidP="2486A7AC" w:rsidRDefault="2486A7AC" w14:paraId="40DFB420" w14:noSpellErr="1" w14:textId="21B77B1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56B4684"/>
  <w15:docId w15:val="{a8833032-e7ab-4b0a-97cf-3f829991e901}"/>
  <w:rsids>
    <w:rsidRoot w:val="356B4684"/>
    <w:rsid w:val="01CA3CEC"/>
    <w:rsid w:val="1C15F67A"/>
    <w:rsid w:val="2486A7AC"/>
    <w:rsid w:val="356B468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Ferguson (1802235)</dc:creator>
  <keywords/>
  <dc:description/>
  <lastModifiedBy>Amy Ferguson (1802235)</lastModifiedBy>
  <revision>4</revision>
  <dcterms:created xsi:type="dcterms:W3CDTF">2018-09-20T19:36:57.9902435Z</dcterms:created>
  <dcterms:modified xsi:type="dcterms:W3CDTF">2018-09-25T17:25:49.9962557Z</dcterms:modified>
</coreProperties>
</file>