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D238" w14:textId="71973D10" w:rsidR="00303984" w:rsidRDefault="00AD505F" w:rsidP="00AD505F">
      <w:pPr>
        <w:spacing w:line="276" w:lineRule="auto"/>
        <w:jc w:val="center"/>
        <w:rPr>
          <w:rFonts w:cs="Arial"/>
          <w:b/>
          <w:bCs/>
          <w:i/>
          <w:iCs/>
          <w:sz w:val="44"/>
          <w:szCs w:val="44"/>
        </w:rPr>
      </w:pPr>
      <w:r>
        <w:rPr>
          <w:rFonts w:cs="Arial"/>
          <w:b/>
          <w:bCs/>
          <w:i/>
          <w:iCs/>
          <w:sz w:val="44"/>
          <w:szCs w:val="44"/>
        </w:rPr>
        <w:t>University of Wales Trinity Saint David</w:t>
      </w:r>
    </w:p>
    <w:p w14:paraId="520E7B92" w14:textId="3E422A1C" w:rsidR="00AD505F" w:rsidRDefault="00AD505F" w:rsidP="00AD505F">
      <w:pPr>
        <w:spacing w:line="276" w:lineRule="auto"/>
        <w:jc w:val="center"/>
        <w:rPr>
          <w:rFonts w:cs="Arial"/>
          <w:b/>
          <w:bCs/>
          <w:i/>
          <w:iCs/>
          <w:sz w:val="44"/>
          <w:szCs w:val="44"/>
        </w:rPr>
      </w:pPr>
      <w:r>
        <w:rPr>
          <w:rFonts w:cs="Arial"/>
          <w:b/>
          <w:bCs/>
          <w:i/>
          <w:iCs/>
          <w:sz w:val="44"/>
          <w:szCs w:val="44"/>
        </w:rPr>
        <w:t>London</w:t>
      </w:r>
    </w:p>
    <w:p w14:paraId="0B563B22" w14:textId="6ABA5A94" w:rsidR="00AD505F" w:rsidRDefault="00AD505F" w:rsidP="00AD505F">
      <w:pPr>
        <w:spacing w:line="276" w:lineRule="auto"/>
        <w:jc w:val="center"/>
        <w:rPr>
          <w:rFonts w:cs="Arial"/>
          <w:b/>
          <w:bCs/>
          <w:i/>
          <w:iCs/>
          <w:sz w:val="44"/>
          <w:szCs w:val="44"/>
        </w:rPr>
      </w:pPr>
    </w:p>
    <w:p w14:paraId="0A31CA2B" w14:textId="77777777" w:rsidR="00AD505F" w:rsidRDefault="00AD505F" w:rsidP="00AD505F">
      <w:pPr>
        <w:spacing w:line="276" w:lineRule="auto"/>
        <w:jc w:val="center"/>
        <w:rPr>
          <w:rFonts w:cs="Arial"/>
          <w:b/>
          <w:bCs/>
          <w:i/>
          <w:iCs/>
          <w:sz w:val="44"/>
          <w:szCs w:val="44"/>
        </w:rPr>
      </w:pPr>
    </w:p>
    <w:p w14:paraId="41552069" w14:textId="369C3A34" w:rsidR="00AD505F" w:rsidRDefault="00AD505F" w:rsidP="00AD505F">
      <w:pPr>
        <w:spacing w:line="276" w:lineRule="auto"/>
        <w:rPr>
          <w:rFonts w:cs="Arial"/>
          <w:sz w:val="36"/>
          <w:szCs w:val="36"/>
        </w:rPr>
      </w:pPr>
      <w:r w:rsidRPr="00AD505F">
        <w:rPr>
          <w:rFonts w:cs="Arial"/>
          <w:sz w:val="36"/>
          <w:szCs w:val="36"/>
        </w:rPr>
        <w:t>Module Name: Strategic Management and Sustainability</w:t>
      </w:r>
    </w:p>
    <w:p w14:paraId="2271A7F9" w14:textId="5221B782" w:rsidR="00AD505F" w:rsidRDefault="00AD505F" w:rsidP="00AD505F">
      <w:pPr>
        <w:spacing w:line="276" w:lineRule="auto"/>
        <w:rPr>
          <w:rFonts w:cs="Arial"/>
          <w:sz w:val="36"/>
          <w:szCs w:val="36"/>
        </w:rPr>
      </w:pPr>
      <w:r>
        <w:rPr>
          <w:rFonts w:cs="Arial"/>
          <w:sz w:val="36"/>
          <w:szCs w:val="36"/>
        </w:rPr>
        <w:t>Module Number: LCBB6004</w:t>
      </w:r>
    </w:p>
    <w:p w14:paraId="7289E20C" w14:textId="58D8BDC9" w:rsidR="00AD505F" w:rsidRDefault="00AD505F" w:rsidP="00AD505F">
      <w:pPr>
        <w:spacing w:line="276" w:lineRule="auto"/>
        <w:rPr>
          <w:rFonts w:cs="Arial"/>
          <w:sz w:val="36"/>
          <w:szCs w:val="36"/>
        </w:rPr>
      </w:pPr>
      <w:r>
        <w:rPr>
          <w:rFonts w:cs="Arial"/>
          <w:sz w:val="36"/>
          <w:szCs w:val="36"/>
        </w:rPr>
        <w:t>Title of the Assignment: Assignment 1</w:t>
      </w:r>
    </w:p>
    <w:p w14:paraId="0DF5AAB4" w14:textId="2233A717" w:rsidR="00AD505F" w:rsidRDefault="00AD505F" w:rsidP="00AD505F">
      <w:pPr>
        <w:spacing w:line="276" w:lineRule="auto"/>
        <w:rPr>
          <w:rFonts w:cs="Arial"/>
          <w:sz w:val="36"/>
          <w:szCs w:val="36"/>
        </w:rPr>
      </w:pPr>
    </w:p>
    <w:p w14:paraId="329DD900" w14:textId="6BFBBA01" w:rsidR="00421A67" w:rsidRDefault="00421A67" w:rsidP="00AD505F">
      <w:pPr>
        <w:spacing w:line="276" w:lineRule="auto"/>
        <w:rPr>
          <w:rFonts w:cs="Arial"/>
          <w:sz w:val="36"/>
          <w:szCs w:val="36"/>
        </w:rPr>
      </w:pPr>
      <w:r>
        <w:rPr>
          <w:rFonts w:cs="Arial"/>
          <w:sz w:val="36"/>
          <w:szCs w:val="36"/>
        </w:rPr>
        <w:t>Student Name: Rumyan Zarankov</w:t>
      </w:r>
    </w:p>
    <w:p w14:paraId="2A15550D" w14:textId="331BB485" w:rsidR="00421A67" w:rsidRDefault="00421A67" w:rsidP="00AD505F">
      <w:pPr>
        <w:spacing w:line="276" w:lineRule="auto"/>
        <w:rPr>
          <w:rFonts w:cs="Arial"/>
          <w:sz w:val="36"/>
          <w:szCs w:val="36"/>
        </w:rPr>
      </w:pPr>
      <w:r>
        <w:rPr>
          <w:rFonts w:cs="Arial"/>
          <w:sz w:val="36"/>
          <w:szCs w:val="36"/>
        </w:rPr>
        <w:t>Student Number: 1913489</w:t>
      </w:r>
    </w:p>
    <w:p w14:paraId="48E92B68" w14:textId="3068ADCC" w:rsidR="00421A67" w:rsidRDefault="00421A67" w:rsidP="00AD505F">
      <w:pPr>
        <w:spacing w:line="276" w:lineRule="auto"/>
        <w:rPr>
          <w:rFonts w:cs="Arial"/>
          <w:sz w:val="36"/>
          <w:szCs w:val="36"/>
        </w:rPr>
      </w:pPr>
      <w:r>
        <w:rPr>
          <w:rFonts w:cs="Arial"/>
          <w:sz w:val="36"/>
          <w:szCs w:val="36"/>
        </w:rPr>
        <w:t>Lecturer: Ejiro Esohwode</w:t>
      </w:r>
    </w:p>
    <w:p w14:paraId="3AE03E95" w14:textId="47CD9AF1" w:rsidR="00421A67" w:rsidRDefault="00421A67" w:rsidP="00AD505F">
      <w:pPr>
        <w:spacing w:line="276" w:lineRule="auto"/>
        <w:rPr>
          <w:rFonts w:cs="Arial"/>
          <w:sz w:val="36"/>
          <w:szCs w:val="36"/>
        </w:rPr>
      </w:pPr>
    </w:p>
    <w:p w14:paraId="35BDEDF6" w14:textId="02712412" w:rsidR="00421A67" w:rsidRDefault="00421A67" w:rsidP="00AD505F">
      <w:pPr>
        <w:spacing w:line="276" w:lineRule="auto"/>
        <w:rPr>
          <w:rFonts w:cs="Arial"/>
          <w:sz w:val="36"/>
          <w:szCs w:val="36"/>
        </w:rPr>
      </w:pPr>
      <w:r>
        <w:rPr>
          <w:rFonts w:cs="Arial"/>
          <w:sz w:val="36"/>
          <w:szCs w:val="36"/>
        </w:rPr>
        <w:t>Submission Date: 04/09/2022</w:t>
      </w:r>
    </w:p>
    <w:p w14:paraId="498182B5" w14:textId="305A8D7F" w:rsidR="00421A67" w:rsidRDefault="00421A67" w:rsidP="00AD505F">
      <w:pPr>
        <w:spacing w:line="276" w:lineRule="auto"/>
        <w:rPr>
          <w:rFonts w:cs="Arial"/>
          <w:sz w:val="36"/>
          <w:szCs w:val="36"/>
        </w:rPr>
      </w:pPr>
    </w:p>
    <w:p w14:paraId="1CF31B34" w14:textId="77777777" w:rsidR="00421A67" w:rsidRDefault="00421A67">
      <w:pPr>
        <w:spacing w:line="259" w:lineRule="auto"/>
        <w:rPr>
          <w:rFonts w:cs="Arial"/>
          <w:sz w:val="36"/>
          <w:szCs w:val="36"/>
        </w:rPr>
      </w:pPr>
      <w:r>
        <w:rPr>
          <w:rFonts w:cs="Arial"/>
          <w:sz w:val="36"/>
          <w:szCs w:val="36"/>
        </w:rPr>
        <w:br w:type="page"/>
      </w:r>
    </w:p>
    <w:sdt>
      <w:sdtPr>
        <w:id w:val="-1739628811"/>
        <w:docPartObj>
          <w:docPartGallery w:val="Table of Contents"/>
          <w:docPartUnique/>
        </w:docPartObj>
      </w:sdtPr>
      <w:sdtEndPr>
        <w:rPr>
          <w:rFonts w:ascii="Arial" w:eastAsiaTheme="minorHAnsi" w:hAnsi="Arial" w:cstheme="minorBidi"/>
          <w:b/>
          <w:bCs/>
          <w:color w:val="auto"/>
          <w:sz w:val="22"/>
          <w:szCs w:val="22"/>
          <w:lang w:eastAsia="en-US"/>
        </w:rPr>
      </w:sdtEndPr>
      <w:sdtContent>
        <w:p w14:paraId="1999EC61" w14:textId="143C337B" w:rsidR="004E0280" w:rsidRDefault="004E0280">
          <w:pPr>
            <w:pStyle w:val="TOCHeading"/>
          </w:pPr>
          <w:r>
            <w:t>Contents</w:t>
          </w:r>
        </w:p>
        <w:p w14:paraId="19F32F35" w14:textId="53D50B23" w:rsidR="004E0280" w:rsidRDefault="004E0280">
          <w:pPr>
            <w:pStyle w:val="TOC1"/>
            <w:tabs>
              <w:tab w:val="right" w:leader="dot" w:pos="826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3188827" w:history="1">
            <w:r w:rsidRPr="00F761B4">
              <w:rPr>
                <w:rStyle w:val="Hyperlink"/>
                <w:rFonts w:cs="Arial"/>
                <w:noProof/>
              </w:rPr>
              <w:t>Introduction</w:t>
            </w:r>
            <w:r>
              <w:rPr>
                <w:noProof/>
                <w:webHidden/>
              </w:rPr>
              <w:tab/>
            </w:r>
            <w:r>
              <w:rPr>
                <w:noProof/>
                <w:webHidden/>
              </w:rPr>
              <w:fldChar w:fldCharType="begin"/>
            </w:r>
            <w:r>
              <w:rPr>
                <w:noProof/>
                <w:webHidden/>
              </w:rPr>
              <w:instrText xml:space="preserve"> PAGEREF _Toc113188827 \h </w:instrText>
            </w:r>
            <w:r>
              <w:rPr>
                <w:noProof/>
                <w:webHidden/>
              </w:rPr>
            </w:r>
            <w:r>
              <w:rPr>
                <w:noProof/>
                <w:webHidden/>
              </w:rPr>
              <w:fldChar w:fldCharType="separate"/>
            </w:r>
            <w:r>
              <w:rPr>
                <w:noProof/>
                <w:webHidden/>
              </w:rPr>
              <w:t>3</w:t>
            </w:r>
            <w:r>
              <w:rPr>
                <w:noProof/>
                <w:webHidden/>
              </w:rPr>
              <w:fldChar w:fldCharType="end"/>
            </w:r>
          </w:hyperlink>
        </w:p>
        <w:p w14:paraId="2166B6FC" w14:textId="04BE78E5" w:rsidR="004E0280" w:rsidRDefault="004E0280">
          <w:pPr>
            <w:pStyle w:val="TOC1"/>
            <w:tabs>
              <w:tab w:val="right" w:leader="dot" w:pos="8268"/>
            </w:tabs>
            <w:rPr>
              <w:rFonts w:asciiTheme="minorHAnsi" w:eastAsiaTheme="minorEastAsia" w:hAnsiTheme="minorHAnsi"/>
              <w:noProof/>
              <w:lang w:eastAsia="en-GB"/>
            </w:rPr>
          </w:pPr>
          <w:hyperlink w:anchor="_Toc113188828" w:history="1">
            <w:r w:rsidRPr="00F761B4">
              <w:rPr>
                <w:rStyle w:val="Hyperlink"/>
                <w:rFonts w:cs="Arial"/>
                <w:noProof/>
              </w:rPr>
              <w:t>Key Business Strategies of VW</w:t>
            </w:r>
            <w:r>
              <w:rPr>
                <w:noProof/>
                <w:webHidden/>
              </w:rPr>
              <w:tab/>
            </w:r>
            <w:r>
              <w:rPr>
                <w:noProof/>
                <w:webHidden/>
              </w:rPr>
              <w:fldChar w:fldCharType="begin"/>
            </w:r>
            <w:r>
              <w:rPr>
                <w:noProof/>
                <w:webHidden/>
              </w:rPr>
              <w:instrText xml:space="preserve"> PAGEREF _Toc113188828 \h </w:instrText>
            </w:r>
            <w:r>
              <w:rPr>
                <w:noProof/>
                <w:webHidden/>
              </w:rPr>
            </w:r>
            <w:r>
              <w:rPr>
                <w:noProof/>
                <w:webHidden/>
              </w:rPr>
              <w:fldChar w:fldCharType="separate"/>
            </w:r>
            <w:r>
              <w:rPr>
                <w:noProof/>
                <w:webHidden/>
              </w:rPr>
              <w:t>3</w:t>
            </w:r>
            <w:r>
              <w:rPr>
                <w:noProof/>
                <w:webHidden/>
              </w:rPr>
              <w:fldChar w:fldCharType="end"/>
            </w:r>
          </w:hyperlink>
        </w:p>
        <w:p w14:paraId="7C8693E5" w14:textId="14204CD6" w:rsidR="004E0280" w:rsidRDefault="004E0280">
          <w:pPr>
            <w:pStyle w:val="TOC2"/>
            <w:tabs>
              <w:tab w:val="right" w:leader="dot" w:pos="8268"/>
            </w:tabs>
            <w:rPr>
              <w:rFonts w:asciiTheme="minorHAnsi" w:eastAsiaTheme="minorEastAsia" w:hAnsiTheme="minorHAnsi"/>
              <w:noProof/>
              <w:lang w:eastAsia="en-GB"/>
            </w:rPr>
          </w:pPr>
          <w:hyperlink w:anchor="_Toc113188829" w:history="1">
            <w:r w:rsidRPr="00F761B4">
              <w:rPr>
                <w:rStyle w:val="Hyperlink"/>
                <w:rFonts w:cs="Arial"/>
                <w:noProof/>
              </w:rPr>
              <w:t>International Strategies through Global Expansion</w:t>
            </w:r>
            <w:r>
              <w:rPr>
                <w:noProof/>
                <w:webHidden/>
              </w:rPr>
              <w:tab/>
            </w:r>
            <w:r>
              <w:rPr>
                <w:noProof/>
                <w:webHidden/>
              </w:rPr>
              <w:fldChar w:fldCharType="begin"/>
            </w:r>
            <w:r>
              <w:rPr>
                <w:noProof/>
                <w:webHidden/>
              </w:rPr>
              <w:instrText xml:space="preserve"> PAGEREF _Toc113188829 \h </w:instrText>
            </w:r>
            <w:r>
              <w:rPr>
                <w:noProof/>
                <w:webHidden/>
              </w:rPr>
            </w:r>
            <w:r>
              <w:rPr>
                <w:noProof/>
                <w:webHidden/>
              </w:rPr>
              <w:fldChar w:fldCharType="separate"/>
            </w:r>
            <w:r>
              <w:rPr>
                <w:noProof/>
                <w:webHidden/>
              </w:rPr>
              <w:t>3</w:t>
            </w:r>
            <w:r>
              <w:rPr>
                <w:noProof/>
                <w:webHidden/>
              </w:rPr>
              <w:fldChar w:fldCharType="end"/>
            </w:r>
          </w:hyperlink>
        </w:p>
        <w:p w14:paraId="51E4BACA" w14:textId="017C4F1D" w:rsidR="004E0280" w:rsidRDefault="004E0280">
          <w:pPr>
            <w:pStyle w:val="TOC2"/>
            <w:tabs>
              <w:tab w:val="right" w:leader="dot" w:pos="8268"/>
            </w:tabs>
            <w:rPr>
              <w:rFonts w:asciiTheme="minorHAnsi" w:eastAsiaTheme="minorEastAsia" w:hAnsiTheme="minorHAnsi"/>
              <w:noProof/>
              <w:lang w:eastAsia="en-GB"/>
            </w:rPr>
          </w:pPr>
          <w:hyperlink w:anchor="_Toc113188830" w:history="1">
            <w:r w:rsidRPr="00F761B4">
              <w:rPr>
                <w:rStyle w:val="Hyperlink"/>
                <w:rFonts w:cs="Arial"/>
                <w:noProof/>
              </w:rPr>
              <w:t>Ansoff growth matrix strategy</w:t>
            </w:r>
            <w:r>
              <w:rPr>
                <w:noProof/>
                <w:webHidden/>
              </w:rPr>
              <w:tab/>
            </w:r>
            <w:r>
              <w:rPr>
                <w:noProof/>
                <w:webHidden/>
              </w:rPr>
              <w:fldChar w:fldCharType="begin"/>
            </w:r>
            <w:r>
              <w:rPr>
                <w:noProof/>
                <w:webHidden/>
              </w:rPr>
              <w:instrText xml:space="preserve"> PAGEREF _Toc113188830 \h </w:instrText>
            </w:r>
            <w:r>
              <w:rPr>
                <w:noProof/>
                <w:webHidden/>
              </w:rPr>
            </w:r>
            <w:r>
              <w:rPr>
                <w:noProof/>
                <w:webHidden/>
              </w:rPr>
              <w:fldChar w:fldCharType="separate"/>
            </w:r>
            <w:r>
              <w:rPr>
                <w:noProof/>
                <w:webHidden/>
              </w:rPr>
              <w:t>4</w:t>
            </w:r>
            <w:r>
              <w:rPr>
                <w:noProof/>
                <w:webHidden/>
              </w:rPr>
              <w:fldChar w:fldCharType="end"/>
            </w:r>
          </w:hyperlink>
        </w:p>
        <w:p w14:paraId="4EDEC84D" w14:textId="3247EFEE" w:rsidR="004E0280" w:rsidRDefault="004E0280">
          <w:pPr>
            <w:pStyle w:val="TOC1"/>
            <w:tabs>
              <w:tab w:val="right" w:leader="dot" w:pos="8268"/>
            </w:tabs>
            <w:rPr>
              <w:rFonts w:asciiTheme="minorHAnsi" w:eastAsiaTheme="minorEastAsia" w:hAnsiTheme="minorHAnsi"/>
              <w:noProof/>
              <w:lang w:eastAsia="en-GB"/>
            </w:rPr>
          </w:pPr>
          <w:hyperlink w:anchor="_Toc113188831" w:history="1">
            <w:r w:rsidRPr="00F761B4">
              <w:rPr>
                <w:rStyle w:val="Hyperlink"/>
                <w:rFonts w:cs="Arial"/>
                <w:noProof/>
              </w:rPr>
              <w:t>Resources used in the last five years</w:t>
            </w:r>
            <w:r>
              <w:rPr>
                <w:noProof/>
                <w:webHidden/>
              </w:rPr>
              <w:tab/>
            </w:r>
            <w:r>
              <w:rPr>
                <w:noProof/>
                <w:webHidden/>
              </w:rPr>
              <w:fldChar w:fldCharType="begin"/>
            </w:r>
            <w:r>
              <w:rPr>
                <w:noProof/>
                <w:webHidden/>
              </w:rPr>
              <w:instrText xml:space="preserve"> PAGEREF _Toc113188831 \h </w:instrText>
            </w:r>
            <w:r>
              <w:rPr>
                <w:noProof/>
                <w:webHidden/>
              </w:rPr>
            </w:r>
            <w:r>
              <w:rPr>
                <w:noProof/>
                <w:webHidden/>
              </w:rPr>
              <w:fldChar w:fldCharType="separate"/>
            </w:r>
            <w:r>
              <w:rPr>
                <w:noProof/>
                <w:webHidden/>
              </w:rPr>
              <w:t>6</w:t>
            </w:r>
            <w:r>
              <w:rPr>
                <w:noProof/>
                <w:webHidden/>
              </w:rPr>
              <w:fldChar w:fldCharType="end"/>
            </w:r>
          </w:hyperlink>
        </w:p>
        <w:p w14:paraId="53B7018C" w14:textId="262620A6" w:rsidR="004E0280" w:rsidRDefault="004E0280">
          <w:pPr>
            <w:pStyle w:val="TOC1"/>
            <w:tabs>
              <w:tab w:val="right" w:leader="dot" w:pos="8268"/>
            </w:tabs>
            <w:rPr>
              <w:rFonts w:asciiTheme="minorHAnsi" w:eastAsiaTheme="minorEastAsia" w:hAnsiTheme="minorHAnsi"/>
              <w:noProof/>
              <w:lang w:eastAsia="en-GB"/>
            </w:rPr>
          </w:pPr>
          <w:hyperlink w:anchor="_Toc113188832" w:history="1">
            <w:r w:rsidRPr="00F761B4">
              <w:rPr>
                <w:rStyle w:val="Hyperlink"/>
                <w:rFonts w:cs="Arial"/>
                <w:noProof/>
              </w:rPr>
              <w:t>Alignment of resources and capabilities to its current business strategies (Porter’s 5 Forces).</w:t>
            </w:r>
            <w:r>
              <w:rPr>
                <w:noProof/>
                <w:webHidden/>
              </w:rPr>
              <w:tab/>
            </w:r>
            <w:r>
              <w:rPr>
                <w:noProof/>
                <w:webHidden/>
              </w:rPr>
              <w:fldChar w:fldCharType="begin"/>
            </w:r>
            <w:r>
              <w:rPr>
                <w:noProof/>
                <w:webHidden/>
              </w:rPr>
              <w:instrText xml:space="preserve"> PAGEREF _Toc113188832 \h </w:instrText>
            </w:r>
            <w:r>
              <w:rPr>
                <w:noProof/>
                <w:webHidden/>
              </w:rPr>
            </w:r>
            <w:r>
              <w:rPr>
                <w:noProof/>
                <w:webHidden/>
              </w:rPr>
              <w:fldChar w:fldCharType="separate"/>
            </w:r>
            <w:r>
              <w:rPr>
                <w:noProof/>
                <w:webHidden/>
              </w:rPr>
              <w:t>8</w:t>
            </w:r>
            <w:r>
              <w:rPr>
                <w:noProof/>
                <w:webHidden/>
              </w:rPr>
              <w:fldChar w:fldCharType="end"/>
            </w:r>
          </w:hyperlink>
        </w:p>
        <w:p w14:paraId="2EC32DF4" w14:textId="440F43CC" w:rsidR="004E0280" w:rsidRDefault="004E0280">
          <w:pPr>
            <w:pStyle w:val="TOC1"/>
            <w:tabs>
              <w:tab w:val="right" w:leader="dot" w:pos="8268"/>
            </w:tabs>
            <w:rPr>
              <w:rFonts w:asciiTheme="minorHAnsi" w:eastAsiaTheme="minorEastAsia" w:hAnsiTheme="minorHAnsi"/>
              <w:noProof/>
              <w:lang w:eastAsia="en-GB"/>
            </w:rPr>
          </w:pPr>
          <w:hyperlink w:anchor="_Toc113188833" w:history="1">
            <w:r w:rsidRPr="00F761B4">
              <w:rPr>
                <w:rStyle w:val="Hyperlink"/>
                <w:rFonts w:cs="Arial"/>
                <w:noProof/>
              </w:rPr>
              <w:t>VW’s Alignment of Resources and Capabilities to succeed in the Environment</w:t>
            </w:r>
            <w:r>
              <w:rPr>
                <w:noProof/>
                <w:webHidden/>
              </w:rPr>
              <w:tab/>
            </w:r>
            <w:r>
              <w:rPr>
                <w:noProof/>
                <w:webHidden/>
              </w:rPr>
              <w:fldChar w:fldCharType="begin"/>
            </w:r>
            <w:r>
              <w:rPr>
                <w:noProof/>
                <w:webHidden/>
              </w:rPr>
              <w:instrText xml:space="preserve"> PAGEREF _Toc113188833 \h </w:instrText>
            </w:r>
            <w:r>
              <w:rPr>
                <w:noProof/>
                <w:webHidden/>
              </w:rPr>
            </w:r>
            <w:r>
              <w:rPr>
                <w:noProof/>
                <w:webHidden/>
              </w:rPr>
              <w:fldChar w:fldCharType="separate"/>
            </w:r>
            <w:r>
              <w:rPr>
                <w:noProof/>
                <w:webHidden/>
              </w:rPr>
              <w:t>10</w:t>
            </w:r>
            <w:r>
              <w:rPr>
                <w:noProof/>
                <w:webHidden/>
              </w:rPr>
              <w:fldChar w:fldCharType="end"/>
            </w:r>
          </w:hyperlink>
        </w:p>
        <w:p w14:paraId="10C6B82B" w14:textId="18D6EB52" w:rsidR="004E0280" w:rsidRDefault="004E0280">
          <w:pPr>
            <w:pStyle w:val="TOC1"/>
            <w:tabs>
              <w:tab w:val="right" w:leader="dot" w:pos="8268"/>
            </w:tabs>
            <w:rPr>
              <w:rFonts w:asciiTheme="minorHAnsi" w:eastAsiaTheme="minorEastAsia" w:hAnsiTheme="minorHAnsi"/>
              <w:noProof/>
              <w:lang w:eastAsia="en-GB"/>
            </w:rPr>
          </w:pPr>
          <w:hyperlink w:anchor="_Toc113188834" w:history="1">
            <w:r w:rsidRPr="00F761B4">
              <w:rPr>
                <w:rStyle w:val="Hyperlink"/>
                <w:rFonts w:cs="Arial"/>
                <w:noProof/>
              </w:rPr>
              <w:t>How VW has tried to become more Competitive</w:t>
            </w:r>
            <w:r>
              <w:rPr>
                <w:noProof/>
                <w:webHidden/>
              </w:rPr>
              <w:tab/>
            </w:r>
            <w:r>
              <w:rPr>
                <w:noProof/>
                <w:webHidden/>
              </w:rPr>
              <w:fldChar w:fldCharType="begin"/>
            </w:r>
            <w:r>
              <w:rPr>
                <w:noProof/>
                <w:webHidden/>
              </w:rPr>
              <w:instrText xml:space="preserve"> PAGEREF _Toc113188834 \h </w:instrText>
            </w:r>
            <w:r>
              <w:rPr>
                <w:noProof/>
                <w:webHidden/>
              </w:rPr>
            </w:r>
            <w:r>
              <w:rPr>
                <w:noProof/>
                <w:webHidden/>
              </w:rPr>
              <w:fldChar w:fldCharType="separate"/>
            </w:r>
            <w:r>
              <w:rPr>
                <w:noProof/>
                <w:webHidden/>
              </w:rPr>
              <w:t>11</w:t>
            </w:r>
            <w:r>
              <w:rPr>
                <w:noProof/>
                <w:webHidden/>
              </w:rPr>
              <w:fldChar w:fldCharType="end"/>
            </w:r>
          </w:hyperlink>
        </w:p>
        <w:p w14:paraId="32940AE3" w14:textId="0BDD0A2F" w:rsidR="004E0280" w:rsidRDefault="004E0280">
          <w:pPr>
            <w:pStyle w:val="TOC1"/>
            <w:tabs>
              <w:tab w:val="right" w:leader="dot" w:pos="8268"/>
            </w:tabs>
            <w:rPr>
              <w:rFonts w:asciiTheme="minorHAnsi" w:eastAsiaTheme="minorEastAsia" w:hAnsiTheme="minorHAnsi"/>
              <w:noProof/>
              <w:lang w:eastAsia="en-GB"/>
            </w:rPr>
          </w:pPr>
          <w:hyperlink w:anchor="_Toc113188835" w:history="1">
            <w:r w:rsidRPr="00F761B4">
              <w:rPr>
                <w:rStyle w:val="Hyperlink"/>
                <w:rFonts w:cs="Arial"/>
                <w:noProof/>
              </w:rPr>
              <w:t>Conclusion</w:t>
            </w:r>
            <w:r>
              <w:rPr>
                <w:noProof/>
                <w:webHidden/>
              </w:rPr>
              <w:tab/>
            </w:r>
            <w:r>
              <w:rPr>
                <w:noProof/>
                <w:webHidden/>
              </w:rPr>
              <w:fldChar w:fldCharType="begin"/>
            </w:r>
            <w:r>
              <w:rPr>
                <w:noProof/>
                <w:webHidden/>
              </w:rPr>
              <w:instrText xml:space="preserve"> PAGEREF _Toc113188835 \h </w:instrText>
            </w:r>
            <w:r>
              <w:rPr>
                <w:noProof/>
                <w:webHidden/>
              </w:rPr>
            </w:r>
            <w:r>
              <w:rPr>
                <w:noProof/>
                <w:webHidden/>
              </w:rPr>
              <w:fldChar w:fldCharType="separate"/>
            </w:r>
            <w:r>
              <w:rPr>
                <w:noProof/>
                <w:webHidden/>
              </w:rPr>
              <w:t>12</w:t>
            </w:r>
            <w:r>
              <w:rPr>
                <w:noProof/>
                <w:webHidden/>
              </w:rPr>
              <w:fldChar w:fldCharType="end"/>
            </w:r>
          </w:hyperlink>
        </w:p>
        <w:p w14:paraId="747261F4" w14:textId="75E53AC7" w:rsidR="004E0280" w:rsidRDefault="004E0280">
          <w:pPr>
            <w:pStyle w:val="TOC1"/>
            <w:tabs>
              <w:tab w:val="right" w:leader="dot" w:pos="8268"/>
            </w:tabs>
            <w:rPr>
              <w:rFonts w:asciiTheme="minorHAnsi" w:eastAsiaTheme="minorEastAsia" w:hAnsiTheme="minorHAnsi"/>
              <w:noProof/>
              <w:lang w:eastAsia="en-GB"/>
            </w:rPr>
          </w:pPr>
          <w:hyperlink w:anchor="_Toc113188836" w:history="1">
            <w:r w:rsidRPr="00F761B4">
              <w:rPr>
                <w:rStyle w:val="Hyperlink"/>
                <w:rFonts w:cs="Arial"/>
                <w:noProof/>
              </w:rPr>
              <w:t>References</w:t>
            </w:r>
            <w:r>
              <w:rPr>
                <w:noProof/>
                <w:webHidden/>
              </w:rPr>
              <w:tab/>
            </w:r>
            <w:r>
              <w:rPr>
                <w:noProof/>
                <w:webHidden/>
              </w:rPr>
              <w:fldChar w:fldCharType="begin"/>
            </w:r>
            <w:r>
              <w:rPr>
                <w:noProof/>
                <w:webHidden/>
              </w:rPr>
              <w:instrText xml:space="preserve"> PAGEREF _Toc113188836 \h </w:instrText>
            </w:r>
            <w:r>
              <w:rPr>
                <w:noProof/>
                <w:webHidden/>
              </w:rPr>
            </w:r>
            <w:r>
              <w:rPr>
                <w:noProof/>
                <w:webHidden/>
              </w:rPr>
              <w:fldChar w:fldCharType="separate"/>
            </w:r>
            <w:r>
              <w:rPr>
                <w:noProof/>
                <w:webHidden/>
              </w:rPr>
              <w:t>13</w:t>
            </w:r>
            <w:r>
              <w:rPr>
                <w:noProof/>
                <w:webHidden/>
              </w:rPr>
              <w:fldChar w:fldCharType="end"/>
            </w:r>
          </w:hyperlink>
        </w:p>
        <w:p w14:paraId="410DF56B" w14:textId="6324D662" w:rsidR="004E0280" w:rsidRDefault="004E0280">
          <w:r>
            <w:rPr>
              <w:b/>
              <w:bCs/>
            </w:rPr>
            <w:fldChar w:fldCharType="end"/>
          </w:r>
        </w:p>
      </w:sdtContent>
    </w:sdt>
    <w:p w14:paraId="38766056" w14:textId="51F30317" w:rsidR="00421A67" w:rsidRDefault="00421A67" w:rsidP="00AD505F">
      <w:pPr>
        <w:spacing w:line="276" w:lineRule="auto"/>
        <w:rPr>
          <w:rFonts w:cs="Arial"/>
          <w:sz w:val="36"/>
          <w:szCs w:val="36"/>
        </w:rPr>
      </w:pPr>
    </w:p>
    <w:p w14:paraId="72CA70E7" w14:textId="77777777" w:rsidR="00421A67" w:rsidRDefault="00421A67">
      <w:pPr>
        <w:spacing w:line="259" w:lineRule="auto"/>
        <w:rPr>
          <w:rFonts w:cs="Arial"/>
          <w:sz w:val="36"/>
          <w:szCs w:val="36"/>
        </w:rPr>
      </w:pPr>
      <w:r>
        <w:rPr>
          <w:rFonts w:cs="Arial"/>
          <w:sz w:val="36"/>
          <w:szCs w:val="36"/>
        </w:rPr>
        <w:br w:type="page"/>
      </w:r>
    </w:p>
    <w:p w14:paraId="19224179" w14:textId="77777777" w:rsidR="004E0280" w:rsidRPr="004E0280" w:rsidRDefault="004E0280" w:rsidP="004E0280">
      <w:pPr>
        <w:pStyle w:val="Heading1"/>
        <w:spacing w:line="480" w:lineRule="auto"/>
        <w:rPr>
          <w:rFonts w:ascii="Arial" w:hAnsi="Arial" w:cs="Arial"/>
          <w:sz w:val="22"/>
          <w:szCs w:val="22"/>
        </w:rPr>
      </w:pPr>
      <w:bookmarkStart w:id="0" w:name="_Toc113188827"/>
      <w:r w:rsidRPr="004E0280">
        <w:rPr>
          <w:rFonts w:ascii="Arial" w:hAnsi="Arial" w:cs="Arial"/>
          <w:sz w:val="22"/>
          <w:szCs w:val="22"/>
        </w:rPr>
        <w:lastRenderedPageBreak/>
        <w:t>Introduction</w:t>
      </w:r>
      <w:bookmarkEnd w:id="0"/>
    </w:p>
    <w:p w14:paraId="52368C22" w14:textId="7685BAB8" w:rsidR="004E0280" w:rsidRPr="004E0280" w:rsidRDefault="004E0280" w:rsidP="004E0280">
      <w:pPr>
        <w:spacing w:before="240" w:after="240" w:line="480" w:lineRule="auto"/>
        <w:ind w:firstLine="720"/>
        <w:contextualSpacing/>
        <w:jc w:val="both"/>
        <w:rPr>
          <w:rFonts w:cs="Arial"/>
        </w:rPr>
      </w:pPr>
      <w:r w:rsidRPr="004E0280">
        <w:rPr>
          <w:rFonts w:cs="Arial"/>
        </w:rPr>
        <w:t xml:space="preserve">Volkswagen is a motor manufacturing company with its business headquartered in Wolfsburg, Germany. The firm is the biggest manufacturer in Europe and globally and ranks second. VW has 12 brands under which each name operates independently of the others and has a market. The firm offers vehicles for various social strata, including high-end models, economic models, student cars, and businesspeople, providing aesthetically pleasing, ecologically friendly, and safe vehicles in over 150 countries. In addition to other regions, it operates in Europe, North America, South America, and the Asia Pacific. This report </w:t>
      </w:r>
      <w:r w:rsidR="008B2AEA" w:rsidRPr="004E0280">
        <w:rPr>
          <w:rFonts w:cs="Arial"/>
        </w:rPr>
        <w:t>analyses</w:t>
      </w:r>
      <w:r w:rsidRPr="004E0280">
        <w:rPr>
          <w:rFonts w:cs="Arial"/>
        </w:rPr>
        <w:t xml:space="preserve"> the Volkswagen case study emphasizing key business strategies, resources and capabilities, competitiveness, and other sustainability practices. The analysis identifies crucial elements that ultimately contributed to the company's success. For example, innovative leadership contributed to change in the business profile for continued company profitability.</w:t>
      </w:r>
    </w:p>
    <w:p w14:paraId="11AAE8A5" w14:textId="77777777" w:rsidR="004E0280" w:rsidRPr="004E0280" w:rsidRDefault="004E0280" w:rsidP="004E0280">
      <w:pPr>
        <w:pStyle w:val="Heading1"/>
        <w:spacing w:line="480" w:lineRule="auto"/>
        <w:rPr>
          <w:rFonts w:ascii="Arial" w:hAnsi="Arial" w:cs="Arial"/>
          <w:sz w:val="22"/>
          <w:szCs w:val="22"/>
        </w:rPr>
      </w:pPr>
      <w:bookmarkStart w:id="1" w:name="_Toc113188828"/>
      <w:r w:rsidRPr="004E0280">
        <w:rPr>
          <w:rFonts w:ascii="Arial" w:hAnsi="Arial" w:cs="Arial"/>
          <w:sz w:val="22"/>
          <w:szCs w:val="22"/>
        </w:rPr>
        <w:t>Key Business Strategies of VW</w:t>
      </w:r>
      <w:bookmarkEnd w:id="1"/>
    </w:p>
    <w:p w14:paraId="64ABB1D2" w14:textId="77777777" w:rsidR="004E0280" w:rsidRPr="004E0280" w:rsidRDefault="004E0280" w:rsidP="004E0280">
      <w:pPr>
        <w:spacing w:before="240" w:after="240" w:line="480" w:lineRule="auto"/>
        <w:contextualSpacing/>
        <w:jc w:val="both"/>
        <w:rPr>
          <w:rFonts w:cs="Arial"/>
        </w:rPr>
      </w:pPr>
      <w:r w:rsidRPr="004E0280">
        <w:rPr>
          <w:rFonts w:cs="Arial"/>
        </w:rPr>
        <w:t xml:space="preserve">The past strategic decisions for Volkswagen involved creating cutting-edge products for its global market. </w:t>
      </w:r>
    </w:p>
    <w:p w14:paraId="29D1A1C1" w14:textId="77777777" w:rsidR="004E0280" w:rsidRPr="004E0280" w:rsidRDefault="004E0280" w:rsidP="004E0280">
      <w:pPr>
        <w:pStyle w:val="Heading2"/>
        <w:spacing w:line="480" w:lineRule="auto"/>
        <w:rPr>
          <w:rFonts w:ascii="Arial" w:hAnsi="Arial" w:cs="Arial"/>
          <w:sz w:val="22"/>
          <w:szCs w:val="22"/>
        </w:rPr>
      </w:pPr>
      <w:bookmarkStart w:id="2" w:name="_Toc113188829"/>
      <w:r w:rsidRPr="004E0280">
        <w:rPr>
          <w:rFonts w:ascii="Arial" w:hAnsi="Arial" w:cs="Arial"/>
          <w:sz w:val="22"/>
          <w:szCs w:val="22"/>
        </w:rPr>
        <w:t>International Strategies through Global Expansion</w:t>
      </w:r>
      <w:bookmarkEnd w:id="2"/>
    </w:p>
    <w:p w14:paraId="6A372222" w14:textId="77777777" w:rsidR="004E0280" w:rsidRPr="004E0280" w:rsidRDefault="004E0280" w:rsidP="004E0280">
      <w:pPr>
        <w:spacing w:before="240" w:after="240" w:line="480" w:lineRule="auto"/>
        <w:contextualSpacing/>
        <w:jc w:val="both"/>
        <w:rPr>
          <w:rFonts w:cs="Arial"/>
        </w:rPr>
      </w:pPr>
      <w:r w:rsidRPr="004E0280">
        <w:rPr>
          <w:rFonts w:cs="Arial"/>
        </w:rPr>
        <w:t xml:space="preserve">Volkswagen Group focused on increasing the size of its manufacturing facilities by opening branches in different countries like China. Diversifying markets needed over €60 billion in projected expenditures and development costs in emerging industries, including hybridization, electric mobility, and digitalization, were expected. The percentage of projected spending on future projects increased to almost 40% (Welch, 2019). As the carmaker repositioned itself for the future, Volkswagen unveiled its corporate strategy, emphasizing software development, luxury services, and mobility. </w:t>
      </w:r>
      <w:r w:rsidRPr="004E0280">
        <w:rPr>
          <w:rFonts w:cs="Arial"/>
        </w:rPr>
        <w:lastRenderedPageBreak/>
        <w:t>A Volkswagen group automotive facility with a capacity of 500,000 vehicles per year opened in China in 2005 (Welch, 2019). Other important markets for Volkswagen Group are Europe, America, Asia, and Africa for small cars. The corporation had to grapple with its image, especially in the Asian market, where they are called European invaders. The business effectively established itself as a rival in international marketplaces and became successful in making a reputation for itself in North America, Asia, and Europe. VW maintains strategic production and sales targets remain current by going after unexploited markets for hybrid and small cars.</w:t>
      </w:r>
    </w:p>
    <w:p w14:paraId="602554F5" w14:textId="77777777" w:rsidR="004E0280" w:rsidRPr="004E0280" w:rsidRDefault="004E0280" w:rsidP="004E0280">
      <w:pPr>
        <w:pStyle w:val="Heading2"/>
        <w:spacing w:line="480" w:lineRule="auto"/>
        <w:rPr>
          <w:rFonts w:ascii="Arial" w:hAnsi="Arial" w:cs="Arial"/>
          <w:sz w:val="22"/>
          <w:szCs w:val="22"/>
        </w:rPr>
      </w:pPr>
      <w:bookmarkStart w:id="3" w:name="_Toc113188830"/>
      <w:r w:rsidRPr="004E0280">
        <w:rPr>
          <w:rFonts w:ascii="Arial" w:hAnsi="Arial" w:cs="Arial"/>
          <w:sz w:val="22"/>
          <w:szCs w:val="22"/>
        </w:rPr>
        <w:t>Ansoff growth matrix strategy</w:t>
      </w:r>
      <w:bookmarkEnd w:id="3"/>
    </w:p>
    <w:p w14:paraId="13391658" w14:textId="77777777" w:rsidR="004E0280" w:rsidRPr="004E0280" w:rsidRDefault="004E0280" w:rsidP="004E0280">
      <w:pPr>
        <w:spacing w:before="240" w:after="240" w:line="480" w:lineRule="auto"/>
        <w:contextualSpacing/>
        <w:jc w:val="both"/>
        <w:rPr>
          <w:rFonts w:cs="Arial"/>
        </w:rPr>
      </w:pPr>
      <w:r w:rsidRPr="004E0280">
        <w:rPr>
          <w:rFonts w:cs="Arial"/>
        </w:rPr>
        <w:t xml:space="preserve">Ansoff's growth matrix entails adopting strategies for diversification that focus on market penetration, product development, market development, and diversification. </w:t>
      </w:r>
    </w:p>
    <w:p w14:paraId="101AF18F" w14:textId="77777777" w:rsidR="004E0280" w:rsidRPr="004E0280" w:rsidRDefault="004E0280" w:rsidP="004E0280">
      <w:pPr>
        <w:spacing w:before="240" w:after="240" w:line="480" w:lineRule="auto"/>
        <w:contextualSpacing/>
        <w:jc w:val="both"/>
        <w:rPr>
          <w:rFonts w:cs="Arial"/>
          <w:b/>
        </w:rPr>
      </w:pPr>
      <w:r w:rsidRPr="004E0280">
        <w:rPr>
          <w:rFonts w:cs="Arial"/>
          <w:b/>
        </w:rPr>
        <w:t>Product Diversification</w:t>
      </w:r>
    </w:p>
    <w:p w14:paraId="74B1A847"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central theme of Wolfsburg's strategy involves a variety of revenue streams through product diversification, one centered on software and autonomous driving technologies. There are production sites for corporations all around the world. The product line consisted of twelve brands, and in 2017, investment in research and innovation increased to 4.8 billion euros (Bai, 2021). It has increased the level of collaboration among the brands it controls under research and development. The most recent model, the </w:t>
      </w:r>
      <w:r w:rsidRPr="002074E7">
        <w:rPr>
          <w:rFonts w:cs="Arial"/>
        </w:rPr>
        <w:t>Audi A8</w:t>
      </w:r>
      <w:r w:rsidRPr="004E0280">
        <w:rPr>
          <w:rFonts w:cs="Arial"/>
        </w:rPr>
        <w:t xml:space="preserve">, is designed for highly autonomous driving. Thus, the firm creates identifiable products and services as well as cutting-edge mobility solutions. The firm research vehicles and engines, the production and sale of passenger cars, and the industry for genuine replacement parts. Light commercial vehicles, trucks, and buses are all considered commercial vehicles. At the same time, power engineering includes large-bore diesel engines, turbo compressors, industrial turbines, chemical reactor systems, gear units, propulsion components, and testing apparatus (Bai, 2021). Financial Services include leasing, leasing for dealers and customers, fleet </w:t>
      </w:r>
      <w:r w:rsidRPr="004E0280">
        <w:rPr>
          <w:rFonts w:cs="Arial"/>
        </w:rPr>
        <w:lastRenderedPageBreak/>
        <w:t>management, banking, and insurance activities, and mobility services. Thus, the company has diversified into various fields to control a large global market.</w:t>
      </w:r>
    </w:p>
    <w:p w14:paraId="5E91A7DF" w14:textId="77777777" w:rsidR="004E0280" w:rsidRPr="004E0280" w:rsidRDefault="004E0280" w:rsidP="004E0280">
      <w:pPr>
        <w:spacing w:before="240" w:after="240" w:line="480" w:lineRule="auto"/>
        <w:contextualSpacing/>
        <w:jc w:val="both"/>
        <w:rPr>
          <w:rFonts w:cs="Arial"/>
          <w:b/>
        </w:rPr>
      </w:pPr>
      <w:r w:rsidRPr="004E0280">
        <w:rPr>
          <w:rFonts w:cs="Arial"/>
          <w:b/>
        </w:rPr>
        <w:t xml:space="preserve">Market development </w:t>
      </w:r>
    </w:p>
    <w:p w14:paraId="14E20E6D"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company's strategies focus on expanding the global markets while keeping up with modern technology and adhering to environmental standards. For example, VW's multi-brand strategy appeals to many people worldwide. It also promotes internal rivalry and encourages people to explore new brands. The firm thus aims to provide the global market with various product categories that include commercial business holding companies, premium (Audi), luxury (Porsche), and passenger vans. The products reflect the organization and express customers’ satisfaction with its brands as it frequently unveils new vehicle models. The strategy considers regional requirements and emphasizes each nation's particular traits while strongly emphasizing the need for quality. The firm strives to reduce costs through effective production techniques and economies of scale while ensuring the production of elegant, safe, and environmentally responsible automobiles that can compete in an increasingly competitive market and set global standards. Thus, VW maintains control and uses its broad international reach to optimize its negotiating power (Stotz et al., 2022). To ensure consistent and effective flows of high-quality and innovatively sourced components, VW builds long-lasting partnerships with various suppliers and demands high quality for its local and global brands.  </w:t>
      </w:r>
    </w:p>
    <w:p w14:paraId="3F501B1A" w14:textId="77777777" w:rsidR="004E0280" w:rsidRPr="004E0280" w:rsidRDefault="004E0280" w:rsidP="004E0280">
      <w:pPr>
        <w:spacing w:before="240" w:after="240" w:line="480" w:lineRule="auto"/>
        <w:contextualSpacing/>
        <w:jc w:val="both"/>
        <w:rPr>
          <w:rFonts w:cs="Arial"/>
          <w:b/>
        </w:rPr>
      </w:pPr>
      <w:r w:rsidRPr="004E0280">
        <w:rPr>
          <w:rFonts w:cs="Arial"/>
          <w:b/>
        </w:rPr>
        <w:t>Product Development</w:t>
      </w:r>
    </w:p>
    <w:p w14:paraId="7F2C946D"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VW's interest was to realign with automobile tends to be the best automaker and a leading supplier of sustainable mobility worldwide. Thus, it restructured its core automotive business to introduce electric vehicles while improving the product features of existing models. The brand names include Volkswagen, Porsche, Bugatti, Lamborghini, Bentley, Audi, Ducati, Scania, and Cupra, Volkswagen (Abimol and Pillai, 2018). With its use of environmentally friendly manufacturing techniques, the Volkswagen Group improved product models. Many of the rivals had recently started </w:t>
      </w:r>
      <w:r w:rsidRPr="004E0280">
        <w:rPr>
          <w:rFonts w:cs="Arial"/>
        </w:rPr>
        <w:lastRenderedPageBreak/>
        <w:t>creating hybrid models by capitalizing on the psychological influence of consumers' ideas about green concerns. This gave firms a competitive edge due to increased campaigns for environmentally friendly products. Moreover, innovation and partnerships through acquisitions for expansion were crucial to company growth. Each of the aspects is a complicated amalgamation of several actions, initiatives, and advancements that have been combined to support the objective of sustainable productivity growth.</w:t>
      </w:r>
    </w:p>
    <w:p w14:paraId="6C470D96" w14:textId="77777777" w:rsidR="004E0280" w:rsidRPr="004E0280" w:rsidRDefault="004E0280" w:rsidP="004E0280">
      <w:pPr>
        <w:spacing w:before="240" w:after="240" w:line="480" w:lineRule="auto"/>
        <w:contextualSpacing/>
        <w:jc w:val="both"/>
        <w:rPr>
          <w:rFonts w:cs="Arial"/>
          <w:b/>
        </w:rPr>
      </w:pPr>
      <w:r w:rsidRPr="004E0280">
        <w:rPr>
          <w:rFonts w:cs="Arial"/>
          <w:b/>
        </w:rPr>
        <w:t xml:space="preserve">Market Penetration </w:t>
      </w:r>
    </w:p>
    <w:p w14:paraId="7CE11439" w14:textId="77777777" w:rsidR="004E0280" w:rsidRPr="004E0280" w:rsidRDefault="004E0280" w:rsidP="004E0280">
      <w:pPr>
        <w:spacing w:before="240" w:after="240" w:line="480" w:lineRule="auto"/>
        <w:ind w:firstLine="720"/>
        <w:contextualSpacing/>
        <w:jc w:val="both"/>
        <w:rPr>
          <w:rFonts w:cs="Arial"/>
        </w:rPr>
      </w:pPr>
      <w:r w:rsidRPr="004E0280">
        <w:rPr>
          <w:rFonts w:cs="Arial"/>
        </w:rPr>
        <w:t>The management focused on improving marketing effectiveness and expanding to different clients. The significant strengths of Volkswagen included creativity for its wide range of goods for different market niches. Volkswagen has successfully maintained a powerful worldwide presence and a highly positive brand image which is an essential strategy for market penetration. The diesel gate scandal in 2015 may have somewhat damaged its reputation, but the brand has recovered well, demonstrating the power of its brand image (Mačaitytė and Virbašiūtė, 2018). The company has a presence in almost every country, and Europe and the Asia Pacific are two of its most significant marketplaces. These two areas continue to have the highest sales improving firm performance. Thus, it aimed at being an excellent employer, having delighted clients, competitive profitability, and being a role model for protecting the Environment and upholding moral principles. The organization desired the results of having the best products in the market.</w:t>
      </w:r>
    </w:p>
    <w:p w14:paraId="61D1BBBA" w14:textId="77777777" w:rsidR="004E0280" w:rsidRPr="004E0280" w:rsidRDefault="004E0280" w:rsidP="004E0280">
      <w:pPr>
        <w:pStyle w:val="Heading1"/>
        <w:spacing w:line="480" w:lineRule="auto"/>
        <w:rPr>
          <w:rFonts w:ascii="Arial" w:hAnsi="Arial" w:cs="Arial"/>
          <w:sz w:val="22"/>
          <w:szCs w:val="22"/>
        </w:rPr>
      </w:pPr>
      <w:bookmarkStart w:id="4" w:name="_Toc113188831"/>
      <w:r w:rsidRPr="004E0280">
        <w:rPr>
          <w:rFonts w:ascii="Arial" w:hAnsi="Arial" w:cs="Arial"/>
          <w:sz w:val="22"/>
          <w:szCs w:val="22"/>
        </w:rPr>
        <w:t>Resources used in the last five years</w:t>
      </w:r>
      <w:bookmarkEnd w:id="4"/>
    </w:p>
    <w:p w14:paraId="461BB380" w14:textId="77777777" w:rsidR="004E0280" w:rsidRPr="004E0280" w:rsidRDefault="004E0280" w:rsidP="004E0280">
      <w:pPr>
        <w:spacing w:before="240" w:after="240" w:line="480" w:lineRule="auto"/>
        <w:contextualSpacing/>
        <w:jc w:val="both"/>
        <w:rPr>
          <w:rFonts w:cs="Arial"/>
          <w:b/>
        </w:rPr>
      </w:pPr>
      <w:r w:rsidRPr="004E0280">
        <w:rPr>
          <w:rFonts w:cs="Arial"/>
          <w:b/>
        </w:rPr>
        <w:t>Human Resources</w:t>
      </w:r>
    </w:p>
    <w:p w14:paraId="2FC202AD"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Volkswagen has always used its resources to enable it to remain competitive. The company has transformed from a German enterprise into a multinational corporation. Human expertise is one of the resources that the business has utilized during the past five years. The best human resources available included organization </w:t>
      </w:r>
      <w:r w:rsidRPr="004E0280">
        <w:rPr>
          <w:rFonts w:cs="Arial"/>
        </w:rPr>
        <w:lastRenderedPageBreak/>
        <w:t xml:space="preserve">employees some of them outsourced from countries like India (Davinboon, 2018). The company's success on a national and worldwide level resulted from management teams' efforts and engagement of junior employees' skills, intellect, and creativity (Abimol and Pillai, 2018). The development of new models required recruiting new qualified and productive personnel while retaining its experienced staff by providing them with appropriate compensation packages. The staff members must report on their performance regularly to ensure that the organization's objectives are attainable. The corporation has an authoritarian management control approach in which members must submit frequent reports. Such management attributes to ensure a productive and responsible work culture. The sector has prospered thanks to solid management from most participants. The company's strong leadership in control has led to continued growth. For instance, the administration of Volkswagen implemented ideas from various teams (Abimol and Pillai, 2018). Volkswagen Company increased the remuneration system for the salespeople as one of its strategies for building a strong sales force. Additionally, the firm hired creative engineers and compensated them well. </w:t>
      </w:r>
    </w:p>
    <w:p w14:paraId="40ED8422" w14:textId="77777777" w:rsidR="004E0280" w:rsidRPr="004E0280" w:rsidRDefault="004E0280" w:rsidP="004E0280">
      <w:pPr>
        <w:spacing w:before="240" w:after="240" w:line="480" w:lineRule="auto"/>
        <w:contextualSpacing/>
        <w:jc w:val="both"/>
        <w:rPr>
          <w:rFonts w:cs="Arial"/>
          <w:b/>
        </w:rPr>
      </w:pPr>
      <w:r w:rsidRPr="004E0280">
        <w:rPr>
          <w:rFonts w:cs="Arial"/>
          <w:b/>
        </w:rPr>
        <w:t>Financial Resources</w:t>
      </w:r>
    </w:p>
    <w:p w14:paraId="72F2EBA8" w14:textId="77777777" w:rsidR="004E0280" w:rsidRPr="004E0280" w:rsidRDefault="004E0280" w:rsidP="004E0280">
      <w:pPr>
        <w:spacing w:before="240" w:after="240" w:line="480" w:lineRule="auto"/>
        <w:contextualSpacing/>
        <w:jc w:val="both"/>
        <w:rPr>
          <w:rFonts w:cs="Arial"/>
        </w:rPr>
      </w:pPr>
      <w:r w:rsidRPr="004E0280">
        <w:rPr>
          <w:rFonts w:cs="Arial"/>
        </w:rPr>
        <w:t>The corporation employed financial support to sustain its growth by providing the money needed for all departments. The company's revenues have been rising moderately, and its return on capital employed has been consistent. Therefore, revenue growth quickened due to greater global competition and new investments in overseas diversification (Abimol and Pillai, 2018). The company's strong financial position guarantees its success in the worldwide market and the maintenance of its competitiveness. The management created a budget based on the objectives established for each department.</w:t>
      </w:r>
    </w:p>
    <w:p w14:paraId="6C478E08" w14:textId="77777777" w:rsidR="004E0280" w:rsidRPr="004E0280" w:rsidRDefault="004E0280" w:rsidP="004E0280">
      <w:pPr>
        <w:spacing w:before="240" w:after="240" w:line="480" w:lineRule="auto"/>
        <w:contextualSpacing/>
        <w:jc w:val="both"/>
        <w:rPr>
          <w:rFonts w:cs="Arial"/>
          <w:b/>
        </w:rPr>
      </w:pPr>
      <w:r w:rsidRPr="004E0280">
        <w:rPr>
          <w:rFonts w:cs="Arial"/>
          <w:b/>
        </w:rPr>
        <w:t>Technological Resources</w:t>
      </w:r>
    </w:p>
    <w:p w14:paraId="1020A871"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company has constantly updated its technology to create and maintain profitability. The corporation is well-known for adopting emerging innovations and employing innovative research and project implementation staff. Without a solid </w:t>
      </w:r>
      <w:r w:rsidRPr="004E0280">
        <w:rPr>
          <w:rFonts w:cs="Arial"/>
        </w:rPr>
        <w:lastRenderedPageBreak/>
        <w:t>financial foundation, the business will lose market share and consumers' faith in the company's offerings. Creative employees have contributed to branding, marketing, and innovation, providing the industry an edge over rivals in terms of technological advancement (Abimol and Pillai, 2018). Utilizing technology effectively has also played a vital role in the sector's growth. This was through the application of ultra-modern automobile innovations for manufacturing cars, especially the development of autonomous automobiles, vehicles with swimming pools, and mobile theaters (Abimol and Pillai, 2018). Customers consider an innovative company to be of benefit to their needs. Innovation is a component that cannot be overlooked when discussing essential success aspects in the sector. The industry invests millions of dollars in engineering, research, and development to create items to meet its client's needs. The significant strengths of Volkswagen are creativity and a wide range of goods.</w:t>
      </w:r>
    </w:p>
    <w:p w14:paraId="4FEAC14E" w14:textId="77777777" w:rsidR="004E0280" w:rsidRPr="004E0280" w:rsidRDefault="004E0280" w:rsidP="004E0280">
      <w:pPr>
        <w:pStyle w:val="Heading1"/>
        <w:spacing w:line="480" w:lineRule="auto"/>
        <w:rPr>
          <w:rFonts w:ascii="Arial" w:hAnsi="Arial" w:cs="Arial"/>
          <w:sz w:val="22"/>
          <w:szCs w:val="22"/>
        </w:rPr>
      </w:pPr>
      <w:bookmarkStart w:id="5" w:name="_Toc113188832"/>
      <w:r w:rsidRPr="004E0280">
        <w:rPr>
          <w:rFonts w:ascii="Arial" w:hAnsi="Arial" w:cs="Arial"/>
          <w:sz w:val="22"/>
          <w:szCs w:val="22"/>
        </w:rPr>
        <w:t>Alignment of resources and capabilities to its current business strategies (Porter’s 5 Forces).</w:t>
      </w:r>
      <w:bookmarkEnd w:id="5"/>
    </w:p>
    <w:p w14:paraId="7C06A765"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Volkswagen operates in a highly volatile and uncertain competitive environment in Europe; thus, the industry environment for Volkswagen is understandable through Porter's Five Force analysis. </w:t>
      </w:r>
    </w:p>
    <w:p w14:paraId="2650DAA2" w14:textId="77777777" w:rsidR="004E0280" w:rsidRPr="004E0280" w:rsidRDefault="004E0280" w:rsidP="004E0280">
      <w:pPr>
        <w:spacing w:before="240" w:after="240" w:line="480" w:lineRule="auto"/>
        <w:contextualSpacing/>
        <w:jc w:val="both"/>
        <w:rPr>
          <w:rFonts w:cs="Arial"/>
          <w:b/>
        </w:rPr>
      </w:pPr>
      <w:r w:rsidRPr="004E0280">
        <w:rPr>
          <w:rFonts w:cs="Arial"/>
          <w:b/>
        </w:rPr>
        <w:t xml:space="preserve">Barriers to new Entrants: High </w:t>
      </w:r>
    </w:p>
    <w:p w14:paraId="06E045F5"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In Europe, a significant entry barrier in the automotive sector makes it difficult for new businesses to enter the competitive market. Huge start-up capital and the length of time for building brand recognition and trust make entry difficult (Donzé et al., 2022). A steep learning curve is needed to attain economies of scale to compete with existing companies. VW faces a low threat to new entrants in the European automobile industry. </w:t>
      </w:r>
    </w:p>
    <w:p w14:paraId="64E877F5" w14:textId="266D168F" w:rsidR="004E0280" w:rsidRPr="004E0280" w:rsidRDefault="004E0280" w:rsidP="004E0280">
      <w:pPr>
        <w:spacing w:before="240" w:after="240" w:line="480" w:lineRule="auto"/>
        <w:contextualSpacing/>
        <w:jc w:val="both"/>
        <w:rPr>
          <w:rFonts w:cs="Arial"/>
          <w:b/>
        </w:rPr>
      </w:pPr>
      <w:r w:rsidRPr="004E0280">
        <w:rPr>
          <w:rFonts w:cs="Arial"/>
          <w:b/>
        </w:rPr>
        <w:t>Supplier Power:</w:t>
      </w:r>
      <w:r w:rsidR="00855A41">
        <w:rPr>
          <w:rFonts w:cs="Arial"/>
          <w:b/>
        </w:rPr>
        <w:t xml:space="preserve"> </w:t>
      </w:r>
      <w:r w:rsidRPr="004E0280">
        <w:rPr>
          <w:rFonts w:cs="Arial"/>
          <w:b/>
        </w:rPr>
        <w:t>Low to Medium</w:t>
      </w:r>
    </w:p>
    <w:p w14:paraId="454ED56F"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Specialization among suppliers is expected in the European automotive sector. The automakers like VW need many expensive rubbers, copper wire, and computer </w:t>
      </w:r>
      <w:r w:rsidRPr="004E0280">
        <w:rPr>
          <w:rFonts w:cs="Arial"/>
        </w:rPr>
        <w:lastRenderedPageBreak/>
        <w:t>components (Bhaskaran and Bandyopadhyay, 2018). These commodities are in high demand driving up costs, and automakers are vulnerable to supplier control depending on demand. Therefore, for a company to receive sales orders and maintain its business, suppliers tend to engage with one or two automakers at a time.</w:t>
      </w:r>
    </w:p>
    <w:p w14:paraId="7C5EDE95" w14:textId="77777777" w:rsidR="004E0280" w:rsidRPr="004E0280" w:rsidRDefault="004E0280" w:rsidP="004E0280">
      <w:pPr>
        <w:spacing w:before="240" w:after="240" w:line="480" w:lineRule="auto"/>
        <w:contextualSpacing/>
        <w:jc w:val="both"/>
        <w:rPr>
          <w:rFonts w:cs="Arial"/>
          <w:b/>
        </w:rPr>
      </w:pPr>
      <w:r w:rsidRPr="004E0280">
        <w:rPr>
          <w:rFonts w:cs="Arial"/>
          <w:b/>
        </w:rPr>
        <w:t>Consumer Power: Low to Medium</w:t>
      </w:r>
    </w:p>
    <w:p w14:paraId="5E8E0379" w14:textId="77777777" w:rsidR="004E0280" w:rsidRPr="004E0280" w:rsidRDefault="004E0280" w:rsidP="004E0280">
      <w:pPr>
        <w:spacing w:before="240" w:after="240" w:line="480" w:lineRule="auto"/>
        <w:ind w:firstLine="720"/>
        <w:contextualSpacing/>
        <w:jc w:val="both"/>
        <w:rPr>
          <w:rFonts w:cs="Arial"/>
        </w:rPr>
      </w:pPr>
      <w:r w:rsidRPr="004E0280">
        <w:rPr>
          <w:rFonts w:cs="Arial"/>
        </w:rPr>
        <w:t>Volkswagen has a wide array of models, but there are many brand substitutes. Volkswagen has a broad customer base spread all across the globe to counter the force. However, the power of individual consumers lies between low, and medium given the frequency of purchase by an individual, which can be one car per individual every 5 to 10 years (Donzé et al., 2022). Individuals and small ventures that rarely buy large quantities have low control over car prices, but large firms or government agencies have more power due to their bulk buying.</w:t>
      </w:r>
    </w:p>
    <w:p w14:paraId="092810DA" w14:textId="77777777" w:rsidR="004E0280" w:rsidRPr="004E0280" w:rsidRDefault="004E0280" w:rsidP="004E0280">
      <w:pPr>
        <w:spacing w:before="240" w:after="240" w:line="480" w:lineRule="auto"/>
        <w:contextualSpacing/>
        <w:jc w:val="both"/>
        <w:rPr>
          <w:rFonts w:cs="Arial"/>
          <w:b/>
        </w:rPr>
      </w:pPr>
      <w:r w:rsidRPr="004E0280">
        <w:rPr>
          <w:rFonts w:cs="Arial"/>
          <w:b/>
        </w:rPr>
        <w:t>Availability of Substitutes: Low</w:t>
      </w:r>
    </w:p>
    <w:p w14:paraId="611B3124"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More people tend to explore alternatives, including public transportation, biking to work, or using other environmentally friendly modes of transportation rather than buying personal cars. European automakers focus on winning over these customers by creating excellent fuel-efficient vehicles (Donzé et al., 2022). However, the availability of substitutes affects the automobile markets due to forces in numerous unrelated sectors and, to some degree affecting demand. </w:t>
      </w:r>
    </w:p>
    <w:p w14:paraId="6B3929E3" w14:textId="77777777" w:rsidR="004E0280" w:rsidRPr="004E0280" w:rsidRDefault="004E0280" w:rsidP="004E0280">
      <w:pPr>
        <w:spacing w:before="240" w:after="240" w:line="480" w:lineRule="auto"/>
        <w:contextualSpacing/>
        <w:jc w:val="both"/>
        <w:rPr>
          <w:rFonts w:cs="Arial"/>
          <w:b/>
        </w:rPr>
      </w:pPr>
      <w:r w:rsidRPr="004E0280">
        <w:rPr>
          <w:rFonts w:cs="Arial"/>
          <w:b/>
        </w:rPr>
        <w:t>Rivalry-High: High</w:t>
      </w:r>
    </w:p>
    <w:p w14:paraId="0B08D451"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European auto business experiences high competition among the current automakers. Consumer loyalty is low, and it is difficult for individuals to use the same models or brands for a long time. The recent Volkswagen diesel brand controversy in 2016 also hurt the company's reputation and decreased sales of diesel vehicles in 2016 (StudyCorgi, 2022). Competitors like Toyota place high competition with companies like VW. Thus, automakers are vulnerable to pressures from competitors. </w:t>
      </w:r>
    </w:p>
    <w:p w14:paraId="6CC5DBCC" w14:textId="77777777" w:rsidR="004E0280" w:rsidRPr="004E0280" w:rsidRDefault="004E0280" w:rsidP="004E0280">
      <w:pPr>
        <w:pStyle w:val="Heading1"/>
        <w:spacing w:line="480" w:lineRule="auto"/>
        <w:rPr>
          <w:rFonts w:ascii="Arial" w:hAnsi="Arial" w:cs="Arial"/>
          <w:sz w:val="22"/>
          <w:szCs w:val="22"/>
        </w:rPr>
      </w:pPr>
      <w:bookmarkStart w:id="6" w:name="_Toc113188833"/>
      <w:r w:rsidRPr="004E0280">
        <w:rPr>
          <w:rFonts w:ascii="Arial" w:hAnsi="Arial" w:cs="Arial"/>
          <w:sz w:val="22"/>
          <w:szCs w:val="22"/>
        </w:rPr>
        <w:lastRenderedPageBreak/>
        <w:t>VW’s Alignment of Resources and Capabilities to succeed in the Environment</w:t>
      </w:r>
      <w:bookmarkEnd w:id="6"/>
    </w:p>
    <w:p w14:paraId="7D8E2009"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fundamental driver of Volkswagen's success is its emphasis on mitigating its risks and vulnerabilities. However, challenges connected to the economy and competition continue to play a significant role in its performance. The company has to align resources and capabilities to the most current strategies for success (StudyCorgi, 2022). Thus, continuing to provide consumers with goods and services at rates that are reasonable. To satisfy the demands of clients in all of the countries where it operates, the Volkswagen firm currently diversifies its product line. This puts cost-saving measures like outsourcing company operations to help in staying competitive. </w:t>
      </w:r>
    </w:p>
    <w:p w14:paraId="506FEE15"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Volkswagen's main capabilities include innovation and a broad range of products. The company has changed its strategies to incorporate emerging trends in technology and innovation. The company will invest over €60 billion in expenditures and development costs in emerging industries, including hybridization, electric mobility, and digitalization, between 2020 and 2024 (Abimol and Pillai, 2018). The projected spending on future themes increased to almost 40%, showing that Volkswagen Group is still pouring a lot of money into the future. The investment plan for 2020 to 2024 was to ensure that over the next five years, the Group intends to invest more than EUR 60 billion in hybridization, electric mobility, and digitization (Abimol and Pillai, 2018). This equates to around 40% of total expenditures for the corporation's research, development, and property, plant, and equipment throughout the planned period (Diess and Osterloh, 2020). VW continues to emphasize research and development to develop recognizable goods and services and innovative mobility solutions. Volkswagen continues to invest in innovative technologies and automobile models to grow its brand awareness and market dominance.  </w:t>
      </w:r>
    </w:p>
    <w:p w14:paraId="710D7C5C" w14:textId="77777777" w:rsidR="004E0280" w:rsidRPr="004E0280" w:rsidRDefault="004E0280" w:rsidP="004E0280">
      <w:pPr>
        <w:pStyle w:val="Heading1"/>
        <w:spacing w:line="480" w:lineRule="auto"/>
        <w:rPr>
          <w:rFonts w:ascii="Arial" w:hAnsi="Arial" w:cs="Arial"/>
          <w:sz w:val="22"/>
          <w:szCs w:val="22"/>
        </w:rPr>
      </w:pPr>
      <w:bookmarkStart w:id="7" w:name="_Toc113188834"/>
      <w:r w:rsidRPr="004E0280">
        <w:rPr>
          <w:rFonts w:ascii="Arial" w:hAnsi="Arial" w:cs="Arial"/>
          <w:sz w:val="22"/>
          <w:szCs w:val="22"/>
        </w:rPr>
        <w:lastRenderedPageBreak/>
        <w:t>How VW has tried to become more Competitive</w:t>
      </w:r>
      <w:bookmarkEnd w:id="7"/>
    </w:p>
    <w:p w14:paraId="2D68C25E"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Volkswagen's sustainability entails pursuing economic, social, and ecological objectives while making profits. It aims to create lasting values and offer good working conditions while conserving resources and the Environment. Thus, environmental, social, and governance activities are essential in value creation. </w:t>
      </w:r>
    </w:p>
    <w:p w14:paraId="26F56E2F" w14:textId="4775B267" w:rsidR="004E0280" w:rsidRPr="004E0280" w:rsidRDefault="004E0280" w:rsidP="004E0280">
      <w:pPr>
        <w:spacing w:before="240" w:after="240" w:line="480" w:lineRule="auto"/>
        <w:ind w:firstLine="720"/>
        <w:contextualSpacing/>
        <w:jc w:val="both"/>
        <w:rPr>
          <w:rFonts w:cs="Arial"/>
        </w:rPr>
      </w:pPr>
      <w:r w:rsidRPr="004E0280">
        <w:rPr>
          <w:rFonts w:cs="Arial"/>
        </w:rPr>
        <w:t xml:space="preserve">The company's corporate social responsibility (CSR) activities focus on projects that help decarbonization, ethical supply chain management, e-mobility, and digitization. The company contributed towards Covid-19 mitigation measures through its CSR (Chen and Zhong, 2022). The corporation has four organizational levels, such as the board of control that gives systems for the company's sustainable development (StudyCorgi, 2022). Others, like brand sustainability managers, are in charge of production and HR at the brand level. The business </w:t>
      </w:r>
      <w:r w:rsidR="00855A41" w:rsidRPr="004E0280">
        <w:rPr>
          <w:rFonts w:cs="Arial"/>
        </w:rPr>
        <w:t>favours</w:t>
      </w:r>
      <w:r w:rsidRPr="004E0280">
        <w:rPr>
          <w:rFonts w:cs="Arial"/>
        </w:rPr>
        <w:t xml:space="preserve"> working with socially responsible suppliers and emphasizes resource conservation and decarbonization,</w:t>
      </w:r>
    </w:p>
    <w:p w14:paraId="3090D957" w14:textId="32F1A567" w:rsidR="004E0280" w:rsidRPr="004E0280" w:rsidRDefault="004E0280" w:rsidP="004E0280">
      <w:pPr>
        <w:spacing w:before="240" w:after="240" w:line="480" w:lineRule="auto"/>
        <w:ind w:firstLine="720"/>
        <w:contextualSpacing/>
        <w:jc w:val="both"/>
        <w:rPr>
          <w:rFonts w:cs="Arial"/>
        </w:rPr>
      </w:pPr>
      <w:r w:rsidRPr="004E0280">
        <w:rPr>
          <w:rFonts w:cs="Arial"/>
        </w:rPr>
        <w:t xml:space="preserve"> Volkswagen has built sustainable supply chains, constantly </w:t>
      </w:r>
      <w:r w:rsidR="008064BA" w:rsidRPr="004E0280">
        <w:rPr>
          <w:rFonts w:cs="Arial"/>
        </w:rPr>
        <w:t>analysed</w:t>
      </w:r>
      <w:r w:rsidRPr="004E0280">
        <w:rPr>
          <w:rFonts w:cs="Arial"/>
        </w:rPr>
        <w:t xml:space="preserve"> risks, and educates partners about environmental problems. Volkswagen also evaluates protocol violations, ranks potential suppliers' sustainability, and is dedicated to lowering carbon emissions. The management tends to collaborate with suppliers to lessen environmental damage. For instance, the firm produces HV battery cells and </w:t>
      </w:r>
      <w:r w:rsidR="008064BA" w:rsidRPr="004E0280">
        <w:rPr>
          <w:rFonts w:cs="Arial"/>
        </w:rPr>
        <w:t>aluminium</w:t>
      </w:r>
      <w:r w:rsidRPr="004E0280">
        <w:rPr>
          <w:rFonts w:cs="Arial"/>
        </w:rPr>
        <w:t xml:space="preserve"> components using renewable energy (Diess and Osteloh, 2021). Volkswagen Group contributes to civic and educational initiatives and collaborates with other parties to decarbonize the European economy. Financial contributions amounting to €42.2 million to NGOs in 2020 and supported 700 initiatives in sports, research, and education (Diess and Osteloh, 2021). In 2020, workers of the firm gave child relief organizations €1,188,600 (Diess and Osteloh, 2021).</w:t>
      </w:r>
    </w:p>
    <w:p w14:paraId="3FEEB765" w14:textId="77777777" w:rsidR="004E0280" w:rsidRPr="004E0280" w:rsidRDefault="004E0280" w:rsidP="004E0280">
      <w:pPr>
        <w:spacing w:before="240" w:after="240" w:line="480" w:lineRule="auto"/>
        <w:ind w:firstLine="720"/>
        <w:contextualSpacing/>
        <w:jc w:val="both"/>
        <w:rPr>
          <w:rFonts w:cs="Arial"/>
        </w:rPr>
      </w:pPr>
      <w:r w:rsidRPr="004E0280">
        <w:rPr>
          <w:rFonts w:cs="Arial"/>
        </w:rPr>
        <w:t xml:space="preserve">Additionally, they collaborated with Siemens to develop a hospital in South Africa and help refugee camps. The company makes investments to grow profitably and become more competitive. The organization established the Green Finance </w:t>
      </w:r>
      <w:r w:rsidRPr="004E0280">
        <w:rPr>
          <w:rFonts w:cs="Arial"/>
        </w:rPr>
        <w:lastRenderedPageBreak/>
        <w:t xml:space="preserve">Committee, which chooses and evaluates suitable sustainable initiatives. Estimating the economic effect of sustainability efforts can be challenging. </w:t>
      </w:r>
    </w:p>
    <w:p w14:paraId="43FE80E6" w14:textId="77777777" w:rsidR="004E0280" w:rsidRPr="004E0280" w:rsidRDefault="004E0280" w:rsidP="004E0280">
      <w:pPr>
        <w:pStyle w:val="Heading1"/>
        <w:spacing w:line="480" w:lineRule="auto"/>
        <w:rPr>
          <w:rFonts w:ascii="Arial" w:hAnsi="Arial" w:cs="Arial"/>
          <w:sz w:val="22"/>
          <w:szCs w:val="22"/>
        </w:rPr>
      </w:pPr>
      <w:bookmarkStart w:id="8" w:name="_Toc113188835"/>
      <w:r w:rsidRPr="004E0280">
        <w:rPr>
          <w:rFonts w:ascii="Arial" w:hAnsi="Arial" w:cs="Arial"/>
          <w:sz w:val="22"/>
          <w:szCs w:val="22"/>
        </w:rPr>
        <w:t>Conclusion</w:t>
      </w:r>
      <w:bookmarkEnd w:id="8"/>
    </w:p>
    <w:p w14:paraId="15A3BDEA" w14:textId="77777777" w:rsidR="004E0280" w:rsidRPr="004E0280" w:rsidRDefault="004E0280" w:rsidP="004E0280">
      <w:pPr>
        <w:spacing w:before="240" w:after="240" w:line="480" w:lineRule="auto"/>
        <w:ind w:firstLine="720"/>
        <w:contextualSpacing/>
        <w:jc w:val="both"/>
        <w:rPr>
          <w:rFonts w:cs="Arial"/>
          <w:b/>
        </w:rPr>
      </w:pPr>
      <w:r w:rsidRPr="004E0280">
        <w:rPr>
          <w:rFonts w:cs="Arial"/>
        </w:rPr>
        <w:t>Volkswagen Group has had enough time to familiarize itself with the foreign market it was entering by conducting thorough research on the cultures and lives of the clientele. Collaboration with well-known American businesses and Chinese venture owners gave the firm the competitive advantage required to establish itself as a market leader abroad. Overall, Volkswagen Group's sustainability strategy attempts to position the company as a market leader. Despite suffering significant financial losses in 2015, it believes that digitization and reducing carbon emissions can potentially lessen financial risks.</w:t>
      </w:r>
      <w:r w:rsidRPr="004E0280">
        <w:rPr>
          <w:rFonts w:cs="Arial"/>
          <w:b/>
        </w:rPr>
        <w:t xml:space="preserve"> </w:t>
      </w:r>
      <w:r w:rsidRPr="004E0280">
        <w:rPr>
          <w:rFonts w:cs="Arial"/>
        </w:rPr>
        <w:t>The business uses collaborative communication at all organizational levels to accomplish its environmental goals. In addition, the company intends to collaborate with top technological firms to acquire advantages over rivals in the future.</w:t>
      </w:r>
    </w:p>
    <w:p w14:paraId="45B982FD" w14:textId="77777777" w:rsidR="004E0280" w:rsidRPr="004E0280" w:rsidRDefault="004E0280" w:rsidP="004E0280">
      <w:pPr>
        <w:spacing w:line="480" w:lineRule="auto"/>
        <w:jc w:val="both"/>
        <w:rPr>
          <w:rFonts w:cs="Arial"/>
          <w:b/>
        </w:rPr>
      </w:pPr>
      <w:r w:rsidRPr="004E0280">
        <w:rPr>
          <w:rFonts w:cs="Arial"/>
          <w:b/>
        </w:rPr>
        <w:br w:type="page"/>
      </w:r>
    </w:p>
    <w:p w14:paraId="78E2FA99" w14:textId="77777777" w:rsidR="004E0280" w:rsidRPr="004E0280" w:rsidRDefault="004E0280" w:rsidP="004E0280">
      <w:pPr>
        <w:pStyle w:val="Heading1"/>
        <w:spacing w:line="480" w:lineRule="auto"/>
        <w:rPr>
          <w:rFonts w:ascii="Arial" w:hAnsi="Arial" w:cs="Arial"/>
          <w:sz w:val="22"/>
          <w:szCs w:val="22"/>
        </w:rPr>
      </w:pPr>
      <w:bookmarkStart w:id="9" w:name="_Toc113188836"/>
      <w:r w:rsidRPr="004E0280">
        <w:rPr>
          <w:rFonts w:ascii="Arial" w:hAnsi="Arial" w:cs="Arial"/>
          <w:sz w:val="22"/>
          <w:szCs w:val="22"/>
        </w:rPr>
        <w:lastRenderedPageBreak/>
        <w:t>References</w:t>
      </w:r>
      <w:bookmarkEnd w:id="9"/>
    </w:p>
    <w:p w14:paraId="36B4C5DB" w14:textId="55BC54BF" w:rsidR="004E0280" w:rsidRPr="004E0280" w:rsidRDefault="004E0280" w:rsidP="004E0280">
      <w:pPr>
        <w:spacing w:before="240" w:after="240" w:line="480" w:lineRule="auto"/>
        <w:ind w:left="720" w:hanging="720"/>
        <w:contextualSpacing/>
        <w:jc w:val="both"/>
        <w:rPr>
          <w:rFonts w:cs="Arial"/>
        </w:rPr>
      </w:pPr>
      <w:r w:rsidRPr="004E0280">
        <w:rPr>
          <w:rFonts w:cs="Arial"/>
        </w:rPr>
        <w:t>Animal, R., and Pillai, S. V. 2018. Operation Planning of Automobile Industries concerning Volkswagen Group for its Excellence.</w:t>
      </w:r>
      <w:r w:rsidR="008064BA">
        <w:rPr>
          <w:rFonts w:cs="Arial"/>
        </w:rPr>
        <w:t xml:space="preserve"> [online] Available at:</w:t>
      </w:r>
      <w:r w:rsidRPr="004E0280">
        <w:rPr>
          <w:rFonts w:cs="Arial"/>
        </w:rPr>
        <w:t xml:space="preserve"> </w:t>
      </w:r>
      <w:hyperlink r:id="rId6" w:history="1">
        <w:r w:rsidR="008064BA" w:rsidRPr="00E82316">
          <w:rPr>
            <w:rStyle w:val="Hyperlink"/>
            <w:rFonts w:cs="Arial"/>
          </w:rPr>
          <w:t>https://ijisrt.com/wp-content/uploads/2018/01/Operation-Planning-Of-Automobile-Industries-With-Reference-To-Volkswagen-Group-For-Its-Excellence-1.pdf</w:t>
        </w:r>
      </w:hyperlink>
      <w:r w:rsidR="008064BA">
        <w:rPr>
          <w:rFonts w:cs="Arial"/>
        </w:rPr>
        <w:t xml:space="preserve"> [Accessed 25 August 2022]</w:t>
      </w:r>
    </w:p>
    <w:p w14:paraId="50172937"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 xml:space="preserve">Bai, Y. 2021. Analysis of Overseas Management Strategy of the Volkswagen Group. Atlantis Press. </w:t>
      </w:r>
      <w:r w:rsidRPr="004E0280">
        <w:rPr>
          <w:rFonts w:cs="Arial"/>
          <w:i/>
        </w:rPr>
        <w:t xml:space="preserve">In 6th International Conference on Financial Innovation and Economic Development </w:t>
      </w:r>
      <w:r w:rsidRPr="004E0280">
        <w:rPr>
          <w:rFonts w:cs="Arial"/>
        </w:rPr>
        <w:t>(ICFIED 2021) (pp. 229-234).</w:t>
      </w:r>
    </w:p>
    <w:p w14:paraId="239507D6"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 xml:space="preserve">Bhaskaran, B. and Bandyopadhyay, P., 2018. Volkswagen on the Touch-stone. </w:t>
      </w:r>
      <w:r w:rsidRPr="004E0280">
        <w:rPr>
          <w:rFonts w:cs="Arial"/>
          <w:i/>
        </w:rPr>
        <w:t>South Asian Journal of Business and Management Cases,</w:t>
      </w:r>
      <w:r w:rsidRPr="004E0280">
        <w:rPr>
          <w:rFonts w:cs="Arial"/>
        </w:rPr>
        <w:t xml:space="preserve"> 7(1), pp.1-10.</w:t>
      </w:r>
    </w:p>
    <w:p w14:paraId="275A62F4"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 xml:space="preserve">Chen, J. and Zhong, M., 2022, April. Research on Volkswagen’s Development Strategy During Covid-19. </w:t>
      </w:r>
      <w:r w:rsidRPr="004E0280">
        <w:rPr>
          <w:rFonts w:cs="Arial"/>
          <w:i/>
        </w:rPr>
        <w:t>In 2022 7</w:t>
      </w:r>
      <w:r w:rsidRPr="004E0280">
        <w:rPr>
          <w:rFonts w:cs="Arial"/>
          <w:i/>
          <w:vertAlign w:val="superscript"/>
        </w:rPr>
        <w:t>th</w:t>
      </w:r>
      <w:r w:rsidRPr="004E0280">
        <w:rPr>
          <w:rFonts w:cs="Arial"/>
          <w:i/>
        </w:rPr>
        <w:t xml:space="preserve"> International Conference on Social Sciences and Economic Development (ICSSED 2022)</w:t>
      </w:r>
      <w:r w:rsidRPr="004E0280">
        <w:rPr>
          <w:rFonts w:cs="Arial"/>
        </w:rPr>
        <w:t xml:space="preserve"> (pp. 705-710). Atlantis Press.</w:t>
      </w:r>
    </w:p>
    <w:p w14:paraId="5192E5AF"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 xml:space="preserve">Danviboon, P. (2018). Critical Analysis of Automobile Sector &amp; Specific Case Study of Volkswagen Group (VWG)’s </w:t>
      </w:r>
      <w:r w:rsidRPr="004E0280">
        <w:rPr>
          <w:rFonts w:cs="Arial"/>
          <w:i/>
        </w:rPr>
        <w:t>Offshoring and Outsourcing decisions in India</w:t>
      </w:r>
      <w:r w:rsidRPr="004E0280">
        <w:rPr>
          <w:rFonts w:cs="Arial"/>
        </w:rPr>
        <w:t>.</w:t>
      </w:r>
    </w:p>
    <w:p w14:paraId="0B824983" w14:textId="44475818" w:rsidR="004E0280" w:rsidRPr="004E0280" w:rsidRDefault="004E0280" w:rsidP="004E0280">
      <w:pPr>
        <w:spacing w:before="240" w:after="240" w:line="480" w:lineRule="auto"/>
        <w:ind w:left="720" w:hanging="720"/>
        <w:contextualSpacing/>
        <w:jc w:val="both"/>
        <w:rPr>
          <w:rFonts w:cs="Arial"/>
        </w:rPr>
      </w:pPr>
      <w:r w:rsidRPr="004E0280">
        <w:rPr>
          <w:rFonts w:cs="Arial"/>
        </w:rPr>
        <w:t>Diess, H. and Osterloh, B. 2020. Sustainability report. Volkswagen.</w:t>
      </w:r>
      <w:r w:rsidR="008064BA">
        <w:rPr>
          <w:rFonts w:cs="Arial"/>
        </w:rPr>
        <w:t xml:space="preserve"> [online] Available at: </w:t>
      </w:r>
      <w:r w:rsidRPr="004E0280">
        <w:rPr>
          <w:rFonts w:cs="Arial"/>
        </w:rPr>
        <w:t xml:space="preserve"> </w:t>
      </w:r>
      <w:hyperlink r:id="rId7" w:history="1">
        <w:r w:rsidR="008064BA" w:rsidRPr="00E82316">
          <w:rPr>
            <w:rStyle w:val="Hyperlink"/>
            <w:rFonts w:cs="Arial"/>
          </w:rPr>
          <w:t>https://www.google.com/url?sa=t&amp;rct=j&amp;q=&amp;esrc=s&amp;source=web&amp;cd=&amp;cad=rja&amp;uact=8&amp;ved=2ahUKEwjg-bfI3ef5AhW3hM4BHbo1DegQFnoECAYQAQ&amp;url=https%3A%2F%2Fwww.volkswagenag.com%2Fpresence%2Fnachhaltigkeit%2Fdocuments%2Fsustainability-report%2F2020%2FNonfinancial_Report_2020_e.pdf&amp;usg=AOvVaw21ZrmVplMVjK26F1SdFaki</w:t>
        </w:r>
      </w:hyperlink>
      <w:r w:rsidR="008064BA">
        <w:rPr>
          <w:rFonts w:cs="Arial"/>
        </w:rPr>
        <w:t xml:space="preserve"> [Accessed 29 August 2022]</w:t>
      </w:r>
    </w:p>
    <w:p w14:paraId="204ADF63"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lastRenderedPageBreak/>
        <w:t xml:space="preserve">Donzé, P.Y., Inukai, T., Nakagawa, K. and Nobeoka, K., 2022. Dealers and the formation of premium brands in the German car industry: </w:t>
      </w:r>
      <w:r w:rsidRPr="004E0280">
        <w:rPr>
          <w:rFonts w:cs="Arial"/>
          <w:i/>
        </w:rPr>
        <w:t>Audi AG</w:t>
      </w:r>
      <w:r w:rsidRPr="004E0280">
        <w:rPr>
          <w:rFonts w:cs="Arial"/>
        </w:rPr>
        <w:t xml:space="preserve"> (1990–2020). 72(1), pp.1-18.</w:t>
      </w:r>
    </w:p>
    <w:p w14:paraId="7368A6AA"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Mačaitytė, I. and Virbašiūtė, G., 2018. Volkswagen emission scandal and corporate social responsibility–a case study.</w:t>
      </w:r>
    </w:p>
    <w:p w14:paraId="10CEAF76" w14:textId="77777777" w:rsidR="004E0280" w:rsidRPr="004E0280" w:rsidRDefault="004E0280" w:rsidP="004E0280">
      <w:pPr>
        <w:spacing w:before="240" w:after="240" w:line="480" w:lineRule="auto"/>
        <w:ind w:left="720" w:hanging="720"/>
        <w:contextualSpacing/>
        <w:jc w:val="both"/>
        <w:rPr>
          <w:rFonts w:cs="Arial"/>
        </w:rPr>
      </w:pPr>
      <w:r w:rsidRPr="004E0280">
        <w:rPr>
          <w:rFonts w:cs="Arial"/>
        </w:rPr>
        <w:t>Stotz, S., Brickau, R.A., Moss, C. and Meierhof, D., 2022. Measuring and Restoring customer trust: An explorative research based on the VW Diesel gate scandal (Vol. 18). BoD–Books on Demand.</w:t>
      </w:r>
    </w:p>
    <w:p w14:paraId="642E0454" w14:textId="48B5ECC6" w:rsidR="004E0280" w:rsidRPr="008064BA" w:rsidRDefault="004E0280" w:rsidP="004E0280">
      <w:pPr>
        <w:spacing w:before="240" w:after="240" w:line="480" w:lineRule="auto"/>
        <w:ind w:left="720" w:hanging="720"/>
        <w:contextualSpacing/>
        <w:jc w:val="both"/>
        <w:rPr>
          <w:rFonts w:cs="Arial"/>
        </w:rPr>
      </w:pPr>
      <w:r w:rsidRPr="004E0280">
        <w:rPr>
          <w:rFonts w:cs="Arial"/>
        </w:rPr>
        <w:t xml:space="preserve">StudyCorgi. 2022. Volkswagen Company’s Sustainability Strategy. </w:t>
      </w:r>
      <w:r w:rsidR="008064BA">
        <w:rPr>
          <w:rFonts w:cs="Arial"/>
        </w:rPr>
        <w:t xml:space="preserve">[online] Available at: </w:t>
      </w:r>
      <w:r w:rsidRPr="004E0280">
        <w:rPr>
          <w:rFonts w:cs="Arial"/>
        </w:rPr>
        <w:t xml:space="preserve"> </w:t>
      </w:r>
      <w:hyperlink r:id="rId8" w:history="1">
        <w:r w:rsidRPr="004E0280">
          <w:rPr>
            <w:rStyle w:val="Hyperlink"/>
            <w:rFonts w:cs="Arial"/>
          </w:rPr>
          <w:t>https://studycorgi.com/volkswagen-companys-sustainability-strategy/</w:t>
        </w:r>
      </w:hyperlink>
      <w:r w:rsidR="008064BA">
        <w:rPr>
          <w:rStyle w:val="Hyperlink"/>
          <w:rFonts w:cs="Arial"/>
          <w:b/>
          <w:bCs/>
          <w:color w:val="auto"/>
          <w:u w:val="none"/>
        </w:rPr>
        <w:t xml:space="preserve"> </w:t>
      </w:r>
      <w:r w:rsidR="008064BA">
        <w:rPr>
          <w:rStyle w:val="Hyperlink"/>
          <w:rFonts w:cs="Arial"/>
          <w:color w:val="auto"/>
          <w:u w:val="none"/>
        </w:rPr>
        <w:t>[Accessed 28 August 2022]</w:t>
      </w:r>
    </w:p>
    <w:p w14:paraId="58F88AD5" w14:textId="031E05BE" w:rsidR="00421A67" w:rsidRPr="004E0280" w:rsidRDefault="004E0280" w:rsidP="004E0280">
      <w:pPr>
        <w:spacing w:before="240" w:after="240" w:line="480" w:lineRule="auto"/>
        <w:ind w:left="720" w:hanging="720"/>
        <w:contextualSpacing/>
        <w:jc w:val="both"/>
        <w:rPr>
          <w:rFonts w:cs="Arial"/>
        </w:rPr>
      </w:pPr>
      <w:r w:rsidRPr="004E0280">
        <w:rPr>
          <w:rFonts w:cs="Arial"/>
        </w:rPr>
        <w:t xml:space="preserve">Welch, J., 2019. The Volkswagen recovery: leaving scandal in the dust. </w:t>
      </w:r>
      <w:r w:rsidRPr="004E0280">
        <w:rPr>
          <w:rFonts w:cs="Arial"/>
          <w:i/>
        </w:rPr>
        <w:t>Journal of Business Strategy</w:t>
      </w:r>
      <w:r w:rsidRPr="004E0280">
        <w:rPr>
          <w:rFonts w:cs="Arial"/>
        </w:rPr>
        <w:t>. https://doi.org/10.1108/JBS-04-2018-0068</w:t>
      </w:r>
    </w:p>
    <w:p w14:paraId="578A1D3C" w14:textId="77777777" w:rsidR="00421A67" w:rsidRPr="00AD505F" w:rsidRDefault="00421A67" w:rsidP="00AD505F">
      <w:pPr>
        <w:spacing w:line="276" w:lineRule="auto"/>
        <w:rPr>
          <w:rFonts w:cs="Arial"/>
          <w:sz w:val="36"/>
          <w:szCs w:val="36"/>
        </w:rPr>
      </w:pPr>
    </w:p>
    <w:sectPr w:rsidR="00421A67" w:rsidRPr="00AD505F" w:rsidSect="004E0280">
      <w:pgSz w:w="11906" w:h="16838"/>
      <w:pgMar w:top="1440" w:right="1814" w:bottom="1440" w:left="181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7156F"/>
    <w:multiLevelType w:val="hybridMultilevel"/>
    <w:tmpl w:val="D1BA6DA4"/>
    <w:lvl w:ilvl="0" w:tplc="C52E2430">
      <w:start w:val="1"/>
      <w:numFmt w:val="bullet"/>
      <w:lvlText w:val="▪"/>
      <w:lvlJc w:val="left"/>
      <w:pPr>
        <w:tabs>
          <w:tab w:val="num" w:pos="720"/>
        </w:tabs>
        <w:ind w:left="720" w:hanging="360"/>
      </w:pPr>
      <w:rPr>
        <w:rFonts w:ascii="Arial" w:hAnsi="Arial" w:hint="default"/>
      </w:rPr>
    </w:lvl>
    <w:lvl w:ilvl="1" w:tplc="AFC6EC14" w:tentative="1">
      <w:start w:val="1"/>
      <w:numFmt w:val="bullet"/>
      <w:lvlText w:val="▪"/>
      <w:lvlJc w:val="left"/>
      <w:pPr>
        <w:tabs>
          <w:tab w:val="num" w:pos="1440"/>
        </w:tabs>
        <w:ind w:left="1440" w:hanging="360"/>
      </w:pPr>
      <w:rPr>
        <w:rFonts w:ascii="Arial" w:hAnsi="Arial" w:hint="default"/>
      </w:rPr>
    </w:lvl>
    <w:lvl w:ilvl="2" w:tplc="7BD87F7E" w:tentative="1">
      <w:start w:val="1"/>
      <w:numFmt w:val="bullet"/>
      <w:lvlText w:val="▪"/>
      <w:lvlJc w:val="left"/>
      <w:pPr>
        <w:tabs>
          <w:tab w:val="num" w:pos="2160"/>
        </w:tabs>
        <w:ind w:left="2160" w:hanging="360"/>
      </w:pPr>
      <w:rPr>
        <w:rFonts w:ascii="Arial" w:hAnsi="Arial" w:hint="default"/>
      </w:rPr>
    </w:lvl>
    <w:lvl w:ilvl="3" w:tplc="6AB4E392" w:tentative="1">
      <w:start w:val="1"/>
      <w:numFmt w:val="bullet"/>
      <w:lvlText w:val="▪"/>
      <w:lvlJc w:val="left"/>
      <w:pPr>
        <w:tabs>
          <w:tab w:val="num" w:pos="2880"/>
        </w:tabs>
        <w:ind w:left="2880" w:hanging="360"/>
      </w:pPr>
      <w:rPr>
        <w:rFonts w:ascii="Arial" w:hAnsi="Arial" w:hint="default"/>
      </w:rPr>
    </w:lvl>
    <w:lvl w:ilvl="4" w:tplc="E010668A" w:tentative="1">
      <w:start w:val="1"/>
      <w:numFmt w:val="bullet"/>
      <w:lvlText w:val="▪"/>
      <w:lvlJc w:val="left"/>
      <w:pPr>
        <w:tabs>
          <w:tab w:val="num" w:pos="3600"/>
        </w:tabs>
        <w:ind w:left="3600" w:hanging="360"/>
      </w:pPr>
      <w:rPr>
        <w:rFonts w:ascii="Arial" w:hAnsi="Arial" w:hint="default"/>
      </w:rPr>
    </w:lvl>
    <w:lvl w:ilvl="5" w:tplc="5624247C" w:tentative="1">
      <w:start w:val="1"/>
      <w:numFmt w:val="bullet"/>
      <w:lvlText w:val="▪"/>
      <w:lvlJc w:val="left"/>
      <w:pPr>
        <w:tabs>
          <w:tab w:val="num" w:pos="4320"/>
        </w:tabs>
        <w:ind w:left="4320" w:hanging="360"/>
      </w:pPr>
      <w:rPr>
        <w:rFonts w:ascii="Arial" w:hAnsi="Arial" w:hint="default"/>
      </w:rPr>
    </w:lvl>
    <w:lvl w:ilvl="6" w:tplc="FD1EF9A6" w:tentative="1">
      <w:start w:val="1"/>
      <w:numFmt w:val="bullet"/>
      <w:lvlText w:val="▪"/>
      <w:lvlJc w:val="left"/>
      <w:pPr>
        <w:tabs>
          <w:tab w:val="num" w:pos="5040"/>
        </w:tabs>
        <w:ind w:left="5040" w:hanging="360"/>
      </w:pPr>
      <w:rPr>
        <w:rFonts w:ascii="Arial" w:hAnsi="Arial" w:hint="default"/>
      </w:rPr>
    </w:lvl>
    <w:lvl w:ilvl="7" w:tplc="1BDE76C8" w:tentative="1">
      <w:start w:val="1"/>
      <w:numFmt w:val="bullet"/>
      <w:lvlText w:val="▪"/>
      <w:lvlJc w:val="left"/>
      <w:pPr>
        <w:tabs>
          <w:tab w:val="num" w:pos="5760"/>
        </w:tabs>
        <w:ind w:left="5760" w:hanging="360"/>
      </w:pPr>
      <w:rPr>
        <w:rFonts w:ascii="Arial" w:hAnsi="Arial" w:hint="default"/>
      </w:rPr>
    </w:lvl>
    <w:lvl w:ilvl="8" w:tplc="6A666A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9506CD"/>
    <w:multiLevelType w:val="hybridMultilevel"/>
    <w:tmpl w:val="3A5EA5C8"/>
    <w:lvl w:ilvl="0" w:tplc="6B00681C">
      <w:start w:val="1"/>
      <w:numFmt w:val="bullet"/>
      <w:lvlText w:val="▪"/>
      <w:lvlJc w:val="left"/>
      <w:pPr>
        <w:tabs>
          <w:tab w:val="num" w:pos="720"/>
        </w:tabs>
        <w:ind w:left="720" w:hanging="360"/>
      </w:pPr>
      <w:rPr>
        <w:rFonts w:ascii="Arial" w:hAnsi="Arial" w:hint="default"/>
      </w:rPr>
    </w:lvl>
    <w:lvl w:ilvl="1" w:tplc="8B26B31A" w:tentative="1">
      <w:start w:val="1"/>
      <w:numFmt w:val="bullet"/>
      <w:lvlText w:val="▪"/>
      <w:lvlJc w:val="left"/>
      <w:pPr>
        <w:tabs>
          <w:tab w:val="num" w:pos="1440"/>
        </w:tabs>
        <w:ind w:left="1440" w:hanging="360"/>
      </w:pPr>
      <w:rPr>
        <w:rFonts w:ascii="Arial" w:hAnsi="Arial" w:hint="default"/>
      </w:rPr>
    </w:lvl>
    <w:lvl w:ilvl="2" w:tplc="8BBC53A4" w:tentative="1">
      <w:start w:val="1"/>
      <w:numFmt w:val="bullet"/>
      <w:lvlText w:val="▪"/>
      <w:lvlJc w:val="left"/>
      <w:pPr>
        <w:tabs>
          <w:tab w:val="num" w:pos="2160"/>
        </w:tabs>
        <w:ind w:left="2160" w:hanging="360"/>
      </w:pPr>
      <w:rPr>
        <w:rFonts w:ascii="Arial" w:hAnsi="Arial" w:hint="default"/>
      </w:rPr>
    </w:lvl>
    <w:lvl w:ilvl="3" w:tplc="4FF4BC1A" w:tentative="1">
      <w:start w:val="1"/>
      <w:numFmt w:val="bullet"/>
      <w:lvlText w:val="▪"/>
      <w:lvlJc w:val="left"/>
      <w:pPr>
        <w:tabs>
          <w:tab w:val="num" w:pos="2880"/>
        </w:tabs>
        <w:ind w:left="2880" w:hanging="360"/>
      </w:pPr>
      <w:rPr>
        <w:rFonts w:ascii="Arial" w:hAnsi="Arial" w:hint="default"/>
      </w:rPr>
    </w:lvl>
    <w:lvl w:ilvl="4" w:tplc="CFA8E608" w:tentative="1">
      <w:start w:val="1"/>
      <w:numFmt w:val="bullet"/>
      <w:lvlText w:val="▪"/>
      <w:lvlJc w:val="left"/>
      <w:pPr>
        <w:tabs>
          <w:tab w:val="num" w:pos="3600"/>
        </w:tabs>
        <w:ind w:left="3600" w:hanging="360"/>
      </w:pPr>
      <w:rPr>
        <w:rFonts w:ascii="Arial" w:hAnsi="Arial" w:hint="default"/>
      </w:rPr>
    </w:lvl>
    <w:lvl w:ilvl="5" w:tplc="79900FB8" w:tentative="1">
      <w:start w:val="1"/>
      <w:numFmt w:val="bullet"/>
      <w:lvlText w:val="▪"/>
      <w:lvlJc w:val="left"/>
      <w:pPr>
        <w:tabs>
          <w:tab w:val="num" w:pos="4320"/>
        </w:tabs>
        <w:ind w:left="4320" w:hanging="360"/>
      </w:pPr>
      <w:rPr>
        <w:rFonts w:ascii="Arial" w:hAnsi="Arial" w:hint="default"/>
      </w:rPr>
    </w:lvl>
    <w:lvl w:ilvl="6" w:tplc="84BCB3F4" w:tentative="1">
      <w:start w:val="1"/>
      <w:numFmt w:val="bullet"/>
      <w:lvlText w:val="▪"/>
      <w:lvlJc w:val="left"/>
      <w:pPr>
        <w:tabs>
          <w:tab w:val="num" w:pos="5040"/>
        </w:tabs>
        <w:ind w:left="5040" w:hanging="360"/>
      </w:pPr>
      <w:rPr>
        <w:rFonts w:ascii="Arial" w:hAnsi="Arial" w:hint="default"/>
      </w:rPr>
    </w:lvl>
    <w:lvl w:ilvl="7" w:tplc="09F455BA" w:tentative="1">
      <w:start w:val="1"/>
      <w:numFmt w:val="bullet"/>
      <w:lvlText w:val="▪"/>
      <w:lvlJc w:val="left"/>
      <w:pPr>
        <w:tabs>
          <w:tab w:val="num" w:pos="5760"/>
        </w:tabs>
        <w:ind w:left="5760" w:hanging="360"/>
      </w:pPr>
      <w:rPr>
        <w:rFonts w:ascii="Arial" w:hAnsi="Arial" w:hint="default"/>
      </w:rPr>
    </w:lvl>
    <w:lvl w:ilvl="8" w:tplc="362A3338" w:tentative="1">
      <w:start w:val="1"/>
      <w:numFmt w:val="bullet"/>
      <w:lvlText w:val="▪"/>
      <w:lvlJc w:val="left"/>
      <w:pPr>
        <w:tabs>
          <w:tab w:val="num" w:pos="6480"/>
        </w:tabs>
        <w:ind w:left="6480" w:hanging="360"/>
      </w:pPr>
      <w:rPr>
        <w:rFonts w:ascii="Arial" w:hAnsi="Arial" w:hint="default"/>
      </w:rPr>
    </w:lvl>
  </w:abstractNum>
  <w:num w:numId="1" w16cid:durableId="307631647">
    <w:abstractNumId w:val="0"/>
  </w:num>
  <w:num w:numId="2" w16cid:durableId="1764953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0A"/>
    <w:rsid w:val="000F6579"/>
    <w:rsid w:val="00144089"/>
    <w:rsid w:val="002074E7"/>
    <w:rsid w:val="002B5D42"/>
    <w:rsid w:val="00303984"/>
    <w:rsid w:val="003B5A30"/>
    <w:rsid w:val="00421A67"/>
    <w:rsid w:val="004E0280"/>
    <w:rsid w:val="008064BA"/>
    <w:rsid w:val="00855A41"/>
    <w:rsid w:val="008B0B2D"/>
    <w:rsid w:val="008B2AEA"/>
    <w:rsid w:val="00A4410A"/>
    <w:rsid w:val="00AD1E1E"/>
    <w:rsid w:val="00AD505F"/>
    <w:rsid w:val="00CC2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4A85F"/>
  <w15:chartTrackingRefBased/>
  <w15:docId w15:val="{B61F448C-0749-4A65-8630-346B82D7B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05F"/>
    <w:pPr>
      <w:spacing w:line="360" w:lineRule="auto"/>
    </w:pPr>
    <w:rPr>
      <w:rFonts w:ascii="Arial" w:hAnsi="Arial"/>
    </w:rPr>
  </w:style>
  <w:style w:type="paragraph" w:styleId="Heading1">
    <w:name w:val="heading 1"/>
    <w:basedOn w:val="Normal"/>
    <w:next w:val="Normal"/>
    <w:link w:val="Heading1Char"/>
    <w:uiPriority w:val="9"/>
    <w:qFormat/>
    <w:rsid w:val="004E0280"/>
    <w:pPr>
      <w:keepNext/>
      <w:keepLines/>
      <w:spacing w:before="240" w:after="0" w:line="240" w:lineRule="auto"/>
      <w:outlineLvl w:val="0"/>
    </w:pPr>
    <w:rPr>
      <w:rFonts w:asciiTheme="majorHAnsi" w:eastAsiaTheme="majorEastAsia" w:hAnsiTheme="majorHAnsi" w:cstheme="majorBidi"/>
      <w:i/>
      <w:color w:val="2F5496" w:themeColor="accent1" w:themeShade="BF"/>
      <w:sz w:val="32"/>
      <w:szCs w:val="32"/>
      <w:lang w:val="en-US"/>
    </w:rPr>
  </w:style>
  <w:style w:type="paragraph" w:styleId="Heading2">
    <w:name w:val="heading 2"/>
    <w:basedOn w:val="Normal"/>
    <w:next w:val="Normal"/>
    <w:link w:val="Heading2Char"/>
    <w:uiPriority w:val="9"/>
    <w:unhideWhenUsed/>
    <w:qFormat/>
    <w:rsid w:val="004E0280"/>
    <w:pPr>
      <w:keepNext/>
      <w:keepLines/>
      <w:spacing w:before="40" w:after="0" w:line="259" w:lineRule="auto"/>
      <w:outlineLvl w:val="1"/>
    </w:pPr>
    <w:rPr>
      <w:rFonts w:asciiTheme="majorHAnsi" w:eastAsiaTheme="majorEastAsia" w:hAnsiTheme="majorHAnsi" w:cstheme="majorBidi"/>
      <w:color w:val="2F5496" w:themeColor="accent1" w:themeShade="BF"/>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280"/>
    <w:rPr>
      <w:rFonts w:asciiTheme="majorHAnsi" w:eastAsiaTheme="majorEastAsia" w:hAnsiTheme="majorHAnsi" w:cstheme="majorBidi"/>
      <w:i/>
      <w:color w:val="2F5496" w:themeColor="accent1" w:themeShade="BF"/>
      <w:sz w:val="32"/>
      <w:szCs w:val="32"/>
      <w:lang w:val="en-US"/>
    </w:rPr>
  </w:style>
  <w:style w:type="character" w:customStyle="1" w:styleId="Heading2Char">
    <w:name w:val="Heading 2 Char"/>
    <w:basedOn w:val="DefaultParagraphFont"/>
    <w:link w:val="Heading2"/>
    <w:uiPriority w:val="9"/>
    <w:rsid w:val="004E0280"/>
    <w:rPr>
      <w:rFonts w:asciiTheme="majorHAnsi" w:eastAsiaTheme="majorEastAsia" w:hAnsiTheme="majorHAnsi" w:cstheme="majorBidi"/>
      <w:color w:val="2F5496" w:themeColor="accent1" w:themeShade="BF"/>
      <w:sz w:val="28"/>
      <w:szCs w:val="26"/>
      <w:lang w:val="en-US"/>
    </w:rPr>
  </w:style>
  <w:style w:type="character" w:styleId="Hyperlink">
    <w:name w:val="Hyperlink"/>
    <w:basedOn w:val="DefaultParagraphFont"/>
    <w:uiPriority w:val="99"/>
    <w:unhideWhenUsed/>
    <w:rsid w:val="004E0280"/>
    <w:rPr>
      <w:color w:val="0563C1" w:themeColor="hyperlink"/>
      <w:u w:val="single"/>
    </w:rPr>
  </w:style>
  <w:style w:type="paragraph" w:styleId="TOCHeading">
    <w:name w:val="TOC Heading"/>
    <w:basedOn w:val="Heading1"/>
    <w:next w:val="Normal"/>
    <w:uiPriority w:val="39"/>
    <w:unhideWhenUsed/>
    <w:qFormat/>
    <w:rsid w:val="004E0280"/>
    <w:pPr>
      <w:spacing w:line="259" w:lineRule="auto"/>
      <w:outlineLvl w:val="9"/>
    </w:pPr>
    <w:rPr>
      <w:i w:val="0"/>
      <w:lang w:val="en-GB" w:eastAsia="en-GB"/>
    </w:rPr>
  </w:style>
  <w:style w:type="paragraph" w:styleId="TOC1">
    <w:name w:val="toc 1"/>
    <w:basedOn w:val="Normal"/>
    <w:next w:val="Normal"/>
    <w:autoRedefine/>
    <w:uiPriority w:val="39"/>
    <w:unhideWhenUsed/>
    <w:rsid w:val="004E0280"/>
    <w:pPr>
      <w:spacing w:after="100"/>
    </w:pPr>
  </w:style>
  <w:style w:type="paragraph" w:styleId="TOC2">
    <w:name w:val="toc 2"/>
    <w:basedOn w:val="Normal"/>
    <w:next w:val="Normal"/>
    <w:autoRedefine/>
    <w:uiPriority w:val="39"/>
    <w:unhideWhenUsed/>
    <w:rsid w:val="004E0280"/>
    <w:pPr>
      <w:spacing w:after="100"/>
      <w:ind w:left="220"/>
    </w:pPr>
  </w:style>
  <w:style w:type="character" w:styleId="UnresolvedMention">
    <w:name w:val="Unresolved Mention"/>
    <w:basedOn w:val="DefaultParagraphFont"/>
    <w:uiPriority w:val="99"/>
    <w:semiHidden/>
    <w:unhideWhenUsed/>
    <w:rsid w:val="00806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rgi.com/volkswagen-companys-sustainability-strategy/" TargetMode="External"/><Relationship Id="rId3" Type="http://schemas.openxmlformats.org/officeDocument/2006/relationships/styles" Target="styles.xml"/><Relationship Id="rId7" Type="http://schemas.openxmlformats.org/officeDocument/2006/relationships/hyperlink" Target="https://www.google.com/url?sa=t&amp;rct=j&amp;q=&amp;esrc=s&amp;source=web&amp;cd=&amp;cad=rja&amp;uact=8&amp;ved=2ahUKEwjg-bfI3ef5AhW3hM4BHbo1DegQFnoECAYQAQ&amp;url=https%3A%2F%2Fwww.volkswagenag.com%2Fpresence%2Fnachhaltigkeit%2Fdocuments%2Fsustainability-report%2F2020%2FNonfinancial_Report_2020_e.pdf&amp;usg=AOvVaw21ZrmVplMVjK26F1SdFak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jisrt.com/wp-content/uploads/2018/01/Operation-Planning-Of-Automobile-Industries-With-Reference-To-Volkswagen-Group-For-Its-Excellence-1.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04750-B067-470F-A2FC-180A84619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14</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Zarankov (1913489)</dc:creator>
  <cp:keywords/>
  <dc:description/>
  <cp:lastModifiedBy>Rumyan Zarankov (1913489)</cp:lastModifiedBy>
  <cp:revision>6</cp:revision>
  <cp:lastPrinted>2022-08-20T19:19:00Z</cp:lastPrinted>
  <dcterms:created xsi:type="dcterms:W3CDTF">2022-08-20T11:43:00Z</dcterms:created>
  <dcterms:modified xsi:type="dcterms:W3CDTF">2022-09-04T10:06:00Z</dcterms:modified>
</cp:coreProperties>
</file>