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76A04D" w14:textId="291E48A6" w:rsidR="00EA5F10" w:rsidRPr="00610E15" w:rsidRDefault="00EA5F10" w:rsidP="000127A3">
      <w:pPr>
        <w:jc w:val="both"/>
        <w:rPr>
          <w:rFonts w:cstheme="minorHAnsi"/>
          <w:sz w:val="24"/>
          <w:szCs w:val="24"/>
        </w:rPr>
      </w:pPr>
      <w:r w:rsidRPr="00610E15">
        <w:rPr>
          <w:rFonts w:cstheme="minorHAnsi"/>
          <w:sz w:val="24"/>
          <w:szCs w:val="24"/>
        </w:rPr>
        <w:t>Answer 1:</w:t>
      </w:r>
    </w:p>
    <w:p w14:paraId="09D5BEB5" w14:textId="56459C73" w:rsidR="00EA5F10" w:rsidRPr="00610E15" w:rsidRDefault="00EA5F10" w:rsidP="000127A3">
      <w:pPr>
        <w:jc w:val="both"/>
        <w:rPr>
          <w:rFonts w:cstheme="minorHAnsi"/>
          <w:sz w:val="24"/>
          <w:szCs w:val="24"/>
        </w:rPr>
      </w:pPr>
      <w:r w:rsidRPr="00610E15">
        <w:rPr>
          <w:rFonts w:cstheme="minorHAnsi"/>
          <w:sz w:val="24"/>
          <w:szCs w:val="24"/>
        </w:rPr>
        <w:t>“</w:t>
      </w:r>
      <w:r w:rsidRPr="00610E15">
        <w:rPr>
          <w:rFonts w:cstheme="minorHAnsi"/>
          <w:i/>
          <w:iCs/>
          <w:sz w:val="24"/>
          <w:szCs w:val="24"/>
        </w:rPr>
        <w:t>Where a person either expressly promises, or by his silence implies, that he will carry out the testator’s intentions into effect, and the property is left to him upon the faith of that promise or undertaking, it is in effect a case of trust</w:t>
      </w:r>
      <w:r w:rsidRPr="00610E15">
        <w:rPr>
          <w:rFonts w:cstheme="minorHAnsi"/>
          <w:sz w:val="24"/>
          <w:szCs w:val="24"/>
        </w:rPr>
        <w:t xml:space="preserve">” (per </w:t>
      </w:r>
      <w:r w:rsidRPr="00610E15">
        <w:rPr>
          <w:rFonts w:cstheme="minorHAnsi"/>
          <w:i/>
          <w:iCs/>
          <w:sz w:val="24"/>
          <w:szCs w:val="24"/>
        </w:rPr>
        <w:t>Lord Wood V.C in McCormick v. Grogan, 1868</w:t>
      </w:r>
      <w:r w:rsidRPr="00610E15">
        <w:rPr>
          <w:rFonts w:cstheme="minorHAnsi"/>
          <w:sz w:val="24"/>
          <w:szCs w:val="24"/>
        </w:rPr>
        <w:t xml:space="preserve">). </w:t>
      </w:r>
      <w:r w:rsidR="004D7474" w:rsidRPr="00610E15">
        <w:rPr>
          <w:rFonts w:cstheme="minorHAnsi"/>
          <w:sz w:val="24"/>
          <w:szCs w:val="24"/>
        </w:rPr>
        <w:t xml:space="preserve">Secret trusts are trusts </w:t>
      </w:r>
      <w:r w:rsidR="00610E15" w:rsidRPr="00610E15">
        <w:rPr>
          <w:rFonts w:cstheme="minorHAnsi"/>
          <w:sz w:val="24"/>
          <w:szCs w:val="24"/>
        </w:rPr>
        <w:t>that</w:t>
      </w:r>
      <w:r w:rsidR="004D7474" w:rsidRPr="00610E15">
        <w:rPr>
          <w:rFonts w:cstheme="minorHAnsi"/>
          <w:sz w:val="24"/>
          <w:szCs w:val="24"/>
        </w:rPr>
        <w:t xml:space="preserve"> </w:t>
      </w:r>
      <w:r w:rsidR="004D7474" w:rsidRPr="00610E15">
        <w:rPr>
          <w:rFonts w:cstheme="minorHAnsi"/>
          <w:i/>
          <w:iCs/>
          <w:sz w:val="24"/>
          <w:szCs w:val="24"/>
        </w:rPr>
        <w:t>prima facie</w:t>
      </w:r>
      <w:r w:rsidR="004D7474" w:rsidRPr="00610E15">
        <w:rPr>
          <w:rFonts w:cstheme="minorHAnsi"/>
          <w:sz w:val="24"/>
          <w:szCs w:val="24"/>
        </w:rPr>
        <w:t xml:space="preserve">, seem to be testamentary trusts but do not comply with the formalities set forth in S.9 of the Wills Act 1837. The </w:t>
      </w:r>
      <w:r w:rsidR="00CD6493" w:rsidRPr="00610E15">
        <w:rPr>
          <w:rFonts w:cstheme="minorHAnsi"/>
          <w:sz w:val="24"/>
          <w:szCs w:val="24"/>
        </w:rPr>
        <w:t>nature</w:t>
      </w:r>
      <w:r w:rsidR="004D7474" w:rsidRPr="00610E15">
        <w:rPr>
          <w:rFonts w:cstheme="minorHAnsi"/>
          <w:sz w:val="24"/>
          <w:szCs w:val="24"/>
        </w:rPr>
        <w:t xml:space="preserve"> of secret trusts is so unique and distinct </w:t>
      </w:r>
      <w:r w:rsidR="00CD6493" w:rsidRPr="00610E15">
        <w:rPr>
          <w:rFonts w:cstheme="minorHAnsi"/>
          <w:sz w:val="24"/>
          <w:szCs w:val="24"/>
        </w:rPr>
        <w:t>that it inherits qualities not only from testamentary trusts</w:t>
      </w:r>
      <w:r w:rsidR="0049632F" w:rsidRPr="00610E15">
        <w:rPr>
          <w:rFonts w:cstheme="minorHAnsi"/>
          <w:sz w:val="24"/>
          <w:szCs w:val="24"/>
        </w:rPr>
        <w:t>,</w:t>
      </w:r>
      <w:r w:rsidR="00CD6493" w:rsidRPr="00610E15">
        <w:rPr>
          <w:rFonts w:cstheme="minorHAnsi"/>
          <w:sz w:val="24"/>
          <w:szCs w:val="24"/>
        </w:rPr>
        <w:t xml:space="preserve"> but also inter-</w:t>
      </w:r>
      <w:proofErr w:type="spellStart"/>
      <w:r w:rsidR="00CD6493" w:rsidRPr="00610E15">
        <w:rPr>
          <w:rFonts w:cstheme="minorHAnsi"/>
          <w:sz w:val="24"/>
          <w:szCs w:val="24"/>
        </w:rPr>
        <w:t>vivos</w:t>
      </w:r>
      <w:proofErr w:type="spellEnd"/>
      <w:r w:rsidR="00CD6493" w:rsidRPr="00610E15">
        <w:rPr>
          <w:rFonts w:cstheme="minorHAnsi"/>
          <w:sz w:val="24"/>
          <w:szCs w:val="24"/>
        </w:rPr>
        <w:t xml:space="preserve"> trusts. </w:t>
      </w:r>
      <w:r w:rsidR="009D2770" w:rsidRPr="00610E15">
        <w:rPr>
          <w:rFonts w:cstheme="minorHAnsi"/>
          <w:sz w:val="24"/>
          <w:szCs w:val="24"/>
        </w:rPr>
        <w:t>The essay below will discover the unique nature of secret trusts</w:t>
      </w:r>
      <w:r w:rsidR="003620A0" w:rsidRPr="00610E15">
        <w:rPr>
          <w:rFonts w:cstheme="minorHAnsi"/>
          <w:sz w:val="24"/>
          <w:szCs w:val="24"/>
        </w:rPr>
        <w:t>, background</w:t>
      </w:r>
      <w:r w:rsidR="009D2770" w:rsidRPr="00610E15">
        <w:rPr>
          <w:rFonts w:cstheme="minorHAnsi"/>
          <w:sz w:val="24"/>
          <w:szCs w:val="24"/>
        </w:rPr>
        <w:t xml:space="preserve">, justifications for circumvention followed by types of secret trusts and relevant case laws. </w:t>
      </w:r>
    </w:p>
    <w:p w14:paraId="68866B2D" w14:textId="393584A3" w:rsidR="009D2770" w:rsidRPr="00610E15" w:rsidRDefault="00C3141A" w:rsidP="000127A3">
      <w:pPr>
        <w:jc w:val="both"/>
        <w:rPr>
          <w:rFonts w:cstheme="minorHAnsi"/>
          <w:sz w:val="24"/>
          <w:szCs w:val="24"/>
        </w:rPr>
      </w:pPr>
      <w:r w:rsidRPr="00610E15">
        <w:rPr>
          <w:rFonts w:cstheme="minorHAnsi"/>
          <w:sz w:val="24"/>
          <w:szCs w:val="24"/>
        </w:rPr>
        <w:t>Secret Trusts – what are they?</w:t>
      </w:r>
    </w:p>
    <w:p w14:paraId="06EAC002" w14:textId="2CC7869F" w:rsidR="00F57186" w:rsidRPr="00610E15" w:rsidRDefault="00F57186" w:rsidP="000127A3">
      <w:pPr>
        <w:jc w:val="both"/>
        <w:rPr>
          <w:rFonts w:cstheme="minorHAnsi"/>
          <w:sz w:val="24"/>
          <w:szCs w:val="24"/>
          <w:lang w:val="en-US"/>
        </w:rPr>
      </w:pPr>
      <w:r w:rsidRPr="00610E15">
        <w:rPr>
          <w:rFonts w:cstheme="minorHAnsi"/>
          <w:sz w:val="24"/>
          <w:szCs w:val="24"/>
        </w:rPr>
        <w:t xml:space="preserve">Secret trusts are of two types </w:t>
      </w:r>
      <w:r w:rsidR="00610E15" w:rsidRPr="00610E15">
        <w:rPr>
          <w:rFonts w:cstheme="minorHAnsi"/>
          <w:sz w:val="24"/>
          <w:szCs w:val="24"/>
        </w:rPr>
        <w:t>namely,</w:t>
      </w:r>
      <w:r w:rsidRPr="00610E15">
        <w:rPr>
          <w:rFonts w:cstheme="minorHAnsi"/>
          <w:sz w:val="24"/>
          <w:szCs w:val="24"/>
        </w:rPr>
        <w:t xml:space="preserve"> </w:t>
      </w:r>
      <w:r w:rsidR="00AA42FA" w:rsidRPr="00610E15">
        <w:rPr>
          <w:rFonts w:cstheme="minorHAnsi"/>
          <w:sz w:val="24"/>
          <w:szCs w:val="24"/>
        </w:rPr>
        <w:t>full secret trusts and half secret trusts</w:t>
      </w:r>
      <w:r w:rsidRPr="00610E15">
        <w:rPr>
          <w:rFonts w:cstheme="minorHAnsi"/>
          <w:sz w:val="24"/>
          <w:szCs w:val="24"/>
        </w:rPr>
        <w:t xml:space="preserve">. </w:t>
      </w:r>
      <w:r w:rsidRPr="00610E15">
        <w:rPr>
          <w:rFonts w:cstheme="minorHAnsi"/>
          <w:sz w:val="24"/>
          <w:szCs w:val="24"/>
          <w:lang w:val="en-US"/>
        </w:rPr>
        <w:t>A full secret trust is one which is entirely concealed on the face of the will and testator communicates terms regarding the arrangement to the intended secret trustee</w:t>
      </w:r>
      <w:r w:rsidR="00AA42FA" w:rsidRPr="00610E15">
        <w:rPr>
          <w:rFonts w:cstheme="minorHAnsi"/>
          <w:sz w:val="24"/>
          <w:szCs w:val="24"/>
          <w:lang w:val="en-US"/>
        </w:rPr>
        <w:t xml:space="preserve">. </w:t>
      </w:r>
      <w:r w:rsidR="00FC7CFE" w:rsidRPr="00610E15">
        <w:rPr>
          <w:rFonts w:cstheme="minorHAnsi"/>
          <w:sz w:val="24"/>
          <w:szCs w:val="24"/>
          <w:lang w:val="en-US"/>
        </w:rPr>
        <w:t xml:space="preserve">The case of </w:t>
      </w:r>
      <w:r w:rsidR="00FC7CFE" w:rsidRPr="00610E15">
        <w:rPr>
          <w:rFonts w:cstheme="minorHAnsi"/>
          <w:i/>
          <w:iCs/>
          <w:sz w:val="24"/>
          <w:szCs w:val="24"/>
          <w:lang w:val="en-US"/>
        </w:rPr>
        <w:t>Re Snowden (1979)</w:t>
      </w:r>
      <w:r w:rsidR="00FC7CFE" w:rsidRPr="00610E15">
        <w:rPr>
          <w:rFonts w:cstheme="minorHAnsi"/>
          <w:sz w:val="24"/>
          <w:szCs w:val="24"/>
          <w:lang w:val="en-US"/>
        </w:rPr>
        <w:t xml:space="preserve"> provides a good example of the court’s willingness to enforce full secret trusts. </w:t>
      </w:r>
      <w:r w:rsidR="00AA42FA" w:rsidRPr="00610E15">
        <w:rPr>
          <w:rFonts w:cstheme="minorHAnsi"/>
          <w:sz w:val="24"/>
          <w:szCs w:val="24"/>
          <w:lang w:val="en-US"/>
        </w:rPr>
        <w:t>Put simply</w:t>
      </w:r>
      <w:r w:rsidRPr="00610E15">
        <w:rPr>
          <w:rFonts w:cstheme="minorHAnsi"/>
          <w:sz w:val="24"/>
          <w:szCs w:val="24"/>
          <w:lang w:val="en-US"/>
        </w:rPr>
        <w:t xml:space="preserve">, neither the terms of the arrangement nor the existence of the trust is mentioned in the will. </w:t>
      </w:r>
      <w:r w:rsidR="00AA42FA" w:rsidRPr="00610E15">
        <w:rPr>
          <w:rFonts w:cstheme="minorHAnsi"/>
          <w:sz w:val="24"/>
          <w:szCs w:val="24"/>
          <w:lang w:val="en-US"/>
        </w:rPr>
        <w:t>Only the secret trustee is aware of the trust property</w:t>
      </w:r>
      <w:r w:rsidR="00FC7CFE" w:rsidRPr="00610E15">
        <w:rPr>
          <w:rFonts w:cstheme="minorHAnsi"/>
          <w:sz w:val="24"/>
          <w:szCs w:val="24"/>
          <w:lang w:val="en-US"/>
        </w:rPr>
        <w:t xml:space="preserve"> which is intended for the beneficiary. </w:t>
      </w:r>
      <w:r w:rsidR="00610E15" w:rsidRPr="00610E15">
        <w:rPr>
          <w:rFonts w:cstheme="minorHAnsi"/>
          <w:sz w:val="24"/>
          <w:szCs w:val="24"/>
          <w:lang w:val="en-US"/>
        </w:rPr>
        <w:t>Whereas</w:t>
      </w:r>
      <w:r w:rsidRPr="00610E15">
        <w:rPr>
          <w:rFonts w:cstheme="minorHAnsi"/>
          <w:sz w:val="24"/>
          <w:szCs w:val="24"/>
          <w:lang w:val="en-US"/>
        </w:rPr>
        <w:t xml:space="preserve"> half secret trusts indicate the existence of the trust but does not disclose the terms of arrangement. </w:t>
      </w:r>
    </w:p>
    <w:p w14:paraId="509FD2A2" w14:textId="76D4B197" w:rsidR="003620A0" w:rsidRPr="00610E15" w:rsidRDefault="003620A0" w:rsidP="000127A3">
      <w:pPr>
        <w:jc w:val="both"/>
        <w:rPr>
          <w:rFonts w:cstheme="minorHAnsi"/>
          <w:sz w:val="24"/>
          <w:szCs w:val="24"/>
        </w:rPr>
      </w:pPr>
      <w:r w:rsidRPr="00610E15">
        <w:rPr>
          <w:rFonts w:cstheme="minorHAnsi"/>
          <w:sz w:val="24"/>
          <w:szCs w:val="24"/>
        </w:rPr>
        <w:t xml:space="preserve">The origin of secret trusts rests on the equitable maxim “equity will not let a statute to be used as an element of fraud”. This means where the aggrieved party is faced with fraud and inconvenience on the hands of wrong use of statute, equity will step in to ensure that statute is not used as a vehicle for fraud. This means that regardless of what the statute says, equity will attempt to strike a balance between both of the parties and as such, may operate outside </w:t>
      </w:r>
      <w:r w:rsidR="00A2612D" w:rsidRPr="00610E15">
        <w:rPr>
          <w:rFonts w:cstheme="minorHAnsi"/>
          <w:sz w:val="24"/>
          <w:szCs w:val="24"/>
        </w:rPr>
        <w:t xml:space="preserve">the confines of statute. Accordingly, a where a party is faced with inconvenience due to the formalities of s.9 not being met, </w:t>
      </w:r>
      <w:r w:rsidR="00226C35" w:rsidRPr="00610E15">
        <w:rPr>
          <w:rFonts w:cstheme="minorHAnsi"/>
          <w:sz w:val="24"/>
          <w:szCs w:val="24"/>
        </w:rPr>
        <w:t xml:space="preserve">equity will ensure that the trust is enforced regardless. </w:t>
      </w:r>
      <w:r w:rsidR="00A2612D" w:rsidRPr="00610E15">
        <w:rPr>
          <w:rFonts w:cstheme="minorHAnsi"/>
          <w:sz w:val="24"/>
          <w:szCs w:val="24"/>
        </w:rPr>
        <w:t xml:space="preserve"> </w:t>
      </w:r>
    </w:p>
    <w:p w14:paraId="552E2852" w14:textId="27CF92A0" w:rsidR="00C3141A" w:rsidRPr="00610E15" w:rsidRDefault="00F84431" w:rsidP="000127A3">
      <w:pPr>
        <w:jc w:val="both"/>
        <w:rPr>
          <w:rFonts w:cstheme="minorHAnsi"/>
          <w:sz w:val="24"/>
          <w:szCs w:val="24"/>
        </w:rPr>
      </w:pPr>
      <w:r w:rsidRPr="00610E15">
        <w:rPr>
          <w:rFonts w:cstheme="minorHAnsi"/>
          <w:sz w:val="24"/>
          <w:szCs w:val="24"/>
        </w:rPr>
        <w:t>The reason</w:t>
      </w:r>
      <w:r w:rsidR="00D075E0" w:rsidRPr="00610E15">
        <w:rPr>
          <w:rFonts w:cstheme="minorHAnsi"/>
          <w:sz w:val="24"/>
          <w:szCs w:val="24"/>
        </w:rPr>
        <w:t xml:space="preserve"> why secret trusts appear as testamentary is due to the reason that </w:t>
      </w:r>
      <w:r w:rsidR="00416C9D" w:rsidRPr="00610E15">
        <w:rPr>
          <w:rFonts w:cstheme="minorHAnsi"/>
          <w:sz w:val="24"/>
          <w:szCs w:val="24"/>
        </w:rPr>
        <w:t xml:space="preserve">they operate after the testator’s death. Contrastingly, </w:t>
      </w:r>
      <w:proofErr w:type="spellStart"/>
      <w:r w:rsidR="00416C9D" w:rsidRPr="00610E15">
        <w:rPr>
          <w:rFonts w:cstheme="minorHAnsi"/>
          <w:sz w:val="24"/>
          <w:szCs w:val="24"/>
        </w:rPr>
        <w:t>intervivos</w:t>
      </w:r>
      <w:proofErr w:type="spellEnd"/>
      <w:r w:rsidR="00416C9D" w:rsidRPr="00610E15">
        <w:rPr>
          <w:rFonts w:cstheme="minorHAnsi"/>
          <w:sz w:val="24"/>
          <w:szCs w:val="24"/>
        </w:rPr>
        <w:t xml:space="preserve"> trust, or living trusts, operate and are created during the testator’s lifetime. </w:t>
      </w:r>
      <w:r w:rsidR="00610E15" w:rsidRPr="00610E15">
        <w:rPr>
          <w:rFonts w:cstheme="minorHAnsi"/>
          <w:sz w:val="24"/>
          <w:szCs w:val="24"/>
        </w:rPr>
        <w:t>For</w:t>
      </w:r>
      <w:r w:rsidR="00416C9D" w:rsidRPr="00610E15">
        <w:rPr>
          <w:rFonts w:cstheme="minorHAnsi"/>
          <w:sz w:val="24"/>
          <w:szCs w:val="24"/>
        </w:rPr>
        <w:t xml:space="preserve"> an </w:t>
      </w:r>
      <w:proofErr w:type="spellStart"/>
      <w:r w:rsidR="00416C9D" w:rsidRPr="00610E15">
        <w:rPr>
          <w:rFonts w:cstheme="minorHAnsi"/>
          <w:sz w:val="24"/>
          <w:szCs w:val="24"/>
        </w:rPr>
        <w:t>intervivos</w:t>
      </w:r>
      <w:proofErr w:type="spellEnd"/>
      <w:r w:rsidR="00416C9D" w:rsidRPr="00610E15">
        <w:rPr>
          <w:rFonts w:cstheme="minorHAnsi"/>
          <w:sz w:val="24"/>
          <w:szCs w:val="24"/>
        </w:rPr>
        <w:t xml:space="preserve"> trust to be valid, it must comply with the conditions set under s.53 of Law of Property Act, 1925. Secret trusts do not </w:t>
      </w:r>
      <w:r w:rsidR="00570137" w:rsidRPr="00610E15">
        <w:rPr>
          <w:rFonts w:cstheme="minorHAnsi"/>
          <w:sz w:val="24"/>
          <w:szCs w:val="24"/>
        </w:rPr>
        <w:t>comply with</w:t>
      </w:r>
      <w:r w:rsidR="00416C9D" w:rsidRPr="00610E15">
        <w:rPr>
          <w:rFonts w:cstheme="minorHAnsi"/>
          <w:sz w:val="24"/>
          <w:szCs w:val="24"/>
        </w:rPr>
        <w:t xml:space="preserve"> s.53 either however, they are created</w:t>
      </w:r>
      <w:r w:rsidR="00570137" w:rsidRPr="00610E15">
        <w:rPr>
          <w:rFonts w:cstheme="minorHAnsi"/>
          <w:sz w:val="24"/>
          <w:szCs w:val="24"/>
        </w:rPr>
        <w:t>, and take effect,</w:t>
      </w:r>
      <w:r w:rsidR="00416C9D" w:rsidRPr="00610E15">
        <w:rPr>
          <w:rFonts w:cstheme="minorHAnsi"/>
          <w:sz w:val="24"/>
          <w:szCs w:val="24"/>
        </w:rPr>
        <w:t xml:space="preserve"> during the testator’s lifetime</w:t>
      </w:r>
      <w:r w:rsidR="0085564C" w:rsidRPr="00610E15">
        <w:rPr>
          <w:rFonts w:cstheme="minorHAnsi"/>
          <w:sz w:val="24"/>
          <w:szCs w:val="24"/>
        </w:rPr>
        <w:t xml:space="preserve"> (</w:t>
      </w:r>
      <w:r w:rsidR="0085564C" w:rsidRPr="00610E15">
        <w:rPr>
          <w:rFonts w:cstheme="minorHAnsi"/>
          <w:i/>
          <w:iCs/>
          <w:sz w:val="24"/>
          <w:szCs w:val="24"/>
        </w:rPr>
        <w:t>Kincaid, D 2000</w:t>
      </w:r>
      <w:r w:rsidR="0085564C" w:rsidRPr="00610E15">
        <w:rPr>
          <w:rFonts w:cstheme="minorHAnsi"/>
          <w:sz w:val="24"/>
          <w:szCs w:val="24"/>
        </w:rPr>
        <w:t>).</w:t>
      </w:r>
      <w:r w:rsidR="00416C9D" w:rsidRPr="00610E15">
        <w:rPr>
          <w:rFonts w:cstheme="minorHAnsi"/>
          <w:sz w:val="24"/>
          <w:szCs w:val="24"/>
        </w:rPr>
        <w:t xml:space="preserve"> Thus, it is safe to say that </w:t>
      </w:r>
      <w:r w:rsidR="0049632F" w:rsidRPr="00610E15">
        <w:rPr>
          <w:rFonts w:cstheme="minorHAnsi"/>
          <w:sz w:val="24"/>
          <w:szCs w:val="24"/>
        </w:rPr>
        <w:t xml:space="preserve">secret trusts inherit qualities from both, testamentary and </w:t>
      </w:r>
      <w:proofErr w:type="spellStart"/>
      <w:r w:rsidR="0049632F" w:rsidRPr="00610E15">
        <w:rPr>
          <w:rFonts w:cstheme="minorHAnsi"/>
          <w:sz w:val="24"/>
          <w:szCs w:val="24"/>
        </w:rPr>
        <w:t>intervivos</w:t>
      </w:r>
      <w:proofErr w:type="spellEnd"/>
      <w:r w:rsidR="0049632F" w:rsidRPr="00610E15">
        <w:rPr>
          <w:rFonts w:cstheme="minorHAnsi"/>
          <w:sz w:val="24"/>
          <w:szCs w:val="24"/>
        </w:rPr>
        <w:t>, trusts. Due to this reason, secret trusts are one of a kind and possess distinctive qualities.</w:t>
      </w:r>
      <w:r w:rsidR="00AF5FF2" w:rsidRPr="00610E15">
        <w:rPr>
          <w:rFonts w:cstheme="minorHAnsi"/>
          <w:sz w:val="24"/>
          <w:szCs w:val="24"/>
        </w:rPr>
        <w:t xml:space="preserve"> </w:t>
      </w:r>
      <w:r w:rsidR="0049632F" w:rsidRPr="00610E15">
        <w:rPr>
          <w:rFonts w:cstheme="minorHAnsi"/>
          <w:sz w:val="24"/>
          <w:szCs w:val="24"/>
        </w:rPr>
        <w:t xml:space="preserve"> Nonetheless, this does not mean they are free from criticism. Such will be further discussed below.</w:t>
      </w:r>
    </w:p>
    <w:p w14:paraId="29C16DDC" w14:textId="7442670C" w:rsidR="0049632F" w:rsidRPr="00610E15" w:rsidRDefault="00FB75AF" w:rsidP="000127A3">
      <w:pPr>
        <w:jc w:val="both"/>
        <w:rPr>
          <w:rFonts w:cstheme="minorHAnsi"/>
          <w:sz w:val="24"/>
          <w:szCs w:val="24"/>
        </w:rPr>
      </w:pPr>
      <w:r w:rsidRPr="00610E15">
        <w:rPr>
          <w:rFonts w:cstheme="minorHAnsi"/>
          <w:sz w:val="24"/>
          <w:szCs w:val="24"/>
        </w:rPr>
        <w:t>Secret Trusts – justifications given by courts</w:t>
      </w:r>
      <w:r w:rsidR="0049632F" w:rsidRPr="00610E15">
        <w:rPr>
          <w:rFonts w:cstheme="minorHAnsi"/>
          <w:sz w:val="24"/>
          <w:szCs w:val="24"/>
        </w:rPr>
        <w:t>:</w:t>
      </w:r>
    </w:p>
    <w:p w14:paraId="51AB180E" w14:textId="59864DFE" w:rsidR="002D7CF7" w:rsidRPr="00610E15" w:rsidRDefault="00C65CD7" w:rsidP="000127A3">
      <w:pPr>
        <w:autoSpaceDE w:val="0"/>
        <w:autoSpaceDN w:val="0"/>
        <w:adjustRightInd w:val="0"/>
        <w:spacing w:after="0" w:line="240" w:lineRule="auto"/>
        <w:jc w:val="both"/>
        <w:rPr>
          <w:rFonts w:cstheme="minorHAnsi"/>
          <w:sz w:val="24"/>
          <w:szCs w:val="24"/>
          <w:lang w:val="en-US"/>
        </w:rPr>
      </w:pPr>
      <w:r w:rsidRPr="00610E15">
        <w:rPr>
          <w:rFonts w:cstheme="minorHAnsi"/>
          <w:sz w:val="24"/>
          <w:szCs w:val="24"/>
        </w:rPr>
        <w:t xml:space="preserve">Secret trusts are an exception to the general rules of formalities laid down in relevant statutes and the courts have provided with </w:t>
      </w:r>
      <w:r w:rsidR="00570137" w:rsidRPr="00610E15">
        <w:rPr>
          <w:rFonts w:cstheme="minorHAnsi"/>
          <w:sz w:val="24"/>
          <w:szCs w:val="24"/>
        </w:rPr>
        <w:t>certain</w:t>
      </w:r>
      <w:r w:rsidRPr="00610E15">
        <w:rPr>
          <w:rFonts w:cstheme="minorHAnsi"/>
          <w:sz w:val="24"/>
          <w:szCs w:val="24"/>
        </w:rPr>
        <w:t xml:space="preserve"> intelligible justifications. </w:t>
      </w:r>
      <w:r w:rsidR="0033172E" w:rsidRPr="00610E15">
        <w:rPr>
          <w:rFonts w:cstheme="minorHAnsi"/>
          <w:sz w:val="24"/>
          <w:szCs w:val="24"/>
        </w:rPr>
        <w:t xml:space="preserve">The most prominent theoretical justification for enforcing secret trusts is fraud. As mentioned above, the court used the maxim ‘equity will not allow statute to be used as an engine for fraud’ </w:t>
      </w:r>
      <w:r w:rsidR="00610E15" w:rsidRPr="00610E15">
        <w:rPr>
          <w:rFonts w:cstheme="minorHAnsi"/>
          <w:sz w:val="24"/>
          <w:szCs w:val="24"/>
        </w:rPr>
        <w:t>to</w:t>
      </w:r>
      <w:r w:rsidR="0033172E" w:rsidRPr="00610E15">
        <w:rPr>
          <w:rFonts w:cstheme="minorHAnsi"/>
          <w:sz w:val="24"/>
          <w:szCs w:val="24"/>
        </w:rPr>
        <w:t xml:space="preserve"> form the </w:t>
      </w:r>
      <w:r w:rsidR="0033172E" w:rsidRPr="00610E15">
        <w:rPr>
          <w:rFonts w:cstheme="minorHAnsi"/>
          <w:sz w:val="24"/>
          <w:szCs w:val="24"/>
        </w:rPr>
        <w:lastRenderedPageBreak/>
        <w:t xml:space="preserve">basis of secret trusts. </w:t>
      </w:r>
      <w:r w:rsidR="006B062D" w:rsidRPr="00610E15">
        <w:rPr>
          <w:rFonts w:cstheme="minorHAnsi"/>
          <w:sz w:val="24"/>
          <w:szCs w:val="24"/>
        </w:rPr>
        <w:t xml:space="preserve">Thus, to prevent statute or common law from being used as an instrument of fraud and </w:t>
      </w:r>
      <w:r w:rsidR="00CD1B9B" w:rsidRPr="00610E15">
        <w:rPr>
          <w:rFonts w:cstheme="minorHAnsi"/>
          <w:sz w:val="24"/>
          <w:szCs w:val="24"/>
        </w:rPr>
        <w:t xml:space="preserve">to prevent the aggrieved party from being a victim of such fraud, the courts introduced the fraud theory. In </w:t>
      </w:r>
      <w:r w:rsidR="00CD1B9B" w:rsidRPr="00610E15">
        <w:rPr>
          <w:rFonts w:cstheme="minorHAnsi"/>
          <w:i/>
          <w:iCs/>
          <w:sz w:val="24"/>
          <w:szCs w:val="24"/>
        </w:rPr>
        <w:t>McCormick v Grogan</w:t>
      </w:r>
      <w:r w:rsidR="00CD1B9B" w:rsidRPr="00610E15">
        <w:rPr>
          <w:rFonts w:cstheme="minorHAnsi"/>
          <w:sz w:val="24"/>
          <w:szCs w:val="24"/>
        </w:rPr>
        <w:t>, Lord Westbury stated that “</w:t>
      </w:r>
      <w:r w:rsidR="00CD1B9B" w:rsidRPr="00610E15">
        <w:rPr>
          <w:rFonts w:cstheme="minorHAnsi"/>
          <w:i/>
          <w:iCs/>
          <w:sz w:val="24"/>
          <w:szCs w:val="24"/>
          <w:lang/>
        </w:rPr>
        <w:t>the court has, decided that even an Act of Parliament</w:t>
      </w:r>
      <w:r w:rsidR="00CD1B9B" w:rsidRPr="00610E15">
        <w:rPr>
          <w:rFonts w:cstheme="minorHAnsi"/>
          <w:i/>
          <w:iCs/>
          <w:sz w:val="24"/>
          <w:szCs w:val="24"/>
          <w:lang w:val="en-US"/>
        </w:rPr>
        <w:t xml:space="preserve"> </w:t>
      </w:r>
      <w:r w:rsidR="00CD1B9B" w:rsidRPr="00610E15">
        <w:rPr>
          <w:rFonts w:cstheme="minorHAnsi"/>
          <w:i/>
          <w:iCs/>
          <w:sz w:val="24"/>
          <w:szCs w:val="24"/>
          <w:lang/>
        </w:rPr>
        <w:t>shall not be used as an instrument of fraud; and that equity will fasten on the</w:t>
      </w:r>
      <w:r w:rsidR="00CD1B9B" w:rsidRPr="00610E15">
        <w:rPr>
          <w:rFonts w:cstheme="minorHAnsi"/>
          <w:i/>
          <w:iCs/>
          <w:sz w:val="24"/>
          <w:szCs w:val="24"/>
          <w:lang w:val="en-US"/>
        </w:rPr>
        <w:t xml:space="preserve"> </w:t>
      </w:r>
      <w:r w:rsidR="00CD1B9B" w:rsidRPr="00610E15">
        <w:rPr>
          <w:rFonts w:cstheme="minorHAnsi"/>
          <w:i/>
          <w:iCs/>
          <w:sz w:val="24"/>
          <w:szCs w:val="24"/>
          <w:lang/>
        </w:rPr>
        <w:t>individual who gets a title under that Act, and impose upon him a personal obligation</w:t>
      </w:r>
      <w:r w:rsidR="00FB75AF" w:rsidRPr="00610E15">
        <w:rPr>
          <w:rFonts w:cstheme="minorHAnsi"/>
          <w:i/>
          <w:iCs/>
          <w:sz w:val="24"/>
          <w:szCs w:val="24"/>
          <w:lang w:val="en-US"/>
        </w:rPr>
        <w:t>…</w:t>
      </w:r>
      <w:r w:rsidR="00CD1B9B" w:rsidRPr="00610E15">
        <w:rPr>
          <w:rFonts w:cstheme="minorHAnsi"/>
          <w:i/>
          <w:iCs/>
          <w:sz w:val="24"/>
          <w:szCs w:val="24"/>
          <w:lang/>
        </w:rPr>
        <w:t>In this</w:t>
      </w:r>
      <w:r w:rsidR="00CD1B9B" w:rsidRPr="00610E15">
        <w:rPr>
          <w:rFonts w:cstheme="minorHAnsi"/>
          <w:i/>
          <w:iCs/>
          <w:sz w:val="24"/>
          <w:szCs w:val="24"/>
          <w:lang w:val="en-US"/>
        </w:rPr>
        <w:t xml:space="preserve"> </w:t>
      </w:r>
      <w:r w:rsidR="00CD1B9B" w:rsidRPr="00610E15">
        <w:rPr>
          <w:rFonts w:cstheme="minorHAnsi"/>
          <w:i/>
          <w:iCs/>
          <w:sz w:val="24"/>
          <w:szCs w:val="24"/>
          <w:lang/>
        </w:rPr>
        <w:t xml:space="preserve">way a court of </w:t>
      </w:r>
      <w:r w:rsidR="00545795" w:rsidRPr="00610E15">
        <w:rPr>
          <w:rFonts w:cstheme="minorHAnsi"/>
          <w:i/>
          <w:iCs/>
          <w:sz w:val="24"/>
          <w:szCs w:val="24"/>
          <w:lang w:val="en-US"/>
        </w:rPr>
        <w:t>equity…</w:t>
      </w:r>
      <w:r w:rsidR="00CD1B9B" w:rsidRPr="00610E15">
        <w:rPr>
          <w:rFonts w:cstheme="minorHAnsi"/>
          <w:i/>
          <w:iCs/>
          <w:sz w:val="24"/>
          <w:szCs w:val="24"/>
          <w:lang/>
        </w:rPr>
        <w:t>deals with the Statute of Wills</w:t>
      </w:r>
      <w:r w:rsidR="00CD1B9B" w:rsidRPr="00610E15">
        <w:rPr>
          <w:rFonts w:cstheme="minorHAnsi"/>
          <w:sz w:val="24"/>
          <w:szCs w:val="24"/>
          <w:lang/>
        </w:rPr>
        <w:t>.</w:t>
      </w:r>
      <w:r w:rsidR="00CD1B9B" w:rsidRPr="00610E15">
        <w:rPr>
          <w:rFonts w:cstheme="minorHAnsi"/>
          <w:sz w:val="24"/>
          <w:szCs w:val="24"/>
          <w:lang w:val="en-US"/>
        </w:rPr>
        <w:t>”</w:t>
      </w:r>
      <w:r w:rsidR="002D7CF7" w:rsidRPr="00610E15">
        <w:rPr>
          <w:rFonts w:cstheme="minorHAnsi"/>
          <w:sz w:val="24"/>
          <w:szCs w:val="24"/>
          <w:lang w:val="en-US"/>
        </w:rPr>
        <w:t xml:space="preserve"> Accordingly, this explains the fraud theory</w:t>
      </w:r>
      <w:r w:rsidR="00B803BE" w:rsidRPr="00610E15">
        <w:rPr>
          <w:rFonts w:cstheme="minorHAnsi"/>
          <w:sz w:val="24"/>
          <w:szCs w:val="24"/>
          <w:lang w:val="en-US"/>
        </w:rPr>
        <w:t>. Notwithstanding this,</w:t>
      </w:r>
      <w:r w:rsidR="00C41CAF" w:rsidRPr="00610E15">
        <w:rPr>
          <w:rFonts w:cstheme="minorHAnsi"/>
          <w:sz w:val="24"/>
          <w:szCs w:val="24"/>
          <w:lang w:val="en-US"/>
        </w:rPr>
        <w:t xml:space="preserve"> there was controversy with regards to enforcing half secret trusts.</w:t>
      </w:r>
      <w:r w:rsidR="00B803BE" w:rsidRPr="00610E15">
        <w:rPr>
          <w:rFonts w:cstheme="minorHAnsi"/>
          <w:sz w:val="24"/>
          <w:szCs w:val="24"/>
          <w:lang w:val="en-US"/>
        </w:rPr>
        <w:t xml:space="preserve"> </w:t>
      </w:r>
      <w:r w:rsidR="00C41CAF" w:rsidRPr="00610E15">
        <w:rPr>
          <w:rFonts w:cstheme="minorHAnsi"/>
          <w:sz w:val="24"/>
          <w:szCs w:val="24"/>
          <w:lang w:val="en-US"/>
        </w:rPr>
        <w:t>I</w:t>
      </w:r>
      <w:r w:rsidR="00B803BE" w:rsidRPr="00610E15">
        <w:rPr>
          <w:rFonts w:cstheme="minorHAnsi"/>
          <w:sz w:val="24"/>
          <w:szCs w:val="24"/>
          <w:lang w:val="en-US"/>
        </w:rPr>
        <w:t xml:space="preserve">n </w:t>
      </w:r>
      <w:r w:rsidR="00B803BE" w:rsidRPr="00610E15">
        <w:rPr>
          <w:rFonts w:cstheme="minorHAnsi"/>
          <w:i/>
          <w:iCs/>
          <w:sz w:val="24"/>
          <w:szCs w:val="24"/>
          <w:lang w:val="en-US"/>
        </w:rPr>
        <w:t>Blackwell v Blackwell</w:t>
      </w:r>
      <w:r w:rsidR="00B803BE" w:rsidRPr="00610E15">
        <w:rPr>
          <w:rFonts w:cstheme="minorHAnsi"/>
          <w:sz w:val="24"/>
          <w:szCs w:val="24"/>
          <w:lang w:val="en-US"/>
        </w:rPr>
        <w:t>, it was argued that fraud could not be proven if the trustee’s name has been mentioned in the Will.</w:t>
      </w:r>
      <w:r w:rsidR="00C41CAF" w:rsidRPr="00610E15">
        <w:rPr>
          <w:rFonts w:cstheme="minorHAnsi"/>
          <w:sz w:val="24"/>
          <w:szCs w:val="24"/>
          <w:lang w:val="en-US"/>
        </w:rPr>
        <w:t xml:space="preserve"> </w:t>
      </w:r>
      <w:r w:rsidR="006A273B" w:rsidRPr="00610E15">
        <w:rPr>
          <w:rFonts w:cstheme="minorHAnsi"/>
          <w:sz w:val="24"/>
          <w:szCs w:val="24"/>
          <w:lang w:val="en-US"/>
        </w:rPr>
        <w:t xml:space="preserve">The question that arose was, </w:t>
      </w:r>
      <w:r w:rsidR="006A273B" w:rsidRPr="00610E15">
        <w:rPr>
          <w:rFonts w:cstheme="minorHAnsi"/>
          <w:sz w:val="24"/>
          <w:szCs w:val="24"/>
          <w:lang/>
        </w:rPr>
        <w:t>for whom the trust is</w:t>
      </w:r>
      <w:r w:rsidR="006A273B" w:rsidRPr="00610E15">
        <w:rPr>
          <w:rFonts w:cstheme="minorHAnsi"/>
          <w:sz w:val="24"/>
          <w:szCs w:val="24"/>
          <w:lang w:val="en-US"/>
        </w:rPr>
        <w:t xml:space="preserve"> </w:t>
      </w:r>
      <w:r w:rsidR="006A273B" w:rsidRPr="00610E15">
        <w:rPr>
          <w:rFonts w:cstheme="minorHAnsi"/>
          <w:sz w:val="24"/>
          <w:szCs w:val="24"/>
          <w:lang/>
        </w:rPr>
        <w:t>held</w:t>
      </w:r>
      <w:r w:rsidR="006A273B" w:rsidRPr="00610E15">
        <w:rPr>
          <w:rFonts w:cstheme="minorHAnsi"/>
          <w:sz w:val="24"/>
          <w:szCs w:val="24"/>
          <w:lang w:val="en-US"/>
        </w:rPr>
        <w:t xml:space="preserve">; provided that there is no express intention specifying the trust terms then the trust would fail. The House of Lords disagreed and allowed for </w:t>
      </w:r>
      <w:proofErr w:type="spellStart"/>
      <w:r w:rsidR="006A273B" w:rsidRPr="00610E15">
        <w:rPr>
          <w:rFonts w:cstheme="minorHAnsi"/>
          <w:sz w:val="24"/>
          <w:szCs w:val="24"/>
          <w:lang w:val="en-US"/>
        </w:rPr>
        <w:t>parol</w:t>
      </w:r>
      <w:proofErr w:type="spellEnd"/>
      <w:r w:rsidR="006A273B" w:rsidRPr="00610E15">
        <w:rPr>
          <w:rFonts w:cstheme="minorHAnsi"/>
          <w:sz w:val="24"/>
          <w:szCs w:val="24"/>
          <w:lang w:val="en-US"/>
        </w:rPr>
        <w:t xml:space="preserve"> evidence rule in order to gather further evidence. Subsequently,</w:t>
      </w:r>
      <w:r w:rsidR="000127A3" w:rsidRPr="00610E15">
        <w:rPr>
          <w:rFonts w:cstheme="minorHAnsi"/>
          <w:sz w:val="24"/>
          <w:szCs w:val="24"/>
          <w:lang w:val="en-US"/>
        </w:rPr>
        <w:t xml:space="preserve"> Lord Buckmaster held that instead of focusing on as to whether the trustee intended to fraudulently induce Will in his </w:t>
      </w:r>
      <w:proofErr w:type="spellStart"/>
      <w:r w:rsidR="000127A3" w:rsidRPr="00610E15">
        <w:rPr>
          <w:rFonts w:cstheme="minorHAnsi"/>
          <w:sz w:val="24"/>
          <w:szCs w:val="24"/>
          <w:lang w:val="en-US"/>
        </w:rPr>
        <w:t>favour</w:t>
      </w:r>
      <w:proofErr w:type="spellEnd"/>
      <w:r w:rsidR="000127A3" w:rsidRPr="00610E15">
        <w:rPr>
          <w:rFonts w:cstheme="minorHAnsi"/>
          <w:sz w:val="24"/>
          <w:szCs w:val="24"/>
          <w:lang w:val="en-US"/>
        </w:rPr>
        <w:t xml:space="preserve">, it is sufficient that he cheated the testator’s intended </w:t>
      </w:r>
      <w:proofErr w:type="spellStart"/>
      <w:r w:rsidR="000127A3" w:rsidRPr="00610E15">
        <w:rPr>
          <w:rFonts w:cstheme="minorHAnsi"/>
          <w:sz w:val="24"/>
          <w:szCs w:val="24"/>
          <w:lang w:val="en-US"/>
        </w:rPr>
        <w:t>donees</w:t>
      </w:r>
      <w:proofErr w:type="spellEnd"/>
      <w:r w:rsidR="000127A3" w:rsidRPr="00610E15">
        <w:rPr>
          <w:rFonts w:cstheme="minorHAnsi"/>
          <w:sz w:val="24"/>
          <w:szCs w:val="24"/>
          <w:lang w:val="en-US"/>
        </w:rPr>
        <w:t xml:space="preserve"> of their intended benefits thus, the fraud is a fraud on the secret beneficiaries (Penner, 2014). Sheridan (1951) criticizes this decision claiming that there is no fraud if the trust fails due to </w:t>
      </w:r>
      <w:r w:rsidR="00435ACE" w:rsidRPr="00610E15">
        <w:rPr>
          <w:rFonts w:cstheme="minorHAnsi"/>
          <w:sz w:val="24"/>
          <w:szCs w:val="24"/>
          <w:lang w:val="en-US"/>
        </w:rPr>
        <w:t xml:space="preserve">reasons of formality. It is absurd to hold the trustee accountable for reasons of technicality. </w:t>
      </w:r>
    </w:p>
    <w:p w14:paraId="732610C9" w14:textId="165ED3F3" w:rsidR="002D7CF7" w:rsidRPr="00610E15" w:rsidRDefault="002D7CF7" w:rsidP="000127A3">
      <w:pPr>
        <w:autoSpaceDE w:val="0"/>
        <w:autoSpaceDN w:val="0"/>
        <w:adjustRightInd w:val="0"/>
        <w:spacing w:after="0" w:line="240" w:lineRule="auto"/>
        <w:jc w:val="both"/>
        <w:rPr>
          <w:rFonts w:cstheme="minorHAnsi"/>
          <w:sz w:val="24"/>
          <w:szCs w:val="24"/>
          <w:lang w:val="en-US"/>
        </w:rPr>
      </w:pPr>
    </w:p>
    <w:p w14:paraId="4EF5DE87" w14:textId="2400712C" w:rsidR="002D7CF7" w:rsidRPr="00610E15" w:rsidRDefault="002D7CF7" w:rsidP="000127A3">
      <w:pPr>
        <w:autoSpaceDE w:val="0"/>
        <w:autoSpaceDN w:val="0"/>
        <w:adjustRightInd w:val="0"/>
        <w:spacing w:after="0" w:line="240" w:lineRule="auto"/>
        <w:jc w:val="both"/>
        <w:rPr>
          <w:rFonts w:cstheme="minorHAnsi"/>
          <w:sz w:val="24"/>
          <w:szCs w:val="24"/>
          <w:lang w:val="en-US"/>
        </w:rPr>
      </w:pPr>
      <w:r w:rsidRPr="00610E15">
        <w:rPr>
          <w:rFonts w:cstheme="minorHAnsi"/>
          <w:sz w:val="24"/>
          <w:szCs w:val="24"/>
          <w:lang w:val="en-US"/>
        </w:rPr>
        <w:t xml:space="preserve">It must further be noted that because fraud theory is the most prominent one, the courts have divided it into a narrow and a broad fraud theory. </w:t>
      </w:r>
      <w:r w:rsidR="00B803BE" w:rsidRPr="00610E15">
        <w:rPr>
          <w:rFonts w:cstheme="minorHAnsi"/>
          <w:sz w:val="24"/>
          <w:szCs w:val="24"/>
          <w:lang w:val="en-US"/>
        </w:rPr>
        <w:t xml:space="preserve">According to the narrow fraud theory, a secret </w:t>
      </w:r>
      <w:r w:rsidR="00570137" w:rsidRPr="00610E15">
        <w:rPr>
          <w:rFonts w:cstheme="minorHAnsi"/>
          <w:sz w:val="24"/>
          <w:szCs w:val="24"/>
          <w:lang w:val="en-US"/>
        </w:rPr>
        <w:t xml:space="preserve">trust </w:t>
      </w:r>
      <w:r w:rsidR="00B803BE" w:rsidRPr="00610E15">
        <w:rPr>
          <w:rFonts w:cstheme="minorHAnsi"/>
          <w:sz w:val="24"/>
          <w:szCs w:val="24"/>
          <w:lang w:val="en-US"/>
        </w:rPr>
        <w:t xml:space="preserve">may only be enforced where the defendant, a secret trustee, has a fraudulent scheme in mind which would induce the property owner to make a will in his </w:t>
      </w:r>
      <w:proofErr w:type="spellStart"/>
      <w:r w:rsidR="00B803BE" w:rsidRPr="00610E15">
        <w:rPr>
          <w:rFonts w:cstheme="minorHAnsi"/>
          <w:sz w:val="24"/>
          <w:szCs w:val="24"/>
          <w:lang w:val="en-US"/>
        </w:rPr>
        <w:t>favour</w:t>
      </w:r>
      <w:proofErr w:type="spellEnd"/>
      <w:r w:rsidR="00B803BE" w:rsidRPr="00610E15">
        <w:rPr>
          <w:rFonts w:cstheme="minorHAnsi"/>
          <w:sz w:val="24"/>
          <w:szCs w:val="24"/>
          <w:lang w:val="en-US"/>
        </w:rPr>
        <w:t xml:space="preserve">. Therefore, the defendant misrepresents his intention and falsely promises the owner’s wishes. Authority for this is derived from </w:t>
      </w:r>
      <w:r w:rsidR="00B803BE" w:rsidRPr="00610E15">
        <w:rPr>
          <w:rFonts w:cstheme="minorHAnsi"/>
          <w:i/>
          <w:iCs/>
          <w:sz w:val="24"/>
          <w:szCs w:val="24"/>
          <w:lang w:val="en-US"/>
        </w:rPr>
        <w:t>McCormick v Grogan</w:t>
      </w:r>
      <w:r w:rsidR="00B803BE" w:rsidRPr="00610E15">
        <w:rPr>
          <w:rFonts w:cstheme="minorHAnsi"/>
          <w:sz w:val="24"/>
          <w:szCs w:val="24"/>
          <w:lang w:val="en-US"/>
        </w:rPr>
        <w:t>. Upon such a situation, where the secret trustee acquires trust property for his own benefit, the courts will apply narrow fraud theory (Penner, 201</w:t>
      </w:r>
      <w:r w:rsidR="000127A3" w:rsidRPr="00610E15">
        <w:rPr>
          <w:rFonts w:cstheme="minorHAnsi"/>
          <w:sz w:val="24"/>
          <w:szCs w:val="24"/>
          <w:lang w:val="en-US"/>
        </w:rPr>
        <w:t>4</w:t>
      </w:r>
      <w:r w:rsidR="00B803BE" w:rsidRPr="00610E15">
        <w:rPr>
          <w:rFonts w:cstheme="minorHAnsi"/>
          <w:sz w:val="24"/>
          <w:szCs w:val="24"/>
          <w:lang w:val="en-US"/>
        </w:rPr>
        <w:t>).</w:t>
      </w:r>
    </w:p>
    <w:p w14:paraId="0D0DE24C" w14:textId="6288AEAC" w:rsidR="00435ACE" w:rsidRPr="00610E15" w:rsidRDefault="00435ACE" w:rsidP="000127A3">
      <w:pPr>
        <w:autoSpaceDE w:val="0"/>
        <w:autoSpaceDN w:val="0"/>
        <w:adjustRightInd w:val="0"/>
        <w:spacing w:after="0" w:line="240" w:lineRule="auto"/>
        <w:jc w:val="both"/>
        <w:rPr>
          <w:rFonts w:cstheme="minorHAnsi"/>
          <w:sz w:val="24"/>
          <w:szCs w:val="24"/>
          <w:lang w:val="en-US"/>
        </w:rPr>
      </w:pPr>
      <w:r w:rsidRPr="00610E15">
        <w:rPr>
          <w:rFonts w:cstheme="minorHAnsi"/>
          <w:sz w:val="24"/>
          <w:szCs w:val="24"/>
          <w:lang w:val="en-US"/>
        </w:rPr>
        <w:t xml:space="preserve">Under the broad fraudulent theory, it does not require fraudulent inducement to be proven rather, merely defeating the deceased and the beneficiary’s expectations would be considered sufficient. </w:t>
      </w:r>
      <w:r w:rsidR="002615E8" w:rsidRPr="00610E15">
        <w:rPr>
          <w:rFonts w:cstheme="minorHAnsi"/>
          <w:sz w:val="24"/>
          <w:szCs w:val="24"/>
          <w:lang w:val="en-US"/>
        </w:rPr>
        <w:t xml:space="preserve">This broad theory covers even more ground than that mentioned in </w:t>
      </w:r>
      <w:r w:rsidR="002615E8" w:rsidRPr="00610E15">
        <w:rPr>
          <w:rFonts w:cstheme="minorHAnsi"/>
          <w:i/>
          <w:iCs/>
          <w:sz w:val="24"/>
          <w:szCs w:val="24"/>
          <w:lang w:val="en-US"/>
        </w:rPr>
        <w:t>Rochefoucauld</w:t>
      </w:r>
      <w:r w:rsidR="002615E8" w:rsidRPr="00610E15">
        <w:rPr>
          <w:rFonts w:cstheme="minorHAnsi"/>
          <w:sz w:val="24"/>
          <w:szCs w:val="24"/>
          <w:lang w:val="en-US"/>
        </w:rPr>
        <w:t xml:space="preserve"> (Penner, 2014).</w:t>
      </w:r>
      <w:r w:rsidR="00CA7AB6" w:rsidRPr="00610E15">
        <w:rPr>
          <w:rFonts w:cstheme="minorHAnsi"/>
          <w:sz w:val="24"/>
          <w:szCs w:val="24"/>
          <w:lang w:val="en-US"/>
        </w:rPr>
        <w:t xml:space="preserve"> With regards to the question, the expansive discussion on fraud theory highlights the fact that the courts are not only attempting to circumvent the formalities, but on certain occasions</w:t>
      </w:r>
      <w:r w:rsidR="00EC14DB" w:rsidRPr="00610E15">
        <w:rPr>
          <w:rFonts w:cstheme="minorHAnsi"/>
          <w:sz w:val="24"/>
          <w:szCs w:val="24"/>
          <w:lang w:val="en-US"/>
        </w:rPr>
        <w:t>,</w:t>
      </w:r>
      <w:r w:rsidR="00CA7AB6" w:rsidRPr="00610E15">
        <w:rPr>
          <w:rFonts w:cstheme="minorHAnsi"/>
          <w:sz w:val="24"/>
          <w:szCs w:val="24"/>
          <w:lang w:val="en-US"/>
        </w:rPr>
        <w:t xml:space="preserve"> have adequately done so too. </w:t>
      </w:r>
      <w:r w:rsidR="00EC14DB" w:rsidRPr="00610E15">
        <w:rPr>
          <w:rFonts w:cstheme="minorHAnsi"/>
          <w:sz w:val="24"/>
          <w:szCs w:val="24"/>
          <w:lang w:val="en-US"/>
        </w:rPr>
        <w:t>Such is an indication, without fail, that the courts are more than willing to use the relevant maxim of equity in order to ensure that the aggrieved party is served justice.</w:t>
      </w:r>
    </w:p>
    <w:p w14:paraId="286D0432" w14:textId="717696E5" w:rsidR="008F5AFA" w:rsidRPr="00610E15" w:rsidRDefault="008F5AFA" w:rsidP="000127A3">
      <w:pPr>
        <w:jc w:val="both"/>
        <w:rPr>
          <w:rFonts w:cstheme="minorHAnsi"/>
          <w:sz w:val="24"/>
          <w:szCs w:val="24"/>
        </w:rPr>
      </w:pPr>
      <w:r w:rsidRPr="00610E15">
        <w:rPr>
          <w:rFonts w:cstheme="minorHAnsi"/>
          <w:sz w:val="24"/>
          <w:szCs w:val="24"/>
        </w:rPr>
        <w:t xml:space="preserve">Apart from using fraud as a justification, the courts also refer to </w:t>
      </w:r>
      <w:r w:rsidRPr="00610E15">
        <w:rPr>
          <w:rFonts w:cstheme="minorHAnsi"/>
          <w:i/>
          <w:iCs/>
          <w:sz w:val="24"/>
          <w:szCs w:val="24"/>
        </w:rPr>
        <w:t>dehors</w:t>
      </w:r>
      <w:r w:rsidRPr="00610E15">
        <w:rPr>
          <w:rFonts w:cstheme="minorHAnsi"/>
          <w:sz w:val="24"/>
          <w:szCs w:val="24"/>
        </w:rPr>
        <w:t xml:space="preserve"> the will theory to justify enforcing secret trusts. What this means is that because secret trusts </w:t>
      </w:r>
      <w:r w:rsidR="00F42B57" w:rsidRPr="00610E15">
        <w:rPr>
          <w:rFonts w:cstheme="minorHAnsi"/>
          <w:sz w:val="24"/>
          <w:szCs w:val="24"/>
        </w:rPr>
        <w:t xml:space="preserve">operate “dehors” (outside) the Wills Act 1837, there is no point in applying Wills Act 1837 to it. Accordingly, it has been argued that the trust arises not because of the will, but because of communication and acceptance of it. This concept has been derived from Cullen v. AG for Ireland and as such, was later adopted by Viscount Summer and Warrington LJ in </w:t>
      </w:r>
      <w:r w:rsidR="00F42B57" w:rsidRPr="00610E15">
        <w:rPr>
          <w:rFonts w:cstheme="minorHAnsi"/>
          <w:i/>
          <w:iCs/>
          <w:sz w:val="24"/>
          <w:szCs w:val="24"/>
        </w:rPr>
        <w:t>Blackwell v Blackwell</w:t>
      </w:r>
      <w:r w:rsidR="00F42B57" w:rsidRPr="00610E15">
        <w:rPr>
          <w:rFonts w:cstheme="minorHAnsi"/>
          <w:sz w:val="24"/>
          <w:szCs w:val="24"/>
        </w:rPr>
        <w:t>. For the purposes of elaboratio</w:t>
      </w:r>
      <w:r w:rsidR="00503826" w:rsidRPr="00610E15">
        <w:rPr>
          <w:rFonts w:cstheme="minorHAnsi"/>
          <w:sz w:val="24"/>
          <w:szCs w:val="24"/>
        </w:rPr>
        <w:t xml:space="preserve">n, it is essential to read Lord Warrington’s statement where he claimed </w:t>
      </w:r>
      <w:r w:rsidR="00610E15" w:rsidRPr="00610E15">
        <w:rPr>
          <w:rFonts w:cstheme="minorHAnsi"/>
          <w:sz w:val="24"/>
          <w:szCs w:val="24"/>
        </w:rPr>
        <w:t>that</w:t>
      </w:r>
      <w:r w:rsidR="00503826" w:rsidRPr="00610E15">
        <w:rPr>
          <w:rFonts w:cstheme="minorHAnsi"/>
          <w:sz w:val="24"/>
          <w:szCs w:val="24"/>
        </w:rPr>
        <w:t xml:space="preserve"> “</w:t>
      </w:r>
      <w:r w:rsidR="00503826" w:rsidRPr="00610E15">
        <w:rPr>
          <w:rFonts w:cstheme="minorHAnsi"/>
          <w:i/>
          <w:iCs/>
          <w:sz w:val="24"/>
          <w:szCs w:val="24"/>
        </w:rPr>
        <w:t xml:space="preserve">what is enforced is not a trust imposed by the will, but </w:t>
      </w:r>
      <w:r w:rsidR="00FB75AF" w:rsidRPr="00610E15">
        <w:rPr>
          <w:rFonts w:cstheme="minorHAnsi"/>
          <w:i/>
          <w:iCs/>
          <w:sz w:val="24"/>
          <w:szCs w:val="24"/>
        </w:rPr>
        <w:t>one arising from the acceptance by the legatee of a trust communicated to him by the settlor on faith of which acceptance of the will was made</w:t>
      </w:r>
      <w:r w:rsidR="00FB75AF" w:rsidRPr="00610E15">
        <w:rPr>
          <w:rFonts w:cstheme="minorHAnsi"/>
          <w:sz w:val="24"/>
          <w:szCs w:val="24"/>
        </w:rPr>
        <w:t>.”</w:t>
      </w:r>
      <w:r w:rsidR="00545795" w:rsidRPr="00610E15">
        <w:rPr>
          <w:rFonts w:cstheme="minorHAnsi"/>
          <w:sz w:val="24"/>
          <w:szCs w:val="24"/>
        </w:rPr>
        <w:t xml:space="preserve"> </w:t>
      </w:r>
      <w:r w:rsidR="00D0703D" w:rsidRPr="00610E15">
        <w:rPr>
          <w:rFonts w:cstheme="minorHAnsi"/>
          <w:sz w:val="24"/>
          <w:szCs w:val="24"/>
        </w:rPr>
        <w:t xml:space="preserve">In </w:t>
      </w:r>
      <w:r w:rsidR="00D0703D" w:rsidRPr="00610E15">
        <w:rPr>
          <w:rFonts w:cstheme="minorHAnsi"/>
          <w:i/>
          <w:iCs/>
          <w:sz w:val="24"/>
          <w:szCs w:val="24"/>
        </w:rPr>
        <w:t>Re Young</w:t>
      </w:r>
      <w:r w:rsidR="005A4778" w:rsidRPr="00610E15">
        <w:rPr>
          <w:rFonts w:cstheme="minorHAnsi"/>
          <w:i/>
          <w:iCs/>
          <w:sz w:val="24"/>
          <w:szCs w:val="24"/>
        </w:rPr>
        <w:t xml:space="preserve"> (1951)</w:t>
      </w:r>
      <w:r w:rsidR="00D0703D" w:rsidRPr="00610E15">
        <w:rPr>
          <w:rFonts w:cstheme="minorHAnsi"/>
          <w:sz w:val="24"/>
          <w:szCs w:val="24"/>
        </w:rPr>
        <w:t xml:space="preserve">, the court decided that because secret trusts operate outside the 1837 Act, it was immaterial that one of the intended beneficiaries witnessed the will. Correspondingly, it is evident that the courts are seen to comfortably circumvent the </w:t>
      </w:r>
      <w:r w:rsidR="00D0703D" w:rsidRPr="00610E15">
        <w:rPr>
          <w:rFonts w:cstheme="minorHAnsi"/>
          <w:sz w:val="24"/>
          <w:szCs w:val="24"/>
        </w:rPr>
        <w:lastRenderedPageBreak/>
        <w:t xml:space="preserve">formalities </w:t>
      </w:r>
      <w:proofErr w:type="gramStart"/>
      <w:r w:rsidR="00D0703D" w:rsidRPr="00610E15">
        <w:rPr>
          <w:rFonts w:cstheme="minorHAnsi"/>
          <w:sz w:val="24"/>
          <w:szCs w:val="24"/>
        </w:rPr>
        <w:t>in order to</w:t>
      </w:r>
      <w:proofErr w:type="gramEnd"/>
      <w:r w:rsidR="00D0703D" w:rsidRPr="00610E15">
        <w:rPr>
          <w:rFonts w:cstheme="minorHAnsi"/>
          <w:sz w:val="24"/>
          <w:szCs w:val="24"/>
        </w:rPr>
        <w:t xml:space="preserve"> give effect to secret trusts.</w:t>
      </w:r>
      <w:r w:rsidR="00EC14DB" w:rsidRPr="00610E15">
        <w:rPr>
          <w:rFonts w:cstheme="minorHAnsi"/>
          <w:sz w:val="24"/>
          <w:szCs w:val="24"/>
        </w:rPr>
        <w:t xml:space="preserve"> To further elaborate on this point of view, Viscount Summer added that “</w:t>
      </w:r>
      <w:r w:rsidR="00EC14DB" w:rsidRPr="00610E15">
        <w:rPr>
          <w:rFonts w:cstheme="minorHAnsi"/>
          <w:i/>
          <w:iCs/>
          <w:sz w:val="24"/>
          <w:szCs w:val="24"/>
        </w:rPr>
        <w:t>it is the communication of the purpose of the legatee couple</w:t>
      </w:r>
      <w:r w:rsidR="00823EF8" w:rsidRPr="00610E15">
        <w:rPr>
          <w:rFonts w:cstheme="minorHAnsi"/>
          <w:i/>
          <w:iCs/>
          <w:sz w:val="24"/>
          <w:szCs w:val="24"/>
        </w:rPr>
        <w:t>d</w:t>
      </w:r>
      <w:r w:rsidR="00EC14DB" w:rsidRPr="00610E15">
        <w:rPr>
          <w:rFonts w:cstheme="minorHAnsi"/>
          <w:i/>
          <w:iCs/>
          <w:sz w:val="24"/>
          <w:szCs w:val="24"/>
        </w:rPr>
        <w:t xml:space="preserve"> with </w:t>
      </w:r>
      <w:r w:rsidR="00823EF8" w:rsidRPr="00610E15">
        <w:rPr>
          <w:rFonts w:cstheme="minorHAnsi"/>
          <w:i/>
          <w:iCs/>
          <w:sz w:val="24"/>
          <w:szCs w:val="24"/>
        </w:rPr>
        <w:t>acquiesce or promise on his part that removes the matter from the provisions of the Wills Act and brings it within the law of trusts</w:t>
      </w:r>
      <w:r w:rsidR="00823EF8" w:rsidRPr="00610E15">
        <w:rPr>
          <w:rFonts w:cstheme="minorHAnsi"/>
          <w:sz w:val="24"/>
          <w:szCs w:val="24"/>
        </w:rPr>
        <w:t xml:space="preserve">.” As such, it is </w:t>
      </w:r>
      <w:r w:rsidR="00393F25" w:rsidRPr="00610E15">
        <w:rPr>
          <w:rFonts w:cstheme="minorHAnsi"/>
          <w:sz w:val="24"/>
          <w:szCs w:val="24"/>
        </w:rPr>
        <w:t xml:space="preserve">understandable that Dehors the will theory allows for secret trusts to conveniently operate outside the Wills Act 1837. A rather interesting fact to note, and as has been mentioned above as well, is that under dehors the will theory, secret trusts take effect as </w:t>
      </w:r>
      <w:proofErr w:type="spellStart"/>
      <w:r w:rsidR="00393F25" w:rsidRPr="00610E15">
        <w:rPr>
          <w:rFonts w:cstheme="minorHAnsi"/>
          <w:sz w:val="24"/>
          <w:szCs w:val="24"/>
        </w:rPr>
        <w:t>intervivos</w:t>
      </w:r>
      <w:proofErr w:type="spellEnd"/>
      <w:r w:rsidR="00393F25" w:rsidRPr="00610E15">
        <w:rPr>
          <w:rFonts w:cstheme="minorHAnsi"/>
          <w:sz w:val="24"/>
          <w:szCs w:val="24"/>
        </w:rPr>
        <w:t xml:space="preserve"> trusts since they </w:t>
      </w:r>
      <w:proofErr w:type="gramStart"/>
      <w:r w:rsidR="00393F25" w:rsidRPr="00610E15">
        <w:rPr>
          <w:rFonts w:cstheme="minorHAnsi"/>
          <w:sz w:val="24"/>
          <w:szCs w:val="24"/>
        </w:rPr>
        <w:t>are considered to be</w:t>
      </w:r>
      <w:proofErr w:type="gramEnd"/>
      <w:r w:rsidR="00393F25" w:rsidRPr="00610E15">
        <w:rPr>
          <w:rFonts w:cstheme="minorHAnsi"/>
          <w:sz w:val="24"/>
          <w:szCs w:val="24"/>
        </w:rPr>
        <w:t xml:space="preserve"> </w:t>
      </w:r>
      <w:proofErr w:type="spellStart"/>
      <w:r w:rsidR="00393F25" w:rsidRPr="00610E15">
        <w:rPr>
          <w:rFonts w:cstheme="minorHAnsi"/>
          <w:sz w:val="24"/>
          <w:szCs w:val="24"/>
        </w:rPr>
        <w:t>intervivos</w:t>
      </w:r>
      <w:proofErr w:type="spellEnd"/>
      <w:r w:rsidR="00393F25" w:rsidRPr="00610E15">
        <w:rPr>
          <w:rFonts w:cstheme="minorHAnsi"/>
          <w:sz w:val="24"/>
          <w:szCs w:val="24"/>
        </w:rPr>
        <w:t xml:space="preserve"> declarations of the testator (Penner, 2014). </w:t>
      </w:r>
    </w:p>
    <w:p w14:paraId="566DEE9C" w14:textId="4027C487" w:rsidR="00393F25" w:rsidRPr="00610E15" w:rsidRDefault="00393F25" w:rsidP="000127A3">
      <w:pPr>
        <w:jc w:val="both"/>
        <w:rPr>
          <w:rFonts w:cstheme="minorHAnsi"/>
          <w:sz w:val="24"/>
          <w:szCs w:val="24"/>
        </w:rPr>
      </w:pPr>
      <w:r w:rsidRPr="00610E15">
        <w:rPr>
          <w:rFonts w:cstheme="minorHAnsi"/>
          <w:sz w:val="24"/>
          <w:szCs w:val="24"/>
        </w:rPr>
        <w:t xml:space="preserve">While the above discussed theory may seem plausible, it is in fact unsound. This is because </w:t>
      </w:r>
      <w:r w:rsidR="00FA223E" w:rsidRPr="00610E15">
        <w:rPr>
          <w:rFonts w:cstheme="minorHAnsi"/>
          <w:sz w:val="24"/>
          <w:szCs w:val="24"/>
        </w:rPr>
        <w:t xml:space="preserve">the theory assumes that secret trusts are </w:t>
      </w:r>
      <w:proofErr w:type="spellStart"/>
      <w:r w:rsidR="00FA223E" w:rsidRPr="00610E15">
        <w:rPr>
          <w:rFonts w:cstheme="minorHAnsi"/>
          <w:sz w:val="24"/>
          <w:szCs w:val="24"/>
        </w:rPr>
        <w:t>intervivos</w:t>
      </w:r>
      <w:proofErr w:type="spellEnd"/>
      <w:r w:rsidR="00FA223E" w:rsidRPr="00610E15">
        <w:rPr>
          <w:rFonts w:cstheme="minorHAnsi"/>
          <w:sz w:val="24"/>
          <w:szCs w:val="24"/>
        </w:rPr>
        <w:t>. If such were true, they would never fall within the scope of Wills Act 1837 in the first place since Wills Act 1837 deals with Wills (testamentary trusts). Therefore, dehors the will theory fails not just on the outset, but from within as well since the fundamentals of it are seen as confusing and unsound. Furthermore, Viscount Summer assumes a separation between the law of trusts and law of wills when talking about dehors the will theory. However</w:t>
      </w:r>
      <w:proofErr w:type="gramStart"/>
      <w:r w:rsidR="00FA223E" w:rsidRPr="00610E15">
        <w:rPr>
          <w:rFonts w:cstheme="minorHAnsi"/>
          <w:sz w:val="24"/>
          <w:szCs w:val="24"/>
        </w:rPr>
        <w:t>, in reality, these</w:t>
      </w:r>
      <w:proofErr w:type="gramEnd"/>
      <w:r w:rsidR="00FA223E" w:rsidRPr="00610E15">
        <w:rPr>
          <w:rFonts w:cstheme="minorHAnsi"/>
          <w:sz w:val="24"/>
          <w:szCs w:val="24"/>
        </w:rPr>
        <w:t xml:space="preserve"> terms are often used interchangeably. Additionally, secret trusts require acceptance of trust obligations by the trustee. However, no such acceptance is required by normal trusts and thus, there is no sound reason as to why acceptance should be required. </w:t>
      </w:r>
    </w:p>
    <w:p w14:paraId="50AB56F8" w14:textId="667FD72B" w:rsidR="00FB5FB4" w:rsidRPr="00610E15" w:rsidRDefault="00FB5FB4" w:rsidP="000127A3">
      <w:pPr>
        <w:jc w:val="both"/>
        <w:rPr>
          <w:rFonts w:cstheme="minorHAnsi"/>
          <w:sz w:val="24"/>
          <w:szCs w:val="24"/>
        </w:rPr>
      </w:pPr>
      <w:r w:rsidRPr="00610E15">
        <w:rPr>
          <w:rFonts w:cstheme="minorHAnsi"/>
          <w:sz w:val="24"/>
          <w:szCs w:val="24"/>
        </w:rPr>
        <w:t xml:space="preserve">A third justification given by courts is known as the incorporation by reference. </w:t>
      </w:r>
      <w:r w:rsidR="009C1F52" w:rsidRPr="00610E15">
        <w:rPr>
          <w:rFonts w:cstheme="minorHAnsi"/>
          <w:sz w:val="24"/>
          <w:szCs w:val="24"/>
        </w:rPr>
        <w:t xml:space="preserve">This is a common law principle which relates to </w:t>
      </w:r>
      <w:r w:rsidR="003A1C86" w:rsidRPr="00610E15">
        <w:rPr>
          <w:rFonts w:cstheme="minorHAnsi"/>
          <w:sz w:val="24"/>
          <w:szCs w:val="24"/>
        </w:rPr>
        <w:t xml:space="preserve">incorporating </w:t>
      </w:r>
      <w:r w:rsidR="001B70D0" w:rsidRPr="00610E15">
        <w:rPr>
          <w:rFonts w:cstheme="minorHAnsi"/>
          <w:sz w:val="24"/>
          <w:szCs w:val="24"/>
        </w:rPr>
        <w:t xml:space="preserve">contents of one document into another by way of reference. This doctrine is extended by equity to allow not only written documents to be incorporated but also verbal statement and as such, courts have tried to justify half secret trusts by this method. Therefore, a half secret trust can be justified as the secret terms, which are communicated verbally, </w:t>
      </w:r>
      <w:proofErr w:type="gramStart"/>
      <w:r w:rsidR="001B70D0" w:rsidRPr="00610E15">
        <w:rPr>
          <w:rFonts w:cstheme="minorHAnsi"/>
          <w:sz w:val="24"/>
          <w:szCs w:val="24"/>
        </w:rPr>
        <w:t>are considered to be</w:t>
      </w:r>
      <w:proofErr w:type="gramEnd"/>
      <w:r w:rsidR="001B70D0" w:rsidRPr="00610E15">
        <w:rPr>
          <w:rFonts w:cstheme="minorHAnsi"/>
          <w:sz w:val="24"/>
          <w:szCs w:val="24"/>
        </w:rPr>
        <w:t xml:space="preserve"> incorporated by reference into the will. Notwithstanding this, this may bring upon an unfair advantage to a party, merely because they added a reference. </w:t>
      </w:r>
    </w:p>
    <w:p w14:paraId="516E6975" w14:textId="2594E5B6" w:rsidR="001B70D0" w:rsidRPr="00610E15" w:rsidRDefault="001B70D0" w:rsidP="000127A3">
      <w:pPr>
        <w:jc w:val="both"/>
        <w:rPr>
          <w:rFonts w:cstheme="minorHAnsi"/>
          <w:sz w:val="24"/>
          <w:szCs w:val="24"/>
        </w:rPr>
      </w:pPr>
      <w:r w:rsidRPr="00610E15">
        <w:rPr>
          <w:rFonts w:cstheme="minorHAnsi"/>
          <w:sz w:val="24"/>
          <w:szCs w:val="24"/>
        </w:rPr>
        <w:t xml:space="preserve">Lastly, courts have used detrimental reliance to justify the enforcement of secret trusts. Provided that the secret beneficiary had relied to their detriment, expecting a gift to be made from the testator, then the courts may enforce secret </w:t>
      </w:r>
      <w:r w:rsidR="00D64D1B" w:rsidRPr="00610E15">
        <w:rPr>
          <w:rFonts w:cstheme="minorHAnsi"/>
          <w:sz w:val="24"/>
          <w:szCs w:val="24"/>
        </w:rPr>
        <w:t>trusts (</w:t>
      </w:r>
      <w:proofErr w:type="spellStart"/>
      <w:r w:rsidR="00D64D1B" w:rsidRPr="00610E15">
        <w:rPr>
          <w:rFonts w:cstheme="minorHAnsi"/>
          <w:i/>
          <w:iCs/>
          <w:sz w:val="24"/>
          <w:szCs w:val="24"/>
        </w:rPr>
        <w:t>Thorner</w:t>
      </w:r>
      <w:proofErr w:type="spellEnd"/>
      <w:r w:rsidR="00D64D1B" w:rsidRPr="00610E15">
        <w:rPr>
          <w:rFonts w:cstheme="minorHAnsi"/>
          <w:i/>
          <w:iCs/>
          <w:sz w:val="24"/>
          <w:szCs w:val="24"/>
        </w:rPr>
        <w:t xml:space="preserve"> v. Major</w:t>
      </w:r>
      <w:r w:rsidR="00D64D1B" w:rsidRPr="00610E15">
        <w:rPr>
          <w:rFonts w:cstheme="minorHAnsi"/>
          <w:sz w:val="24"/>
          <w:szCs w:val="24"/>
        </w:rPr>
        <w:t xml:space="preserve">). </w:t>
      </w:r>
    </w:p>
    <w:p w14:paraId="5C3D4E68" w14:textId="57B7B957" w:rsidR="00D64D1B" w:rsidRPr="00610E15" w:rsidRDefault="00D64D1B" w:rsidP="000127A3">
      <w:pPr>
        <w:jc w:val="both"/>
        <w:rPr>
          <w:rFonts w:cstheme="minorHAnsi"/>
          <w:sz w:val="24"/>
          <w:szCs w:val="24"/>
        </w:rPr>
      </w:pPr>
      <w:r w:rsidRPr="00610E15">
        <w:rPr>
          <w:rFonts w:cstheme="minorHAnsi"/>
          <w:sz w:val="24"/>
          <w:szCs w:val="24"/>
        </w:rPr>
        <w:t xml:space="preserve">As is explainable from the above discussion, the courts have used not one, but four prominent methods of circumventing the formalities. This is done to provide relief to the aggrieved party on the hands of equity. </w:t>
      </w:r>
    </w:p>
    <w:p w14:paraId="28055ED7" w14:textId="238037EB" w:rsidR="00D64D1B" w:rsidRPr="00610E15" w:rsidRDefault="00D64D1B" w:rsidP="000127A3">
      <w:pPr>
        <w:jc w:val="both"/>
        <w:rPr>
          <w:rFonts w:cstheme="minorHAnsi"/>
          <w:sz w:val="24"/>
          <w:szCs w:val="24"/>
        </w:rPr>
      </w:pPr>
      <w:r w:rsidRPr="00610E15">
        <w:rPr>
          <w:rFonts w:cstheme="minorHAnsi"/>
          <w:sz w:val="24"/>
          <w:szCs w:val="24"/>
        </w:rPr>
        <w:t>Answer 2:</w:t>
      </w:r>
    </w:p>
    <w:p w14:paraId="08EE058C" w14:textId="3F7C7965" w:rsidR="00D64D1B" w:rsidRPr="00610E15" w:rsidRDefault="005A4778" w:rsidP="000127A3">
      <w:pPr>
        <w:jc w:val="both"/>
        <w:rPr>
          <w:rFonts w:cstheme="minorHAnsi"/>
          <w:sz w:val="24"/>
          <w:szCs w:val="24"/>
        </w:rPr>
      </w:pPr>
      <w:r w:rsidRPr="00610E15">
        <w:rPr>
          <w:rFonts w:cstheme="minorHAnsi"/>
          <w:sz w:val="24"/>
          <w:szCs w:val="24"/>
        </w:rPr>
        <w:t xml:space="preserve">This question relates to issues regarding charitable trusts and certainties. Accordingly, each part will be dealt separately in accordance </w:t>
      </w:r>
      <w:r w:rsidR="00610E15" w:rsidRPr="00610E15">
        <w:rPr>
          <w:rFonts w:cstheme="minorHAnsi"/>
          <w:sz w:val="24"/>
          <w:szCs w:val="24"/>
        </w:rPr>
        <w:t>with</w:t>
      </w:r>
      <w:r w:rsidRPr="00610E15">
        <w:rPr>
          <w:rFonts w:cstheme="minorHAnsi"/>
          <w:sz w:val="24"/>
          <w:szCs w:val="24"/>
        </w:rPr>
        <w:t xml:space="preserve"> the relevant law which will be applicable in each scenario. </w:t>
      </w:r>
    </w:p>
    <w:p w14:paraId="7092855A" w14:textId="76DAFDDC" w:rsidR="00410C82" w:rsidRPr="00610E15" w:rsidRDefault="005A4778" w:rsidP="009E3C55">
      <w:pPr>
        <w:pStyle w:val="ListParagraph"/>
        <w:numPr>
          <w:ilvl w:val="0"/>
          <w:numId w:val="1"/>
        </w:numPr>
        <w:jc w:val="both"/>
        <w:rPr>
          <w:rFonts w:cstheme="minorHAnsi"/>
          <w:sz w:val="24"/>
          <w:szCs w:val="24"/>
        </w:rPr>
      </w:pPr>
      <w:r w:rsidRPr="00610E15">
        <w:rPr>
          <w:rFonts w:cstheme="minorHAnsi"/>
          <w:sz w:val="24"/>
          <w:szCs w:val="24"/>
        </w:rPr>
        <w:t xml:space="preserve">The scenario in this </w:t>
      </w:r>
      <w:proofErr w:type="gramStart"/>
      <w:r w:rsidRPr="00610E15">
        <w:rPr>
          <w:rFonts w:cstheme="minorHAnsi"/>
          <w:sz w:val="24"/>
          <w:szCs w:val="24"/>
        </w:rPr>
        <w:t>particular part</w:t>
      </w:r>
      <w:proofErr w:type="gramEnd"/>
      <w:r w:rsidRPr="00610E15">
        <w:rPr>
          <w:rFonts w:cstheme="minorHAnsi"/>
          <w:sz w:val="24"/>
          <w:szCs w:val="24"/>
        </w:rPr>
        <w:t xml:space="preserve"> relates to private purpose trusts</w:t>
      </w:r>
      <w:r w:rsidR="009F2FE5" w:rsidRPr="00610E15">
        <w:rPr>
          <w:rFonts w:cstheme="minorHAnsi"/>
          <w:sz w:val="24"/>
          <w:szCs w:val="24"/>
        </w:rPr>
        <w:t>, or non-charitable trusts</w:t>
      </w:r>
      <w:r w:rsidRPr="00610E15">
        <w:rPr>
          <w:rFonts w:cstheme="minorHAnsi"/>
          <w:sz w:val="24"/>
          <w:szCs w:val="24"/>
        </w:rPr>
        <w:t xml:space="preserve">. </w:t>
      </w:r>
      <w:proofErr w:type="gramStart"/>
      <w:r w:rsidR="009F2FE5" w:rsidRPr="00610E15">
        <w:rPr>
          <w:rFonts w:cstheme="minorHAnsi"/>
          <w:sz w:val="24"/>
          <w:szCs w:val="24"/>
        </w:rPr>
        <w:t>As a general rule</w:t>
      </w:r>
      <w:proofErr w:type="gramEnd"/>
      <w:r w:rsidR="009F2FE5" w:rsidRPr="00610E15">
        <w:rPr>
          <w:rFonts w:cstheme="minorHAnsi"/>
          <w:sz w:val="24"/>
          <w:szCs w:val="24"/>
        </w:rPr>
        <w:t>, non-charitable private purpose trusts are void and thus, fail due to there being a lack of beneficiary (</w:t>
      </w:r>
      <w:r w:rsidR="009F2FE5" w:rsidRPr="00610E15">
        <w:rPr>
          <w:rFonts w:cstheme="minorHAnsi"/>
          <w:i/>
          <w:iCs/>
          <w:sz w:val="24"/>
          <w:szCs w:val="24"/>
        </w:rPr>
        <w:t>Re Astor’s ST</w:t>
      </w:r>
      <w:r w:rsidR="009F2FE5" w:rsidRPr="00610E15">
        <w:rPr>
          <w:rFonts w:cstheme="minorHAnsi"/>
          <w:sz w:val="24"/>
          <w:szCs w:val="24"/>
        </w:rPr>
        <w:t xml:space="preserve">), vagueness and excessive duration (perpetuity period - </w:t>
      </w:r>
      <w:r w:rsidR="009F2FE5" w:rsidRPr="00610E15">
        <w:rPr>
          <w:rFonts w:cstheme="minorHAnsi"/>
          <w:i/>
          <w:iCs/>
          <w:sz w:val="24"/>
          <w:szCs w:val="24"/>
        </w:rPr>
        <w:t>MacAulay v O’Donnell</w:t>
      </w:r>
      <w:r w:rsidR="009F2FE5" w:rsidRPr="00610E15">
        <w:rPr>
          <w:rFonts w:cstheme="minorHAnsi"/>
          <w:sz w:val="24"/>
          <w:szCs w:val="24"/>
        </w:rPr>
        <w:t xml:space="preserve">). However, there are exceptions </w:t>
      </w:r>
      <w:r w:rsidR="009F2FE5" w:rsidRPr="00610E15">
        <w:rPr>
          <w:rFonts w:cstheme="minorHAnsi"/>
          <w:sz w:val="24"/>
          <w:szCs w:val="24"/>
        </w:rPr>
        <w:lastRenderedPageBreak/>
        <w:t>to this rule which are referred to as anomalous private purpose trusts (</w:t>
      </w:r>
      <w:r w:rsidR="009F2FE5" w:rsidRPr="00610E15">
        <w:rPr>
          <w:rFonts w:cstheme="minorHAnsi"/>
          <w:i/>
          <w:iCs/>
          <w:sz w:val="24"/>
          <w:szCs w:val="24"/>
        </w:rPr>
        <w:t xml:space="preserve">Re Dean, Re </w:t>
      </w:r>
      <w:proofErr w:type="spellStart"/>
      <w:r w:rsidR="009F2FE5" w:rsidRPr="00610E15">
        <w:rPr>
          <w:rFonts w:cstheme="minorHAnsi"/>
          <w:i/>
          <w:iCs/>
          <w:sz w:val="24"/>
          <w:szCs w:val="24"/>
        </w:rPr>
        <w:t>Denley</w:t>
      </w:r>
      <w:proofErr w:type="spellEnd"/>
      <w:r w:rsidR="009F2FE5" w:rsidRPr="00610E15">
        <w:rPr>
          <w:rFonts w:cstheme="minorHAnsi"/>
          <w:sz w:val="24"/>
          <w:szCs w:val="24"/>
        </w:rPr>
        <w:t>).</w:t>
      </w:r>
      <w:r w:rsidR="00120BCC" w:rsidRPr="00610E15">
        <w:rPr>
          <w:rFonts w:cstheme="minorHAnsi"/>
          <w:sz w:val="24"/>
          <w:szCs w:val="24"/>
        </w:rPr>
        <w:t xml:space="preserve"> Anomalous charitable trusts are recognised and enforceable under law. </w:t>
      </w:r>
      <w:r w:rsidR="009F2FE5" w:rsidRPr="00610E15">
        <w:rPr>
          <w:rFonts w:cstheme="minorHAnsi"/>
          <w:sz w:val="24"/>
          <w:szCs w:val="24"/>
        </w:rPr>
        <w:t xml:space="preserve">Nonetheless, this exception only allows trusts for pet animals and monuments to be </w:t>
      </w:r>
      <w:r w:rsidR="00120BCC" w:rsidRPr="00610E15">
        <w:rPr>
          <w:rFonts w:cstheme="minorHAnsi"/>
          <w:sz w:val="24"/>
          <w:szCs w:val="24"/>
        </w:rPr>
        <w:t xml:space="preserve">enforceable. In the current case, Simon has asked for a monument to be built for him. </w:t>
      </w:r>
      <w:r w:rsidR="008239AF" w:rsidRPr="00610E15">
        <w:rPr>
          <w:rFonts w:cstheme="minorHAnsi"/>
          <w:sz w:val="24"/>
          <w:szCs w:val="24"/>
        </w:rPr>
        <w:t xml:space="preserve">Applying the law given under anomalous charitable trusts, a monument </w:t>
      </w:r>
      <w:proofErr w:type="gramStart"/>
      <w:r w:rsidR="008239AF" w:rsidRPr="00610E15">
        <w:rPr>
          <w:rFonts w:cstheme="minorHAnsi"/>
          <w:sz w:val="24"/>
          <w:szCs w:val="24"/>
        </w:rPr>
        <w:t>is considered to be</w:t>
      </w:r>
      <w:proofErr w:type="gramEnd"/>
      <w:r w:rsidR="008239AF" w:rsidRPr="00610E15">
        <w:rPr>
          <w:rFonts w:cstheme="minorHAnsi"/>
          <w:sz w:val="24"/>
          <w:szCs w:val="24"/>
        </w:rPr>
        <w:t xml:space="preserve"> valid. </w:t>
      </w:r>
      <w:r w:rsidR="00120BCC" w:rsidRPr="00610E15">
        <w:rPr>
          <w:rFonts w:cstheme="minorHAnsi"/>
          <w:sz w:val="24"/>
          <w:szCs w:val="24"/>
        </w:rPr>
        <w:t xml:space="preserve">The case of </w:t>
      </w:r>
      <w:r w:rsidR="00120BCC" w:rsidRPr="00610E15">
        <w:rPr>
          <w:rFonts w:cstheme="minorHAnsi"/>
          <w:i/>
          <w:iCs/>
          <w:sz w:val="24"/>
          <w:szCs w:val="24"/>
        </w:rPr>
        <w:t xml:space="preserve">Re </w:t>
      </w:r>
      <w:proofErr w:type="spellStart"/>
      <w:r w:rsidR="00120BCC" w:rsidRPr="00610E15">
        <w:rPr>
          <w:rFonts w:cstheme="minorHAnsi"/>
          <w:i/>
          <w:iCs/>
          <w:sz w:val="24"/>
          <w:szCs w:val="24"/>
        </w:rPr>
        <w:t>Endacott</w:t>
      </w:r>
      <w:proofErr w:type="spellEnd"/>
      <w:r w:rsidR="00120BCC" w:rsidRPr="00610E15">
        <w:rPr>
          <w:rFonts w:cstheme="minorHAnsi"/>
          <w:sz w:val="24"/>
          <w:szCs w:val="24"/>
        </w:rPr>
        <w:t xml:space="preserve"> is of relevance here. In </w:t>
      </w:r>
      <w:r w:rsidR="00120BCC" w:rsidRPr="00610E15">
        <w:rPr>
          <w:rFonts w:cstheme="minorHAnsi"/>
          <w:i/>
          <w:iCs/>
          <w:sz w:val="24"/>
          <w:szCs w:val="24"/>
        </w:rPr>
        <w:t xml:space="preserve">Re </w:t>
      </w:r>
      <w:proofErr w:type="spellStart"/>
      <w:r w:rsidR="00120BCC" w:rsidRPr="00610E15">
        <w:rPr>
          <w:rFonts w:cstheme="minorHAnsi"/>
          <w:i/>
          <w:iCs/>
          <w:sz w:val="24"/>
          <w:szCs w:val="24"/>
        </w:rPr>
        <w:t>Endacott</w:t>
      </w:r>
      <w:proofErr w:type="spellEnd"/>
      <w:r w:rsidR="00120BCC" w:rsidRPr="00610E15">
        <w:rPr>
          <w:rFonts w:cstheme="minorHAnsi"/>
          <w:sz w:val="24"/>
          <w:szCs w:val="24"/>
        </w:rPr>
        <w:t>,</w:t>
      </w:r>
      <w:r w:rsidR="00A04C36" w:rsidRPr="00610E15">
        <w:rPr>
          <w:rFonts w:cstheme="minorHAnsi"/>
          <w:sz w:val="24"/>
          <w:szCs w:val="24"/>
        </w:rPr>
        <w:t xml:space="preserve"> the testator left 20,000 pounds to his council “</w:t>
      </w:r>
      <w:r w:rsidR="00A04C36" w:rsidRPr="00610E15">
        <w:rPr>
          <w:rFonts w:cstheme="minorHAnsi"/>
          <w:i/>
          <w:iCs/>
          <w:sz w:val="24"/>
          <w:szCs w:val="24"/>
        </w:rPr>
        <w:t>for the purpose of providing some useful memorial to myself</w:t>
      </w:r>
      <w:r w:rsidR="00A04C36" w:rsidRPr="00610E15">
        <w:rPr>
          <w:rFonts w:cstheme="minorHAnsi"/>
          <w:sz w:val="24"/>
          <w:szCs w:val="24"/>
        </w:rPr>
        <w:t>”</w:t>
      </w:r>
      <w:r w:rsidR="008239AF" w:rsidRPr="00610E15">
        <w:rPr>
          <w:rFonts w:cstheme="minorHAnsi"/>
          <w:sz w:val="24"/>
          <w:szCs w:val="24"/>
        </w:rPr>
        <w:t xml:space="preserve">. The trust failed. </w:t>
      </w:r>
      <w:r w:rsidR="00120BCC" w:rsidRPr="00610E15">
        <w:rPr>
          <w:rFonts w:cstheme="minorHAnsi"/>
          <w:sz w:val="24"/>
          <w:szCs w:val="24"/>
        </w:rPr>
        <w:t xml:space="preserve">Accordingly, and by application of </w:t>
      </w:r>
      <w:r w:rsidR="008239AF" w:rsidRPr="00610E15">
        <w:rPr>
          <w:rFonts w:cstheme="minorHAnsi"/>
          <w:sz w:val="24"/>
          <w:szCs w:val="24"/>
        </w:rPr>
        <w:t xml:space="preserve">Re </w:t>
      </w:r>
      <w:proofErr w:type="spellStart"/>
      <w:r w:rsidR="008239AF" w:rsidRPr="00610E15">
        <w:rPr>
          <w:rFonts w:cstheme="minorHAnsi"/>
          <w:sz w:val="24"/>
          <w:szCs w:val="24"/>
        </w:rPr>
        <w:t>Endacott</w:t>
      </w:r>
      <w:proofErr w:type="spellEnd"/>
      <w:r w:rsidR="008239AF" w:rsidRPr="00610E15">
        <w:rPr>
          <w:rFonts w:cstheme="minorHAnsi"/>
          <w:sz w:val="24"/>
          <w:szCs w:val="24"/>
        </w:rPr>
        <w:t xml:space="preserve">, the courts may fail Simon’s trust for being vague and for lacking beneficiaries. Simultaneously, Simon may rely on </w:t>
      </w:r>
      <w:r w:rsidR="008239AF" w:rsidRPr="00610E15">
        <w:rPr>
          <w:rFonts w:cstheme="minorHAnsi"/>
          <w:i/>
          <w:iCs/>
          <w:sz w:val="24"/>
          <w:szCs w:val="24"/>
        </w:rPr>
        <w:t xml:space="preserve">Musset v </w:t>
      </w:r>
      <w:proofErr w:type="spellStart"/>
      <w:r w:rsidR="008239AF" w:rsidRPr="00610E15">
        <w:rPr>
          <w:rFonts w:cstheme="minorHAnsi"/>
          <w:i/>
          <w:iCs/>
          <w:sz w:val="24"/>
          <w:szCs w:val="24"/>
        </w:rPr>
        <w:t>Bingle</w:t>
      </w:r>
      <w:proofErr w:type="spellEnd"/>
      <w:r w:rsidR="008239AF" w:rsidRPr="00610E15">
        <w:rPr>
          <w:rFonts w:cstheme="minorHAnsi"/>
          <w:i/>
          <w:iCs/>
          <w:sz w:val="24"/>
          <w:szCs w:val="24"/>
        </w:rPr>
        <w:t xml:space="preserve">, </w:t>
      </w:r>
      <w:r w:rsidR="008239AF" w:rsidRPr="00610E15">
        <w:rPr>
          <w:rFonts w:cstheme="minorHAnsi"/>
          <w:sz w:val="24"/>
          <w:szCs w:val="24"/>
        </w:rPr>
        <w:t xml:space="preserve">where the testator gave 300 pounds to the executors to build a monument for him. Resultantly, the courts upheld this anomalous trust. Given two polar apart approaches, it depends on the courts as to which </w:t>
      </w:r>
      <w:r w:rsidR="00610E15" w:rsidRPr="00610E15">
        <w:rPr>
          <w:rFonts w:cstheme="minorHAnsi"/>
          <w:sz w:val="24"/>
          <w:szCs w:val="24"/>
        </w:rPr>
        <w:t>approach,</w:t>
      </w:r>
      <w:r w:rsidR="008239AF" w:rsidRPr="00610E15">
        <w:rPr>
          <w:rFonts w:cstheme="minorHAnsi"/>
          <w:sz w:val="24"/>
          <w:szCs w:val="24"/>
        </w:rPr>
        <w:t xml:space="preserve"> they are to follow.</w:t>
      </w:r>
      <w:r w:rsidR="00410C82" w:rsidRPr="00610E15">
        <w:rPr>
          <w:rFonts w:cstheme="minorHAnsi"/>
          <w:sz w:val="24"/>
          <w:szCs w:val="24"/>
        </w:rPr>
        <w:t xml:space="preserve"> It is further submitted that in </w:t>
      </w:r>
      <w:r w:rsidR="00410C82" w:rsidRPr="00610E15">
        <w:rPr>
          <w:rFonts w:cstheme="minorHAnsi"/>
          <w:i/>
          <w:iCs/>
          <w:sz w:val="24"/>
          <w:szCs w:val="24"/>
        </w:rPr>
        <w:t>Re Hooper (1932),</w:t>
      </w:r>
      <w:r w:rsidR="00410C82" w:rsidRPr="00610E15">
        <w:rPr>
          <w:rFonts w:cstheme="minorHAnsi"/>
          <w:sz w:val="24"/>
          <w:szCs w:val="24"/>
        </w:rPr>
        <w:t xml:space="preserve"> an anomalous trust to trustees for the upkeep of graves and monument for the period of 21 years. Following this, the courts may uphold Simon’s trust. </w:t>
      </w:r>
    </w:p>
    <w:p w14:paraId="0C2B16AC" w14:textId="0F130681" w:rsidR="00392A25" w:rsidRPr="00610E15" w:rsidRDefault="00392A25" w:rsidP="00392A25">
      <w:pPr>
        <w:pStyle w:val="ListParagraph"/>
        <w:numPr>
          <w:ilvl w:val="0"/>
          <w:numId w:val="1"/>
        </w:numPr>
        <w:rPr>
          <w:rFonts w:cstheme="minorHAnsi"/>
          <w:sz w:val="24"/>
          <w:szCs w:val="24"/>
        </w:rPr>
      </w:pPr>
      <w:r w:rsidRPr="00610E15">
        <w:rPr>
          <w:rFonts w:cstheme="minorHAnsi"/>
          <w:sz w:val="24"/>
          <w:szCs w:val="24"/>
        </w:rPr>
        <w:t xml:space="preserve">Lord </w:t>
      </w:r>
      <w:proofErr w:type="spellStart"/>
      <w:r w:rsidRPr="00610E15">
        <w:rPr>
          <w:rFonts w:cstheme="minorHAnsi"/>
          <w:sz w:val="24"/>
          <w:szCs w:val="24"/>
        </w:rPr>
        <w:t>Longdale</w:t>
      </w:r>
      <w:proofErr w:type="spellEnd"/>
      <w:r w:rsidRPr="00610E15">
        <w:rPr>
          <w:rFonts w:cstheme="minorHAnsi"/>
          <w:sz w:val="24"/>
          <w:szCs w:val="24"/>
        </w:rPr>
        <w:t xml:space="preserve"> in </w:t>
      </w:r>
      <w:r w:rsidRPr="00610E15">
        <w:rPr>
          <w:rFonts w:cstheme="minorHAnsi"/>
          <w:i/>
          <w:iCs/>
          <w:sz w:val="24"/>
          <w:szCs w:val="24"/>
        </w:rPr>
        <w:t>Knight v Knight</w:t>
      </w:r>
      <w:r w:rsidRPr="00610E15">
        <w:rPr>
          <w:rFonts w:cstheme="minorHAnsi"/>
          <w:sz w:val="24"/>
          <w:szCs w:val="24"/>
        </w:rPr>
        <w:t xml:space="preserve"> stated</w:t>
      </w:r>
      <w:r w:rsidR="00E069C8" w:rsidRPr="00610E15">
        <w:rPr>
          <w:rFonts w:cstheme="minorHAnsi"/>
          <w:sz w:val="24"/>
          <w:szCs w:val="24"/>
        </w:rPr>
        <w:t xml:space="preserve"> </w:t>
      </w:r>
      <w:r w:rsidRPr="00610E15">
        <w:rPr>
          <w:rFonts w:cstheme="minorHAnsi"/>
          <w:sz w:val="24"/>
          <w:szCs w:val="24"/>
        </w:rPr>
        <w:t>it is essential while creating an express trust that the settlor act with sufficient certainty. The settlor must demonstrate a clear and precise intention to create a trust (</w:t>
      </w:r>
      <w:r w:rsidRPr="00610E15">
        <w:rPr>
          <w:rFonts w:cstheme="minorHAnsi"/>
          <w:i/>
          <w:iCs/>
          <w:sz w:val="24"/>
          <w:szCs w:val="24"/>
        </w:rPr>
        <w:t>Knight v Knight</w:t>
      </w:r>
      <w:r w:rsidRPr="00610E15">
        <w:rPr>
          <w:rFonts w:cstheme="minorHAnsi"/>
          <w:sz w:val="24"/>
          <w:szCs w:val="24"/>
        </w:rPr>
        <w:t>), trust property must be sufficiently segregated from other property (</w:t>
      </w:r>
      <w:r w:rsidRPr="00610E15">
        <w:rPr>
          <w:rFonts w:cstheme="minorHAnsi"/>
          <w:i/>
          <w:iCs/>
          <w:sz w:val="24"/>
          <w:szCs w:val="24"/>
        </w:rPr>
        <w:t>Re London Wine</w:t>
      </w:r>
      <w:r w:rsidRPr="00610E15">
        <w:rPr>
          <w:rFonts w:cstheme="minorHAnsi"/>
          <w:sz w:val="24"/>
          <w:szCs w:val="24"/>
        </w:rPr>
        <w:t>) and people who are to benefit from the trust fund must also be identified with certainty (</w:t>
      </w:r>
      <w:r w:rsidRPr="00610E15">
        <w:rPr>
          <w:rFonts w:cstheme="minorHAnsi"/>
          <w:i/>
          <w:iCs/>
          <w:sz w:val="24"/>
          <w:szCs w:val="24"/>
        </w:rPr>
        <w:t>IRC v Broadway</w:t>
      </w:r>
      <w:r w:rsidRPr="00610E15">
        <w:rPr>
          <w:rFonts w:cstheme="minorHAnsi"/>
          <w:sz w:val="24"/>
          <w:szCs w:val="24"/>
        </w:rPr>
        <w:t xml:space="preserve">). Respectively, these conditions are known as certainty of intention, certainty of subject matter and certainty of objects, respectively. Without these, the trust will be void. </w:t>
      </w:r>
    </w:p>
    <w:p w14:paraId="413A986D" w14:textId="0B8DB615" w:rsidR="00392A25" w:rsidRPr="00610E15" w:rsidRDefault="00962DF8" w:rsidP="00392A25">
      <w:pPr>
        <w:pStyle w:val="ListParagraph"/>
        <w:rPr>
          <w:rFonts w:cstheme="minorHAnsi"/>
          <w:sz w:val="24"/>
          <w:szCs w:val="24"/>
        </w:rPr>
      </w:pPr>
      <w:r w:rsidRPr="00610E15">
        <w:rPr>
          <w:rFonts w:cstheme="minorHAnsi"/>
          <w:sz w:val="24"/>
          <w:szCs w:val="24"/>
        </w:rPr>
        <w:t>With regards certainty of intention, t</w:t>
      </w:r>
      <w:r w:rsidR="00392A25" w:rsidRPr="00610E15">
        <w:rPr>
          <w:rFonts w:cstheme="minorHAnsi"/>
          <w:sz w:val="24"/>
          <w:szCs w:val="24"/>
        </w:rPr>
        <w:t xml:space="preserve">he word ‘trust’ need not necessarily be used however, the words must be clear and precise </w:t>
      </w:r>
      <w:proofErr w:type="gramStart"/>
      <w:r w:rsidR="00392A25" w:rsidRPr="00610E15">
        <w:rPr>
          <w:rFonts w:cstheme="minorHAnsi"/>
          <w:sz w:val="24"/>
          <w:szCs w:val="24"/>
        </w:rPr>
        <w:t>in order to</w:t>
      </w:r>
      <w:proofErr w:type="gramEnd"/>
      <w:r w:rsidR="00392A25" w:rsidRPr="00610E15">
        <w:rPr>
          <w:rFonts w:cstheme="minorHAnsi"/>
          <w:sz w:val="24"/>
          <w:szCs w:val="24"/>
        </w:rPr>
        <w:t xml:space="preserve"> manifest the intention (</w:t>
      </w:r>
      <w:r w:rsidR="00392A25" w:rsidRPr="00610E15">
        <w:rPr>
          <w:rFonts w:cstheme="minorHAnsi"/>
          <w:i/>
          <w:iCs/>
          <w:sz w:val="24"/>
          <w:szCs w:val="24"/>
        </w:rPr>
        <w:t>Re Adams</w:t>
      </w:r>
      <w:r w:rsidR="00392A25" w:rsidRPr="00610E15">
        <w:rPr>
          <w:rFonts w:cstheme="minorHAnsi"/>
          <w:sz w:val="24"/>
          <w:szCs w:val="24"/>
        </w:rPr>
        <w:t xml:space="preserve">, </w:t>
      </w:r>
      <w:r w:rsidR="00392A25" w:rsidRPr="00610E15">
        <w:rPr>
          <w:rFonts w:cstheme="minorHAnsi"/>
          <w:i/>
          <w:iCs/>
          <w:sz w:val="24"/>
          <w:szCs w:val="24"/>
        </w:rPr>
        <w:t>Comiskey</w:t>
      </w:r>
      <w:r w:rsidR="008043DF" w:rsidRPr="00610E15">
        <w:rPr>
          <w:rFonts w:cstheme="minorHAnsi"/>
          <w:i/>
          <w:iCs/>
          <w:sz w:val="24"/>
          <w:szCs w:val="24"/>
        </w:rPr>
        <w:t xml:space="preserve"> v Bowring</w:t>
      </w:r>
      <w:r w:rsidR="00392A25" w:rsidRPr="00610E15">
        <w:rPr>
          <w:rFonts w:cstheme="minorHAnsi"/>
          <w:sz w:val="24"/>
          <w:szCs w:val="24"/>
        </w:rPr>
        <w:t>). Precatory words are not allowed (</w:t>
      </w:r>
      <w:r w:rsidR="00392A25" w:rsidRPr="00610E15">
        <w:rPr>
          <w:rFonts w:cstheme="minorHAnsi"/>
          <w:i/>
          <w:iCs/>
          <w:sz w:val="24"/>
          <w:szCs w:val="24"/>
        </w:rPr>
        <w:t>Jones v Lock</w:t>
      </w:r>
      <w:r w:rsidR="00392A25" w:rsidRPr="00610E15">
        <w:rPr>
          <w:rFonts w:cstheme="minorHAnsi"/>
          <w:sz w:val="24"/>
          <w:szCs w:val="24"/>
        </w:rPr>
        <w:t>).</w:t>
      </w:r>
    </w:p>
    <w:p w14:paraId="5B054FAE" w14:textId="0E62A4FB" w:rsidR="00E93AB9" w:rsidRPr="00610E15" w:rsidRDefault="00392A25" w:rsidP="00392A25">
      <w:pPr>
        <w:pStyle w:val="ListParagraph"/>
        <w:rPr>
          <w:rFonts w:cstheme="minorHAnsi"/>
          <w:sz w:val="24"/>
          <w:szCs w:val="24"/>
          <w:lang w:val="en-US"/>
        </w:rPr>
      </w:pPr>
      <w:r w:rsidRPr="00610E15">
        <w:rPr>
          <w:rFonts w:cstheme="minorHAnsi"/>
          <w:sz w:val="24"/>
          <w:szCs w:val="24"/>
        </w:rPr>
        <w:t>In the current case, there appears to be clear certainty of intention since Simon has mentioned in his will what he intends to do with 30,000 pounds.</w:t>
      </w:r>
      <w:r w:rsidR="00962DF8" w:rsidRPr="00610E15">
        <w:rPr>
          <w:rFonts w:cstheme="minorHAnsi"/>
          <w:sz w:val="24"/>
          <w:szCs w:val="24"/>
        </w:rPr>
        <w:t xml:space="preserve"> Next, there needs to be certainty of subject matter. </w:t>
      </w:r>
      <w:r w:rsidR="00610E15" w:rsidRPr="00610E15">
        <w:rPr>
          <w:rFonts w:cstheme="minorHAnsi"/>
          <w:sz w:val="24"/>
          <w:szCs w:val="24"/>
        </w:rPr>
        <w:t>Because</w:t>
      </w:r>
      <w:r w:rsidR="00962DF8" w:rsidRPr="00610E15">
        <w:rPr>
          <w:rFonts w:cstheme="minorHAnsi"/>
          <w:sz w:val="24"/>
          <w:szCs w:val="24"/>
        </w:rPr>
        <w:t xml:space="preserve"> it is a testamentary trust </w:t>
      </w:r>
      <w:r w:rsidR="00E93AB9" w:rsidRPr="00610E15">
        <w:rPr>
          <w:rFonts w:cstheme="minorHAnsi"/>
          <w:sz w:val="24"/>
          <w:szCs w:val="24"/>
        </w:rPr>
        <w:t>(as the facts suggest ‘</w:t>
      </w:r>
      <w:r w:rsidR="00E93AB9" w:rsidRPr="00610E15">
        <w:rPr>
          <w:rFonts w:cstheme="minorHAnsi"/>
          <w:i/>
          <w:iCs/>
          <w:sz w:val="24"/>
          <w:szCs w:val="24"/>
        </w:rPr>
        <w:t>after my death</w:t>
      </w:r>
      <w:r w:rsidR="00E93AB9" w:rsidRPr="00610E15">
        <w:rPr>
          <w:rFonts w:cstheme="minorHAnsi"/>
          <w:sz w:val="24"/>
          <w:szCs w:val="24"/>
        </w:rPr>
        <w:t xml:space="preserve">’) </w:t>
      </w:r>
      <w:r w:rsidR="00962DF8" w:rsidRPr="00610E15">
        <w:rPr>
          <w:rFonts w:cstheme="minorHAnsi"/>
          <w:sz w:val="24"/>
          <w:szCs w:val="24"/>
        </w:rPr>
        <w:t>this means that only conceptual certainty is required. Thus, the law only requires for the trust asset to be identifiable (</w:t>
      </w:r>
      <w:r w:rsidR="00962DF8" w:rsidRPr="00610E15">
        <w:rPr>
          <w:rFonts w:cstheme="minorHAnsi"/>
          <w:i/>
          <w:iCs/>
          <w:sz w:val="24"/>
          <w:szCs w:val="24"/>
        </w:rPr>
        <w:t>Palmer v Simmonds</w:t>
      </w:r>
      <w:r w:rsidR="00962DF8" w:rsidRPr="00610E15">
        <w:rPr>
          <w:rFonts w:cstheme="minorHAnsi"/>
          <w:sz w:val="24"/>
          <w:szCs w:val="24"/>
        </w:rPr>
        <w:t xml:space="preserve">). In </w:t>
      </w:r>
      <w:r w:rsidR="00962DF8" w:rsidRPr="00610E15">
        <w:rPr>
          <w:rFonts w:cstheme="minorHAnsi"/>
          <w:i/>
          <w:iCs/>
          <w:sz w:val="24"/>
          <w:szCs w:val="24"/>
        </w:rPr>
        <w:t>Palmer</w:t>
      </w:r>
      <w:r w:rsidR="00962DF8" w:rsidRPr="00610E15">
        <w:rPr>
          <w:rFonts w:cstheme="minorHAnsi"/>
          <w:sz w:val="24"/>
          <w:szCs w:val="24"/>
        </w:rPr>
        <w:t>, the trust was created for bulk of the residuary estate. The court held that residuary state was certain however, ‘bulk’ was not since bulk was difficult to clearly identify</w:t>
      </w:r>
      <w:r w:rsidR="00E93AB9" w:rsidRPr="00610E15">
        <w:rPr>
          <w:rFonts w:cstheme="minorHAnsi"/>
          <w:sz w:val="24"/>
          <w:szCs w:val="24"/>
        </w:rPr>
        <w:t xml:space="preserve">. Applying this, the subject matter of 30,000 is indefinable since it is real, tangible property. Resultantly, subject matter is certain. Finally, </w:t>
      </w:r>
      <w:proofErr w:type="gramStart"/>
      <w:r w:rsidR="00E93AB9" w:rsidRPr="00610E15">
        <w:rPr>
          <w:rFonts w:cstheme="minorHAnsi"/>
          <w:sz w:val="24"/>
          <w:szCs w:val="24"/>
        </w:rPr>
        <w:t>in order to</w:t>
      </w:r>
      <w:proofErr w:type="gramEnd"/>
      <w:r w:rsidR="00E93AB9" w:rsidRPr="00610E15">
        <w:rPr>
          <w:rFonts w:cstheme="minorHAnsi"/>
          <w:sz w:val="24"/>
          <w:szCs w:val="24"/>
        </w:rPr>
        <w:t xml:space="preserve"> evaluate the validity of the bequest with regards to certainty of objects, it is essential to firstly identify whether the trust is fixed or discretionary. In the current case, it is a discretionary trust since the facts state that it is upon the trustee’s discretion as to who gets what, or how much money</w:t>
      </w:r>
      <w:r w:rsidR="00B65817" w:rsidRPr="00610E15">
        <w:rPr>
          <w:rFonts w:cstheme="minorHAnsi"/>
          <w:sz w:val="24"/>
          <w:szCs w:val="24"/>
        </w:rPr>
        <w:t>. Under discretionary trusts, the</w:t>
      </w:r>
      <w:r w:rsidR="006A157C" w:rsidRPr="00610E15">
        <w:rPr>
          <w:rFonts w:cstheme="minorHAnsi"/>
          <w:sz w:val="24"/>
          <w:szCs w:val="24"/>
        </w:rPr>
        <w:t xml:space="preserve"> relevant test is known as the ‘is or is not’ list test. This </w:t>
      </w:r>
      <w:r w:rsidR="006A157C" w:rsidRPr="00610E15">
        <w:rPr>
          <w:rFonts w:cstheme="minorHAnsi"/>
          <w:sz w:val="24"/>
          <w:szCs w:val="24"/>
          <w:lang w:val="en-US"/>
        </w:rPr>
        <w:t>means that the trustee needs to assess with certainty whether a particular beneficiary is or is not part of the class of beneficiaries (</w:t>
      </w:r>
      <w:r w:rsidR="006A157C" w:rsidRPr="00610E15">
        <w:rPr>
          <w:rFonts w:cstheme="minorHAnsi"/>
          <w:i/>
          <w:iCs/>
          <w:sz w:val="24"/>
          <w:szCs w:val="24"/>
          <w:lang w:val="en-US"/>
        </w:rPr>
        <w:t xml:space="preserve">Re </w:t>
      </w:r>
      <w:proofErr w:type="spellStart"/>
      <w:r w:rsidR="006A157C" w:rsidRPr="00610E15">
        <w:rPr>
          <w:rFonts w:cstheme="minorHAnsi"/>
          <w:i/>
          <w:iCs/>
          <w:sz w:val="24"/>
          <w:szCs w:val="24"/>
          <w:lang w:val="en-US"/>
        </w:rPr>
        <w:t>Gulbenkian</w:t>
      </w:r>
      <w:proofErr w:type="spellEnd"/>
      <w:r w:rsidR="006A157C" w:rsidRPr="00610E15">
        <w:rPr>
          <w:rFonts w:cstheme="minorHAnsi"/>
          <w:sz w:val="24"/>
          <w:szCs w:val="24"/>
          <w:lang w:val="en-US"/>
        </w:rPr>
        <w:t xml:space="preserve">). In the current case, Simon has asked for his relatives to be part of the list. This means that the trustee must determine who is and who is not Simon’s relative. Because this is a discretionary trust, it means that there must be conceptual </w:t>
      </w:r>
      <w:r w:rsidR="006A157C" w:rsidRPr="00610E15">
        <w:rPr>
          <w:rFonts w:cstheme="minorHAnsi"/>
          <w:sz w:val="24"/>
          <w:szCs w:val="24"/>
          <w:lang w:val="en-US"/>
        </w:rPr>
        <w:lastRenderedPageBreak/>
        <w:t>certainty. As such, it means that it is only significant to evaluate whether the relatives are identifiable; not whether they are identified (</w:t>
      </w:r>
      <w:r w:rsidR="006A157C" w:rsidRPr="00610E15">
        <w:rPr>
          <w:rFonts w:cstheme="minorHAnsi"/>
          <w:i/>
          <w:iCs/>
          <w:sz w:val="24"/>
          <w:szCs w:val="24"/>
          <w:lang w:val="en-US"/>
        </w:rPr>
        <w:t>McPhail v Doulton, Re Baden 2</w:t>
      </w:r>
      <w:r w:rsidR="006A157C" w:rsidRPr="00610E15">
        <w:rPr>
          <w:rFonts w:cstheme="minorHAnsi"/>
          <w:sz w:val="24"/>
          <w:szCs w:val="24"/>
          <w:lang w:val="en-US"/>
        </w:rPr>
        <w:t xml:space="preserve">). Consequently, relatives are an indefinable class of objects. Thus, the trust will be valid. </w:t>
      </w:r>
    </w:p>
    <w:p w14:paraId="5F3F4E53" w14:textId="130399A0" w:rsidR="00392A25" w:rsidRPr="00610E15" w:rsidRDefault="006A157C" w:rsidP="004C0304">
      <w:pPr>
        <w:pStyle w:val="ListParagraph"/>
        <w:rPr>
          <w:rFonts w:cstheme="minorHAnsi"/>
          <w:sz w:val="24"/>
          <w:szCs w:val="24"/>
        </w:rPr>
      </w:pPr>
      <w:r w:rsidRPr="00610E15">
        <w:rPr>
          <w:rFonts w:cstheme="minorHAnsi"/>
          <w:sz w:val="24"/>
          <w:szCs w:val="24"/>
          <w:lang w:val="en-US"/>
        </w:rPr>
        <w:t xml:space="preserve">The next issue under this question has to do with residual trust property. </w:t>
      </w:r>
      <w:r w:rsidR="004C0304" w:rsidRPr="00610E15">
        <w:rPr>
          <w:rFonts w:cstheme="minorHAnsi"/>
          <w:sz w:val="24"/>
          <w:szCs w:val="24"/>
        </w:rPr>
        <w:t>As per the rule of testamentary trust, it needs to be conceptually certain. Because the facts state to divide the residue equally, this indicates existence of residuary estate and residuary is always certain (</w:t>
      </w:r>
      <w:r w:rsidR="004C0304" w:rsidRPr="00610E15">
        <w:rPr>
          <w:rFonts w:cstheme="minorHAnsi"/>
          <w:i/>
          <w:iCs/>
          <w:sz w:val="24"/>
          <w:szCs w:val="24"/>
        </w:rPr>
        <w:t>Palmer</w:t>
      </w:r>
      <w:r w:rsidR="004C0304" w:rsidRPr="00610E15">
        <w:rPr>
          <w:rFonts w:cstheme="minorHAnsi"/>
          <w:sz w:val="24"/>
          <w:szCs w:val="24"/>
        </w:rPr>
        <w:t xml:space="preserve">). Thus, subject matter is certain. Moreover, since </w:t>
      </w:r>
      <w:r w:rsidR="00E93AB9" w:rsidRPr="00610E15">
        <w:rPr>
          <w:rFonts w:cstheme="minorHAnsi"/>
          <w:sz w:val="24"/>
          <w:szCs w:val="24"/>
        </w:rPr>
        <w:t xml:space="preserve">the trustee </w:t>
      </w:r>
      <w:proofErr w:type="gramStart"/>
      <w:r w:rsidR="00E93AB9" w:rsidRPr="00610E15">
        <w:rPr>
          <w:rFonts w:cstheme="minorHAnsi"/>
          <w:sz w:val="24"/>
          <w:szCs w:val="24"/>
        </w:rPr>
        <w:t>has to</w:t>
      </w:r>
      <w:proofErr w:type="gramEnd"/>
      <w:r w:rsidR="00E93AB9" w:rsidRPr="00610E15">
        <w:rPr>
          <w:rFonts w:cstheme="minorHAnsi"/>
          <w:sz w:val="24"/>
          <w:szCs w:val="24"/>
        </w:rPr>
        <w:t xml:space="preserve"> dispose the asset ‘equally’</w:t>
      </w:r>
      <w:r w:rsidR="004C0304" w:rsidRPr="00610E15">
        <w:rPr>
          <w:rFonts w:cstheme="minorHAnsi"/>
          <w:sz w:val="24"/>
          <w:szCs w:val="24"/>
        </w:rPr>
        <w:t>, this</w:t>
      </w:r>
      <w:r w:rsidR="00E93AB9" w:rsidRPr="00610E15">
        <w:rPr>
          <w:rFonts w:cstheme="minorHAnsi"/>
          <w:sz w:val="24"/>
          <w:szCs w:val="24"/>
        </w:rPr>
        <w:t xml:space="preserve"> indicates that the trustee will have no discretion in doing so. Because this is a fixed trust, there needs to be a comprehensive list which accurately includes names of all the beneficiaries and such is referred to as ‘a complete list’ test (</w:t>
      </w:r>
      <w:r w:rsidR="00E93AB9" w:rsidRPr="00610E15">
        <w:rPr>
          <w:rFonts w:cstheme="minorHAnsi"/>
          <w:i/>
          <w:iCs/>
          <w:sz w:val="24"/>
          <w:szCs w:val="24"/>
        </w:rPr>
        <w:t xml:space="preserve">IRC v Broadway, Re </w:t>
      </w:r>
      <w:proofErr w:type="spellStart"/>
      <w:r w:rsidR="00E93AB9" w:rsidRPr="00610E15">
        <w:rPr>
          <w:rFonts w:cstheme="minorHAnsi"/>
          <w:i/>
          <w:iCs/>
          <w:sz w:val="24"/>
          <w:szCs w:val="24"/>
        </w:rPr>
        <w:t>Gulbenkian</w:t>
      </w:r>
      <w:proofErr w:type="spellEnd"/>
      <w:r w:rsidR="00E93AB9" w:rsidRPr="00610E15">
        <w:rPr>
          <w:rFonts w:cstheme="minorHAnsi"/>
          <w:sz w:val="24"/>
          <w:szCs w:val="24"/>
        </w:rPr>
        <w:t xml:space="preserve">). It will be assessed whether a complete list can be formed in the current case. </w:t>
      </w:r>
      <w:proofErr w:type="gramStart"/>
      <w:r w:rsidR="00E93AB9" w:rsidRPr="00610E15">
        <w:rPr>
          <w:rFonts w:cstheme="minorHAnsi"/>
          <w:sz w:val="24"/>
          <w:szCs w:val="24"/>
        </w:rPr>
        <w:t>In order to</w:t>
      </w:r>
      <w:proofErr w:type="gramEnd"/>
      <w:r w:rsidR="00E93AB9" w:rsidRPr="00610E15">
        <w:rPr>
          <w:rFonts w:cstheme="minorHAnsi"/>
          <w:sz w:val="24"/>
          <w:szCs w:val="24"/>
        </w:rPr>
        <w:t xml:space="preserve"> do this, there must be conceptual certainty as well as evidential certainty. For conceptual certainty, the trust object must be identifiable. </w:t>
      </w:r>
      <w:r w:rsidR="004C0304" w:rsidRPr="00610E15">
        <w:rPr>
          <w:rFonts w:cstheme="minorHAnsi"/>
          <w:sz w:val="24"/>
          <w:szCs w:val="24"/>
        </w:rPr>
        <w:t xml:space="preserve">Relatives are an identifiable object. For evidential certainty, the objects must be identified. Accordingly, Simon’s relatives are identified by the trustee which is why </w:t>
      </w:r>
      <w:r w:rsidR="00810FB8" w:rsidRPr="00610E15">
        <w:rPr>
          <w:rFonts w:cstheme="minorHAnsi"/>
          <w:sz w:val="24"/>
          <w:szCs w:val="24"/>
        </w:rPr>
        <w:t xml:space="preserve">the trustee will be able to distribute. Thus, the trust is valid. </w:t>
      </w:r>
    </w:p>
    <w:p w14:paraId="0536A27A" w14:textId="339E0460" w:rsidR="00613018" w:rsidRPr="00610E15" w:rsidRDefault="00613018" w:rsidP="00613018">
      <w:pPr>
        <w:pStyle w:val="ListParagraph"/>
        <w:numPr>
          <w:ilvl w:val="0"/>
          <w:numId w:val="1"/>
        </w:numPr>
        <w:rPr>
          <w:rFonts w:cstheme="minorHAnsi"/>
          <w:sz w:val="24"/>
          <w:szCs w:val="24"/>
        </w:rPr>
      </w:pPr>
      <w:r w:rsidRPr="00610E15">
        <w:rPr>
          <w:rFonts w:cstheme="minorHAnsi"/>
          <w:sz w:val="24"/>
          <w:szCs w:val="24"/>
        </w:rPr>
        <w:t>This scenario relates to power of appointment. It is a “</w:t>
      </w:r>
      <w:r w:rsidRPr="00610E15">
        <w:rPr>
          <w:rFonts w:cstheme="minorHAnsi"/>
          <w:i/>
          <w:iCs/>
          <w:sz w:val="24"/>
          <w:szCs w:val="24"/>
          <w:lang/>
        </w:rPr>
        <w:t>mere power</w:t>
      </w:r>
      <w:r w:rsidRPr="00610E15">
        <w:rPr>
          <w:rFonts w:cstheme="minorHAnsi"/>
          <w:i/>
          <w:iCs/>
          <w:sz w:val="24"/>
          <w:szCs w:val="24"/>
          <w:lang w:val="en-US"/>
        </w:rPr>
        <w:t xml:space="preserve"> </w:t>
      </w:r>
      <w:r w:rsidRPr="00610E15">
        <w:rPr>
          <w:rFonts w:cstheme="minorHAnsi"/>
          <w:i/>
          <w:iCs/>
          <w:sz w:val="24"/>
          <w:szCs w:val="24"/>
          <w:lang/>
        </w:rPr>
        <w:t>which is not a fully-fledged</w:t>
      </w:r>
      <w:r w:rsidRPr="00610E15">
        <w:rPr>
          <w:rFonts w:cstheme="minorHAnsi"/>
          <w:i/>
          <w:iCs/>
          <w:sz w:val="24"/>
          <w:szCs w:val="24"/>
          <w:lang w:val="en-US"/>
        </w:rPr>
        <w:t xml:space="preserve"> </w:t>
      </w:r>
      <w:r w:rsidRPr="00610E15">
        <w:rPr>
          <w:rFonts w:cstheme="minorHAnsi"/>
          <w:i/>
          <w:iCs/>
          <w:sz w:val="24"/>
          <w:szCs w:val="24"/>
          <w:lang/>
        </w:rPr>
        <w:t xml:space="preserve">trust </w:t>
      </w:r>
      <w:r w:rsidR="00610E15" w:rsidRPr="00610E15">
        <w:rPr>
          <w:rFonts w:cstheme="minorHAnsi"/>
          <w:i/>
          <w:iCs/>
          <w:sz w:val="24"/>
          <w:szCs w:val="24"/>
          <w:lang/>
        </w:rPr>
        <w:t>obligation,</w:t>
      </w:r>
      <w:r w:rsidRPr="00610E15">
        <w:rPr>
          <w:rFonts w:cstheme="minorHAnsi"/>
          <w:i/>
          <w:iCs/>
          <w:sz w:val="24"/>
          <w:szCs w:val="24"/>
          <w:lang/>
        </w:rPr>
        <w:t xml:space="preserve"> but which gives the holder of the power the ability to exercise that</w:t>
      </w:r>
      <w:r w:rsidRPr="00610E15">
        <w:rPr>
          <w:rFonts w:cstheme="minorHAnsi"/>
          <w:i/>
          <w:iCs/>
          <w:sz w:val="24"/>
          <w:szCs w:val="24"/>
          <w:lang w:val="en-US"/>
        </w:rPr>
        <w:t xml:space="preserve"> </w:t>
      </w:r>
      <w:r w:rsidRPr="00610E15">
        <w:rPr>
          <w:rFonts w:cstheme="minorHAnsi"/>
          <w:i/>
          <w:iCs/>
          <w:sz w:val="24"/>
          <w:szCs w:val="24"/>
          <w:lang/>
        </w:rPr>
        <w:t>power but without any obligation to do so</w:t>
      </w:r>
      <w:r w:rsidRPr="00610E15">
        <w:rPr>
          <w:rFonts w:cstheme="minorHAnsi"/>
          <w:i/>
          <w:iCs/>
          <w:sz w:val="24"/>
          <w:szCs w:val="24"/>
          <w:lang w:val="en-US"/>
        </w:rPr>
        <w:t xml:space="preserve">” </w:t>
      </w:r>
      <w:r w:rsidRPr="00610E15">
        <w:rPr>
          <w:rFonts w:cstheme="minorHAnsi"/>
          <w:sz w:val="24"/>
          <w:szCs w:val="24"/>
          <w:lang w:val="en-US"/>
        </w:rPr>
        <w:t xml:space="preserve">(Alastair Hudson). This means that there is no obligation on the trustee to dispose the trust asset. For power of appointment, conceptual certainty </w:t>
      </w:r>
      <w:proofErr w:type="gramStart"/>
      <w:r w:rsidR="00610E15" w:rsidRPr="00610E15">
        <w:rPr>
          <w:rFonts w:cstheme="minorHAnsi"/>
          <w:sz w:val="24"/>
          <w:szCs w:val="24"/>
          <w:lang w:val="en-US"/>
        </w:rPr>
        <w:t>in regard to</w:t>
      </w:r>
      <w:proofErr w:type="gramEnd"/>
      <w:r w:rsidRPr="00610E15">
        <w:rPr>
          <w:rFonts w:cstheme="minorHAnsi"/>
          <w:sz w:val="24"/>
          <w:szCs w:val="24"/>
          <w:lang w:val="en-US"/>
        </w:rPr>
        <w:t xml:space="preserve"> subject matter and objects must be present. In the current case, subject matter is conceptually certain, that is, the painting is identifiable (</w:t>
      </w:r>
      <w:r w:rsidRPr="00610E15">
        <w:rPr>
          <w:rFonts w:cstheme="minorHAnsi"/>
          <w:i/>
          <w:iCs/>
          <w:sz w:val="24"/>
          <w:szCs w:val="24"/>
          <w:lang w:val="en-US"/>
        </w:rPr>
        <w:t>Palmer</w:t>
      </w:r>
      <w:r w:rsidRPr="00610E15">
        <w:rPr>
          <w:rFonts w:cstheme="minorHAnsi"/>
          <w:sz w:val="24"/>
          <w:szCs w:val="24"/>
          <w:lang w:val="en-US"/>
        </w:rPr>
        <w:t>). For certainty of objects under power of appointment, the ‘is or is not’ test is applied which means that the trustee needs to assess with certainty whether a particular beneficiary is or is not part of the class of beneficiaries (</w:t>
      </w:r>
      <w:r w:rsidRPr="00610E15">
        <w:rPr>
          <w:rFonts w:cstheme="minorHAnsi"/>
          <w:i/>
          <w:iCs/>
          <w:sz w:val="24"/>
          <w:szCs w:val="24"/>
          <w:lang w:val="en-US"/>
        </w:rPr>
        <w:t xml:space="preserve">Re </w:t>
      </w:r>
      <w:proofErr w:type="spellStart"/>
      <w:r w:rsidRPr="00610E15">
        <w:rPr>
          <w:rFonts w:cstheme="minorHAnsi"/>
          <w:i/>
          <w:iCs/>
          <w:sz w:val="24"/>
          <w:szCs w:val="24"/>
          <w:lang w:val="en-US"/>
        </w:rPr>
        <w:t>Gulbenkian</w:t>
      </w:r>
      <w:proofErr w:type="spellEnd"/>
      <w:r w:rsidRPr="00610E15">
        <w:rPr>
          <w:rFonts w:cstheme="minorHAnsi"/>
          <w:sz w:val="24"/>
          <w:szCs w:val="24"/>
          <w:lang w:val="en-US"/>
        </w:rPr>
        <w:t xml:space="preserve">). In the current case, the class of beneficiaries is that of friends. Thus, the trustee will be required to fulfil the criteria of friends as per </w:t>
      </w:r>
      <w:r w:rsidRPr="00610E15">
        <w:rPr>
          <w:rFonts w:cstheme="minorHAnsi"/>
          <w:i/>
          <w:iCs/>
          <w:sz w:val="24"/>
          <w:szCs w:val="24"/>
          <w:lang w:val="en-US"/>
        </w:rPr>
        <w:t xml:space="preserve">Re </w:t>
      </w:r>
      <w:proofErr w:type="spellStart"/>
      <w:r w:rsidRPr="00610E15">
        <w:rPr>
          <w:rFonts w:cstheme="minorHAnsi"/>
          <w:i/>
          <w:iCs/>
          <w:sz w:val="24"/>
          <w:szCs w:val="24"/>
          <w:lang w:val="en-US"/>
        </w:rPr>
        <w:t>Barlows</w:t>
      </w:r>
      <w:proofErr w:type="spellEnd"/>
      <w:r w:rsidRPr="00610E15">
        <w:rPr>
          <w:rFonts w:cstheme="minorHAnsi"/>
          <w:i/>
          <w:iCs/>
          <w:sz w:val="24"/>
          <w:szCs w:val="24"/>
          <w:lang w:val="en-US"/>
        </w:rPr>
        <w:t xml:space="preserve"> case</w:t>
      </w:r>
      <w:r w:rsidRPr="00610E15">
        <w:rPr>
          <w:rFonts w:cstheme="minorHAnsi"/>
          <w:sz w:val="24"/>
          <w:szCs w:val="24"/>
          <w:lang w:val="en-US"/>
        </w:rPr>
        <w:t xml:space="preserve">. In this case, Lord Browne-Wilkinson stated that; firstly, there must be a longstanding relation, secondly it must be a social relationship instead of a business one and lastly, they must have met whenever they had the chance to. Assuming Simon’s friends meet this criterion, they will be considered as friends by Vinnie, who is acting as an arbiter, as per </w:t>
      </w:r>
      <w:r w:rsidRPr="00610E15">
        <w:rPr>
          <w:rFonts w:cstheme="minorHAnsi"/>
          <w:i/>
          <w:iCs/>
          <w:sz w:val="24"/>
          <w:szCs w:val="24"/>
          <w:lang w:val="en-US"/>
        </w:rPr>
        <w:t>Re Leeks</w:t>
      </w:r>
      <w:r w:rsidRPr="00610E15">
        <w:rPr>
          <w:rFonts w:cstheme="minorHAnsi"/>
          <w:sz w:val="24"/>
          <w:szCs w:val="24"/>
          <w:lang w:val="en-US"/>
        </w:rPr>
        <w:t xml:space="preserve">. Whoever the trustee considers to be Simon’s friend, that person will become the beneficiary. Thus, trust will be valid. </w:t>
      </w:r>
    </w:p>
    <w:p w14:paraId="0C295230" w14:textId="7B620718" w:rsidR="00810FB8" w:rsidRPr="00610E15" w:rsidRDefault="00613018" w:rsidP="00810FB8">
      <w:pPr>
        <w:pStyle w:val="ListParagraph"/>
        <w:numPr>
          <w:ilvl w:val="0"/>
          <w:numId w:val="1"/>
        </w:numPr>
        <w:rPr>
          <w:rFonts w:cstheme="minorHAnsi"/>
          <w:sz w:val="24"/>
          <w:szCs w:val="24"/>
        </w:rPr>
      </w:pPr>
      <w:r w:rsidRPr="00610E15">
        <w:rPr>
          <w:rFonts w:cstheme="minorHAnsi"/>
          <w:sz w:val="24"/>
          <w:szCs w:val="24"/>
        </w:rPr>
        <w:t xml:space="preserve">The issue is that of certainty of objects. In the current case, it is a discretionary trust since the facts state that it is upon the trustee’s discretion as to who gets what, or how much money. Under discretionary trusts, the relevant test is known as the ‘is or is not’ list test. This </w:t>
      </w:r>
      <w:r w:rsidRPr="00610E15">
        <w:rPr>
          <w:rFonts w:cstheme="minorHAnsi"/>
          <w:sz w:val="24"/>
          <w:szCs w:val="24"/>
          <w:lang w:val="en-US"/>
        </w:rPr>
        <w:t>means that the trustee needs to assess with certainty whether a particular beneficiary is or is not part of the class of beneficiaries (</w:t>
      </w:r>
      <w:r w:rsidRPr="00610E15">
        <w:rPr>
          <w:rFonts w:cstheme="minorHAnsi"/>
          <w:i/>
          <w:iCs/>
          <w:sz w:val="24"/>
          <w:szCs w:val="24"/>
          <w:lang w:val="en-US"/>
        </w:rPr>
        <w:t xml:space="preserve">Re </w:t>
      </w:r>
      <w:proofErr w:type="spellStart"/>
      <w:r w:rsidRPr="00610E15">
        <w:rPr>
          <w:rFonts w:cstheme="minorHAnsi"/>
          <w:i/>
          <w:iCs/>
          <w:sz w:val="24"/>
          <w:szCs w:val="24"/>
          <w:lang w:val="en-US"/>
        </w:rPr>
        <w:t>Gulbenkian</w:t>
      </w:r>
      <w:proofErr w:type="spellEnd"/>
      <w:r w:rsidRPr="00610E15">
        <w:rPr>
          <w:rFonts w:cstheme="minorHAnsi"/>
          <w:sz w:val="24"/>
          <w:szCs w:val="24"/>
          <w:lang w:val="en-US"/>
        </w:rPr>
        <w:t xml:space="preserve">). In the current case, Simon has asked for inhabitants of Swansea to be part of the list. This means that the trustee must determine who is and who is not an inhabitant of Swansea. Because this is a discretionary trust, it means that there must be conceptual certainty. As such, it means that it is only significant to evaluate whether </w:t>
      </w:r>
      <w:r w:rsidRPr="00610E15">
        <w:rPr>
          <w:rFonts w:cstheme="minorHAnsi"/>
          <w:sz w:val="24"/>
          <w:szCs w:val="24"/>
          <w:lang w:val="en-US"/>
        </w:rPr>
        <w:lastRenderedPageBreak/>
        <w:t>the residents are identifiable; not whether they are identified (</w:t>
      </w:r>
      <w:r w:rsidRPr="00610E15">
        <w:rPr>
          <w:rFonts w:cstheme="minorHAnsi"/>
          <w:i/>
          <w:iCs/>
          <w:sz w:val="24"/>
          <w:szCs w:val="24"/>
          <w:lang w:val="en-US"/>
        </w:rPr>
        <w:t>McPhail v Doulton, Re Baden 2</w:t>
      </w:r>
      <w:r w:rsidRPr="00610E15">
        <w:rPr>
          <w:rFonts w:cstheme="minorHAnsi"/>
          <w:sz w:val="24"/>
          <w:szCs w:val="24"/>
          <w:lang w:val="en-US"/>
        </w:rPr>
        <w:t xml:space="preserve">). As a matter of fact, they are identifiable. Accordingly, the trust is valid. However, because the list may be unreasonably long and difficult to execute, the trust </w:t>
      </w:r>
      <w:r w:rsidR="00F244C0" w:rsidRPr="00610E15">
        <w:rPr>
          <w:rFonts w:cstheme="minorHAnsi"/>
          <w:sz w:val="24"/>
          <w:szCs w:val="24"/>
          <w:lang w:val="en-US"/>
        </w:rPr>
        <w:t xml:space="preserve">may </w:t>
      </w:r>
      <w:r w:rsidRPr="00610E15">
        <w:rPr>
          <w:rFonts w:cstheme="minorHAnsi"/>
          <w:sz w:val="24"/>
          <w:szCs w:val="24"/>
          <w:lang w:val="en-US"/>
        </w:rPr>
        <w:t xml:space="preserve">subsequently fail. This is </w:t>
      </w:r>
      <w:r w:rsidR="00F244C0" w:rsidRPr="00610E15">
        <w:rPr>
          <w:rFonts w:cstheme="minorHAnsi"/>
          <w:sz w:val="24"/>
          <w:szCs w:val="24"/>
          <w:lang w:val="en-US"/>
        </w:rPr>
        <w:t xml:space="preserve">does not mean that the trust was never created, rather, that it failed </w:t>
      </w:r>
      <w:proofErr w:type="gramStart"/>
      <w:r w:rsidR="00F244C0" w:rsidRPr="00610E15">
        <w:rPr>
          <w:rFonts w:cstheme="minorHAnsi"/>
          <w:sz w:val="24"/>
          <w:szCs w:val="24"/>
          <w:lang w:val="en-US"/>
        </w:rPr>
        <w:t>later on</w:t>
      </w:r>
      <w:proofErr w:type="gramEnd"/>
      <w:r w:rsidR="00F244C0" w:rsidRPr="00610E15">
        <w:rPr>
          <w:rFonts w:cstheme="minorHAnsi"/>
          <w:sz w:val="24"/>
          <w:szCs w:val="24"/>
          <w:lang w:val="en-US"/>
        </w:rPr>
        <w:t xml:space="preserve">. The reason for this may be administrative unworkability. This means that the trust will fail if the class of objects is so hopelessly wide that it becomes almost impossible to practically carry out the trust obligation. Such is evident from </w:t>
      </w:r>
      <w:r w:rsidR="00F244C0" w:rsidRPr="00610E15">
        <w:rPr>
          <w:rFonts w:cstheme="minorHAnsi"/>
          <w:i/>
          <w:iCs/>
          <w:sz w:val="24"/>
          <w:szCs w:val="24"/>
          <w:lang w:val="en-US"/>
        </w:rPr>
        <w:t xml:space="preserve">Ex </w:t>
      </w:r>
      <w:proofErr w:type="spellStart"/>
      <w:r w:rsidR="00F244C0" w:rsidRPr="00610E15">
        <w:rPr>
          <w:rFonts w:cstheme="minorHAnsi"/>
          <w:i/>
          <w:iCs/>
          <w:sz w:val="24"/>
          <w:szCs w:val="24"/>
          <w:lang w:val="en-US"/>
        </w:rPr>
        <w:t>Parte</w:t>
      </w:r>
      <w:proofErr w:type="spellEnd"/>
      <w:r w:rsidR="00F244C0" w:rsidRPr="00610E15">
        <w:rPr>
          <w:rFonts w:cstheme="minorHAnsi"/>
          <w:i/>
          <w:iCs/>
          <w:sz w:val="24"/>
          <w:szCs w:val="24"/>
          <w:lang w:val="en-US"/>
        </w:rPr>
        <w:t xml:space="preserve"> West Yorkshire </w:t>
      </w:r>
      <w:r w:rsidR="00F1070C" w:rsidRPr="00610E15">
        <w:rPr>
          <w:rFonts w:cstheme="minorHAnsi"/>
          <w:i/>
          <w:iCs/>
          <w:sz w:val="24"/>
          <w:szCs w:val="24"/>
          <w:lang w:val="en-US"/>
        </w:rPr>
        <w:t>M</w:t>
      </w:r>
      <w:r w:rsidR="00F244C0" w:rsidRPr="00610E15">
        <w:rPr>
          <w:rFonts w:cstheme="minorHAnsi"/>
          <w:i/>
          <w:iCs/>
          <w:sz w:val="24"/>
          <w:szCs w:val="24"/>
          <w:lang w:val="en-US"/>
        </w:rPr>
        <w:t>CC (1986)</w:t>
      </w:r>
      <w:r w:rsidR="00F244C0" w:rsidRPr="00610E15">
        <w:rPr>
          <w:rFonts w:cstheme="minorHAnsi"/>
          <w:sz w:val="24"/>
          <w:szCs w:val="24"/>
          <w:lang w:val="en-US"/>
        </w:rPr>
        <w:t xml:space="preserve"> where the trust was for the residents of Yorkshire (approximately 2.5 million people) and hence, the trust failed. Applying this to the current scenario, it is likely that the courts will invalidate the trust under administrative unworkability. Moreover, the trust may also fail under capriciousness. This means that the testator has created a trust for a person(s) who has no discernible link with the settlor. Thus, it is likely that the trust will fail.</w:t>
      </w:r>
    </w:p>
    <w:p w14:paraId="2B727EF9" w14:textId="0DF5236F" w:rsidR="00F244C0" w:rsidRPr="00610E15" w:rsidRDefault="00F244C0" w:rsidP="00810FB8">
      <w:pPr>
        <w:pStyle w:val="ListParagraph"/>
        <w:numPr>
          <w:ilvl w:val="0"/>
          <w:numId w:val="1"/>
        </w:numPr>
        <w:rPr>
          <w:rFonts w:cstheme="minorHAnsi"/>
          <w:sz w:val="24"/>
          <w:szCs w:val="24"/>
        </w:rPr>
      </w:pPr>
      <w:r w:rsidRPr="00610E15">
        <w:rPr>
          <w:rFonts w:cstheme="minorHAnsi"/>
          <w:sz w:val="24"/>
          <w:szCs w:val="24"/>
          <w:lang w:val="en-US"/>
        </w:rPr>
        <w:t xml:space="preserve">Here, there is existence of a fixed trust </w:t>
      </w:r>
      <w:r w:rsidR="00F1070C" w:rsidRPr="00610E15">
        <w:rPr>
          <w:rFonts w:cstheme="minorHAnsi"/>
          <w:sz w:val="24"/>
          <w:szCs w:val="24"/>
          <w:lang w:val="en-US"/>
        </w:rPr>
        <w:t>due to it being residuary (</w:t>
      </w:r>
      <w:r w:rsidR="00F1070C" w:rsidRPr="00610E15">
        <w:rPr>
          <w:rFonts w:cstheme="minorHAnsi"/>
          <w:i/>
          <w:iCs/>
          <w:sz w:val="24"/>
          <w:szCs w:val="24"/>
          <w:lang w:val="en-US"/>
        </w:rPr>
        <w:t>Palmers case</w:t>
      </w:r>
      <w:r w:rsidR="00F1070C" w:rsidRPr="00610E15">
        <w:rPr>
          <w:rFonts w:cstheme="minorHAnsi"/>
          <w:sz w:val="24"/>
          <w:szCs w:val="24"/>
          <w:lang w:val="en-US"/>
        </w:rPr>
        <w:t xml:space="preserve">) </w:t>
      </w:r>
      <w:r w:rsidRPr="00610E15">
        <w:rPr>
          <w:rFonts w:cstheme="minorHAnsi"/>
          <w:sz w:val="24"/>
          <w:szCs w:val="24"/>
          <w:lang w:val="en-US"/>
        </w:rPr>
        <w:t xml:space="preserve">and the issue is of objects. As stated above, fixed trusts require a complete list which </w:t>
      </w:r>
      <w:proofErr w:type="gramStart"/>
      <w:r w:rsidRPr="00610E15">
        <w:rPr>
          <w:rFonts w:cstheme="minorHAnsi"/>
          <w:sz w:val="24"/>
          <w:szCs w:val="24"/>
          <w:lang w:val="en-US"/>
        </w:rPr>
        <w:t>has to</w:t>
      </w:r>
      <w:proofErr w:type="gramEnd"/>
      <w:r w:rsidRPr="00610E15">
        <w:rPr>
          <w:rFonts w:cstheme="minorHAnsi"/>
          <w:sz w:val="24"/>
          <w:szCs w:val="24"/>
          <w:lang w:val="en-US"/>
        </w:rPr>
        <w:t xml:space="preserve"> be conceptually and evidentially certain. In the current case, </w:t>
      </w:r>
      <w:r w:rsidR="00F1070C" w:rsidRPr="00610E15">
        <w:rPr>
          <w:rFonts w:cstheme="minorHAnsi"/>
          <w:sz w:val="24"/>
          <w:szCs w:val="24"/>
          <w:lang w:val="en-US"/>
        </w:rPr>
        <w:t>it is difficult to determine who has a moral claim, meaning who has a good character. Because such is difficult to determine, Walter will act as an arbiter. An arbiter is appointed to overcome conceptual uncertainty (</w:t>
      </w:r>
      <w:r w:rsidR="00F1070C" w:rsidRPr="00610E15">
        <w:rPr>
          <w:rFonts w:cstheme="minorHAnsi"/>
          <w:i/>
          <w:iCs/>
          <w:sz w:val="24"/>
          <w:szCs w:val="24"/>
          <w:lang w:val="en-US"/>
        </w:rPr>
        <w:t>Re Tuck</w:t>
      </w:r>
      <w:r w:rsidR="00F1070C" w:rsidRPr="00610E15">
        <w:rPr>
          <w:rFonts w:cstheme="minorHAnsi"/>
          <w:sz w:val="24"/>
          <w:szCs w:val="24"/>
          <w:lang w:val="en-US"/>
        </w:rPr>
        <w:t xml:space="preserve">). The arbiter’s decision </w:t>
      </w:r>
      <w:proofErr w:type="gramStart"/>
      <w:r w:rsidR="00F1070C" w:rsidRPr="00610E15">
        <w:rPr>
          <w:rFonts w:cstheme="minorHAnsi"/>
          <w:sz w:val="24"/>
          <w:szCs w:val="24"/>
          <w:lang w:val="en-US"/>
        </w:rPr>
        <w:t>is considered to be</w:t>
      </w:r>
      <w:proofErr w:type="gramEnd"/>
      <w:r w:rsidR="00F1070C" w:rsidRPr="00610E15">
        <w:rPr>
          <w:rFonts w:cstheme="minorHAnsi"/>
          <w:sz w:val="24"/>
          <w:szCs w:val="24"/>
          <w:lang w:val="en-US"/>
        </w:rPr>
        <w:t xml:space="preserve"> final and thus, Walter’s decision will be final and binding (</w:t>
      </w:r>
      <w:r w:rsidR="00F1070C" w:rsidRPr="00610E15">
        <w:rPr>
          <w:rFonts w:cstheme="minorHAnsi"/>
          <w:i/>
          <w:iCs/>
          <w:sz w:val="24"/>
          <w:szCs w:val="24"/>
          <w:lang w:val="en-US"/>
        </w:rPr>
        <w:t>Re Leek</w:t>
      </w:r>
      <w:r w:rsidR="00F1070C" w:rsidRPr="00610E15">
        <w:rPr>
          <w:rFonts w:cstheme="minorHAnsi"/>
          <w:sz w:val="24"/>
          <w:szCs w:val="24"/>
          <w:lang w:val="en-US"/>
        </w:rPr>
        <w:t xml:space="preserve">). Therefore, whoever Walter selects, will become part of the complete list along. The list of objects must be identifiable and identified. Stating the obvious, if Walter has selected, then both conceptual and evidential certainty will be met. Trust is valid. </w:t>
      </w:r>
    </w:p>
    <w:p w14:paraId="63F83537" w14:textId="77777777" w:rsidR="00410C82" w:rsidRPr="00610E15" w:rsidRDefault="00410C82" w:rsidP="00392A25">
      <w:pPr>
        <w:pStyle w:val="ListParagraph"/>
        <w:jc w:val="both"/>
        <w:rPr>
          <w:rFonts w:cstheme="minorHAnsi"/>
          <w:sz w:val="24"/>
          <w:szCs w:val="24"/>
        </w:rPr>
      </w:pPr>
    </w:p>
    <w:p w14:paraId="287B1008" w14:textId="77777777" w:rsidR="00410C82" w:rsidRPr="00610E15" w:rsidRDefault="00410C82" w:rsidP="00410C82">
      <w:pPr>
        <w:pStyle w:val="ListParagraph"/>
        <w:jc w:val="both"/>
        <w:rPr>
          <w:rFonts w:cstheme="minorHAnsi"/>
          <w:sz w:val="24"/>
          <w:szCs w:val="24"/>
        </w:rPr>
      </w:pPr>
    </w:p>
    <w:p w14:paraId="144B2D4D" w14:textId="77777777" w:rsidR="00410C82" w:rsidRPr="00610E15" w:rsidRDefault="00410C82" w:rsidP="00410C82">
      <w:pPr>
        <w:pStyle w:val="ListParagraph"/>
        <w:jc w:val="both"/>
        <w:rPr>
          <w:rFonts w:cstheme="minorHAnsi"/>
          <w:sz w:val="24"/>
          <w:szCs w:val="24"/>
        </w:rPr>
      </w:pPr>
    </w:p>
    <w:p w14:paraId="0E8CE7B4" w14:textId="77777777" w:rsidR="00410C82" w:rsidRPr="00610E15" w:rsidRDefault="00410C82" w:rsidP="00410C82">
      <w:pPr>
        <w:pStyle w:val="ListParagraph"/>
        <w:jc w:val="both"/>
        <w:rPr>
          <w:rFonts w:cstheme="minorHAnsi"/>
          <w:color w:val="0070C0"/>
          <w:sz w:val="24"/>
          <w:szCs w:val="24"/>
        </w:rPr>
      </w:pPr>
    </w:p>
    <w:p w14:paraId="05D7C258" w14:textId="6DE200BC" w:rsidR="000B288E" w:rsidRPr="00610E15" w:rsidRDefault="000B288E" w:rsidP="00E069C8">
      <w:pPr>
        <w:rPr>
          <w:rFonts w:cstheme="minorHAnsi"/>
          <w:color w:val="0070C0"/>
          <w:sz w:val="24"/>
          <w:szCs w:val="24"/>
        </w:rPr>
      </w:pPr>
      <w:r w:rsidRPr="00610E15">
        <w:rPr>
          <w:rFonts w:cstheme="minorHAnsi"/>
          <w:color w:val="0070C0"/>
          <w:sz w:val="24"/>
          <w:szCs w:val="24"/>
        </w:rPr>
        <w:t>Bibliography:</w:t>
      </w:r>
    </w:p>
    <w:p w14:paraId="124317D2" w14:textId="68945D7E" w:rsidR="00E069C8" w:rsidRPr="00610E15" w:rsidRDefault="00E069C8" w:rsidP="00E069C8">
      <w:pPr>
        <w:rPr>
          <w:rFonts w:cstheme="minorHAnsi"/>
          <w:color w:val="0070C0"/>
          <w:sz w:val="24"/>
          <w:szCs w:val="24"/>
        </w:rPr>
      </w:pPr>
      <w:r w:rsidRPr="00610E15">
        <w:rPr>
          <w:rFonts w:cstheme="minorHAnsi"/>
          <w:color w:val="0070C0"/>
          <w:sz w:val="24"/>
          <w:szCs w:val="24"/>
        </w:rPr>
        <w:t>Primary Sources:</w:t>
      </w:r>
    </w:p>
    <w:p w14:paraId="1ED39540" w14:textId="50E7D37F" w:rsidR="00E069C8" w:rsidRPr="00610E15" w:rsidRDefault="00E069C8" w:rsidP="00E069C8">
      <w:pPr>
        <w:rPr>
          <w:rFonts w:cstheme="minorHAnsi"/>
          <w:color w:val="0070C0"/>
          <w:sz w:val="24"/>
          <w:szCs w:val="24"/>
        </w:rPr>
      </w:pPr>
      <w:r w:rsidRPr="00610E15">
        <w:rPr>
          <w:rFonts w:cstheme="minorHAnsi"/>
          <w:color w:val="0070C0"/>
          <w:sz w:val="24"/>
          <w:szCs w:val="24"/>
        </w:rPr>
        <w:t>Cases:</w:t>
      </w:r>
    </w:p>
    <w:p w14:paraId="6AFA8338" w14:textId="77777777" w:rsidR="008E4B80" w:rsidRPr="00610E15" w:rsidRDefault="008E4B80" w:rsidP="00E069C8">
      <w:pPr>
        <w:rPr>
          <w:rFonts w:cstheme="minorHAnsi"/>
          <w:i/>
          <w:iCs/>
          <w:sz w:val="24"/>
          <w:szCs w:val="24"/>
        </w:rPr>
      </w:pPr>
      <w:r w:rsidRPr="00610E15">
        <w:rPr>
          <w:rFonts w:cstheme="minorHAnsi"/>
          <w:i/>
          <w:iCs/>
          <w:sz w:val="24"/>
          <w:szCs w:val="24"/>
        </w:rPr>
        <w:t xml:space="preserve">Blackwell v Blackwell [1929] UKHL 1. </w:t>
      </w:r>
    </w:p>
    <w:p w14:paraId="2788DE8D" w14:textId="77777777" w:rsidR="008E4B80" w:rsidRPr="00610E15" w:rsidRDefault="008E4B80" w:rsidP="00E069C8">
      <w:pPr>
        <w:rPr>
          <w:rFonts w:cstheme="minorHAnsi"/>
          <w:i/>
          <w:iCs/>
          <w:sz w:val="24"/>
          <w:szCs w:val="24"/>
        </w:rPr>
      </w:pPr>
      <w:r w:rsidRPr="00610E15">
        <w:rPr>
          <w:rFonts w:cstheme="minorHAnsi"/>
          <w:i/>
          <w:iCs/>
          <w:sz w:val="24"/>
          <w:szCs w:val="24"/>
        </w:rPr>
        <w:t>Comiskey v Bowring Hanbury [1905] A.C. 84.</w:t>
      </w:r>
    </w:p>
    <w:p w14:paraId="48CE8D95" w14:textId="77777777" w:rsidR="008E4B80" w:rsidRPr="00610E15" w:rsidRDefault="008E4B80" w:rsidP="00E069C8">
      <w:pPr>
        <w:rPr>
          <w:rFonts w:cstheme="minorHAnsi"/>
          <w:i/>
          <w:iCs/>
          <w:sz w:val="24"/>
          <w:szCs w:val="24"/>
        </w:rPr>
      </w:pPr>
      <w:r w:rsidRPr="00610E15">
        <w:rPr>
          <w:rFonts w:cstheme="minorHAnsi"/>
          <w:i/>
          <w:iCs/>
          <w:sz w:val="24"/>
          <w:szCs w:val="24"/>
        </w:rPr>
        <w:t xml:space="preserve">Inland Revenue v Broadway Cottages [1954] EWCA </w:t>
      </w:r>
      <w:proofErr w:type="spellStart"/>
      <w:r w:rsidRPr="00610E15">
        <w:rPr>
          <w:rFonts w:cstheme="minorHAnsi"/>
          <w:i/>
          <w:iCs/>
          <w:sz w:val="24"/>
          <w:szCs w:val="24"/>
        </w:rPr>
        <w:t>Civ</w:t>
      </w:r>
      <w:proofErr w:type="spellEnd"/>
      <w:r w:rsidRPr="00610E15">
        <w:rPr>
          <w:rFonts w:cstheme="minorHAnsi"/>
          <w:i/>
          <w:iCs/>
          <w:sz w:val="24"/>
          <w:szCs w:val="24"/>
        </w:rPr>
        <w:t xml:space="preserve"> 4.</w:t>
      </w:r>
    </w:p>
    <w:p w14:paraId="371A561C" w14:textId="77777777" w:rsidR="008E4B80" w:rsidRPr="00610E15" w:rsidRDefault="008E4B80" w:rsidP="00E069C8">
      <w:pPr>
        <w:rPr>
          <w:rFonts w:cstheme="minorHAnsi"/>
          <w:i/>
          <w:iCs/>
          <w:sz w:val="24"/>
          <w:szCs w:val="24"/>
        </w:rPr>
      </w:pPr>
      <w:r w:rsidRPr="00610E15">
        <w:rPr>
          <w:rFonts w:cstheme="minorHAnsi"/>
          <w:i/>
          <w:iCs/>
          <w:sz w:val="24"/>
          <w:szCs w:val="24"/>
        </w:rPr>
        <w:t>Jones v Lock (1865) 1 Ch App 25.</w:t>
      </w:r>
    </w:p>
    <w:p w14:paraId="086646DE" w14:textId="77777777" w:rsidR="008E4B80" w:rsidRPr="00610E15" w:rsidRDefault="008E4B80" w:rsidP="00E069C8">
      <w:pPr>
        <w:rPr>
          <w:rFonts w:cstheme="minorHAnsi"/>
          <w:i/>
          <w:iCs/>
          <w:sz w:val="24"/>
          <w:szCs w:val="24"/>
        </w:rPr>
      </w:pPr>
      <w:r w:rsidRPr="00610E15">
        <w:rPr>
          <w:rFonts w:cstheme="minorHAnsi"/>
          <w:i/>
          <w:iCs/>
          <w:sz w:val="24"/>
          <w:szCs w:val="24"/>
        </w:rPr>
        <w:t xml:space="preserve">Knight v Knight (1840) 49 ER 58. </w:t>
      </w:r>
    </w:p>
    <w:p w14:paraId="56B96C31" w14:textId="77777777" w:rsidR="008E4B80" w:rsidRPr="00610E15" w:rsidRDefault="008E4B80" w:rsidP="00E069C8">
      <w:pPr>
        <w:rPr>
          <w:rFonts w:cstheme="minorHAnsi"/>
          <w:i/>
          <w:iCs/>
          <w:sz w:val="24"/>
          <w:szCs w:val="24"/>
        </w:rPr>
      </w:pPr>
      <w:r w:rsidRPr="00610E15">
        <w:rPr>
          <w:rFonts w:cstheme="minorHAnsi"/>
          <w:i/>
          <w:iCs/>
          <w:sz w:val="24"/>
          <w:szCs w:val="24"/>
        </w:rPr>
        <w:t xml:space="preserve">MacAulay v O'Donnell (1943). </w:t>
      </w:r>
    </w:p>
    <w:p w14:paraId="227880D3" w14:textId="77777777" w:rsidR="008E4B80" w:rsidRPr="00610E15" w:rsidRDefault="008E4B80" w:rsidP="00E069C8">
      <w:pPr>
        <w:rPr>
          <w:rFonts w:cstheme="minorHAnsi"/>
          <w:i/>
          <w:iCs/>
          <w:sz w:val="24"/>
          <w:szCs w:val="24"/>
        </w:rPr>
      </w:pPr>
      <w:r w:rsidRPr="00610E15">
        <w:rPr>
          <w:rFonts w:cstheme="minorHAnsi"/>
          <w:i/>
          <w:iCs/>
          <w:sz w:val="24"/>
          <w:szCs w:val="24"/>
        </w:rPr>
        <w:t>McCormick v Grogan [1869] LR 4 HL 82.</w:t>
      </w:r>
    </w:p>
    <w:p w14:paraId="03F2DD26" w14:textId="77777777" w:rsidR="008E4B80" w:rsidRPr="00610E15" w:rsidRDefault="008E4B80" w:rsidP="00E069C8">
      <w:pPr>
        <w:rPr>
          <w:rFonts w:cstheme="minorHAnsi"/>
          <w:i/>
          <w:iCs/>
          <w:sz w:val="24"/>
          <w:szCs w:val="24"/>
        </w:rPr>
      </w:pPr>
      <w:r w:rsidRPr="00610E15">
        <w:rPr>
          <w:rFonts w:cstheme="minorHAnsi"/>
          <w:i/>
          <w:iCs/>
          <w:sz w:val="24"/>
          <w:szCs w:val="24"/>
        </w:rPr>
        <w:t>McPhail v Doulton [1970] UKHL 1.</w:t>
      </w:r>
    </w:p>
    <w:p w14:paraId="171A9AA7" w14:textId="77777777" w:rsidR="008E4B80" w:rsidRPr="00610E15" w:rsidRDefault="008E4B80" w:rsidP="00E069C8">
      <w:pPr>
        <w:rPr>
          <w:rFonts w:cstheme="minorHAnsi"/>
          <w:i/>
          <w:iCs/>
          <w:sz w:val="24"/>
          <w:szCs w:val="24"/>
        </w:rPr>
      </w:pPr>
      <w:proofErr w:type="spellStart"/>
      <w:r w:rsidRPr="00610E15">
        <w:rPr>
          <w:rFonts w:cstheme="minorHAnsi"/>
          <w:i/>
          <w:iCs/>
          <w:sz w:val="24"/>
          <w:szCs w:val="24"/>
        </w:rPr>
        <w:lastRenderedPageBreak/>
        <w:t>Mussett</w:t>
      </w:r>
      <w:proofErr w:type="spellEnd"/>
      <w:r w:rsidRPr="00610E15">
        <w:rPr>
          <w:rFonts w:cstheme="minorHAnsi"/>
          <w:i/>
          <w:iCs/>
          <w:sz w:val="24"/>
          <w:szCs w:val="24"/>
        </w:rPr>
        <w:t xml:space="preserve"> v </w:t>
      </w:r>
      <w:proofErr w:type="spellStart"/>
      <w:r w:rsidRPr="00610E15">
        <w:rPr>
          <w:rFonts w:cstheme="minorHAnsi"/>
          <w:i/>
          <w:iCs/>
          <w:sz w:val="24"/>
          <w:szCs w:val="24"/>
        </w:rPr>
        <w:t>Bingle</w:t>
      </w:r>
      <w:proofErr w:type="spellEnd"/>
      <w:r w:rsidRPr="00610E15">
        <w:rPr>
          <w:rFonts w:cstheme="minorHAnsi"/>
          <w:i/>
          <w:iCs/>
          <w:sz w:val="24"/>
          <w:szCs w:val="24"/>
        </w:rPr>
        <w:t xml:space="preserve"> [1876] WN 170. </w:t>
      </w:r>
    </w:p>
    <w:p w14:paraId="72ABB3B5" w14:textId="77777777" w:rsidR="008E4B80" w:rsidRPr="00610E15" w:rsidRDefault="008E4B80" w:rsidP="00E069C8">
      <w:pPr>
        <w:rPr>
          <w:rFonts w:cstheme="minorHAnsi"/>
          <w:i/>
          <w:iCs/>
          <w:sz w:val="24"/>
          <w:szCs w:val="24"/>
        </w:rPr>
      </w:pPr>
      <w:r w:rsidRPr="00610E15">
        <w:rPr>
          <w:rFonts w:cstheme="minorHAnsi"/>
          <w:i/>
          <w:iCs/>
          <w:sz w:val="24"/>
          <w:szCs w:val="24"/>
        </w:rPr>
        <w:t xml:space="preserve">Palmer v Simmonds 2 Drew 221. </w:t>
      </w:r>
    </w:p>
    <w:p w14:paraId="401A2C0D" w14:textId="77777777" w:rsidR="008E4B80" w:rsidRPr="00610E15" w:rsidRDefault="008E4B80" w:rsidP="00E069C8">
      <w:pPr>
        <w:rPr>
          <w:rFonts w:cstheme="minorHAnsi"/>
          <w:i/>
          <w:iCs/>
          <w:sz w:val="24"/>
          <w:szCs w:val="24"/>
        </w:rPr>
      </w:pPr>
      <w:r w:rsidRPr="00610E15">
        <w:rPr>
          <w:rFonts w:cstheme="minorHAnsi"/>
          <w:i/>
          <w:iCs/>
          <w:sz w:val="24"/>
          <w:szCs w:val="24"/>
        </w:rPr>
        <w:t xml:space="preserve">R v District Auditor No 3 Audit District of West Yorkshire MCC, ex </w:t>
      </w:r>
      <w:proofErr w:type="spellStart"/>
      <w:r w:rsidRPr="00610E15">
        <w:rPr>
          <w:rFonts w:cstheme="minorHAnsi"/>
          <w:i/>
          <w:iCs/>
          <w:sz w:val="24"/>
          <w:szCs w:val="24"/>
        </w:rPr>
        <w:t>parte</w:t>
      </w:r>
      <w:proofErr w:type="spellEnd"/>
      <w:r w:rsidRPr="00610E15">
        <w:rPr>
          <w:rFonts w:cstheme="minorHAnsi"/>
          <w:i/>
          <w:iCs/>
          <w:sz w:val="24"/>
          <w:szCs w:val="24"/>
        </w:rPr>
        <w:t xml:space="preserve"> West Yorkshire MCC [1986] RVR 24.</w:t>
      </w:r>
    </w:p>
    <w:p w14:paraId="4718CDF5" w14:textId="77777777" w:rsidR="008E4B80" w:rsidRPr="00610E15" w:rsidRDefault="008E4B80" w:rsidP="00E069C8">
      <w:pPr>
        <w:rPr>
          <w:rFonts w:cstheme="minorHAnsi"/>
          <w:i/>
          <w:iCs/>
          <w:sz w:val="24"/>
          <w:szCs w:val="24"/>
        </w:rPr>
      </w:pPr>
      <w:r w:rsidRPr="00610E15">
        <w:rPr>
          <w:rFonts w:cstheme="minorHAnsi"/>
          <w:i/>
          <w:iCs/>
          <w:sz w:val="24"/>
          <w:szCs w:val="24"/>
        </w:rPr>
        <w:t>Re Adams and the Kensington Vestry (1884).</w:t>
      </w:r>
    </w:p>
    <w:p w14:paraId="1DA204AD" w14:textId="77777777" w:rsidR="008E4B80" w:rsidRPr="00610E15" w:rsidRDefault="008E4B80" w:rsidP="00E069C8">
      <w:pPr>
        <w:rPr>
          <w:rFonts w:cstheme="minorHAnsi"/>
          <w:i/>
          <w:iCs/>
          <w:sz w:val="24"/>
          <w:szCs w:val="24"/>
        </w:rPr>
      </w:pPr>
      <w:r w:rsidRPr="00610E15">
        <w:rPr>
          <w:rFonts w:cstheme="minorHAnsi"/>
          <w:i/>
          <w:iCs/>
          <w:sz w:val="24"/>
          <w:szCs w:val="24"/>
        </w:rPr>
        <w:t>Re Astor's Settlement Trusts [1952] Ch 534.</w:t>
      </w:r>
    </w:p>
    <w:p w14:paraId="6B9A1E10" w14:textId="77777777" w:rsidR="008E4B80" w:rsidRPr="00610E15" w:rsidRDefault="008E4B80" w:rsidP="00E069C8">
      <w:pPr>
        <w:rPr>
          <w:rFonts w:cstheme="minorHAnsi"/>
          <w:i/>
          <w:iCs/>
          <w:sz w:val="24"/>
          <w:szCs w:val="24"/>
        </w:rPr>
      </w:pPr>
      <w:r w:rsidRPr="00610E15">
        <w:rPr>
          <w:rFonts w:cstheme="minorHAnsi"/>
          <w:i/>
          <w:iCs/>
          <w:sz w:val="24"/>
          <w:szCs w:val="24"/>
        </w:rPr>
        <w:t xml:space="preserve">Re Baden's Deed Trusts (No 2) [1972] EWCA </w:t>
      </w:r>
      <w:proofErr w:type="spellStart"/>
      <w:r w:rsidRPr="00610E15">
        <w:rPr>
          <w:rFonts w:cstheme="minorHAnsi"/>
          <w:i/>
          <w:iCs/>
          <w:sz w:val="24"/>
          <w:szCs w:val="24"/>
        </w:rPr>
        <w:t>Civ</w:t>
      </w:r>
      <w:proofErr w:type="spellEnd"/>
      <w:r w:rsidRPr="00610E15">
        <w:rPr>
          <w:rFonts w:cstheme="minorHAnsi"/>
          <w:i/>
          <w:iCs/>
          <w:sz w:val="24"/>
          <w:szCs w:val="24"/>
        </w:rPr>
        <w:t xml:space="preserve"> 10.</w:t>
      </w:r>
    </w:p>
    <w:p w14:paraId="12803504" w14:textId="77777777" w:rsidR="008E4B80" w:rsidRPr="00610E15" w:rsidRDefault="008E4B80" w:rsidP="00E069C8">
      <w:pPr>
        <w:rPr>
          <w:rFonts w:cstheme="minorHAnsi"/>
          <w:i/>
          <w:iCs/>
          <w:sz w:val="24"/>
          <w:szCs w:val="24"/>
        </w:rPr>
      </w:pPr>
      <w:r w:rsidRPr="00610E15">
        <w:rPr>
          <w:rFonts w:cstheme="minorHAnsi"/>
          <w:i/>
          <w:iCs/>
          <w:sz w:val="24"/>
          <w:szCs w:val="24"/>
        </w:rPr>
        <w:t>Re Barlow's Will Trusts [1979] 1 WLR 278.</w:t>
      </w:r>
    </w:p>
    <w:p w14:paraId="5B7E8ED4" w14:textId="77777777" w:rsidR="008E4B80" w:rsidRPr="00610E15" w:rsidRDefault="008E4B80" w:rsidP="008E4B80">
      <w:pPr>
        <w:rPr>
          <w:rFonts w:cstheme="minorHAnsi"/>
          <w:i/>
          <w:iCs/>
          <w:sz w:val="24"/>
          <w:szCs w:val="24"/>
        </w:rPr>
      </w:pPr>
      <w:r w:rsidRPr="00610E15">
        <w:rPr>
          <w:rFonts w:cstheme="minorHAnsi"/>
          <w:i/>
          <w:iCs/>
          <w:sz w:val="24"/>
          <w:szCs w:val="24"/>
        </w:rPr>
        <w:t xml:space="preserve">Re Dean [1889] 41 </w:t>
      </w:r>
      <w:proofErr w:type="spellStart"/>
      <w:r w:rsidRPr="00610E15">
        <w:rPr>
          <w:rFonts w:cstheme="minorHAnsi"/>
          <w:i/>
          <w:iCs/>
          <w:sz w:val="24"/>
          <w:szCs w:val="24"/>
        </w:rPr>
        <w:t>Ch.D</w:t>
      </w:r>
      <w:proofErr w:type="spellEnd"/>
      <w:r w:rsidRPr="00610E15">
        <w:rPr>
          <w:rFonts w:cstheme="minorHAnsi"/>
          <w:i/>
          <w:iCs/>
          <w:sz w:val="24"/>
          <w:szCs w:val="24"/>
        </w:rPr>
        <w:t>. 552</w:t>
      </w:r>
    </w:p>
    <w:p w14:paraId="213A3395" w14:textId="77777777" w:rsidR="008E4B80" w:rsidRPr="00610E15" w:rsidRDefault="008E4B80" w:rsidP="00E069C8">
      <w:pPr>
        <w:rPr>
          <w:rFonts w:cstheme="minorHAnsi"/>
          <w:i/>
          <w:iCs/>
          <w:sz w:val="24"/>
          <w:szCs w:val="24"/>
        </w:rPr>
      </w:pPr>
      <w:r w:rsidRPr="00610E15">
        <w:rPr>
          <w:rFonts w:cstheme="minorHAnsi"/>
          <w:i/>
          <w:iCs/>
          <w:sz w:val="24"/>
          <w:szCs w:val="24"/>
        </w:rPr>
        <w:t xml:space="preserve">Re </w:t>
      </w:r>
      <w:proofErr w:type="spellStart"/>
      <w:r w:rsidRPr="00610E15">
        <w:rPr>
          <w:rFonts w:cstheme="minorHAnsi"/>
          <w:i/>
          <w:iCs/>
          <w:sz w:val="24"/>
          <w:szCs w:val="24"/>
        </w:rPr>
        <w:t>Denley’s</w:t>
      </w:r>
      <w:proofErr w:type="spellEnd"/>
      <w:r w:rsidRPr="00610E15">
        <w:rPr>
          <w:rFonts w:cstheme="minorHAnsi"/>
          <w:i/>
          <w:iCs/>
          <w:sz w:val="24"/>
          <w:szCs w:val="24"/>
        </w:rPr>
        <w:t xml:space="preserve"> Trust Deed [1969] 1 Ch 37.</w:t>
      </w:r>
    </w:p>
    <w:p w14:paraId="50D9A96E" w14:textId="77777777" w:rsidR="008E4B80" w:rsidRPr="00610E15" w:rsidRDefault="008E4B80" w:rsidP="00E069C8">
      <w:pPr>
        <w:rPr>
          <w:rFonts w:cstheme="minorHAnsi"/>
          <w:i/>
          <w:iCs/>
          <w:sz w:val="24"/>
          <w:szCs w:val="24"/>
        </w:rPr>
      </w:pPr>
      <w:r w:rsidRPr="00610E15">
        <w:rPr>
          <w:rFonts w:cstheme="minorHAnsi"/>
          <w:i/>
          <w:iCs/>
          <w:sz w:val="24"/>
          <w:szCs w:val="24"/>
        </w:rPr>
        <w:t xml:space="preserve">Re </w:t>
      </w:r>
      <w:proofErr w:type="spellStart"/>
      <w:r w:rsidRPr="00610E15">
        <w:rPr>
          <w:rFonts w:cstheme="minorHAnsi"/>
          <w:i/>
          <w:iCs/>
          <w:sz w:val="24"/>
          <w:szCs w:val="24"/>
        </w:rPr>
        <w:t>Endacott</w:t>
      </w:r>
      <w:proofErr w:type="spellEnd"/>
      <w:r w:rsidRPr="00610E15">
        <w:rPr>
          <w:rFonts w:cstheme="minorHAnsi"/>
          <w:i/>
          <w:iCs/>
          <w:sz w:val="24"/>
          <w:szCs w:val="24"/>
        </w:rPr>
        <w:t xml:space="preserve"> [1959] EWCA </w:t>
      </w:r>
      <w:proofErr w:type="spellStart"/>
      <w:r w:rsidRPr="00610E15">
        <w:rPr>
          <w:rFonts w:cstheme="minorHAnsi"/>
          <w:i/>
          <w:iCs/>
          <w:sz w:val="24"/>
          <w:szCs w:val="24"/>
        </w:rPr>
        <w:t>Civ</w:t>
      </w:r>
      <w:proofErr w:type="spellEnd"/>
      <w:r w:rsidRPr="00610E15">
        <w:rPr>
          <w:rFonts w:cstheme="minorHAnsi"/>
          <w:i/>
          <w:iCs/>
          <w:sz w:val="24"/>
          <w:szCs w:val="24"/>
        </w:rPr>
        <w:t xml:space="preserve"> 5.</w:t>
      </w:r>
    </w:p>
    <w:p w14:paraId="4945B3AE" w14:textId="77777777" w:rsidR="008E4B80" w:rsidRPr="00610E15" w:rsidRDefault="008E4B80" w:rsidP="00E069C8">
      <w:pPr>
        <w:rPr>
          <w:rFonts w:cstheme="minorHAnsi"/>
          <w:i/>
          <w:iCs/>
          <w:sz w:val="24"/>
          <w:szCs w:val="24"/>
        </w:rPr>
      </w:pPr>
      <w:r w:rsidRPr="00610E15">
        <w:rPr>
          <w:rFonts w:cstheme="minorHAnsi"/>
          <w:i/>
          <w:iCs/>
          <w:sz w:val="24"/>
          <w:szCs w:val="24"/>
        </w:rPr>
        <w:t xml:space="preserve">Re </w:t>
      </w:r>
      <w:proofErr w:type="spellStart"/>
      <w:r w:rsidRPr="00610E15">
        <w:rPr>
          <w:rFonts w:cstheme="minorHAnsi"/>
          <w:i/>
          <w:iCs/>
          <w:sz w:val="24"/>
          <w:szCs w:val="24"/>
        </w:rPr>
        <w:t>Gulbenkian's</w:t>
      </w:r>
      <w:proofErr w:type="spellEnd"/>
      <w:r w:rsidRPr="00610E15">
        <w:rPr>
          <w:rFonts w:cstheme="minorHAnsi"/>
          <w:i/>
          <w:iCs/>
          <w:sz w:val="24"/>
          <w:szCs w:val="24"/>
        </w:rPr>
        <w:t xml:space="preserve"> Settlement Trusts (No 1) [1968] UKHL 5.</w:t>
      </w:r>
    </w:p>
    <w:p w14:paraId="120B086F" w14:textId="77777777" w:rsidR="008E4B80" w:rsidRPr="00610E15" w:rsidRDefault="008E4B80" w:rsidP="00E069C8">
      <w:pPr>
        <w:rPr>
          <w:rFonts w:cstheme="minorHAnsi"/>
          <w:i/>
          <w:iCs/>
          <w:sz w:val="24"/>
          <w:szCs w:val="24"/>
        </w:rPr>
      </w:pPr>
      <w:r w:rsidRPr="00610E15">
        <w:rPr>
          <w:rFonts w:cstheme="minorHAnsi"/>
          <w:i/>
          <w:iCs/>
          <w:sz w:val="24"/>
          <w:szCs w:val="24"/>
        </w:rPr>
        <w:t xml:space="preserve">Re Hooper [1932] 1 Ch 38. </w:t>
      </w:r>
    </w:p>
    <w:p w14:paraId="4C4F4538" w14:textId="77777777" w:rsidR="008E4B80" w:rsidRPr="00610E15" w:rsidRDefault="008E4B80" w:rsidP="00E069C8">
      <w:pPr>
        <w:rPr>
          <w:rFonts w:cstheme="minorHAnsi"/>
          <w:i/>
          <w:iCs/>
          <w:sz w:val="24"/>
          <w:szCs w:val="24"/>
        </w:rPr>
      </w:pPr>
      <w:r w:rsidRPr="00610E15">
        <w:rPr>
          <w:rFonts w:cstheme="minorHAnsi"/>
          <w:i/>
          <w:iCs/>
          <w:sz w:val="24"/>
          <w:szCs w:val="24"/>
        </w:rPr>
        <w:t>Re Leek [1969] 1 Ch. 563.</w:t>
      </w:r>
    </w:p>
    <w:p w14:paraId="181F4658" w14:textId="77777777" w:rsidR="008E4B80" w:rsidRPr="00610E15" w:rsidRDefault="008E4B80" w:rsidP="00E069C8">
      <w:pPr>
        <w:rPr>
          <w:rFonts w:cstheme="minorHAnsi"/>
          <w:i/>
          <w:iCs/>
          <w:sz w:val="24"/>
          <w:szCs w:val="24"/>
        </w:rPr>
      </w:pPr>
      <w:r w:rsidRPr="00610E15">
        <w:rPr>
          <w:rFonts w:cstheme="minorHAnsi"/>
          <w:i/>
          <w:iCs/>
          <w:sz w:val="24"/>
          <w:szCs w:val="24"/>
        </w:rPr>
        <w:t>Re London Wine Co Ltd [1986] PCC 121.</w:t>
      </w:r>
    </w:p>
    <w:p w14:paraId="02DA5F03" w14:textId="77777777" w:rsidR="008E4B80" w:rsidRPr="00610E15" w:rsidRDefault="008E4B80" w:rsidP="00E069C8">
      <w:pPr>
        <w:rPr>
          <w:rFonts w:cstheme="minorHAnsi"/>
          <w:i/>
          <w:iCs/>
          <w:sz w:val="24"/>
          <w:szCs w:val="24"/>
        </w:rPr>
      </w:pPr>
      <w:r w:rsidRPr="00610E15">
        <w:rPr>
          <w:rFonts w:cstheme="minorHAnsi"/>
          <w:i/>
          <w:iCs/>
          <w:sz w:val="24"/>
          <w:szCs w:val="24"/>
        </w:rPr>
        <w:t>Re Snowden [1979] Ch. 528.</w:t>
      </w:r>
    </w:p>
    <w:p w14:paraId="0E7B9CAE" w14:textId="77777777" w:rsidR="008E4B80" w:rsidRPr="00610E15" w:rsidRDefault="008E4B80" w:rsidP="00E069C8">
      <w:pPr>
        <w:rPr>
          <w:rFonts w:cstheme="minorHAnsi"/>
          <w:i/>
          <w:iCs/>
          <w:sz w:val="24"/>
          <w:szCs w:val="24"/>
        </w:rPr>
      </w:pPr>
      <w:r w:rsidRPr="00610E15">
        <w:rPr>
          <w:rFonts w:cstheme="minorHAnsi"/>
          <w:i/>
          <w:iCs/>
          <w:sz w:val="24"/>
          <w:szCs w:val="24"/>
        </w:rPr>
        <w:t xml:space="preserve">Re Tuck's Settlement Trusts [1977] EWCA </w:t>
      </w:r>
      <w:proofErr w:type="spellStart"/>
      <w:r w:rsidRPr="00610E15">
        <w:rPr>
          <w:rFonts w:cstheme="minorHAnsi"/>
          <w:i/>
          <w:iCs/>
          <w:sz w:val="24"/>
          <w:szCs w:val="24"/>
        </w:rPr>
        <w:t>Civ</w:t>
      </w:r>
      <w:proofErr w:type="spellEnd"/>
      <w:r w:rsidRPr="00610E15">
        <w:rPr>
          <w:rFonts w:cstheme="minorHAnsi"/>
          <w:i/>
          <w:iCs/>
          <w:sz w:val="24"/>
          <w:szCs w:val="24"/>
        </w:rPr>
        <w:t xml:space="preserve"> 11.</w:t>
      </w:r>
    </w:p>
    <w:p w14:paraId="37368798" w14:textId="77777777" w:rsidR="008E4B80" w:rsidRPr="00610E15" w:rsidRDefault="008E4B80" w:rsidP="00E069C8">
      <w:pPr>
        <w:rPr>
          <w:rFonts w:cstheme="minorHAnsi"/>
          <w:i/>
          <w:iCs/>
          <w:sz w:val="24"/>
          <w:szCs w:val="24"/>
        </w:rPr>
      </w:pPr>
      <w:r w:rsidRPr="00610E15">
        <w:rPr>
          <w:rFonts w:cstheme="minorHAnsi"/>
          <w:i/>
          <w:iCs/>
          <w:sz w:val="24"/>
          <w:szCs w:val="24"/>
        </w:rPr>
        <w:t xml:space="preserve">Re Young [1951] Ch 344. </w:t>
      </w:r>
    </w:p>
    <w:p w14:paraId="41FCAE88" w14:textId="77777777" w:rsidR="008E4B80" w:rsidRPr="00610E15" w:rsidRDefault="008E4B80" w:rsidP="00E069C8">
      <w:pPr>
        <w:rPr>
          <w:rFonts w:cstheme="minorHAnsi"/>
          <w:i/>
          <w:iCs/>
          <w:sz w:val="24"/>
          <w:szCs w:val="24"/>
        </w:rPr>
      </w:pPr>
      <w:r w:rsidRPr="00610E15">
        <w:rPr>
          <w:rFonts w:cstheme="minorHAnsi"/>
          <w:i/>
          <w:iCs/>
          <w:sz w:val="24"/>
          <w:szCs w:val="24"/>
        </w:rPr>
        <w:t>Rochefoucauld v Boustead [1897] 1 Ch 19.</w:t>
      </w:r>
    </w:p>
    <w:p w14:paraId="15C068DB" w14:textId="77777777" w:rsidR="008E4B80" w:rsidRPr="00610E15" w:rsidRDefault="008E4B80" w:rsidP="00E069C8">
      <w:pPr>
        <w:rPr>
          <w:rFonts w:cstheme="minorHAnsi"/>
          <w:i/>
          <w:iCs/>
          <w:sz w:val="24"/>
          <w:szCs w:val="24"/>
        </w:rPr>
      </w:pPr>
      <w:proofErr w:type="spellStart"/>
      <w:r w:rsidRPr="00610E15">
        <w:rPr>
          <w:rFonts w:cstheme="minorHAnsi"/>
          <w:i/>
          <w:iCs/>
          <w:sz w:val="24"/>
          <w:szCs w:val="24"/>
        </w:rPr>
        <w:t>Thorner</w:t>
      </w:r>
      <w:proofErr w:type="spellEnd"/>
      <w:r w:rsidRPr="00610E15">
        <w:rPr>
          <w:rFonts w:cstheme="minorHAnsi"/>
          <w:i/>
          <w:iCs/>
          <w:sz w:val="24"/>
          <w:szCs w:val="24"/>
        </w:rPr>
        <w:t xml:space="preserve"> v Major [2009] UKHL 18</w:t>
      </w:r>
    </w:p>
    <w:p w14:paraId="5914E6B2" w14:textId="5602AECB" w:rsidR="008E4B80" w:rsidRPr="00610E15" w:rsidRDefault="008E4B80" w:rsidP="00E069C8">
      <w:pPr>
        <w:rPr>
          <w:rFonts w:cstheme="minorHAnsi"/>
          <w:sz w:val="24"/>
          <w:szCs w:val="24"/>
        </w:rPr>
      </w:pPr>
      <w:r w:rsidRPr="00610E15">
        <w:rPr>
          <w:rFonts w:cstheme="minorHAnsi"/>
          <w:sz w:val="24"/>
          <w:szCs w:val="24"/>
        </w:rPr>
        <w:t>Statute:</w:t>
      </w:r>
    </w:p>
    <w:p w14:paraId="3FF87E22" w14:textId="11835E0C" w:rsidR="008E4B80" w:rsidRPr="00610E15" w:rsidRDefault="008E4B80" w:rsidP="00E069C8">
      <w:pPr>
        <w:rPr>
          <w:rFonts w:cstheme="minorHAnsi"/>
          <w:sz w:val="24"/>
          <w:szCs w:val="24"/>
        </w:rPr>
      </w:pPr>
      <w:r w:rsidRPr="00610E15">
        <w:rPr>
          <w:rFonts w:cstheme="minorHAnsi"/>
          <w:sz w:val="24"/>
          <w:szCs w:val="24"/>
        </w:rPr>
        <w:t xml:space="preserve">Wills Act 1837. Available at </w:t>
      </w:r>
      <w:hyperlink r:id="rId7" w:history="1">
        <w:r w:rsidRPr="00610E15">
          <w:rPr>
            <w:rStyle w:val="Hyperlink"/>
            <w:rFonts w:cstheme="minorHAnsi"/>
            <w:sz w:val="24"/>
            <w:szCs w:val="24"/>
          </w:rPr>
          <w:t>https://www.legislation.gov.uk/ukpga/Will4and1Vict/7/26/contents</w:t>
        </w:r>
      </w:hyperlink>
      <w:r w:rsidRPr="00610E15">
        <w:rPr>
          <w:rFonts w:cstheme="minorHAnsi"/>
          <w:sz w:val="24"/>
          <w:szCs w:val="24"/>
        </w:rPr>
        <w:t xml:space="preserve"> </w:t>
      </w:r>
    </w:p>
    <w:p w14:paraId="77BBA695" w14:textId="2C37A120" w:rsidR="008E4B80" w:rsidRPr="00610E15" w:rsidRDefault="008E4B80" w:rsidP="00E069C8">
      <w:pPr>
        <w:rPr>
          <w:rFonts w:cstheme="minorHAnsi"/>
          <w:color w:val="0070C0"/>
          <w:sz w:val="24"/>
          <w:szCs w:val="24"/>
        </w:rPr>
      </w:pPr>
      <w:r w:rsidRPr="00610E15">
        <w:rPr>
          <w:rFonts w:cstheme="minorHAnsi"/>
          <w:color w:val="0070C0"/>
          <w:sz w:val="24"/>
          <w:szCs w:val="24"/>
        </w:rPr>
        <w:t>Secondary Sources:</w:t>
      </w:r>
    </w:p>
    <w:p w14:paraId="6D2D21CA" w14:textId="3240C023" w:rsidR="008E4B80" w:rsidRPr="00610E15" w:rsidRDefault="008E4B80" w:rsidP="00E069C8">
      <w:pPr>
        <w:rPr>
          <w:rFonts w:cstheme="minorHAnsi"/>
          <w:color w:val="0070C0"/>
          <w:sz w:val="24"/>
          <w:szCs w:val="24"/>
        </w:rPr>
      </w:pPr>
      <w:r w:rsidRPr="00610E15">
        <w:rPr>
          <w:rFonts w:cstheme="minorHAnsi"/>
          <w:color w:val="0070C0"/>
          <w:sz w:val="24"/>
          <w:szCs w:val="24"/>
        </w:rPr>
        <w:t>Books:</w:t>
      </w:r>
    </w:p>
    <w:p w14:paraId="587A264E" w14:textId="77777777" w:rsidR="00D97E92" w:rsidRPr="00610E15" w:rsidRDefault="00D97E92" w:rsidP="008E4B80">
      <w:pPr>
        <w:rPr>
          <w:rFonts w:cstheme="minorHAnsi"/>
          <w:sz w:val="24"/>
          <w:szCs w:val="24"/>
          <w:lang w:val="en-US"/>
        </w:rPr>
      </w:pPr>
      <w:r w:rsidRPr="00610E15">
        <w:rPr>
          <w:rFonts w:cstheme="minorHAnsi"/>
          <w:sz w:val="24"/>
          <w:szCs w:val="24"/>
          <w:lang w:val="en-US"/>
        </w:rPr>
        <w:t>Hudson. A (2015) ‘</w:t>
      </w:r>
      <w:r w:rsidRPr="00610E15">
        <w:rPr>
          <w:rFonts w:cstheme="minorHAnsi"/>
          <w:i/>
          <w:iCs/>
          <w:sz w:val="24"/>
          <w:szCs w:val="24"/>
          <w:lang w:val="en-US"/>
        </w:rPr>
        <w:t>Understanding Equity &amp; Trusts’</w:t>
      </w:r>
      <w:r w:rsidRPr="00610E15">
        <w:rPr>
          <w:rFonts w:cstheme="minorHAnsi"/>
          <w:sz w:val="24"/>
          <w:szCs w:val="24"/>
          <w:lang w:val="en-US"/>
        </w:rPr>
        <w:t xml:space="preserve"> (9th </w:t>
      </w:r>
      <w:proofErr w:type="spellStart"/>
      <w:r w:rsidRPr="00610E15">
        <w:rPr>
          <w:rFonts w:cstheme="minorHAnsi"/>
          <w:sz w:val="24"/>
          <w:szCs w:val="24"/>
          <w:lang w:val="en-US"/>
        </w:rPr>
        <w:t>edn</w:t>
      </w:r>
      <w:proofErr w:type="spellEnd"/>
      <w:r w:rsidRPr="00610E15">
        <w:rPr>
          <w:rFonts w:cstheme="minorHAnsi"/>
          <w:sz w:val="24"/>
          <w:szCs w:val="24"/>
          <w:lang w:val="en-US"/>
        </w:rPr>
        <w:t xml:space="preserve">, Routledge). </w:t>
      </w:r>
    </w:p>
    <w:p w14:paraId="611C69C8" w14:textId="77777777" w:rsidR="00D97E92" w:rsidRPr="00610E15" w:rsidRDefault="00D97E92" w:rsidP="008E4B80">
      <w:pPr>
        <w:rPr>
          <w:rFonts w:cstheme="minorHAnsi"/>
          <w:sz w:val="24"/>
          <w:szCs w:val="24"/>
        </w:rPr>
      </w:pPr>
      <w:r w:rsidRPr="00610E15">
        <w:rPr>
          <w:rFonts w:cstheme="minorHAnsi"/>
          <w:sz w:val="24"/>
          <w:szCs w:val="24"/>
        </w:rPr>
        <w:t>Hudson. A, (2007) ‘</w:t>
      </w:r>
      <w:r w:rsidRPr="00610E15">
        <w:rPr>
          <w:rFonts w:cstheme="minorHAnsi"/>
          <w:i/>
          <w:iCs/>
          <w:sz w:val="24"/>
          <w:szCs w:val="24"/>
        </w:rPr>
        <w:t>Equity and Trusts’</w:t>
      </w:r>
      <w:r w:rsidRPr="00610E15">
        <w:rPr>
          <w:rFonts w:cstheme="minorHAnsi"/>
          <w:sz w:val="24"/>
          <w:szCs w:val="24"/>
        </w:rPr>
        <w:t xml:space="preserve"> (6</w:t>
      </w:r>
      <w:r w:rsidRPr="00610E15">
        <w:rPr>
          <w:rFonts w:cstheme="minorHAnsi"/>
          <w:sz w:val="24"/>
          <w:szCs w:val="24"/>
          <w:vertAlign w:val="superscript"/>
        </w:rPr>
        <w:t>th</w:t>
      </w:r>
      <w:r w:rsidRPr="00610E15">
        <w:rPr>
          <w:rFonts w:cstheme="minorHAnsi"/>
          <w:sz w:val="24"/>
          <w:szCs w:val="24"/>
        </w:rPr>
        <w:t xml:space="preserve"> </w:t>
      </w:r>
      <w:proofErr w:type="spellStart"/>
      <w:r w:rsidRPr="00610E15">
        <w:rPr>
          <w:rFonts w:cstheme="minorHAnsi"/>
          <w:sz w:val="24"/>
          <w:szCs w:val="24"/>
        </w:rPr>
        <w:t>edn</w:t>
      </w:r>
      <w:proofErr w:type="spellEnd"/>
      <w:r w:rsidRPr="00610E15">
        <w:rPr>
          <w:rFonts w:cstheme="minorHAnsi"/>
          <w:sz w:val="24"/>
          <w:szCs w:val="24"/>
        </w:rPr>
        <w:t>, Routledge).</w:t>
      </w:r>
    </w:p>
    <w:p w14:paraId="1A1309A1" w14:textId="77777777" w:rsidR="00D97E92" w:rsidRPr="00610E15" w:rsidRDefault="00D97E92" w:rsidP="008E4B80">
      <w:pPr>
        <w:rPr>
          <w:rFonts w:cstheme="minorHAnsi"/>
          <w:sz w:val="24"/>
          <w:szCs w:val="24"/>
        </w:rPr>
      </w:pPr>
      <w:r w:rsidRPr="00610E15">
        <w:rPr>
          <w:rFonts w:cstheme="minorHAnsi"/>
          <w:sz w:val="24"/>
          <w:szCs w:val="24"/>
        </w:rPr>
        <w:t>Penner. J, (2019) ‘</w:t>
      </w:r>
      <w:r w:rsidRPr="00610E15">
        <w:rPr>
          <w:rFonts w:cstheme="minorHAnsi"/>
          <w:i/>
          <w:iCs/>
          <w:sz w:val="24"/>
          <w:szCs w:val="24"/>
        </w:rPr>
        <w:t>The Law of Trusts’</w:t>
      </w:r>
      <w:r w:rsidRPr="00610E15">
        <w:rPr>
          <w:rFonts w:cstheme="minorHAnsi"/>
          <w:sz w:val="24"/>
          <w:szCs w:val="24"/>
        </w:rPr>
        <w:t xml:space="preserve"> (11th </w:t>
      </w:r>
      <w:proofErr w:type="spellStart"/>
      <w:r w:rsidRPr="00610E15">
        <w:rPr>
          <w:rFonts w:cstheme="minorHAnsi"/>
          <w:sz w:val="24"/>
          <w:szCs w:val="24"/>
        </w:rPr>
        <w:t>edn</w:t>
      </w:r>
      <w:proofErr w:type="spellEnd"/>
      <w:r w:rsidRPr="00610E15">
        <w:rPr>
          <w:rFonts w:cstheme="minorHAnsi"/>
          <w:sz w:val="24"/>
          <w:szCs w:val="24"/>
        </w:rPr>
        <w:t>, Oxford University Press).</w:t>
      </w:r>
    </w:p>
    <w:p w14:paraId="67653582" w14:textId="77777777" w:rsidR="00D97E92" w:rsidRPr="00610E15" w:rsidRDefault="00D97E92" w:rsidP="008E4B80">
      <w:pPr>
        <w:rPr>
          <w:rFonts w:cstheme="minorHAnsi"/>
          <w:sz w:val="24"/>
          <w:szCs w:val="24"/>
          <w:lang w:val="en-US"/>
        </w:rPr>
      </w:pPr>
      <w:proofErr w:type="spellStart"/>
      <w:r w:rsidRPr="00610E15">
        <w:rPr>
          <w:rFonts w:cstheme="minorHAnsi"/>
          <w:sz w:val="24"/>
          <w:szCs w:val="24"/>
          <w:lang w:val="en-US"/>
        </w:rPr>
        <w:t>Ramjohn</w:t>
      </w:r>
      <w:proofErr w:type="spellEnd"/>
      <w:r w:rsidRPr="00610E15">
        <w:rPr>
          <w:rFonts w:cstheme="minorHAnsi"/>
          <w:sz w:val="24"/>
          <w:szCs w:val="24"/>
          <w:lang w:val="en-US"/>
        </w:rPr>
        <w:t>, M., (2015) ‘</w:t>
      </w:r>
      <w:r w:rsidRPr="00610E15">
        <w:rPr>
          <w:rFonts w:cstheme="minorHAnsi"/>
          <w:i/>
          <w:iCs/>
          <w:sz w:val="24"/>
          <w:szCs w:val="24"/>
          <w:lang w:val="en-US"/>
        </w:rPr>
        <w:t>Unlocking Equity and Trusts’</w:t>
      </w:r>
      <w:r w:rsidRPr="00610E15">
        <w:rPr>
          <w:rFonts w:cstheme="minorHAnsi"/>
          <w:sz w:val="24"/>
          <w:szCs w:val="24"/>
          <w:lang w:val="en-US"/>
        </w:rPr>
        <w:t xml:space="preserve"> (5</w:t>
      </w:r>
      <w:r w:rsidRPr="00610E15">
        <w:rPr>
          <w:rFonts w:cstheme="minorHAnsi"/>
          <w:sz w:val="24"/>
          <w:szCs w:val="24"/>
          <w:vertAlign w:val="superscript"/>
          <w:lang w:val="en-US"/>
        </w:rPr>
        <w:t>th</w:t>
      </w:r>
      <w:r w:rsidRPr="00610E15">
        <w:rPr>
          <w:rFonts w:cstheme="minorHAnsi"/>
          <w:sz w:val="24"/>
          <w:szCs w:val="24"/>
          <w:lang w:val="en-US"/>
        </w:rPr>
        <w:t xml:space="preserve"> </w:t>
      </w:r>
      <w:proofErr w:type="spellStart"/>
      <w:r w:rsidRPr="00610E15">
        <w:rPr>
          <w:rFonts w:cstheme="minorHAnsi"/>
          <w:sz w:val="24"/>
          <w:szCs w:val="24"/>
          <w:lang w:val="en-US"/>
        </w:rPr>
        <w:t>edn</w:t>
      </w:r>
      <w:proofErr w:type="spellEnd"/>
      <w:r w:rsidRPr="00610E15">
        <w:rPr>
          <w:rFonts w:cstheme="minorHAnsi"/>
          <w:sz w:val="24"/>
          <w:szCs w:val="24"/>
          <w:lang w:val="en-US"/>
        </w:rPr>
        <w:t>, Routledge).</w:t>
      </w:r>
    </w:p>
    <w:p w14:paraId="30C2BC21" w14:textId="77777777" w:rsidR="00D97E92" w:rsidRPr="00610E15" w:rsidRDefault="00D97E92" w:rsidP="008E4B80">
      <w:pPr>
        <w:rPr>
          <w:rFonts w:cstheme="minorHAnsi"/>
          <w:sz w:val="24"/>
          <w:szCs w:val="24"/>
          <w:lang w:val="en-US"/>
        </w:rPr>
      </w:pPr>
      <w:r w:rsidRPr="00610E15">
        <w:rPr>
          <w:rFonts w:cstheme="minorHAnsi"/>
          <w:sz w:val="24"/>
          <w:szCs w:val="24"/>
          <w:lang w:val="en-US"/>
        </w:rPr>
        <w:t>Watt. G (2010) ‘</w:t>
      </w:r>
      <w:r w:rsidRPr="00610E15">
        <w:rPr>
          <w:rFonts w:cstheme="minorHAnsi"/>
          <w:i/>
          <w:iCs/>
          <w:sz w:val="24"/>
          <w:szCs w:val="24"/>
          <w:lang w:val="en-US"/>
        </w:rPr>
        <w:t>Trusts and Equity’</w:t>
      </w:r>
      <w:r w:rsidRPr="00610E15">
        <w:rPr>
          <w:rFonts w:cstheme="minorHAnsi"/>
          <w:sz w:val="24"/>
          <w:szCs w:val="24"/>
          <w:lang w:val="en-US"/>
        </w:rPr>
        <w:t xml:space="preserve"> (4th </w:t>
      </w:r>
      <w:proofErr w:type="spellStart"/>
      <w:r w:rsidRPr="00610E15">
        <w:rPr>
          <w:rFonts w:cstheme="minorHAnsi"/>
          <w:sz w:val="24"/>
          <w:szCs w:val="24"/>
          <w:lang w:val="en-US"/>
        </w:rPr>
        <w:t>edn</w:t>
      </w:r>
      <w:proofErr w:type="spellEnd"/>
      <w:r w:rsidRPr="00610E15">
        <w:rPr>
          <w:rFonts w:cstheme="minorHAnsi"/>
          <w:sz w:val="24"/>
          <w:szCs w:val="24"/>
          <w:lang w:val="en-US"/>
        </w:rPr>
        <w:t>, OUP).</w:t>
      </w:r>
    </w:p>
    <w:p w14:paraId="7917C837" w14:textId="327E6E65" w:rsidR="008E4B80" w:rsidRPr="00610E15" w:rsidRDefault="00523983" w:rsidP="00E069C8">
      <w:pPr>
        <w:rPr>
          <w:rFonts w:cstheme="minorHAnsi"/>
          <w:color w:val="0070C0"/>
          <w:sz w:val="24"/>
          <w:szCs w:val="24"/>
        </w:rPr>
      </w:pPr>
      <w:r w:rsidRPr="00610E15">
        <w:rPr>
          <w:rFonts w:cstheme="minorHAnsi"/>
          <w:color w:val="0070C0"/>
          <w:sz w:val="24"/>
          <w:szCs w:val="24"/>
        </w:rPr>
        <w:lastRenderedPageBreak/>
        <w:t>Article/Journal:</w:t>
      </w:r>
    </w:p>
    <w:p w14:paraId="529FB6A6" w14:textId="77777777" w:rsidR="00D97E92" w:rsidRPr="00610E15" w:rsidRDefault="00D97E92" w:rsidP="00E069C8">
      <w:pPr>
        <w:rPr>
          <w:rFonts w:cstheme="minorHAnsi"/>
          <w:sz w:val="24"/>
          <w:szCs w:val="24"/>
        </w:rPr>
      </w:pPr>
      <w:r w:rsidRPr="00610E15">
        <w:rPr>
          <w:rFonts w:cstheme="minorHAnsi"/>
          <w:sz w:val="24"/>
          <w:szCs w:val="24"/>
        </w:rPr>
        <w:t>C.T. Emery, (1982) “</w:t>
      </w:r>
      <w:r w:rsidRPr="00610E15">
        <w:rPr>
          <w:rFonts w:cstheme="minorHAnsi"/>
          <w:i/>
          <w:iCs/>
          <w:sz w:val="24"/>
          <w:szCs w:val="24"/>
        </w:rPr>
        <w:t>The Most Hallowed Principle – Certainty of Beneficiaries of Trusts and Powers of Appointment</w:t>
      </w:r>
      <w:r w:rsidRPr="00610E15">
        <w:rPr>
          <w:rFonts w:cstheme="minorHAnsi"/>
          <w:sz w:val="24"/>
          <w:szCs w:val="24"/>
        </w:rPr>
        <w:t>” 98 L.Q.R. 551, 558.</w:t>
      </w:r>
    </w:p>
    <w:p w14:paraId="542ED080" w14:textId="77777777" w:rsidR="00D97E92" w:rsidRPr="00610E15" w:rsidRDefault="00D97E92" w:rsidP="00E069C8">
      <w:pPr>
        <w:rPr>
          <w:rFonts w:cstheme="minorHAnsi"/>
          <w:sz w:val="24"/>
          <w:szCs w:val="24"/>
        </w:rPr>
      </w:pPr>
      <w:r w:rsidRPr="00610E15">
        <w:rPr>
          <w:rFonts w:cstheme="minorHAnsi"/>
          <w:sz w:val="24"/>
          <w:szCs w:val="24"/>
        </w:rPr>
        <w:t>Critchley P, (1993) ‘</w:t>
      </w:r>
      <w:r w:rsidRPr="00610E15">
        <w:rPr>
          <w:rFonts w:cstheme="minorHAnsi"/>
          <w:i/>
          <w:iCs/>
          <w:sz w:val="24"/>
          <w:szCs w:val="24"/>
        </w:rPr>
        <w:t>Instruments of fraud, testamentary dispositions, and the doctrine of secret trusts</w:t>
      </w:r>
      <w:r w:rsidRPr="00610E15">
        <w:rPr>
          <w:rFonts w:cstheme="minorHAnsi"/>
          <w:sz w:val="24"/>
          <w:szCs w:val="24"/>
        </w:rPr>
        <w:t>’ 115 Law Quarterly Law 631.</w:t>
      </w:r>
    </w:p>
    <w:p w14:paraId="2301A24E" w14:textId="77777777" w:rsidR="00D97E92" w:rsidRPr="00610E15" w:rsidRDefault="00D97E92" w:rsidP="00E069C8">
      <w:pPr>
        <w:rPr>
          <w:rFonts w:cstheme="minorHAnsi"/>
          <w:sz w:val="24"/>
          <w:szCs w:val="24"/>
        </w:rPr>
      </w:pPr>
      <w:r w:rsidRPr="00610E15">
        <w:rPr>
          <w:rFonts w:cstheme="minorHAnsi"/>
          <w:sz w:val="24"/>
          <w:szCs w:val="24"/>
        </w:rPr>
        <w:t>David R., (1980) “</w:t>
      </w:r>
      <w:r w:rsidRPr="00610E15">
        <w:rPr>
          <w:rFonts w:cstheme="minorHAnsi"/>
          <w:i/>
          <w:iCs/>
          <w:sz w:val="24"/>
          <w:szCs w:val="24"/>
        </w:rPr>
        <w:t>Secret Trusts: the Fraud Theory Revisited</w:t>
      </w:r>
      <w:r w:rsidRPr="00610E15">
        <w:rPr>
          <w:rFonts w:cstheme="minorHAnsi"/>
          <w:sz w:val="24"/>
          <w:szCs w:val="24"/>
        </w:rPr>
        <w:t>” Conv. 341.</w:t>
      </w:r>
    </w:p>
    <w:p w14:paraId="10BC6215" w14:textId="77777777" w:rsidR="00D97E92" w:rsidRPr="00610E15" w:rsidRDefault="00D97E92" w:rsidP="00E069C8">
      <w:pPr>
        <w:rPr>
          <w:rFonts w:cstheme="minorHAnsi"/>
          <w:sz w:val="24"/>
          <w:szCs w:val="24"/>
        </w:rPr>
      </w:pPr>
      <w:r w:rsidRPr="00610E15">
        <w:rPr>
          <w:rFonts w:cstheme="minorHAnsi"/>
          <w:sz w:val="24"/>
          <w:szCs w:val="24"/>
        </w:rPr>
        <w:t>G.L. Williams, (1940) “</w:t>
      </w:r>
      <w:r w:rsidRPr="00610E15">
        <w:rPr>
          <w:rFonts w:cstheme="minorHAnsi"/>
          <w:i/>
          <w:iCs/>
          <w:sz w:val="24"/>
          <w:szCs w:val="24"/>
        </w:rPr>
        <w:t>The Three Certainties</w:t>
      </w:r>
      <w:r w:rsidRPr="00610E15">
        <w:rPr>
          <w:rFonts w:cstheme="minorHAnsi"/>
          <w:sz w:val="24"/>
          <w:szCs w:val="24"/>
        </w:rPr>
        <w:t>” 4 M.L.R. 20, 24.</w:t>
      </w:r>
    </w:p>
    <w:p w14:paraId="260B67A4" w14:textId="77777777" w:rsidR="00D97E92" w:rsidRPr="00610E15" w:rsidRDefault="00D97E92" w:rsidP="00E069C8">
      <w:pPr>
        <w:rPr>
          <w:rFonts w:cstheme="minorHAnsi"/>
          <w:sz w:val="24"/>
          <w:szCs w:val="24"/>
        </w:rPr>
      </w:pPr>
      <w:r w:rsidRPr="00610E15">
        <w:rPr>
          <w:rFonts w:cstheme="minorHAnsi"/>
          <w:sz w:val="24"/>
          <w:szCs w:val="24"/>
        </w:rPr>
        <w:t>Kincaid, D (2000) ‘</w:t>
      </w:r>
      <w:r w:rsidRPr="00610E15">
        <w:rPr>
          <w:rFonts w:cstheme="minorHAnsi"/>
          <w:i/>
          <w:iCs/>
          <w:sz w:val="24"/>
          <w:szCs w:val="24"/>
        </w:rPr>
        <w:t>The tangled web: the relationship between a secret trust and the will’</w:t>
      </w:r>
      <w:r w:rsidRPr="00610E15">
        <w:rPr>
          <w:rFonts w:cstheme="minorHAnsi"/>
          <w:sz w:val="24"/>
          <w:szCs w:val="24"/>
        </w:rPr>
        <w:t xml:space="preserve"> Conv 420, 421. </w:t>
      </w:r>
    </w:p>
    <w:p w14:paraId="1E93D845" w14:textId="77777777" w:rsidR="00D97E92" w:rsidRPr="00610E15" w:rsidRDefault="00D97E92" w:rsidP="00E069C8">
      <w:pPr>
        <w:rPr>
          <w:rFonts w:cstheme="minorHAnsi"/>
          <w:sz w:val="24"/>
          <w:szCs w:val="24"/>
        </w:rPr>
      </w:pPr>
      <w:r w:rsidRPr="00610E15">
        <w:rPr>
          <w:rFonts w:cstheme="minorHAnsi"/>
          <w:sz w:val="24"/>
          <w:szCs w:val="24"/>
        </w:rPr>
        <w:t>L.A. Sheridan, (1951) “</w:t>
      </w:r>
      <w:r w:rsidRPr="00610E15">
        <w:rPr>
          <w:rFonts w:cstheme="minorHAnsi"/>
          <w:i/>
          <w:iCs/>
          <w:sz w:val="24"/>
          <w:szCs w:val="24"/>
        </w:rPr>
        <w:t>English and Irish Secret Trusts</w:t>
      </w:r>
      <w:r w:rsidRPr="00610E15">
        <w:rPr>
          <w:rFonts w:cstheme="minorHAnsi"/>
          <w:sz w:val="24"/>
          <w:szCs w:val="24"/>
        </w:rPr>
        <w:t>” 67 L.Q.R. 314, 324.</w:t>
      </w:r>
    </w:p>
    <w:p w14:paraId="28DC92CE" w14:textId="77777777" w:rsidR="00D97E92" w:rsidRPr="00610E15" w:rsidRDefault="00D97E92" w:rsidP="00E069C8">
      <w:pPr>
        <w:rPr>
          <w:rFonts w:cstheme="minorHAnsi"/>
          <w:sz w:val="24"/>
          <w:szCs w:val="24"/>
        </w:rPr>
      </w:pPr>
      <w:proofErr w:type="spellStart"/>
      <w:r w:rsidRPr="00610E15">
        <w:rPr>
          <w:rFonts w:cstheme="minorHAnsi"/>
          <w:sz w:val="24"/>
          <w:szCs w:val="24"/>
        </w:rPr>
        <w:t>Mee</w:t>
      </w:r>
      <w:proofErr w:type="spellEnd"/>
      <w:r w:rsidRPr="00610E15">
        <w:rPr>
          <w:rFonts w:cstheme="minorHAnsi"/>
          <w:sz w:val="24"/>
          <w:szCs w:val="24"/>
        </w:rPr>
        <w:t xml:space="preserve"> J, (1992) ‘</w:t>
      </w:r>
      <w:r w:rsidRPr="00610E15">
        <w:rPr>
          <w:rFonts w:cstheme="minorHAnsi"/>
          <w:i/>
          <w:iCs/>
          <w:sz w:val="24"/>
          <w:szCs w:val="24"/>
        </w:rPr>
        <w:t>Half Secret trusts in England and Ireland’</w:t>
      </w:r>
      <w:r w:rsidRPr="00610E15">
        <w:rPr>
          <w:rFonts w:cstheme="minorHAnsi"/>
          <w:sz w:val="24"/>
          <w:szCs w:val="24"/>
        </w:rPr>
        <w:t xml:space="preserve"> Conveyancer and Property Lawyer 202.</w:t>
      </w:r>
    </w:p>
    <w:p w14:paraId="30F8A41B" w14:textId="77777777" w:rsidR="00D97E92" w:rsidRPr="00610E15" w:rsidRDefault="00D97E92" w:rsidP="00E069C8">
      <w:pPr>
        <w:rPr>
          <w:rFonts w:cstheme="minorHAnsi"/>
          <w:sz w:val="24"/>
          <w:szCs w:val="24"/>
        </w:rPr>
      </w:pPr>
      <w:r w:rsidRPr="00610E15">
        <w:rPr>
          <w:rFonts w:cstheme="minorHAnsi"/>
          <w:sz w:val="24"/>
          <w:szCs w:val="24"/>
        </w:rPr>
        <w:t>T. L. Tolan, (1947) “</w:t>
      </w:r>
      <w:r w:rsidRPr="00610E15">
        <w:rPr>
          <w:rFonts w:cstheme="minorHAnsi"/>
          <w:i/>
          <w:iCs/>
          <w:sz w:val="24"/>
          <w:szCs w:val="24"/>
        </w:rPr>
        <w:t>Wills: Incorporation by Reference: Comparison with Secret Trusts and Acts of Independent Significance</w:t>
      </w:r>
      <w:r w:rsidRPr="00610E15">
        <w:rPr>
          <w:rFonts w:cstheme="minorHAnsi"/>
          <w:sz w:val="24"/>
          <w:szCs w:val="24"/>
        </w:rPr>
        <w:t>” Michigan Law Review Vol. 46, No. pp. 77-92, Published By: The Michigan Law Review Association.</w:t>
      </w:r>
    </w:p>
    <w:p w14:paraId="4DBC6D49" w14:textId="77777777" w:rsidR="00D97E92" w:rsidRPr="00610E15" w:rsidRDefault="00D97E92" w:rsidP="00E069C8">
      <w:pPr>
        <w:rPr>
          <w:rFonts w:cstheme="minorHAnsi"/>
          <w:sz w:val="24"/>
          <w:szCs w:val="24"/>
        </w:rPr>
      </w:pPr>
      <w:r w:rsidRPr="00610E15">
        <w:rPr>
          <w:rFonts w:cstheme="minorHAnsi"/>
          <w:sz w:val="24"/>
          <w:szCs w:val="24"/>
        </w:rPr>
        <w:t>Thomas M, (2014) ‘</w:t>
      </w:r>
      <w:r w:rsidRPr="00610E15">
        <w:rPr>
          <w:rFonts w:cstheme="minorHAnsi"/>
          <w:i/>
          <w:iCs/>
          <w:sz w:val="24"/>
          <w:szCs w:val="24"/>
        </w:rPr>
        <w:t xml:space="preserve">The longer you look at a [will], the more abstract it becomes…” – construction and secret trusts: </w:t>
      </w:r>
      <w:proofErr w:type="spellStart"/>
      <w:r w:rsidRPr="00610E15">
        <w:rPr>
          <w:rFonts w:cstheme="minorHAnsi"/>
          <w:i/>
          <w:iCs/>
          <w:sz w:val="24"/>
          <w:szCs w:val="24"/>
        </w:rPr>
        <w:t>Rawstron</w:t>
      </w:r>
      <w:proofErr w:type="spellEnd"/>
      <w:r w:rsidRPr="00610E15">
        <w:rPr>
          <w:rFonts w:cstheme="minorHAnsi"/>
          <w:i/>
          <w:iCs/>
          <w:sz w:val="24"/>
          <w:szCs w:val="24"/>
        </w:rPr>
        <w:t xml:space="preserve"> and Pearce v Freud</w:t>
      </w:r>
      <w:r w:rsidRPr="00610E15">
        <w:rPr>
          <w:rFonts w:cstheme="minorHAnsi"/>
          <w:sz w:val="24"/>
          <w:szCs w:val="24"/>
        </w:rPr>
        <w:t xml:space="preserve">’1 Trust Law International 157. </w:t>
      </w:r>
    </w:p>
    <w:p w14:paraId="207FC128" w14:textId="77777777" w:rsidR="0045500C" w:rsidRDefault="0045500C" w:rsidP="00E069C8">
      <w:pPr>
        <w:rPr>
          <w:rFonts w:ascii="Times New Roman" w:hAnsi="Times New Roman" w:cs="Times New Roman"/>
          <w:sz w:val="24"/>
          <w:szCs w:val="24"/>
        </w:rPr>
      </w:pPr>
    </w:p>
    <w:p w14:paraId="0E3846CC" w14:textId="77777777" w:rsidR="00CF1963" w:rsidRPr="00F57186" w:rsidRDefault="00CF1963" w:rsidP="00E069C8">
      <w:pPr>
        <w:rPr>
          <w:rFonts w:ascii="Times New Roman" w:hAnsi="Times New Roman" w:cs="Times New Roman"/>
          <w:sz w:val="24"/>
          <w:szCs w:val="24"/>
        </w:rPr>
      </w:pPr>
    </w:p>
    <w:p w14:paraId="6EF7EDB9" w14:textId="77777777" w:rsidR="000B288E" w:rsidRPr="00F57186" w:rsidRDefault="000B288E" w:rsidP="000127A3">
      <w:pPr>
        <w:jc w:val="both"/>
        <w:rPr>
          <w:rFonts w:ascii="Times New Roman" w:hAnsi="Times New Roman" w:cs="Times New Roman"/>
          <w:sz w:val="24"/>
          <w:szCs w:val="24"/>
        </w:rPr>
      </w:pPr>
    </w:p>
    <w:sectPr w:rsidR="000B288E" w:rsidRPr="00F5718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30D1D3" w14:textId="77777777" w:rsidR="00505CED" w:rsidRDefault="00505CED" w:rsidP="009F2FE5">
      <w:pPr>
        <w:spacing w:after="0" w:line="240" w:lineRule="auto"/>
      </w:pPr>
      <w:r>
        <w:separator/>
      </w:r>
    </w:p>
  </w:endnote>
  <w:endnote w:type="continuationSeparator" w:id="0">
    <w:p w14:paraId="2795E600" w14:textId="77777777" w:rsidR="00505CED" w:rsidRDefault="00505CED" w:rsidP="009F2F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E9D80F" w14:textId="77777777" w:rsidR="00505CED" w:rsidRDefault="00505CED" w:rsidP="009F2FE5">
      <w:pPr>
        <w:spacing w:after="0" w:line="240" w:lineRule="auto"/>
      </w:pPr>
      <w:r>
        <w:separator/>
      </w:r>
    </w:p>
  </w:footnote>
  <w:footnote w:type="continuationSeparator" w:id="0">
    <w:p w14:paraId="4E769FE6" w14:textId="77777777" w:rsidR="00505CED" w:rsidRDefault="00505CED" w:rsidP="009F2F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5610AD"/>
    <w:multiLevelType w:val="hybridMultilevel"/>
    <w:tmpl w:val="B1ACC844"/>
    <w:lvl w:ilvl="0" w:tplc="20000017">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7A450109"/>
    <w:multiLevelType w:val="hybridMultilevel"/>
    <w:tmpl w:val="8248A6C6"/>
    <w:lvl w:ilvl="0" w:tplc="20000017">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5F10"/>
    <w:rsid w:val="000127A3"/>
    <w:rsid w:val="000B288E"/>
    <w:rsid w:val="000E1B13"/>
    <w:rsid w:val="00120BCC"/>
    <w:rsid w:val="001B70D0"/>
    <w:rsid w:val="00226C35"/>
    <w:rsid w:val="002615E8"/>
    <w:rsid w:val="002D7CF7"/>
    <w:rsid w:val="002F48C3"/>
    <w:rsid w:val="0033172E"/>
    <w:rsid w:val="003620A0"/>
    <w:rsid w:val="00392A25"/>
    <w:rsid w:val="00393F25"/>
    <w:rsid w:val="003A1C86"/>
    <w:rsid w:val="00410C82"/>
    <w:rsid w:val="00416C9D"/>
    <w:rsid w:val="00435ACE"/>
    <w:rsid w:val="0045500C"/>
    <w:rsid w:val="0049632F"/>
    <w:rsid w:val="004C0304"/>
    <w:rsid w:val="004D7474"/>
    <w:rsid w:val="00503826"/>
    <w:rsid w:val="00505CED"/>
    <w:rsid w:val="00522B31"/>
    <w:rsid w:val="00523983"/>
    <w:rsid w:val="00545795"/>
    <w:rsid w:val="00570137"/>
    <w:rsid w:val="005A4778"/>
    <w:rsid w:val="00610E15"/>
    <w:rsid w:val="00613018"/>
    <w:rsid w:val="006A157C"/>
    <w:rsid w:val="006A273B"/>
    <w:rsid w:val="006B062D"/>
    <w:rsid w:val="008043DF"/>
    <w:rsid w:val="00807F70"/>
    <w:rsid w:val="00810FB8"/>
    <w:rsid w:val="008239AF"/>
    <w:rsid w:val="00823EF8"/>
    <w:rsid w:val="0085564C"/>
    <w:rsid w:val="00857A48"/>
    <w:rsid w:val="008E4B80"/>
    <w:rsid w:val="008F5AFA"/>
    <w:rsid w:val="00962DF8"/>
    <w:rsid w:val="009A7D89"/>
    <w:rsid w:val="009C1F52"/>
    <w:rsid w:val="009D2770"/>
    <w:rsid w:val="009F2FE5"/>
    <w:rsid w:val="00A04C36"/>
    <w:rsid w:val="00A2612D"/>
    <w:rsid w:val="00AA42FA"/>
    <w:rsid w:val="00AF5FF2"/>
    <w:rsid w:val="00B06148"/>
    <w:rsid w:val="00B65817"/>
    <w:rsid w:val="00B803BE"/>
    <w:rsid w:val="00BB0517"/>
    <w:rsid w:val="00C3141A"/>
    <w:rsid w:val="00C41CAF"/>
    <w:rsid w:val="00C65CD7"/>
    <w:rsid w:val="00CA7AB6"/>
    <w:rsid w:val="00CD1B9B"/>
    <w:rsid w:val="00CD6493"/>
    <w:rsid w:val="00CF1963"/>
    <w:rsid w:val="00D0703D"/>
    <w:rsid w:val="00D075E0"/>
    <w:rsid w:val="00D41D17"/>
    <w:rsid w:val="00D64D1B"/>
    <w:rsid w:val="00D93430"/>
    <w:rsid w:val="00D97E92"/>
    <w:rsid w:val="00E069C8"/>
    <w:rsid w:val="00E93AB9"/>
    <w:rsid w:val="00E9659D"/>
    <w:rsid w:val="00EA5F10"/>
    <w:rsid w:val="00EC14DB"/>
    <w:rsid w:val="00F1070C"/>
    <w:rsid w:val="00F244C0"/>
    <w:rsid w:val="00F42B57"/>
    <w:rsid w:val="00F57186"/>
    <w:rsid w:val="00F84431"/>
    <w:rsid w:val="00FA223E"/>
    <w:rsid w:val="00FB5FB4"/>
    <w:rsid w:val="00FB75AF"/>
    <w:rsid w:val="00FC7CFE"/>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D238C"/>
  <w15:chartTrackingRefBased/>
  <w15:docId w15:val="{54B96379-ECBF-4774-90FF-427691B490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57186"/>
    <w:rPr>
      <w:rFonts w:ascii="Times New Roman" w:hAnsi="Times New Roman" w:cs="Times New Roman"/>
      <w:sz w:val="24"/>
      <w:szCs w:val="24"/>
    </w:rPr>
  </w:style>
  <w:style w:type="character" w:styleId="CommentReference">
    <w:name w:val="annotation reference"/>
    <w:basedOn w:val="DefaultParagraphFont"/>
    <w:uiPriority w:val="99"/>
    <w:semiHidden/>
    <w:unhideWhenUsed/>
    <w:rsid w:val="00F57186"/>
    <w:rPr>
      <w:sz w:val="16"/>
      <w:szCs w:val="16"/>
    </w:rPr>
  </w:style>
  <w:style w:type="paragraph" w:styleId="CommentText">
    <w:name w:val="annotation text"/>
    <w:basedOn w:val="Normal"/>
    <w:link w:val="CommentTextChar"/>
    <w:uiPriority w:val="99"/>
    <w:semiHidden/>
    <w:unhideWhenUsed/>
    <w:rsid w:val="00F57186"/>
    <w:pPr>
      <w:spacing w:after="0" w:line="240" w:lineRule="auto"/>
    </w:pPr>
    <w:rPr>
      <w:sz w:val="20"/>
      <w:szCs w:val="20"/>
      <w:lang w:val="en-US"/>
    </w:rPr>
  </w:style>
  <w:style w:type="character" w:customStyle="1" w:styleId="CommentTextChar">
    <w:name w:val="Comment Text Char"/>
    <w:basedOn w:val="DefaultParagraphFont"/>
    <w:link w:val="CommentText"/>
    <w:uiPriority w:val="99"/>
    <w:semiHidden/>
    <w:rsid w:val="00F57186"/>
    <w:rPr>
      <w:sz w:val="20"/>
      <w:szCs w:val="20"/>
      <w:lang w:val="en-US"/>
    </w:rPr>
  </w:style>
  <w:style w:type="paragraph" w:styleId="ListParagraph">
    <w:name w:val="List Paragraph"/>
    <w:basedOn w:val="Normal"/>
    <w:uiPriority w:val="34"/>
    <w:qFormat/>
    <w:rsid w:val="005A4778"/>
    <w:pPr>
      <w:ind w:left="720"/>
      <w:contextualSpacing/>
    </w:pPr>
  </w:style>
  <w:style w:type="paragraph" w:styleId="FootnoteText">
    <w:name w:val="footnote text"/>
    <w:basedOn w:val="Normal"/>
    <w:link w:val="FootnoteTextChar"/>
    <w:uiPriority w:val="99"/>
    <w:semiHidden/>
    <w:unhideWhenUsed/>
    <w:rsid w:val="009F2FE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F2FE5"/>
    <w:rPr>
      <w:sz w:val="20"/>
      <w:szCs w:val="20"/>
      <w:lang w:val="en-GB"/>
    </w:rPr>
  </w:style>
  <w:style w:type="character" w:styleId="FootnoteReference">
    <w:name w:val="footnote reference"/>
    <w:basedOn w:val="DefaultParagraphFont"/>
    <w:uiPriority w:val="99"/>
    <w:semiHidden/>
    <w:unhideWhenUsed/>
    <w:rsid w:val="009F2FE5"/>
    <w:rPr>
      <w:vertAlign w:val="superscript"/>
    </w:rPr>
  </w:style>
  <w:style w:type="character" w:styleId="Hyperlink">
    <w:name w:val="Hyperlink"/>
    <w:basedOn w:val="DefaultParagraphFont"/>
    <w:uiPriority w:val="99"/>
    <w:unhideWhenUsed/>
    <w:rsid w:val="000E1B13"/>
    <w:rPr>
      <w:color w:val="0563C1" w:themeColor="hyperlink"/>
      <w:u w:val="single"/>
    </w:rPr>
  </w:style>
  <w:style w:type="character" w:styleId="UnresolvedMention">
    <w:name w:val="Unresolved Mention"/>
    <w:basedOn w:val="DefaultParagraphFont"/>
    <w:uiPriority w:val="99"/>
    <w:semiHidden/>
    <w:unhideWhenUsed/>
    <w:rsid w:val="000E1B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37608">
      <w:bodyDiv w:val="1"/>
      <w:marLeft w:val="0"/>
      <w:marRight w:val="0"/>
      <w:marTop w:val="0"/>
      <w:marBottom w:val="0"/>
      <w:divBdr>
        <w:top w:val="none" w:sz="0" w:space="0" w:color="auto"/>
        <w:left w:val="none" w:sz="0" w:space="0" w:color="auto"/>
        <w:bottom w:val="none" w:sz="0" w:space="0" w:color="auto"/>
        <w:right w:val="none" w:sz="0" w:space="0" w:color="auto"/>
      </w:divBdr>
    </w:div>
    <w:div w:id="102118231">
      <w:bodyDiv w:val="1"/>
      <w:marLeft w:val="0"/>
      <w:marRight w:val="0"/>
      <w:marTop w:val="0"/>
      <w:marBottom w:val="0"/>
      <w:divBdr>
        <w:top w:val="none" w:sz="0" w:space="0" w:color="auto"/>
        <w:left w:val="none" w:sz="0" w:space="0" w:color="auto"/>
        <w:bottom w:val="none" w:sz="0" w:space="0" w:color="auto"/>
        <w:right w:val="none" w:sz="0" w:space="0" w:color="auto"/>
      </w:divBdr>
      <w:divsChild>
        <w:div w:id="1843154701">
          <w:marLeft w:val="0"/>
          <w:marRight w:val="0"/>
          <w:marTop w:val="0"/>
          <w:marBottom w:val="0"/>
          <w:divBdr>
            <w:top w:val="none" w:sz="0" w:space="0" w:color="auto"/>
            <w:left w:val="none" w:sz="0" w:space="0" w:color="auto"/>
            <w:bottom w:val="none" w:sz="0" w:space="0" w:color="auto"/>
            <w:right w:val="none" w:sz="0" w:space="0" w:color="auto"/>
          </w:divBdr>
        </w:div>
        <w:div w:id="1165322955">
          <w:marLeft w:val="0"/>
          <w:marRight w:val="0"/>
          <w:marTop w:val="0"/>
          <w:marBottom w:val="0"/>
          <w:divBdr>
            <w:top w:val="none" w:sz="0" w:space="0" w:color="auto"/>
            <w:left w:val="none" w:sz="0" w:space="0" w:color="auto"/>
            <w:bottom w:val="none" w:sz="0" w:space="0" w:color="auto"/>
            <w:right w:val="none" w:sz="0" w:space="0" w:color="auto"/>
          </w:divBdr>
          <w:divsChild>
            <w:div w:id="394472276">
              <w:marLeft w:val="0"/>
              <w:marRight w:val="0"/>
              <w:marTop w:val="0"/>
              <w:marBottom w:val="0"/>
              <w:divBdr>
                <w:top w:val="none" w:sz="0" w:space="0" w:color="auto"/>
                <w:left w:val="none" w:sz="0" w:space="0" w:color="auto"/>
                <w:bottom w:val="none" w:sz="0" w:space="0" w:color="auto"/>
                <w:right w:val="none" w:sz="0" w:space="0" w:color="auto"/>
              </w:divBdr>
              <w:divsChild>
                <w:div w:id="1157066505">
                  <w:marLeft w:val="0"/>
                  <w:marRight w:val="0"/>
                  <w:marTop w:val="0"/>
                  <w:marBottom w:val="0"/>
                  <w:divBdr>
                    <w:top w:val="none" w:sz="0" w:space="0" w:color="auto"/>
                    <w:left w:val="none" w:sz="0" w:space="0" w:color="auto"/>
                    <w:bottom w:val="none" w:sz="0" w:space="0" w:color="auto"/>
                    <w:right w:val="none" w:sz="0" w:space="0" w:color="auto"/>
                  </w:divBdr>
                </w:div>
                <w:div w:id="1581792832">
                  <w:marLeft w:val="0"/>
                  <w:marRight w:val="0"/>
                  <w:marTop w:val="0"/>
                  <w:marBottom w:val="0"/>
                  <w:divBdr>
                    <w:top w:val="none" w:sz="0" w:space="0" w:color="auto"/>
                    <w:left w:val="none" w:sz="0" w:space="0" w:color="auto"/>
                    <w:bottom w:val="none" w:sz="0" w:space="0" w:color="auto"/>
                    <w:right w:val="none" w:sz="0" w:space="0" w:color="auto"/>
                  </w:divBdr>
                </w:div>
                <w:div w:id="890651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339327">
      <w:bodyDiv w:val="1"/>
      <w:marLeft w:val="0"/>
      <w:marRight w:val="0"/>
      <w:marTop w:val="0"/>
      <w:marBottom w:val="0"/>
      <w:divBdr>
        <w:top w:val="none" w:sz="0" w:space="0" w:color="auto"/>
        <w:left w:val="none" w:sz="0" w:space="0" w:color="auto"/>
        <w:bottom w:val="none" w:sz="0" w:space="0" w:color="auto"/>
        <w:right w:val="none" w:sz="0" w:space="0" w:color="auto"/>
      </w:divBdr>
    </w:div>
    <w:div w:id="1280335380">
      <w:bodyDiv w:val="1"/>
      <w:marLeft w:val="0"/>
      <w:marRight w:val="0"/>
      <w:marTop w:val="0"/>
      <w:marBottom w:val="0"/>
      <w:divBdr>
        <w:top w:val="none" w:sz="0" w:space="0" w:color="auto"/>
        <w:left w:val="none" w:sz="0" w:space="0" w:color="auto"/>
        <w:bottom w:val="none" w:sz="0" w:space="0" w:color="auto"/>
        <w:right w:val="none" w:sz="0" w:space="0" w:color="auto"/>
      </w:divBdr>
    </w:div>
    <w:div w:id="1829979736">
      <w:bodyDiv w:val="1"/>
      <w:marLeft w:val="0"/>
      <w:marRight w:val="0"/>
      <w:marTop w:val="0"/>
      <w:marBottom w:val="0"/>
      <w:divBdr>
        <w:top w:val="none" w:sz="0" w:space="0" w:color="auto"/>
        <w:left w:val="none" w:sz="0" w:space="0" w:color="auto"/>
        <w:bottom w:val="none" w:sz="0" w:space="0" w:color="auto"/>
        <w:right w:val="none" w:sz="0" w:space="0" w:color="auto"/>
      </w:divBdr>
    </w:div>
    <w:div w:id="2064600612">
      <w:bodyDiv w:val="1"/>
      <w:marLeft w:val="0"/>
      <w:marRight w:val="0"/>
      <w:marTop w:val="0"/>
      <w:marBottom w:val="0"/>
      <w:divBdr>
        <w:top w:val="none" w:sz="0" w:space="0" w:color="auto"/>
        <w:left w:val="none" w:sz="0" w:space="0" w:color="auto"/>
        <w:bottom w:val="none" w:sz="0" w:space="0" w:color="auto"/>
        <w:right w:val="none" w:sz="0" w:space="0" w:color="auto"/>
      </w:divBdr>
      <w:divsChild>
        <w:div w:id="1055472879">
          <w:marLeft w:val="0"/>
          <w:marRight w:val="0"/>
          <w:marTop w:val="0"/>
          <w:marBottom w:val="0"/>
          <w:divBdr>
            <w:top w:val="none" w:sz="0" w:space="0" w:color="auto"/>
            <w:left w:val="none" w:sz="0" w:space="0" w:color="auto"/>
            <w:bottom w:val="none" w:sz="0" w:space="0" w:color="auto"/>
            <w:right w:val="none" w:sz="0" w:space="0" w:color="auto"/>
          </w:divBdr>
        </w:div>
        <w:div w:id="6635158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legislation.gov.uk/ukpga/Will4and1Vict/7/26/content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3374</Words>
  <Characters>19237</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sandal noorani</dc:creator>
  <cp:keywords/>
  <dc:description/>
  <cp:lastModifiedBy>Naima Tasnim</cp:lastModifiedBy>
  <cp:revision>2</cp:revision>
  <dcterms:created xsi:type="dcterms:W3CDTF">2021-12-06T22:41:00Z</dcterms:created>
  <dcterms:modified xsi:type="dcterms:W3CDTF">2021-12-06T22:41:00Z</dcterms:modified>
</cp:coreProperties>
</file>