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3011AFBC" w:rsidR="00B21F2E" w:rsidRPr="003C3341" w:rsidRDefault="00B21F2E" w:rsidP="00B945EA">
      <w:pPr>
        <w:jc w:val="both"/>
        <w:rPr>
          <w:rFonts w:ascii="Tahoma" w:hAnsi="Tahoma" w:cs="Tahoma"/>
        </w:rPr>
      </w:pPr>
      <w:r>
        <w:rPr>
          <w:rFonts w:ascii="Tahoma" w:hAnsi="Tahoma" w:cs="Tahoma"/>
        </w:rPr>
        <w:t xml:space="preserve">Consider the </w:t>
      </w:r>
      <w:r w:rsidR="00C60E85">
        <w:rPr>
          <w:rFonts w:ascii="Tahoma" w:hAnsi="Tahoma" w:cs="Tahoma"/>
        </w:rPr>
        <w:t>following.</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37FD09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417EF5">
              <w:rPr>
                <w:rFonts w:ascii="Tahoma" w:hAnsi="Tahoma" w:cs="Tahoma"/>
                <w:b/>
                <w:sz w:val="20"/>
                <w:szCs w:val="20"/>
              </w:rPr>
              <w:t>Iulian-Petrut Petrache</w:t>
            </w:r>
          </w:p>
          <w:p w14:paraId="498F0B10" w14:textId="77777777" w:rsidR="001B69C8" w:rsidRPr="003C3341" w:rsidRDefault="001B69C8">
            <w:pPr>
              <w:rPr>
                <w:rFonts w:ascii="Tahoma" w:hAnsi="Tahoma" w:cs="Tahoma"/>
                <w:b/>
                <w:sz w:val="20"/>
                <w:szCs w:val="20"/>
              </w:rPr>
            </w:pPr>
          </w:p>
          <w:p w14:paraId="69E1F0CF" w14:textId="7C4B46A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417EF5">
              <w:rPr>
                <w:rFonts w:ascii="Tahoma" w:hAnsi="Tahoma" w:cs="Tahoma"/>
                <w:b/>
                <w:sz w:val="20"/>
                <w:szCs w:val="20"/>
              </w:rPr>
              <w:t>2025332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FA05523"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17EF5">
              <w:rPr>
                <w:rFonts w:ascii="Tahoma" w:hAnsi="Tahoma" w:cs="Tahoma"/>
                <w:b/>
                <w:sz w:val="20"/>
                <w:szCs w:val="20"/>
              </w:rPr>
              <w:t>Food and Beverage 4002</w:t>
            </w:r>
          </w:p>
          <w:p w14:paraId="2019D1B6" w14:textId="77777777" w:rsidR="00B21F2E" w:rsidRDefault="00B21F2E" w:rsidP="00B21F2E">
            <w:pPr>
              <w:rPr>
                <w:rFonts w:ascii="Tahoma" w:hAnsi="Tahoma" w:cs="Tahoma"/>
                <w:b/>
                <w:sz w:val="20"/>
                <w:szCs w:val="20"/>
              </w:rPr>
            </w:pPr>
          </w:p>
          <w:p w14:paraId="450FE136" w14:textId="372BA66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17EF5">
              <w:rPr>
                <w:rFonts w:ascii="Tahoma" w:hAnsi="Tahoma" w:cs="Tahoma"/>
                <w:b/>
                <w:sz w:val="20"/>
                <w:szCs w:val="20"/>
              </w:rPr>
              <w:t>Lynsey Hooper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044CD3E"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w:t>
            </w:r>
            <w:proofErr w:type="gramStart"/>
            <w:r w:rsidR="00E46851">
              <w:rPr>
                <w:rFonts w:ascii="Tahoma" w:hAnsi="Tahoma" w:cs="Tahoma"/>
                <w:b/>
                <w:sz w:val="20"/>
                <w:szCs w:val="20"/>
              </w:rPr>
              <w:t xml:space="preserve">Choice </w:t>
            </w:r>
            <w:r>
              <w:rPr>
                <w:rFonts w:ascii="Tahoma" w:hAnsi="Tahoma" w:cs="Tahoma"/>
                <w:b/>
                <w:sz w:val="20"/>
                <w:szCs w:val="20"/>
              </w:rPr>
              <w:t>:</w:t>
            </w:r>
            <w:proofErr w:type="gramEnd"/>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6C658131" w:rsidR="00B21F2E" w:rsidRDefault="00417EF5" w:rsidP="00B21F2E">
            <w:pPr>
              <w:jc w:val="center"/>
              <w:rPr>
                <w:rFonts w:ascii="Tahoma" w:hAnsi="Tahoma" w:cs="Tahoma"/>
                <w:b/>
                <w:sz w:val="20"/>
                <w:szCs w:val="20"/>
              </w:rPr>
            </w:pPr>
            <w:r>
              <w:rPr>
                <w:rFonts w:ascii="Tahoma" w:hAnsi="Tahoma" w:cs="Tahoma"/>
                <w:b/>
                <w:sz w:val="20"/>
                <w:szCs w:val="20"/>
              </w:rPr>
              <w:t xml:space="preserve">Student journal about </w:t>
            </w:r>
            <w:r w:rsidR="006F7ABA">
              <w:rPr>
                <w:rFonts w:ascii="Tahoma" w:hAnsi="Tahoma" w:cs="Tahoma"/>
                <w:b/>
                <w:sz w:val="20"/>
                <w:szCs w:val="20"/>
              </w:rPr>
              <w:t>practicing to be a waiter at Premier Inn</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6D706192" w14:textId="585E2874" w:rsidR="00CF5687" w:rsidRDefault="00CF5687" w:rsidP="00CF5687">
            <w:pPr>
              <w:spacing w:line="360" w:lineRule="auto"/>
              <w:jc w:val="both"/>
            </w:pPr>
            <w:r>
              <w:t xml:space="preserve">A reflection is a process which is utilised in terms of understanding the different approaches that have been used in the past to recover and analyse the aspects that have been covered and apply different techniques to grow through it. In this case, the process shall be initiated with the help of the model provided by Graham Gibbs in 1988 which is termed the 'Gibbs Reflective Model'. This model shall be based in terms of analysing the learning structure and hence the experience involved within the situation as mentioned in the study by </w:t>
            </w:r>
            <w:proofErr w:type="spellStart"/>
            <w:r>
              <w:rPr>
                <w:color w:val="222222"/>
                <w:highlight w:val="white"/>
              </w:rPr>
              <w:t>Adeani</w:t>
            </w:r>
            <w:proofErr w:type="spellEnd"/>
            <w:r>
              <w:rPr>
                <w:color w:val="222222"/>
                <w:highlight w:val="white"/>
              </w:rPr>
              <w:t xml:space="preserve">, </w:t>
            </w:r>
            <w:proofErr w:type="spellStart"/>
            <w:r>
              <w:rPr>
                <w:color w:val="222222"/>
                <w:highlight w:val="white"/>
              </w:rPr>
              <w:t>Febriani</w:t>
            </w:r>
            <w:proofErr w:type="spellEnd"/>
            <w:r>
              <w:rPr>
                <w:color w:val="222222"/>
                <w:highlight w:val="white"/>
              </w:rPr>
              <w:t xml:space="preserve"> and </w:t>
            </w:r>
            <w:proofErr w:type="spellStart"/>
            <w:r>
              <w:rPr>
                <w:color w:val="222222"/>
                <w:highlight w:val="white"/>
              </w:rPr>
              <w:t>Syafryadin</w:t>
            </w:r>
            <w:proofErr w:type="spellEnd"/>
            <w:r>
              <w:rPr>
                <w:color w:val="222222"/>
                <w:highlight w:val="white"/>
              </w:rPr>
              <w:t>, (2020)</w:t>
            </w:r>
            <w:r>
              <w:t xml:space="preserve">. The experience that shall be considered in this case is the learnings when I was chosen as an employee within </w:t>
            </w:r>
            <w:r>
              <w:rPr>
                <w:b/>
                <w:i/>
              </w:rPr>
              <w:t>Newcastle Millennium Bridge Premier Inn</w:t>
            </w:r>
            <w:r>
              <w:t>. Following are the major aspects that have been covered within this reflection:</w:t>
            </w:r>
          </w:p>
          <w:p w14:paraId="0B5BFF39" w14:textId="77777777" w:rsidR="00CF5687" w:rsidRDefault="00CF5687" w:rsidP="00CF5687">
            <w:pPr>
              <w:numPr>
                <w:ilvl w:val="0"/>
                <w:numId w:val="29"/>
              </w:numPr>
              <w:spacing w:line="360" w:lineRule="auto"/>
              <w:jc w:val="both"/>
              <w:rPr>
                <w:b/>
                <w:i/>
              </w:rPr>
            </w:pPr>
            <w:r>
              <w:rPr>
                <w:b/>
                <w:i/>
              </w:rPr>
              <w:t xml:space="preserve">Description: </w:t>
            </w:r>
            <w:r>
              <w:t xml:space="preserve">I was selected by the company as a waiter and as a ground staff. I was appointed in terms of serving the customers and providing them with a way towards their service. I had to take care of their specific needs and update them on all the different offers as has been instinct by the company. In this process, I had come across certain experiences that helped me in learning several skills that are considered important from my side in the development of my professional life. Some of these skills are resilience, communication, multitasking and adaptability as has been identified by </w:t>
            </w:r>
            <w:proofErr w:type="spellStart"/>
            <w:r>
              <w:rPr>
                <w:color w:val="222222"/>
                <w:highlight w:val="white"/>
              </w:rPr>
              <w:t>Sekarwinahyu</w:t>
            </w:r>
            <w:proofErr w:type="spellEnd"/>
            <w:r>
              <w:rPr>
                <w:color w:val="222222"/>
                <w:highlight w:val="white"/>
              </w:rPr>
              <w:t xml:space="preserve"> </w:t>
            </w:r>
            <w:r>
              <w:rPr>
                <w:i/>
                <w:color w:val="222222"/>
                <w:highlight w:val="white"/>
              </w:rPr>
              <w:t xml:space="preserve">et al. </w:t>
            </w:r>
            <w:r>
              <w:rPr>
                <w:color w:val="222222"/>
                <w:highlight w:val="white"/>
              </w:rPr>
              <w:t>(2019)</w:t>
            </w:r>
            <w:r>
              <w:t xml:space="preserve">. </w:t>
            </w:r>
          </w:p>
          <w:p w14:paraId="635AF7CF" w14:textId="77777777" w:rsidR="00CF5687" w:rsidRDefault="00CF5687" w:rsidP="00CF5687">
            <w:pPr>
              <w:numPr>
                <w:ilvl w:val="0"/>
                <w:numId w:val="29"/>
              </w:numPr>
              <w:spacing w:line="360" w:lineRule="auto"/>
              <w:jc w:val="both"/>
              <w:rPr>
                <w:b/>
                <w:i/>
              </w:rPr>
            </w:pPr>
            <w:r>
              <w:rPr>
                <w:b/>
                <w:i/>
              </w:rPr>
              <w:t xml:space="preserve">Feeling: </w:t>
            </w:r>
            <w:r>
              <w:t>The overall experience was a varied one and could be opted as a good one in my opinion. The reason behind my choice is the various implication skills that I have learnt throughout the process instigated in terms of overall development for my professional needs. This has helped grow several different emotional aspects within my personality that have helped provide an insight among the different individuals of the society and hence could be used in effective management. This is one of the most impactful experiences for my professional and personal development.</w:t>
            </w:r>
          </w:p>
          <w:p w14:paraId="33E1B2B1" w14:textId="77777777" w:rsidR="00CF5687" w:rsidRDefault="00CF5687" w:rsidP="00CF5687">
            <w:pPr>
              <w:numPr>
                <w:ilvl w:val="0"/>
                <w:numId w:val="29"/>
              </w:numPr>
              <w:spacing w:line="360" w:lineRule="auto"/>
              <w:jc w:val="both"/>
              <w:rPr>
                <w:b/>
                <w:i/>
              </w:rPr>
            </w:pPr>
            <w:r>
              <w:rPr>
                <w:b/>
                <w:i/>
              </w:rPr>
              <w:lastRenderedPageBreak/>
              <w:t xml:space="preserve">Evaluation: </w:t>
            </w:r>
            <w:r>
              <w:t xml:space="preserve">According to the study based by </w:t>
            </w:r>
            <w:proofErr w:type="spellStart"/>
            <w:r>
              <w:rPr>
                <w:color w:val="222222"/>
                <w:highlight w:val="white"/>
              </w:rPr>
              <w:t>Ibrahima</w:t>
            </w:r>
            <w:proofErr w:type="spellEnd"/>
            <w:r>
              <w:rPr>
                <w:color w:val="222222"/>
                <w:highlight w:val="white"/>
              </w:rPr>
              <w:t xml:space="preserve">, </w:t>
            </w:r>
            <w:proofErr w:type="spellStart"/>
            <w:r>
              <w:rPr>
                <w:color w:val="222222"/>
                <w:highlight w:val="white"/>
              </w:rPr>
              <w:t>Khalfb</w:t>
            </w:r>
            <w:proofErr w:type="spellEnd"/>
            <w:r>
              <w:rPr>
                <w:color w:val="222222"/>
                <w:highlight w:val="white"/>
              </w:rPr>
              <w:t xml:space="preserve"> and </w:t>
            </w:r>
            <w:proofErr w:type="spellStart"/>
            <w:r>
              <w:rPr>
                <w:color w:val="222222"/>
                <w:highlight w:val="white"/>
              </w:rPr>
              <w:t>Khalilc</w:t>
            </w:r>
            <w:proofErr w:type="spellEnd"/>
            <w:r>
              <w:rPr>
                <w:color w:val="222222"/>
                <w:highlight w:val="white"/>
              </w:rPr>
              <w:t xml:space="preserve">, (2020), </w:t>
            </w:r>
            <w:r>
              <w:t>Being a waiter at a 5-star hotel, there has been certain regulation I had to follow to insist upon the overall maintenance of the ambience and the area of concern. In this case, I did learn several different techniques in terms of serving people with their needs. However, I could hardly learn the practical orientation of demonstrating or providing attention to detail. It can be assumed as one of the major drawbacks of my experience within the hotel. The detail sums up one of the most important parts of serving guests and providing them with the most effective service.</w:t>
            </w:r>
          </w:p>
          <w:p w14:paraId="7490F8C1" w14:textId="77777777" w:rsidR="00CF5687" w:rsidRDefault="00CF5687" w:rsidP="00CF5687">
            <w:pPr>
              <w:numPr>
                <w:ilvl w:val="0"/>
                <w:numId w:val="29"/>
              </w:numPr>
              <w:spacing w:line="360" w:lineRule="auto"/>
              <w:jc w:val="both"/>
              <w:rPr>
                <w:b/>
                <w:i/>
              </w:rPr>
            </w:pPr>
            <w:r>
              <w:rPr>
                <w:b/>
                <w:i/>
              </w:rPr>
              <w:t xml:space="preserve">Analysis: </w:t>
            </w:r>
            <w:r>
              <w:t>Some of the basic training facilities that I did intend to learn throughout the experience range from different initiatives to understanding cultural awareness. One of the major initiations I had to take care of was the compliance training in terms of understanding the regulations of the hotel provided in terms of the laws and the internal policies as mentioned within the study by</w:t>
            </w:r>
            <w:r>
              <w:rPr>
                <w:color w:val="222222"/>
                <w:highlight w:val="white"/>
              </w:rPr>
              <w:t xml:space="preserve"> Li </w:t>
            </w:r>
            <w:r>
              <w:rPr>
                <w:i/>
                <w:color w:val="222222"/>
                <w:highlight w:val="white"/>
              </w:rPr>
              <w:t xml:space="preserve">et al. </w:t>
            </w:r>
            <w:r>
              <w:rPr>
                <w:color w:val="222222"/>
                <w:highlight w:val="white"/>
              </w:rPr>
              <w:t>(2020)</w:t>
            </w:r>
            <w:r>
              <w:t>. In addition to this, I had to be adaptable to manage the different types of customers with different types of mindsets intended within their personalities. The culture of the place and the types of servings they need also consist as one of the fundamental learning throughout the experience.</w:t>
            </w:r>
          </w:p>
          <w:p w14:paraId="78A3F6C0" w14:textId="1E2120DC" w:rsidR="00CF5687" w:rsidRDefault="00CF5687" w:rsidP="00CF5687">
            <w:pPr>
              <w:numPr>
                <w:ilvl w:val="0"/>
                <w:numId w:val="29"/>
              </w:numPr>
              <w:spacing w:line="360" w:lineRule="auto"/>
              <w:jc w:val="both"/>
              <w:rPr>
                <w:b/>
                <w:i/>
              </w:rPr>
            </w:pPr>
            <w:r>
              <w:rPr>
                <w:b/>
                <w:i/>
              </w:rPr>
              <w:t xml:space="preserve">Conclusion: </w:t>
            </w:r>
            <w:r>
              <w:t xml:space="preserve">The overall skills and the emotional aspects I had to learn are some of the most approachable and distinct learning I gained from the experience. These can be categorised as some of the major distinctions of learning that could help me in my possible future in terms of my personal and professional life. However, if I would get the opportunity to get in terms of the same experience, I would put even various many implications within the small and particular things maintaining the decorum as has been stated in the study by </w:t>
            </w:r>
            <w:r>
              <w:rPr>
                <w:color w:val="222222"/>
                <w:highlight w:val="white"/>
              </w:rPr>
              <w:t xml:space="preserve">Dressler </w:t>
            </w:r>
            <w:r>
              <w:rPr>
                <w:i/>
                <w:color w:val="222222"/>
                <w:highlight w:val="white"/>
              </w:rPr>
              <w:t xml:space="preserve">et al. </w:t>
            </w:r>
            <w:r>
              <w:rPr>
                <w:color w:val="222222"/>
                <w:highlight w:val="white"/>
              </w:rPr>
              <w:t>(2018)</w:t>
            </w:r>
            <w:r>
              <w:t>.</w:t>
            </w:r>
          </w:p>
          <w:p w14:paraId="3723CE45" w14:textId="77F65C54" w:rsidR="00375882" w:rsidRPr="00CF5687" w:rsidRDefault="00CF5687" w:rsidP="00447AEC">
            <w:pPr>
              <w:numPr>
                <w:ilvl w:val="0"/>
                <w:numId w:val="29"/>
              </w:numPr>
              <w:spacing w:line="360" w:lineRule="auto"/>
              <w:jc w:val="both"/>
              <w:rPr>
                <w:b/>
                <w:i/>
              </w:rPr>
            </w:pPr>
            <w:r>
              <w:rPr>
                <w:b/>
                <w:i/>
              </w:rPr>
              <w:t xml:space="preserve">Action plan: </w:t>
            </w:r>
            <w:r>
              <w:t xml:space="preserve">I would envisage and apply different theoretical orientations in terms of leadership and management aspects. This could help me in analysing every possible situation in accordance to the issues aroused from it to serve the customers effectively and hence reaching out with the most relevant and aesthetic serving. The servings being good and decorative would help in the growth of the hotel by fulfilling the needs of the customers and giving them every possible satisfied service as has been stated by </w:t>
            </w:r>
            <w:r>
              <w:rPr>
                <w:color w:val="222222"/>
                <w:highlight w:val="white"/>
              </w:rPr>
              <w:t>Hussein, (2018)</w:t>
            </w:r>
            <w:r>
              <w:t>. This is according to me one of the most appropriate ways that would help in improving the situations in the upcoming future.</w:t>
            </w:r>
          </w:p>
          <w:p w14:paraId="4140FC80" w14:textId="70BEC782" w:rsidR="00CF5687" w:rsidRDefault="00CF5687" w:rsidP="00CF5687">
            <w:pPr>
              <w:spacing w:line="360" w:lineRule="auto"/>
              <w:jc w:val="both"/>
              <w:rPr>
                <w:b/>
                <w:i/>
              </w:rPr>
            </w:pPr>
          </w:p>
          <w:p w14:paraId="61F8C2E8" w14:textId="1F5A21B7" w:rsidR="00CF5687" w:rsidRDefault="00CF5687" w:rsidP="00CF5687">
            <w:pPr>
              <w:spacing w:line="360" w:lineRule="auto"/>
              <w:jc w:val="both"/>
              <w:rPr>
                <w:b/>
                <w:i/>
              </w:rPr>
            </w:pPr>
          </w:p>
          <w:p w14:paraId="5FCC1E61" w14:textId="34B65238" w:rsidR="00CF5687" w:rsidRDefault="00CF5687" w:rsidP="00CF5687">
            <w:pPr>
              <w:spacing w:line="360" w:lineRule="auto"/>
              <w:jc w:val="both"/>
              <w:rPr>
                <w:b/>
                <w:i/>
              </w:rPr>
            </w:pPr>
          </w:p>
          <w:p w14:paraId="517D0629" w14:textId="4462283D" w:rsidR="00CF5687" w:rsidRDefault="00CF5687" w:rsidP="00CF5687">
            <w:pPr>
              <w:spacing w:line="360" w:lineRule="auto"/>
              <w:jc w:val="both"/>
              <w:rPr>
                <w:b/>
                <w:i/>
              </w:rPr>
            </w:pPr>
          </w:p>
          <w:p w14:paraId="04AE81BB" w14:textId="77777777" w:rsidR="00CF5687" w:rsidRPr="00CF5687" w:rsidRDefault="00CF5687" w:rsidP="00CF5687">
            <w:pPr>
              <w:spacing w:line="360" w:lineRule="auto"/>
              <w:jc w:val="both"/>
              <w:rPr>
                <w:b/>
                <w:i/>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6ABE5BD" w14:textId="302F67DB" w:rsidR="00CF5687" w:rsidRDefault="00CF5687" w:rsidP="00CF5687">
            <w:pPr>
              <w:spacing w:line="360" w:lineRule="auto"/>
              <w:jc w:val="both"/>
              <w:rPr>
                <w:color w:val="222222"/>
                <w:highlight w:val="white"/>
              </w:rPr>
            </w:pPr>
            <w:proofErr w:type="spellStart"/>
            <w:r>
              <w:rPr>
                <w:color w:val="222222"/>
                <w:highlight w:val="white"/>
              </w:rPr>
              <w:t>Adeani</w:t>
            </w:r>
            <w:proofErr w:type="spellEnd"/>
            <w:r>
              <w:rPr>
                <w:color w:val="222222"/>
                <w:highlight w:val="white"/>
              </w:rPr>
              <w:t xml:space="preserve">, I.S., </w:t>
            </w:r>
            <w:proofErr w:type="spellStart"/>
            <w:r>
              <w:rPr>
                <w:color w:val="222222"/>
                <w:highlight w:val="white"/>
              </w:rPr>
              <w:t>Febriani</w:t>
            </w:r>
            <w:proofErr w:type="spellEnd"/>
            <w:r>
              <w:rPr>
                <w:color w:val="222222"/>
                <w:highlight w:val="white"/>
              </w:rPr>
              <w:t xml:space="preserve">, R.B. and </w:t>
            </w:r>
            <w:proofErr w:type="spellStart"/>
            <w:r>
              <w:rPr>
                <w:color w:val="222222"/>
                <w:highlight w:val="white"/>
              </w:rPr>
              <w:t>Syafryadin</w:t>
            </w:r>
            <w:proofErr w:type="spellEnd"/>
            <w:r>
              <w:rPr>
                <w:color w:val="222222"/>
                <w:highlight w:val="white"/>
              </w:rPr>
              <w:t xml:space="preserve">, S., 2020. USING GIBBS’REFLECTIVE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 xml:space="preserve">(2), pp.139-148. </w:t>
            </w:r>
          </w:p>
          <w:p w14:paraId="1B9977E0" w14:textId="6E892209" w:rsidR="00CF5687" w:rsidRDefault="00CF5687" w:rsidP="00CF5687">
            <w:pPr>
              <w:spacing w:line="360" w:lineRule="auto"/>
              <w:jc w:val="both"/>
              <w:rPr>
                <w:color w:val="222222"/>
                <w:highlight w:val="white"/>
              </w:rPr>
            </w:pPr>
            <w:r>
              <w:rPr>
                <w:color w:val="222222"/>
                <w:highlight w:val="white"/>
              </w:rPr>
              <w:t xml:space="preserve">Dressler, R., Becker, S., </w:t>
            </w:r>
            <w:proofErr w:type="spellStart"/>
            <w:r>
              <w:rPr>
                <w:color w:val="222222"/>
                <w:highlight w:val="white"/>
              </w:rPr>
              <w:t>Kawalilak</w:t>
            </w:r>
            <w:proofErr w:type="spellEnd"/>
            <w:r>
              <w:rPr>
                <w:color w:val="222222"/>
                <w:highlight w:val="white"/>
              </w:rPr>
              <w:t xml:space="preserve">, C. and Arthur, N., 2018. The cross-cultural reflective model for post-sojourn debriefing. </w:t>
            </w:r>
            <w:r>
              <w:rPr>
                <w:i/>
                <w:color w:val="222222"/>
                <w:highlight w:val="white"/>
              </w:rPr>
              <w:t>Reflective Practice</w:t>
            </w:r>
            <w:r>
              <w:rPr>
                <w:color w:val="222222"/>
                <w:highlight w:val="white"/>
              </w:rPr>
              <w:t xml:space="preserve">, </w:t>
            </w:r>
            <w:r>
              <w:rPr>
                <w:i/>
                <w:color w:val="222222"/>
                <w:highlight w:val="white"/>
              </w:rPr>
              <w:t>19</w:t>
            </w:r>
            <w:r>
              <w:rPr>
                <w:color w:val="222222"/>
                <w:highlight w:val="white"/>
              </w:rPr>
              <w:t>(4), pp.490-504.</w:t>
            </w:r>
            <w:r w:rsidR="00D654A4">
              <w:rPr>
                <w:color w:val="222222"/>
                <w:highlight w:val="white"/>
              </w:rPr>
              <w:t xml:space="preserve"> </w:t>
            </w:r>
          </w:p>
          <w:p w14:paraId="69989BA6" w14:textId="74B8CD11" w:rsidR="00CF5687" w:rsidRDefault="00CF5687" w:rsidP="00CF5687">
            <w:pPr>
              <w:spacing w:line="360" w:lineRule="auto"/>
              <w:jc w:val="both"/>
              <w:rPr>
                <w:color w:val="222222"/>
                <w:highlight w:val="white"/>
              </w:rPr>
            </w:pPr>
            <w:r>
              <w:rPr>
                <w:color w:val="222222"/>
                <w:highlight w:val="white"/>
              </w:rPr>
              <w:t xml:space="preserve">Hussein, H., 2018. Examining the Effects of Reflective Journals on Students' Growth Mindset: A Case Study of Tertiary Level EFL Students in the United Arab Emirates. </w:t>
            </w:r>
            <w:r>
              <w:rPr>
                <w:i/>
                <w:color w:val="222222"/>
                <w:highlight w:val="white"/>
              </w:rPr>
              <w:t>IAFOR Journal of Education</w:t>
            </w:r>
            <w:r>
              <w:rPr>
                <w:color w:val="222222"/>
                <w:highlight w:val="white"/>
              </w:rPr>
              <w:t xml:space="preserve">, </w:t>
            </w:r>
            <w:r>
              <w:rPr>
                <w:i/>
                <w:color w:val="222222"/>
                <w:highlight w:val="white"/>
              </w:rPr>
              <w:t>6</w:t>
            </w:r>
            <w:r>
              <w:rPr>
                <w:color w:val="222222"/>
                <w:highlight w:val="white"/>
              </w:rPr>
              <w:t>(2), pp.33-50.</w:t>
            </w:r>
            <w:r w:rsidR="00D654A4">
              <w:rPr>
                <w:color w:val="222222"/>
                <w:highlight w:val="white"/>
              </w:rPr>
              <w:t xml:space="preserve"> </w:t>
            </w:r>
          </w:p>
          <w:p w14:paraId="1E980FE4" w14:textId="42AB3210" w:rsidR="00CF5687" w:rsidRDefault="00CF5687" w:rsidP="00CF5687">
            <w:pPr>
              <w:spacing w:line="360" w:lineRule="auto"/>
              <w:jc w:val="both"/>
              <w:rPr>
                <w:color w:val="222222"/>
                <w:highlight w:val="white"/>
              </w:rPr>
            </w:pPr>
            <w:proofErr w:type="spellStart"/>
            <w:r>
              <w:rPr>
                <w:color w:val="222222"/>
                <w:highlight w:val="white"/>
              </w:rPr>
              <w:t>Ibrahima</w:t>
            </w:r>
            <w:proofErr w:type="spellEnd"/>
            <w:r>
              <w:rPr>
                <w:color w:val="222222"/>
                <w:highlight w:val="white"/>
              </w:rPr>
              <w:t xml:space="preserve">, M.K., </w:t>
            </w:r>
            <w:proofErr w:type="spellStart"/>
            <w:r>
              <w:rPr>
                <w:color w:val="222222"/>
                <w:highlight w:val="white"/>
              </w:rPr>
              <w:t>Khalfb</w:t>
            </w:r>
            <w:proofErr w:type="spellEnd"/>
            <w:r>
              <w:rPr>
                <w:color w:val="222222"/>
                <w:highlight w:val="white"/>
              </w:rPr>
              <w:t xml:space="preserve">, A.A. and </w:t>
            </w:r>
            <w:proofErr w:type="spellStart"/>
            <w:r>
              <w:rPr>
                <w:color w:val="222222"/>
                <w:highlight w:val="white"/>
              </w:rPr>
              <w:t>Khalilc</w:t>
            </w:r>
            <w:proofErr w:type="spellEnd"/>
            <w:r>
              <w:rPr>
                <w:color w:val="222222"/>
                <w:highlight w:val="white"/>
              </w:rPr>
              <w:t xml:space="preserve">, Z.M., 2020. The Effectiveness of the Use of the Gibbs Meditative Model in Academic Achievement and the Development of Visual Thinking in Fourth Students in Biology. </w:t>
            </w:r>
            <w:r>
              <w:rPr>
                <w:i/>
                <w:color w:val="222222"/>
                <w:highlight w:val="white"/>
              </w:rPr>
              <w:t>International Journal of Innovation, Creativity and Change</w:t>
            </w:r>
            <w:r>
              <w:rPr>
                <w:color w:val="222222"/>
                <w:highlight w:val="white"/>
              </w:rPr>
              <w:t xml:space="preserve">, </w:t>
            </w:r>
            <w:r>
              <w:rPr>
                <w:i/>
                <w:color w:val="222222"/>
                <w:highlight w:val="white"/>
              </w:rPr>
              <w:t>13</w:t>
            </w:r>
            <w:r>
              <w:rPr>
                <w:color w:val="222222"/>
                <w:highlight w:val="white"/>
              </w:rPr>
              <w:t>(5), pp.1464-1480.</w:t>
            </w:r>
            <w:r w:rsidR="00D654A4">
              <w:rPr>
                <w:color w:val="222222"/>
                <w:highlight w:val="white"/>
              </w:rPr>
              <w:t xml:space="preserve"> </w:t>
            </w:r>
          </w:p>
          <w:p w14:paraId="4AA65679" w14:textId="3B86928D" w:rsidR="00CF5687" w:rsidRDefault="00CF5687" w:rsidP="00CF5687">
            <w:pPr>
              <w:spacing w:line="360" w:lineRule="auto"/>
              <w:jc w:val="both"/>
              <w:rPr>
                <w:color w:val="222222"/>
                <w:highlight w:val="white"/>
              </w:rPr>
            </w:pPr>
            <w:r>
              <w:rPr>
                <w:color w:val="222222"/>
                <w:highlight w:val="white"/>
              </w:rPr>
              <w:t xml:space="preserve">Li, Y., Chen, W., Liu, C. and Deng, M., 2020. </w:t>
            </w:r>
            <w:proofErr w:type="spellStart"/>
            <w:r>
              <w:rPr>
                <w:color w:val="222222"/>
                <w:highlight w:val="white"/>
              </w:rPr>
              <w:t>Nursesâ</w:t>
            </w:r>
            <w:proofErr w:type="spellEnd"/>
            <w:r>
              <w:rPr>
                <w:color w:val="222222"/>
                <w:highlight w:val="white"/>
              </w:rPr>
              <w:t xml:space="preserve">€™ psychological feelings about the application of Gibbs reflective cycle of adverse events. </w:t>
            </w:r>
            <w:r>
              <w:rPr>
                <w:i/>
                <w:color w:val="222222"/>
                <w:highlight w:val="white"/>
              </w:rPr>
              <w:t>American Journal of Nursing</w:t>
            </w:r>
            <w:r>
              <w:rPr>
                <w:color w:val="222222"/>
                <w:highlight w:val="white"/>
              </w:rPr>
              <w:t xml:space="preserve">, </w:t>
            </w:r>
            <w:r>
              <w:rPr>
                <w:i/>
                <w:color w:val="222222"/>
                <w:highlight w:val="white"/>
              </w:rPr>
              <w:t>9</w:t>
            </w:r>
            <w:r>
              <w:rPr>
                <w:color w:val="222222"/>
                <w:highlight w:val="white"/>
              </w:rPr>
              <w:t>(2), pp.74-78.</w:t>
            </w:r>
            <w:r w:rsidR="00D654A4">
              <w:rPr>
                <w:color w:val="222222"/>
                <w:highlight w:val="white"/>
              </w:rPr>
              <w:t xml:space="preserve"> </w:t>
            </w:r>
          </w:p>
          <w:p w14:paraId="2E020AEF" w14:textId="03D7629D" w:rsidR="00375882" w:rsidRPr="00CF5687" w:rsidRDefault="00CF5687" w:rsidP="007F6692">
            <w:pPr>
              <w:spacing w:line="360" w:lineRule="auto"/>
              <w:jc w:val="both"/>
              <w:rPr>
                <w:color w:val="222222"/>
                <w:highlight w:val="white"/>
              </w:rPr>
            </w:pPr>
            <w:proofErr w:type="spellStart"/>
            <w:r>
              <w:rPr>
                <w:color w:val="222222"/>
                <w:highlight w:val="white"/>
              </w:rPr>
              <w:t>Sekarwinahyu</w:t>
            </w:r>
            <w:proofErr w:type="spellEnd"/>
            <w:r>
              <w:rPr>
                <w:color w:val="222222"/>
                <w:highlight w:val="white"/>
              </w:rPr>
              <w:t xml:space="preserve">, M., </w:t>
            </w:r>
            <w:proofErr w:type="spellStart"/>
            <w:r>
              <w:rPr>
                <w:color w:val="222222"/>
                <w:highlight w:val="white"/>
              </w:rPr>
              <w:t>Rustaman</w:t>
            </w:r>
            <w:proofErr w:type="spellEnd"/>
            <w:r>
              <w:rPr>
                <w:color w:val="222222"/>
                <w:highlight w:val="white"/>
              </w:rPr>
              <w:t xml:space="preserve">, N.Y., Widodo, A. and </w:t>
            </w:r>
            <w:proofErr w:type="spellStart"/>
            <w:r>
              <w:rPr>
                <w:color w:val="222222"/>
                <w:highlight w:val="white"/>
              </w:rPr>
              <w:t>Riandi</w:t>
            </w:r>
            <w:proofErr w:type="spellEnd"/>
            <w:r>
              <w:rPr>
                <w:color w:val="222222"/>
                <w:highlight w:val="white"/>
              </w:rPr>
              <w:t xml:space="preserve">, R., 2019, February. Development of </w:t>
            </w:r>
            <w:proofErr w:type="gramStart"/>
            <w:r>
              <w:rPr>
                <w:color w:val="222222"/>
                <w:highlight w:val="white"/>
              </w:rPr>
              <w:t>problem based</w:t>
            </w:r>
            <w:proofErr w:type="gramEnd"/>
            <w:r>
              <w:rPr>
                <w:color w:val="222222"/>
                <w:highlight w:val="white"/>
              </w:rPr>
              <w:t xml:space="preserve"> learning for online tutorial program in plant development using Gibbs’ reflective cycle and e-portfolio to enhance reflective thinking skills. In </w:t>
            </w:r>
            <w:r>
              <w:rPr>
                <w:i/>
                <w:color w:val="222222"/>
                <w:highlight w:val="white"/>
              </w:rPr>
              <w:t>Journal of Physics: Conference Series</w:t>
            </w:r>
            <w:r>
              <w:rPr>
                <w:color w:val="222222"/>
                <w:highlight w:val="white"/>
              </w:rPr>
              <w:t xml:space="preserve"> (Vol. 1157, No. 2, p. 022099). IOP Publishing.</w:t>
            </w:r>
            <w:r w:rsidR="00D654A4" w:rsidRPr="00CF5687">
              <w:rPr>
                <w:color w:val="222222"/>
                <w:highlight w:val="white"/>
              </w:rPr>
              <w:t xml:space="preserve"> </w:t>
            </w: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6D469" w14:textId="77777777" w:rsidR="00D834E7" w:rsidRDefault="00D834E7">
      <w:r>
        <w:separator/>
      </w:r>
    </w:p>
  </w:endnote>
  <w:endnote w:type="continuationSeparator" w:id="0">
    <w:p w14:paraId="0D991FE0" w14:textId="77777777" w:rsidR="00D834E7" w:rsidRDefault="00D83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5A1EE" w14:textId="77777777" w:rsidR="00D834E7" w:rsidRDefault="00D834E7">
      <w:r>
        <w:separator/>
      </w:r>
    </w:p>
  </w:footnote>
  <w:footnote w:type="continuationSeparator" w:id="0">
    <w:p w14:paraId="776B87F5" w14:textId="77777777" w:rsidR="00D834E7" w:rsidRDefault="00D834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D4D855"/>
    <w:multiLevelType w:val="hybridMultilevel"/>
    <w:tmpl w:val="00000000"/>
    <w:lvl w:ilvl="0" w:tplc="13E80470">
      <w:start w:val="1"/>
      <w:numFmt w:val="bullet"/>
      <w:lvlText w:val="●"/>
      <w:lvlJc w:val="left"/>
      <w:pPr>
        <w:ind w:left="720" w:hanging="360"/>
      </w:pPr>
      <w:rPr>
        <w:u w:val="none"/>
      </w:rPr>
    </w:lvl>
    <w:lvl w:ilvl="1" w:tplc="ABE885B2">
      <w:start w:val="1"/>
      <w:numFmt w:val="bullet"/>
      <w:lvlText w:val="○"/>
      <w:lvlJc w:val="left"/>
      <w:pPr>
        <w:ind w:left="1440" w:hanging="360"/>
      </w:pPr>
      <w:rPr>
        <w:u w:val="none"/>
      </w:rPr>
    </w:lvl>
    <w:lvl w:ilvl="2" w:tplc="8DDEF516">
      <w:start w:val="1"/>
      <w:numFmt w:val="bullet"/>
      <w:lvlText w:val="■"/>
      <w:lvlJc w:val="left"/>
      <w:pPr>
        <w:ind w:left="2160" w:hanging="360"/>
      </w:pPr>
      <w:rPr>
        <w:u w:val="none"/>
      </w:rPr>
    </w:lvl>
    <w:lvl w:ilvl="3" w:tplc="EBBC0EE2">
      <w:start w:val="1"/>
      <w:numFmt w:val="bullet"/>
      <w:lvlText w:val="●"/>
      <w:lvlJc w:val="left"/>
      <w:pPr>
        <w:ind w:left="2880" w:hanging="360"/>
      </w:pPr>
      <w:rPr>
        <w:u w:val="none"/>
      </w:rPr>
    </w:lvl>
    <w:lvl w:ilvl="4" w:tplc="64C67914">
      <w:start w:val="1"/>
      <w:numFmt w:val="bullet"/>
      <w:lvlText w:val="○"/>
      <w:lvlJc w:val="left"/>
      <w:pPr>
        <w:ind w:left="3600" w:hanging="360"/>
      </w:pPr>
      <w:rPr>
        <w:u w:val="none"/>
      </w:rPr>
    </w:lvl>
    <w:lvl w:ilvl="5" w:tplc="691833E0">
      <w:start w:val="1"/>
      <w:numFmt w:val="bullet"/>
      <w:lvlText w:val="■"/>
      <w:lvlJc w:val="left"/>
      <w:pPr>
        <w:ind w:left="4320" w:hanging="360"/>
      </w:pPr>
      <w:rPr>
        <w:u w:val="none"/>
      </w:rPr>
    </w:lvl>
    <w:lvl w:ilvl="6" w:tplc="6D9464A0">
      <w:start w:val="1"/>
      <w:numFmt w:val="bullet"/>
      <w:lvlText w:val="●"/>
      <w:lvlJc w:val="left"/>
      <w:pPr>
        <w:ind w:left="5040" w:hanging="360"/>
      </w:pPr>
      <w:rPr>
        <w:u w:val="none"/>
      </w:rPr>
    </w:lvl>
    <w:lvl w:ilvl="7" w:tplc="D7F2013E">
      <w:start w:val="1"/>
      <w:numFmt w:val="bullet"/>
      <w:lvlText w:val="○"/>
      <w:lvlJc w:val="left"/>
      <w:pPr>
        <w:ind w:left="5760" w:hanging="360"/>
      </w:pPr>
      <w:rPr>
        <w:u w:val="none"/>
      </w:rPr>
    </w:lvl>
    <w:lvl w:ilvl="8" w:tplc="EA14AA04">
      <w:start w:val="1"/>
      <w:numFmt w:val="bullet"/>
      <w:lvlText w:val="■"/>
      <w:lvlJc w:val="left"/>
      <w:pPr>
        <w:ind w:left="6480" w:hanging="360"/>
      </w:pPr>
      <w:rPr>
        <w:u w:val="none"/>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3"/>
  </w:num>
  <w:num w:numId="2" w16cid:durableId="1161778664">
    <w:abstractNumId w:val="5"/>
  </w:num>
  <w:num w:numId="3" w16cid:durableId="205068669">
    <w:abstractNumId w:val="28"/>
  </w:num>
  <w:num w:numId="4" w16cid:durableId="1321419818">
    <w:abstractNumId w:val="6"/>
  </w:num>
  <w:num w:numId="5" w16cid:durableId="356347841">
    <w:abstractNumId w:val="24"/>
  </w:num>
  <w:num w:numId="6" w16cid:durableId="56586139">
    <w:abstractNumId w:val="7"/>
  </w:num>
  <w:num w:numId="7" w16cid:durableId="482235142">
    <w:abstractNumId w:val="0"/>
  </w:num>
  <w:num w:numId="8" w16cid:durableId="1823504114">
    <w:abstractNumId w:val="27"/>
  </w:num>
  <w:num w:numId="9" w16cid:durableId="1550455933">
    <w:abstractNumId w:val="16"/>
  </w:num>
  <w:num w:numId="10" w16cid:durableId="1115909718">
    <w:abstractNumId w:val="19"/>
  </w:num>
  <w:num w:numId="11" w16cid:durableId="1443451481">
    <w:abstractNumId w:val="4"/>
  </w:num>
  <w:num w:numId="12" w16cid:durableId="203368491">
    <w:abstractNumId w:val="14"/>
  </w:num>
  <w:num w:numId="13" w16cid:durableId="878250306">
    <w:abstractNumId w:val="3"/>
  </w:num>
  <w:num w:numId="14" w16cid:durableId="1521167267">
    <w:abstractNumId w:val="10"/>
  </w:num>
  <w:num w:numId="15" w16cid:durableId="283538893">
    <w:abstractNumId w:val="18"/>
  </w:num>
  <w:num w:numId="16" w16cid:durableId="1270700042">
    <w:abstractNumId w:val="20"/>
  </w:num>
  <w:num w:numId="17" w16cid:durableId="1056589323">
    <w:abstractNumId w:val="2"/>
  </w:num>
  <w:num w:numId="18" w16cid:durableId="173349636">
    <w:abstractNumId w:val="26"/>
  </w:num>
  <w:num w:numId="19" w16cid:durableId="1435974756">
    <w:abstractNumId w:val="9"/>
  </w:num>
  <w:num w:numId="20" w16cid:durableId="1279945920">
    <w:abstractNumId w:val="21"/>
  </w:num>
  <w:num w:numId="21" w16cid:durableId="248393386">
    <w:abstractNumId w:val="12"/>
  </w:num>
  <w:num w:numId="22" w16cid:durableId="2087264536">
    <w:abstractNumId w:val="17"/>
  </w:num>
  <w:num w:numId="23" w16cid:durableId="1169827458">
    <w:abstractNumId w:val="25"/>
  </w:num>
  <w:num w:numId="24" w16cid:durableId="756830183">
    <w:abstractNumId w:val="11"/>
  </w:num>
  <w:num w:numId="25" w16cid:durableId="615134614">
    <w:abstractNumId w:val="23"/>
  </w:num>
  <w:num w:numId="26" w16cid:durableId="2138334463">
    <w:abstractNumId w:val="8"/>
  </w:num>
  <w:num w:numId="27" w16cid:durableId="396829201">
    <w:abstractNumId w:val="22"/>
  </w:num>
  <w:num w:numId="28" w16cid:durableId="1311639686">
    <w:abstractNumId w:val="15"/>
  </w:num>
  <w:num w:numId="29" w16cid:durableId="1545751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004F"/>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17EF5"/>
    <w:rsid w:val="004325B5"/>
    <w:rsid w:val="00433DBF"/>
    <w:rsid w:val="004341F2"/>
    <w:rsid w:val="00442F02"/>
    <w:rsid w:val="0044343A"/>
    <w:rsid w:val="00444EC9"/>
    <w:rsid w:val="00445A58"/>
    <w:rsid w:val="00447AEC"/>
    <w:rsid w:val="00451947"/>
    <w:rsid w:val="00456590"/>
    <w:rsid w:val="004639B7"/>
    <w:rsid w:val="00474A29"/>
    <w:rsid w:val="00486E62"/>
    <w:rsid w:val="004B0A15"/>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6F7ABA"/>
    <w:rsid w:val="00702077"/>
    <w:rsid w:val="00725F0E"/>
    <w:rsid w:val="007326D1"/>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CF5687"/>
    <w:rsid w:val="00D1657F"/>
    <w:rsid w:val="00D654A4"/>
    <w:rsid w:val="00D80D6E"/>
    <w:rsid w:val="00D833FD"/>
    <w:rsid w:val="00D834E7"/>
    <w:rsid w:val="00D95816"/>
    <w:rsid w:val="00DA09FA"/>
    <w:rsid w:val="00DD00CB"/>
    <w:rsid w:val="00DE6434"/>
    <w:rsid w:val="00E00580"/>
    <w:rsid w:val="00E21C5D"/>
    <w:rsid w:val="00E26639"/>
    <w:rsid w:val="00E30C3C"/>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3</Pages>
  <Words>1012</Words>
  <Characters>5772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Iulian Petrache (2025332)</cp:lastModifiedBy>
  <cp:revision>2</cp:revision>
  <cp:lastPrinted>2020-09-28T20:53:00Z</cp:lastPrinted>
  <dcterms:created xsi:type="dcterms:W3CDTF">2022-07-07T20:53:00Z</dcterms:created>
  <dcterms:modified xsi:type="dcterms:W3CDTF">2022-07-07T20:53:00Z</dcterms:modified>
</cp:coreProperties>
</file>