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06D6" w:rsidRDefault="00BC06D6" w:rsidP="00BC06D6">
      <w:pPr>
        <w:rPr>
          <w:rFonts w:ascii="Tahoma" w:hAnsi="Tahoma" w:cs="Tahoma"/>
          <w:b/>
        </w:rPr>
      </w:pPr>
    </w:p>
    <w:p w:rsidR="00BC06D6" w:rsidRDefault="00BC06D6" w:rsidP="00BC06D6">
      <w:pPr>
        <w:rPr>
          <w:rFonts w:ascii="Tahoma" w:hAnsi="Tahoma" w:cs="Tahoma"/>
          <w:b/>
          <w:sz w:val="22"/>
          <w:szCs w:val="22"/>
        </w:rPr>
      </w:pPr>
    </w:p>
    <w:p w:rsidR="00BC06D6" w:rsidRDefault="00952210" w:rsidP="00952210">
      <w:pPr>
        <w:rPr>
          <w:rFonts w:ascii="Tahoma" w:hAnsi="Tahoma" w:cs="Tahoma"/>
          <w:b/>
        </w:rPr>
      </w:pPr>
      <w:r>
        <w:rPr>
          <w:rFonts w:ascii="Tahoma" w:hAnsi="Tahoma" w:cs="Tahoma"/>
          <w:b/>
        </w:rPr>
        <w:t xml:space="preserve">                              </w:t>
      </w:r>
      <w:r w:rsidR="00BC06D6" w:rsidRPr="00806482">
        <w:rPr>
          <w:rFonts w:ascii="Tahoma" w:hAnsi="Tahoma" w:cs="Tahoma"/>
          <w:b/>
        </w:rPr>
        <w:t>Assignment Submission Form</w:t>
      </w:r>
    </w:p>
    <w:p w:rsidR="00BC06D6" w:rsidRPr="00806482" w:rsidRDefault="00BC06D6" w:rsidP="00BC06D6">
      <w:pPr>
        <w:jc w:val="center"/>
        <w:rPr>
          <w:rFonts w:ascii="Tahoma" w:hAnsi="Tahoma" w:cs="Tahoma"/>
          <w:b/>
        </w:rPr>
      </w:pPr>
      <w:r>
        <w:rPr>
          <w:rFonts w:ascii="Tahoma" w:hAnsi="Tahoma" w:cs="Tahoma"/>
          <w:b/>
        </w:rPr>
        <w:t>Wales Academy for Professional Practice and Applied Research</w:t>
      </w:r>
    </w:p>
    <w:p w:rsidR="00BC06D6" w:rsidRPr="00F03D9C" w:rsidRDefault="00BC06D6" w:rsidP="00BC06D6">
      <w:pPr>
        <w:rPr>
          <w:rFonts w:ascii="Tahoma" w:hAnsi="Tahoma" w:cs="Tahoma"/>
          <w:sz w:val="22"/>
          <w:szCs w:val="2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4"/>
      </w:tblGrid>
      <w:tr w:rsidR="00BC06D6" w:rsidRPr="003B78EF" w:rsidTr="009D2FA6">
        <w:trPr>
          <w:trHeight w:val="4493"/>
        </w:trPr>
        <w:tc>
          <w:tcPr>
            <w:tcW w:w="9464" w:type="dxa"/>
          </w:tcPr>
          <w:p w:rsidR="00BC06D6" w:rsidRDefault="00BC06D6" w:rsidP="009D2FA6">
            <w:pPr>
              <w:spacing w:line="276" w:lineRule="auto"/>
              <w:rPr>
                <w:rFonts w:ascii="Tahoma" w:hAnsi="Tahoma" w:cs="Tahoma"/>
                <w:b/>
                <w:sz w:val="22"/>
                <w:szCs w:val="22"/>
              </w:rPr>
            </w:pPr>
            <w:r w:rsidRPr="003B78EF">
              <w:rPr>
                <w:rFonts w:ascii="Tahoma" w:hAnsi="Tahoma" w:cs="Tahoma"/>
                <w:b/>
                <w:sz w:val="22"/>
                <w:szCs w:val="22"/>
              </w:rPr>
              <w:t>W</w:t>
            </w:r>
            <w:r>
              <w:rPr>
                <w:rFonts w:ascii="Tahoma" w:hAnsi="Tahoma" w:cs="Tahoma"/>
                <w:b/>
                <w:sz w:val="22"/>
                <w:szCs w:val="22"/>
              </w:rPr>
              <w:t>ales Academy for Professional Practice and Applied Research office COPY</w:t>
            </w:r>
          </w:p>
          <w:p w:rsidR="00BC06D6" w:rsidRPr="003B78EF" w:rsidRDefault="00BC06D6" w:rsidP="009D2FA6">
            <w:pPr>
              <w:spacing w:line="276" w:lineRule="auto"/>
              <w:rPr>
                <w:rFonts w:ascii="Tahoma" w:hAnsi="Tahoma" w:cs="Tahoma"/>
                <w:b/>
                <w:sz w:val="22"/>
                <w:szCs w:val="22"/>
              </w:rPr>
            </w:pPr>
          </w:p>
          <w:p w:rsidR="00BC06D6" w:rsidRDefault="00BC06D6" w:rsidP="009D2FA6">
            <w:pPr>
              <w:spacing w:line="276" w:lineRule="auto"/>
              <w:rPr>
                <w:rFonts w:ascii="Tahoma" w:hAnsi="Tahoma" w:cs="Tahoma"/>
                <w:sz w:val="22"/>
                <w:szCs w:val="22"/>
              </w:rPr>
            </w:pPr>
            <w:r>
              <w:rPr>
                <w:rFonts w:ascii="Tahoma" w:hAnsi="Tahoma" w:cs="Tahoma"/>
                <w:sz w:val="22"/>
                <w:szCs w:val="22"/>
              </w:rPr>
              <w:t>Student Number: 2006951</w:t>
            </w:r>
          </w:p>
          <w:p w:rsidR="00BC06D6" w:rsidRPr="003B78EF" w:rsidRDefault="00BC06D6" w:rsidP="009D2FA6">
            <w:pPr>
              <w:spacing w:line="276" w:lineRule="auto"/>
              <w:rPr>
                <w:rFonts w:ascii="Tahoma" w:hAnsi="Tahoma" w:cs="Tahoma"/>
                <w:sz w:val="22"/>
                <w:szCs w:val="22"/>
              </w:rPr>
            </w:pPr>
          </w:p>
          <w:p w:rsidR="00BC06D6" w:rsidRDefault="00BC06D6" w:rsidP="009D2FA6">
            <w:pPr>
              <w:spacing w:line="276" w:lineRule="auto"/>
              <w:rPr>
                <w:rFonts w:ascii="Tahoma" w:hAnsi="Tahoma" w:cs="Tahoma"/>
                <w:sz w:val="22"/>
                <w:szCs w:val="22"/>
              </w:rPr>
            </w:pPr>
            <w:r>
              <w:rPr>
                <w:rFonts w:ascii="Tahoma" w:hAnsi="Tahoma" w:cs="Tahoma"/>
                <w:sz w:val="22"/>
                <w:szCs w:val="22"/>
              </w:rPr>
              <w:t xml:space="preserve">Student’s Name: Caterina Siro Brigiano </w:t>
            </w:r>
          </w:p>
          <w:p w:rsidR="00BC06D6" w:rsidRPr="003B78EF" w:rsidRDefault="00BC06D6" w:rsidP="009D2FA6">
            <w:pPr>
              <w:spacing w:line="276" w:lineRule="auto"/>
              <w:rPr>
                <w:rFonts w:ascii="Tahoma" w:hAnsi="Tahoma" w:cs="Tahoma"/>
                <w:sz w:val="22"/>
                <w:szCs w:val="22"/>
              </w:rPr>
            </w:pPr>
          </w:p>
          <w:p w:rsidR="00BC06D6" w:rsidRDefault="00BC06D6" w:rsidP="009D2FA6">
            <w:pPr>
              <w:spacing w:line="276" w:lineRule="auto"/>
              <w:rPr>
                <w:rFonts w:ascii="Tahoma" w:hAnsi="Tahoma" w:cs="Tahoma"/>
                <w:sz w:val="22"/>
                <w:szCs w:val="22"/>
              </w:rPr>
            </w:pPr>
            <w:r>
              <w:rPr>
                <w:rFonts w:ascii="Tahoma" w:hAnsi="Tahoma" w:cs="Tahoma"/>
                <w:sz w:val="22"/>
                <w:szCs w:val="22"/>
              </w:rPr>
              <w:t>Tutor Name: Lowri Harris and Sarah Loxdale</w:t>
            </w:r>
          </w:p>
          <w:p w:rsidR="00BC06D6" w:rsidRPr="003B78EF" w:rsidRDefault="00BC06D6" w:rsidP="009D2FA6">
            <w:pPr>
              <w:spacing w:line="276" w:lineRule="auto"/>
              <w:rPr>
                <w:rFonts w:ascii="Tahoma" w:hAnsi="Tahoma" w:cs="Tahoma"/>
                <w:sz w:val="22"/>
                <w:szCs w:val="22"/>
              </w:rPr>
            </w:pPr>
          </w:p>
          <w:p w:rsidR="00BC06D6" w:rsidRPr="00ED115C" w:rsidRDefault="00BC06D6" w:rsidP="009D2FA6">
            <w:pPr>
              <w:rPr>
                <w:b/>
                <w:sz w:val="52"/>
                <w:szCs w:val="52"/>
              </w:rPr>
            </w:pPr>
            <w:r w:rsidRPr="003B78EF">
              <w:rPr>
                <w:rFonts w:ascii="Tahoma" w:hAnsi="Tahoma" w:cs="Tahoma"/>
                <w:sz w:val="22"/>
                <w:szCs w:val="22"/>
              </w:rPr>
              <w:t>Assignment Titl</w:t>
            </w:r>
            <w:r>
              <w:rPr>
                <w:rFonts w:ascii="Tahoma" w:hAnsi="Tahoma" w:cs="Tahoma"/>
                <w:sz w:val="22"/>
                <w:szCs w:val="22"/>
              </w:rPr>
              <w:t xml:space="preserve">e: Independent Study Module  </w:t>
            </w:r>
            <w:r>
              <w:rPr>
                <w:b/>
                <w:sz w:val="52"/>
                <w:szCs w:val="52"/>
              </w:rPr>
              <w:t xml:space="preserve"> </w:t>
            </w:r>
            <w:r w:rsidRPr="00657C9B">
              <w:rPr>
                <w:b/>
                <w:sz w:val="52"/>
                <w:szCs w:val="52"/>
              </w:rPr>
              <w:t xml:space="preserve"> </w:t>
            </w:r>
          </w:p>
          <w:p w:rsidR="00BC06D6" w:rsidRDefault="00BC06D6" w:rsidP="009D2FA6">
            <w:pPr>
              <w:spacing w:line="276" w:lineRule="auto"/>
              <w:rPr>
                <w:rFonts w:ascii="Tahoma" w:hAnsi="Tahoma" w:cs="Tahoma"/>
                <w:sz w:val="22"/>
                <w:szCs w:val="22"/>
              </w:rPr>
            </w:pPr>
          </w:p>
          <w:p w:rsidR="00BC06D6" w:rsidRPr="003B78EF" w:rsidRDefault="00BC06D6" w:rsidP="009D2FA6">
            <w:pPr>
              <w:spacing w:line="276" w:lineRule="auto"/>
              <w:rPr>
                <w:rFonts w:ascii="Tahoma" w:hAnsi="Tahoma" w:cs="Tahoma"/>
                <w:sz w:val="22"/>
                <w:szCs w:val="22"/>
              </w:rPr>
            </w:pPr>
          </w:p>
          <w:p w:rsidR="00BC06D6" w:rsidRPr="00430002" w:rsidRDefault="00BC06D6" w:rsidP="009D2FA6">
            <w:pPr>
              <w:rPr>
                <w:rFonts w:ascii="Arial" w:hAnsi="Arial" w:cs="Arial"/>
              </w:rPr>
            </w:pPr>
            <w:r w:rsidRPr="003B78EF">
              <w:rPr>
                <w:rFonts w:ascii="Tahoma" w:hAnsi="Tahoma" w:cs="Tahoma"/>
                <w:sz w:val="22"/>
                <w:szCs w:val="22"/>
              </w:rPr>
              <w:t xml:space="preserve">Module Code: </w:t>
            </w:r>
            <w:r w:rsidRPr="00430002">
              <w:rPr>
                <w:rFonts w:ascii="Arial" w:hAnsi="Arial" w:cs="Arial"/>
              </w:rPr>
              <w:t>BMPF7013/7073D</w:t>
            </w:r>
          </w:p>
          <w:p w:rsidR="00BC06D6" w:rsidRPr="00430002" w:rsidRDefault="00BC06D6" w:rsidP="009D2FA6">
            <w:pPr>
              <w:spacing w:line="276" w:lineRule="auto"/>
              <w:rPr>
                <w:rFonts w:ascii="Tahoma" w:hAnsi="Tahoma" w:cs="Tahoma"/>
              </w:rPr>
            </w:pPr>
          </w:p>
          <w:p w:rsidR="00BC06D6" w:rsidRPr="003B78EF" w:rsidRDefault="00BC06D6" w:rsidP="009D2FA6">
            <w:pPr>
              <w:spacing w:line="276" w:lineRule="auto"/>
              <w:rPr>
                <w:rFonts w:ascii="Tahoma" w:hAnsi="Tahoma" w:cs="Tahoma"/>
                <w:sz w:val="22"/>
                <w:szCs w:val="22"/>
              </w:rPr>
            </w:pPr>
          </w:p>
          <w:p w:rsidR="00BC06D6" w:rsidRDefault="00BC06D6" w:rsidP="009D2FA6">
            <w:pPr>
              <w:spacing w:line="276" w:lineRule="auto"/>
              <w:rPr>
                <w:rFonts w:ascii="Tahoma" w:hAnsi="Tahoma" w:cs="Tahoma"/>
                <w:sz w:val="22"/>
                <w:szCs w:val="22"/>
              </w:rPr>
            </w:pPr>
            <w:r w:rsidRPr="003B78EF">
              <w:rPr>
                <w:rFonts w:ascii="Tahoma" w:hAnsi="Tahoma" w:cs="Tahoma"/>
                <w:sz w:val="22"/>
                <w:szCs w:val="22"/>
              </w:rPr>
              <w:t xml:space="preserve">Submission Date: </w:t>
            </w:r>
            <w:r>
              <w:rPr>
                <w:rFonts w:ascii="Tahoma" w:hAnsi="Tahoma" w:cs="Tahoma"/>
                <w:sz w:val="22"/>
                <w:szCs w:val="22"/>
              </w:rPr>
              <w:t>16.09.2024</w:t>
            </w:r>
          </w:p>
          <w:p w:rsidR="00BC06D6" w:rsidRPr="003B78EF" w:rsidRDefault="00BC06D6" w:rsidP="009D2FA6">
            <w:pPr>
              <w:spacing w:line="276" w:lineRule="auto"/>
              <w:rPr>
                <w:rFonts w:ascii="Tahoma" w:hAnsi="Tahoma" w:cs="Tahoma"/>
                <w:sz w:val="22"/>
                <w:szCs w:val="22"/>
              </w:rPr>
            </w:pPr>
          </w:p>
          <w:p w:rsidR="00BC06D6" w:rsidRPr="003B78EF" w:rsidRDefault="00BC06D6" w:rsidP="009D2FA6">
            <w:pPr>
              <w:spacing w:line="276" w:lineRule="auto"/>
              <w:rPr>
                <w:rFonts w:ascii="Tahoma" w:hAnsi="Tahoma" w:cs="Tahoma"/>
                <w:b/>
                <w:sz w:val="22"/>
                <w:szCs w:val="22"/>
              </w:rPr>
            </w:pPr>
            <w:r w:rsidRPr="003B78EF">
              <w:rPr>
                <w:rFonts w:ascii="Tahoma" w:hAnsi="Tahoma" w:cs="Tahoma"/>
                <w:b/>
                <w:sz w:val="22"/>
                <w:szCs w:val="22"/>
              </w:rPr>
              <w:t>Your work will not be marked unless it is accompanied by this statement.</w:t>
            </w:r>
          </w:p>
          <w:p w:rsidR="00BC06D6" w:rsidRPr="003B78EF" w:rsidRDefault="00BC06D6" w:rsidP="009D2FA6">
            <w:pPr>
              <w:spacing w:line="276" w:lineRule="auto"/>
              <w:rPr>
                <w:rFonts w:ascii="Tahoma" w:hAnsi="Tahoma" w:cs="Tahoma"/>
                <w:sz w:val="22"/>
                <w:szCs w:val="22"/>
              </w:rPr>
            </w:pPr>
            <w:r w:rsidRPr="003B78EF">
              <w:rPr>
                <w:rFonts w:ascii="Tahoma" w:hAnsi="Tahoma" w:cs="Tahoma"/>
                <w:sz w:val="22"/>
                <w:szCs w:val="22"/>
              </w:rPr>
              <w:t xml:space="preserve">I confirm that this is my original work and that I have adhered to the University’s policy on plagiarism. </w:t>
            </w:r>
          </w:p>
          <w:p w:rsidR="00BC06D6" w:rsidRPr="003B78EF" w:rsidRDefault="00BC06D6" w:rsidP="009D2FA6">
            <w:pPr>
              <w:spacing w:line="276" w:lineRule="auto"/>
              <w:rPr>
                <w:rFonts w:ascii="Tahoma" w:hAnsi="Tahoma" w:cs="Tahoma"/>
                <w:sz w:val="22"/>
                <w:szCs w:val="22"/>
              </w:rPr>
            </w:pPr>
            <w:r>
              <w:rPr>
                <w:rFonts w:ascii="Tahoma" w:hAnsi="Tahoma" w:cs="Tahoma"/>
                <w:sz w:val="22"/>
                <w:szCs w:val="22"/>
              </w:rPr>
              <w:t xml:space="preserve">Student’s Name: Caterina Siro Brigiano    </w:t>
            </w:r>
            <w:r w:rsidRPr="003B78EF">
              <w:rPr>
                <w:rFonts w:ascii="Tahoma" w:hAnsi="Tahoma" w:cs="Tahoma"/>
                <w:sz w:val="22"/>
                <w:szCs w:val="22"/>
              </w:rPr>
              <w:t>Signature</w:t>
            </w:r>
            <w:r>
              <w:rPr>
                <w:rFonts w:ascii="Tahoma" w:hAnsi="Tahoma" w:cs="Tahoma"/>
                <w:sz w:val="22"/>
                <w:szCs w:val="22"/>
              </w:rPr>
              <w:t xml:space="preserve">   </w:t>
            </w:r>
            <w:r>
              <w:rPr>
                <w:rFonts w:ascii="Lucida Handwriting" w:hAnsi="Lucida Handwriting" w:cs="Tahoma"/>
                <w:sz w:val="22"/>
                <w:szCs w:val="22"/>
              </w:rPr>
              <w:t>Caterina Siro Brigiano</w:t>
            </w:r>
          </w:p>
          <w:p w:rsidR="00BC06D6" w:rsidRPr="003B78EF" w:rsidRDefault="00BC06D6" w:rsidP="009D2FA6">
            <w:pPr>
              <w:spacing w:line="276" w:lineRule="auto"/>
              <w:rPr>
                <w:rFonts w:ascii="Tahoma" w:hAnsi="Tahoma" w:cs="Tahom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BC06D6" w:rsidRPr="003B78EF" w:rsidTr="009D2FA6">
              <w:tc>
                <w:tcPr>
                  <w:tcW w:w="9067" w:type="dxa"/>
                </w:tcPr>
                <w:p w:rsidR="00BC06D6" w:rsidRDefault="00BC06D6" w:rsidP="009D2FA6">
                  <w:pPr>
                    <w:spacing w:line="276" w:lineRule="auto"/>
                    <w:rPr>
                      <w:rFonts w:ascii="Tahoma" w:hAnsi="Tahoma" w:cs="Tahoma"/>
                      <w:b/>
                      <w:sz w:val="20"/>
                      <w:szCs w:val="22"/>
                    </w:rPr>
                  </w:pPr>
                  <w:r w:rsidRPr="00FC1160">
                    <w:rPr>
                      <w:rFonts w:ascii="Tahoma" w:hAnsi="Tahoma" w:cs="Tahoma"/>
                      <w:b/>
                      <w:sz w:val="20"/>
                      <w:szCs w:val="22"/>
                    </w:rPr>
                    <w:t>Wales Academy for Professional Practice and Applied Research Staff only</w:t>
                  </w:r>
                </w:p>
                <w:p w:rsidR="00BC06D6" w:rsidRPr="00FC1160" w:rsidRDefault="00BC06D6" w:rsidP="009D2FA6">
                  <w:pPr>
                    <w:spacing w:line="276" w:lineRule="auto"/>
                    <w:rPr>
                      <w:rFonts w:ascii="Tahoma" w:hAnsi="Tahoma" w:cs="Tahoma"/>
                      <w:b/>
                      <w:sz w:val="20"/>
                      <w:szCs w:val="22"/>
                    </w:rPr>
                  </w:pPr>
                </w:p>
                <w:p w:rsidR="00BC06D6" w:rsidRPr="003B78EF" w:rsidRDefault="00BC06D6" w:rsidP="009D2FA6">
                  <w:pPr>
                    <w:spacing w:line="276" w:lineRule="auto"/>
                    <w:rPr>
                      <w:rFonts w:ascii="Tahoma" w:hAnsi="Tahoma" w:cs="Tahoma"/>
                      <w:sz w:val="22"/>
                      <w:szCs w:val="22"/>
                    </w:rPr>
                  </w:pPr>
                  <w:r w:rsidRPr="003B78EF">
                    <w:rPr>
                      <w:rFonts w:ascii="Tahoma" w:hAnsi="Tahoma" w:cs="Tahoma"/>
                      <w:sz w:val="22"/>
                      <w:szCs w:val="22"/>
                    </w:rPr>
                    <w:t>Received by:_____________________Date submitted:____________________</w:t>
                  </w:r>
                </w:p>
              </w:tc>
            </w:tr>
          </w:tbl>
          <w:p w:rsidR="00BC06D6" w:rsidRPr="003B78EF" w:rsidRDefault="00BC06D6" w:rsidP="009D2FA6">
            <w:pPr>
              <w:spacing w:line="276" w:lineRule="auto"/>
              <w:rPr>
                <w:rFonts w:ascii="Tahoma" w:hAnsi="Tahoma" w:cs="Tahoma"/>
                <w:sz w:val="22"/>
                <w:szCs w:val="22"/>
              </w:rPr>
            </w:pPr>
          </w:p>
        </w:tc>
      </w:tr>
    </w:tbl>
    <w:p w:rsidR="00BC06D6" w:rsidRDefault="00BC06D6" w:rsidP="00BC06D6">
      <w:pPr>
        <w:rPr>
          <w:rFonts w:ascii="Tahoma" w:hAnsi="Tahoma" w:cs="Tahoma"/>
          <w:sz w:val="22"/>
          <w:szCs w:val="22"/>
        </w:rPr>
      </w:pPr>
    </w:p>
    <w:p w:rsidR="00BC06D6" w:rsidRDefault="00BC06D6" w:rsidP="00BC06D6">
      <w:pPr>
        <w:rPr>
          <w:rFonts w:ascii="Tahoma" w:hAnsi="Tahoma" w:cs="Tahoma"/>
          <w:sz w:val="22"/>
          <w:szCs w:val="22"/>
        </w:rPr>
      </w:pPr>
    </w:p>
    <w:p w:rsidR="00BC06D6" w:rsidRDefault="00BC06D6" w:rsidP="00BC06D6">
      <w:pPr>
        <w:rPr>
          <w:rFonts w:ascii="Tahoma" w:hAnsi="Tahoma" w:cs="Tahoma"/>
          <w:sz w:val="22"/>
          <w:szCs w:val="22"/>
        </w:rPr>
      </w:pPr>
    </w:p>
    <w:p w:rsidR="00BC06D6" w:rsidRPr="00F03D9C" w:rsidRDefault="00BC06D6" w:rsidP="00BC06D6">
      <w:pPr>
        <w:rPr>
          <w:rFonts w:ascii="Tahoma" w:hAnsi="Tahoma" w:cs="Tahoma"/>
          <w:sz w:val="22"/>
          <w:szCs w:val="2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4"/>
      </w:tblGrid>
      <w:tr w:rsidR="00BC06D6" w:rsidRPr="00F03D9C" w:rsidTr="009D2FA6">
        <w:trPr>
          <w:trHeight w:val="3324"/>
        </w:trPr>
        <w:tc>
          <w:tcPr>
            <w:tcW w:w="9464" w:type="dxa"/>
          </w:tcPr>
          <w:p w:rsidR="00BC06D6" w:rsidRPr="00F03D9C" w:rsidRDefault="00BC06D6" w:rsidP="009D2FA6">
            <w:pPr>
              <w:spacing w:line="276" w:lineRule="auto"/>
              <w:rPr>
                <w:rFonts w:ascii="Tahoma" w:hAnsi="Tahoma" w:cs="Tahoma"/>
                <w:b/>
                <w:sz w:val="22"/>
                <w:szCs w:val="22"/>
              </w:rPr>
            </w:pPr>
            <w:r w:rsidRPr="00F03D9C">
              <w:rPr>
                <w:rFonts w:ascii="Tahoma" w:hAnsi="Tahoma" w:cs="Tahoma"/>
                <w:b/>
                <w:sz w:val="22"/>
                <w:szCs w:val="22"/>
              </w:rPr>
              <w:t>Student Receipt</w:t>
            </w:r>
          </w:p>
          <w:p w:rsidR="00BC06D6" w:rsidRDefault="00BC06D6" w:rsidP="009D2FA6">
            <w:pPr>
              <w:spacing w:line="276" w:lineRule="auto"/>
              <w:rPr>
                <w:rFonts w:ascii="Tahoma" w:hAnsi="Tahoma" w:cs="Tahoma"/>
                <w:sz w:val="22"/>
                <w:szCs w:val="22"/>
              </w:rPr>
            </w:pPr>
            <w:r w:rsidRPr="00F03D9C">
              <w:rPr>
                <w:rFonts w:ascii="Tahoma" w:hAnsi="Tahoma" w:cs="Tahoma"/>
                <w:sz w:val="22"/>
                <w:szCs w:val="22"/>
              </w:rPr>
              <w:t>Student Number: ______________________________________________</w:t>
            </w:r>
          </w:p>
          <w:p w:rsidR="00BC06D6" w:rsidRPr="00F03D9C" w:rsidRDefault="00BC06D6" w:rsidP="009D2FA6">
            <w:pPr>
              <w:spacing w:line="276" w:lineRule="auto"/>
              <w:rPr>
                <w:rFonts w:ascii="Tahoma" w:hAnsi="Tahoma" w:cs="Tahoma"/>
                <w:sz w:val="22"/>
                <w:szCs w:val="22"/>
              </w:rPr>
            </w:pPr>
          </w:p>
          <w:p w:rsidR="00BC06D6" w:rsidRDefault="00BC06D6" w:rsidP="009D2FA6">
            <w:pPr>
              <w:spacing w:line="276" w:lineRule="auto"/>
              <w:rPr>
                <w:rFonts w:ascii="Tahoma" w:hAnsi="Tahoma" w:cs="Tahoma"/>
                <w:sz w:val="22"/>
                <w:szCs w:val="22"/>
              </w:rPr>
            </w:pPr>
            <w:r w:rsidRPr="00F03D9C">
              <w:rPr>
                <w:rFonts w:ascii="Tahoma" w:hAnsi="Tahoma" w:cs="Tahoma"/>
                <w:sz w:val="22"/>
                <w:szCs w:val="22"/>
              </w:rPr>
              <w:t>Student’s Name: _______________________________________________</w:t>
            </w:r>
          </w:p>
          <w:p w:rsidR="00BC06D6" w:rsidRPr="00F03D9C" w:rsidRDefault="00BC06D6" w:rsidP="009D2FA6">
            <w:pPr>
              <w:spacing w:line="276" w:lineRule="auto"/>
              <w:rPr>
                <w:rFonts w:ascii="Tahoma" w:hAnsi="Tahoma" w:cs="Tahoma"/>
                <w:sz w:val="22"/>
                <w:szCs w:val="22"/>
              </w:rPr>
            </w:pPr>
          </w:p>
          <w:p w:rsidR="00BC06D6" w:rsidRDefault="00BC06D6" w:rsidP="009D2FA6">
            <w:pPr>
              <w:spacing w:line="276" w:lineRule="auto"/>
              <w:rPr>
                <w:rFonts w:ascii="Tahoma" w:hAnsi="Tahoma" w:cs="Tahoma"/>
                <w:sz w:val="22"/>
                <w:szCs w:val="22"/>
              </w:rPr>
            </w:pPr>
            <w:r w:rsidRPr="00F03D9C">
              <w:rPr>
                <w:rFonts w:ascii="Tahoma" w:hAnsi="Tahoma" w:cs="Tahoma"/>
                <w:sz w:val="22"/>
                <w:szCs w:val="22"/>
              </w:rPr>
              <w:t>Tutor Name: _________________________________________________</w:t>
            </w:r>
          </w:p>
          <w:p w:rsidR="00BC06D6" w:rsidRPr="00F03D9C" w:rsidRDefault="00BC06D6" w:rsidP="009D2FA6">
            <w:pPr>
              <w:spacing w:line="276" w:lineRule="auto"/>
              <w:rPr>
                <w:rFonts w:ascii="Tahoma" w:hAnsi="Tahoma" w:cs="Tahoma"/>
                <w:sz w:val="22"/>
                <w:szCs w:val="22"/>
              </w:rPr>
            </w:pPr>
          </w:p>
          <w:p w:rsidR="00BC06D6" w:rsidRDefault="00BC06D6" w:rsidP="009D2FA6">
            <w:pPr>
              <w:spacing w:line="276" w:lineRule="auto"/>
              <w:rPr>
                <w:rFonts w:ascii="Tahoma" w:hAnsi="Tahoma" w:cs="Tahoma"/>
                <w:sz w:val="22"/>
                <w:szCs w:val="22"/>
              </w:rPr>
            </w:pPr>
            <w:r w:rsidRPr="00F03D9C">
              <w:rPr>
                <w:rFonts w:ascii="Tahoma" w:hAnsi="Tahoma" w:cs="Tahoma"/>
                <w:sz w:val="22"/>
                <w:szCs w:val="22"/>
              </w:rPr>
              <w:t>Assignment Title: ______________________________________________</w:t>
            </w:r>
          </w:p>
          <w:p w:rsidR="00BC06D6" w:rsidRPr="00F03D9C" w:rsidRDefault="00BC06D6" w:rsidP="009D2FA6">
            <w:pPr>
              <w:spacing w:line="276" w:lineRule="auto"/>
              <w:rPr>
                <w:rFonts w:ascii="Tahoma" w:hAnsi="Tahoma" w:cs="Tahoma"/>
                <w:sz w:val="22"/>
                <w:szCs w:val="22"/>
              </w:rPr>
            </w:pPr>
          </w:p>
          <w:p w:rsidR="00BC06D6" w:rsidRDefault="00BC06D6" w:rsidP="009D2FA6">
            <w:pPr>
              <w:spacing w:line="276" w:lineRule="auto"/>
              <w:rPr>
                <w:rFonts w:ascii="Tahoma" w:hAnsi="Tahoma" w:cs="Tahoma"/>
                <w:sz w:val="22"/>
                <w:szCs w:val="22"/>
              </w:rPr>
            </w:pPr>
            <w:r w:rsidRPr="00F03D9C">
              <w:rPr>
                <w:rFonts w:ascii="Tahoma" w:hAnsi="Tahoma" w:cs="Tahoma"/>
                <w:sz w:val="22"/>
                <w:szCs w:val="22"/>
              </w:rPr>
              <w:t>Module Code: __________________________________________________</w:t>
            </w:r>
          </w:p>
          <w:p w:rsidR="00BC06D6" w:rsidRPr="00F03D9C" w:rsidRDefault="00BC06D6" w:rsidP="009D2FA6">
            <w:pPr>
              <w:spacing w:line="276" w:lineRule="auto"/>
              <w:rPr>
                <w:rFonts w:ascii="Tahoma" w:hAnsi="Tahoma" w:cs="Tahoma"/>
                <w:sz w:val="22"/>
                <w:szCs w:val="22"/>
              </w:rPr>
            </w:pPr>
          </w:p>
          <w:p w:rsidR="00BC06D6" w:rsidRPr="00F03D9C" w:rsidRDefault="00BC06D6" w:rsidP="009D2FA6">
            <w:pPr>
              <w:spacing w:line="276" w:lineRule="auto"/>
              <w:rPr>
                <w:rFonts w:ascii="Tahoma" w:hAnsi="Tahoma" w:cs="Tahoma"/>
                <w:sz w:val="22"/>
                <w:szCs w:val="22"/>
              </w:rPr>
            </w:pPr>
            <w:r w:rsidRPr="00F03D9C">
              <w:rPr>
                <w:rFonts w:ascii="Tahoma" w:hAnsi="Tahoma" w:cs="Tahoma"/>
                <w:sz w:val="22"/>
                <w:szCs w:val="22"/>
              </w:rPr>
              <w:t>Submission Date: _____________________________________________</w:t>
            </w:r>
          </w:p>
          <w:p w:rsidR="00BC06D6" w:rsidRPr="00F03D9C" w:rsidRDefault="00BC06D6" w:rsidP="009D2FA6">
            <w:pPr>
              <w:spacing w:line="276" w:lineRule="auto"/>
              <w:rPr>
                <w:rFonts w:ascii="Tahoma" w:hAnsi="Tahoma" w:cs="Tahom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BC06D6" w:rsidRPr="00F03D9C" w:rsidTr="009D2FA6">
              <w:tc>
                <w:tcPr>
                  <w:tcW w:w="9067" w:type="dxa"/>
                </w:tcPr>
                <w:p w:rsidR="00BC06D6" w:rsidRDefault="00BC06D6" w:rsidP="009D2FA6">
                  <w:pPr>
                    <w:spacing w:line="276" w:lineRule="auto"/>
                    <w:rPr>
                      <w:rFonts w:ascii="Tahoma" w:hAnsi="Tahoma" w:cs="Tahoma"/>
                      <w:b/>
                      <w:sz w:val="20"/>
                      <w:szCs w:val="22"/>
                    </w:rPr>
                  </w:pPr>
                  <w:r w:rsidRPr="00FC1160">
                    <w:rPr>
                      <w:rFonts w:ascii="Tahoma" w:hAnsi="Tahoma" w:cs="Tahoma"/>
                      <w:b/>
                      <w:sz w:val="20"/>
                      <w:szCs w:val="22"/>
                    </w:rPr>
                    <w:lastRenderedPageBreak/>
                    <w:t>Wales Academy for Professional Practice and Applied Research Staff only</w:t>
                  </w:r>
                </w:p>
                <w:p w:rsidR="00BC06D6" w:rsidRPr="00FC1160" w:rsidRDefault="00BC06D6" w:rsidP="009D2FA6">
                  <w:pPr>
                    <w:spacing w:line="276" w:lineRule="auto"/>
                    <w:rPr>
                      <w:rFonts w:ascii="Tahoma" w:hAnsi="Tahoma" w:cs="Tahoma"/>
                      <w:b/>
                      <w:sz w:val="20"/>
                      <w:szCs w:val="22"/>
                    </w:rPr>
                  </w:pPr>
                </w:p>
                <w:p w:rsidR="00BC06D6" w:rsidRPr="00F03D9C" w:rsidRDefault="00BC06D6" w:rsidP="009D2FA6">
                  <w:pPr>
                    <w:spacing w:line="276" w:lineRule="auto"/>
                    <w:rPr>
                      <w:rFonts w:ascii="Tahoma" w:hAnsi="Tahoma" w:cs="Tahoma"/>
                      <w:sz w:val="22"/>
                      <w:szCs w:val="22"/>
                    </w:rPr>
                  </w:pPr>
                  <w:r w:rsidRPr="00F03D9C">
                    <w:rPr>
                      <w:rFonts w:ascii="Tahoma" w:hAnsi="Tahoma" w:cs="Tahoma"/>
                      <w:sz w:val="22"/>
                      <w:szCs w:val="22"/>
                    </w:rPr>
                    <w:t>Received by:_____________________Date submitted:_________</w:t>
                  </w:r>
                  <w:r>
                    <w:rPr>
                      <w:rFonts w:ascii="Tahoma" w:hAnsi="Tahoma" w:cs="Tahoma"/>
                      <w:sz w:val="22"/>
                      <w:szCs w:val="22"/>
                    </w:rPr>
                    <w:t>___________</w:t>
                  </w:r>
                </w:p>
              </w:tc>
            </w:tr>
          </w:tbl>
          <w:p w:rsidR="00BC06D6" w:rsidRPr="00F03D9C" w:rsidRDefault="00BC06D6" w:rsidP="009D2FA6">
            <w:pPr>
              <w:spacing w:line="276" w:lineRule="auto"/>
              <w:rPr>
                <w:rFonts w:ascii="Tahoma" w:hAnsi="Tahoma" w:cs="Tahoma"/>
                <w:sz w:val="22"/>
                <w:szCs w:val="22"/>
              </w:rPr>
            </w:pPr>
          </w:p>
        </w:tc>
      </w:tr>
    </w:tbl>
    <w:p w:rsidR="00BC06D6" w:rsidRDefault="00BC06D6" w:rsidP="00BC06D6"/>
    <w:p w:rsidR="00BC06D6" w:rsidRDefault="00BC06D6" w:rsidP="00BC06D6"/>
    <w:p w:rsidR="00952210" w:rsidRDefault="00952210" w:rsidP="00BC06D6"/>
    <w:p w:rsidR="00952210" w:rsidRDefault="00952210" w:rsidP="00BC06D6"/>
    <w:p w:rsidR="00952210" w:rsidRDefault="00952210" w:rsidP="00BC06D6"/>
    <w:p w:rsidR="00952210" w:rsidRDefault="00952210" w:rsidP="00BC06D6"/>
    <w:p w:rsidR="00952210" w:rsidRDefault="00952210" w:rsidP="00BC06D6"/>
    <w:p w:rsidR="00952210" w:rsidRDefault="00952210" w:rsidP="00BC06D6"/>
    <w:p w:rsidR="00952210" w:rsidRDefault="00952210" w:rsidP="00BC06D6"/>
    <w:p w:rsidR="00952210" w:rsidRDefault="00952210" w:rsidP="00BC06D6"/>
    <w:p w:rsidR="00952210" w:rsidRDefault="00952210" w:rsidP="00BC06D6"/>
    <w:p w:rsidR="00952210" w:rsidRDefault="00952210" w:rsidP="00BC06D6"/>
    <w:p w:rsidR="00952210" w:rsidRDefault="00952210" w:rsidP="00BC06D6"/>
    <w:p w:rsidR="00952210" w:rsidRDefault="00952210" w:rsidP="00BC06D6"/>
    <w:p w:rsidR="00952210" w:rsidRDefault="00952210" w:rsidP="00BC06D6"/>
    <w:p w:rsidR="00952210" w:rsidRDefault="00952210" w:rsidP="00BC06D6"/>
    <w:p w:rsidR="00952210" w:rsidRDefault="00952210" w:rsidP="00BC06D6"/>
    <w:p w:rsidR="00952210" w:rsidRDefault="00952210" w:rsidP="00BC06D6"/>
    <w:p w:rsidR="00952210" w:rsidRDefault="00952210" w:rsidP="00BC06D6"/>
    <w:p w:rsidR="00952210" w:rsidRDefault="00952210" w:rsidP="00BC06D6"/>
    <w:p w:rsidR="00952210" w:rsidRDefault="00952210" w:rsidP="00BC06D6"/>
    <w:p w:rsidR="00952210" w:rsidRDefault="00952210" w:rsidP="00BC06D6"/>
    <w:p w:rsidR="00952210" w:rsidRDefault="00952210" w:rsidP="00BC06D6"/>
    <w:p w:rsidR="00952210" w:rsidRDefault="00952210" w:rsidP="00BC06D6"/>
    <w:p w:rsidR="00952210" w:rsidRDefault="00952210" w:rsidP="00BC06D6"/>
    <w:p w:rsidR="00952210" w:rsidRDefault="00952210" w:rsidP="00BC06D6"/>
    <w:p w:rsidR="00952210" w:rsidRDefault="00952210" w:rsidP="00BC06D6"/>
    <w:p w:rsidR="00952210" w:rsidRDefault="00952210" w:rsidP="00BC06D6"/>
    <w:p w:rsidR="00952210" w:rsidRDefault="00952210" w:rsidP="00BC06D6"/>
    <w:p w:rsidR="00952210" w:rsidRDefault="00952210" w:rsidP="00BC06D6"/>
    <w:p w:rsidR="00952210" w:rsidRDefault="00952210" w:rsidP="00BC06D6"/>
    <w:p w:rsidR="00952210" w:rsidRDefault="00952210" w:rsidP="00BC06D6"/>
    <w:p w:rsidR="00952210" w:rsidRDefault="00952210" w:rsidP="00BC06D6"/>
    <w:p w:rsidR="00952210" w:rsidRDefault="00952210" w:rsidP="00BC06D6"/>
    <w:p w:rsidR="00952210" w:rsidRDefault="00952210" w:rsidP="00BC06D6"/>
    <w:p w:rsidR="00952210" w:rsidRDefault="00952210" w:rsidP="00BC06D6"/>
    <w:p w:rsidR="00952210" w:rsidRDefault="00952210" w:rsidP="00BC06D6"/>
    <w:p w:rsidR="00952210" w:rsidRDefault="00952210" w:rsidP="00BC06D6"/>
    <w:p w:rsidR="00BC06D6" w:rsidRDefault="00BC06D6" w:rsidP="00BC06D6">
      <w:r>
        <w:t xml:space="preserve">Candidate Name: Caterina Siro Brigiano </w:t>
      </w:r>
    </w:p>
    <w:p w:rsidR="00BC06D6" w:rsidRDefault="00BC06D6" w:rsidP="00BC06D6">
      <w:r>
        <w:t>Candidate Number: 2006951</w:t>
      </w:r>
    </w:p>
    <w:p w:rsidR="00BC06D6" w:rsidRDefault="00BC06D6" w:rsidP="00BC06D6">
      <w:r>
        <w:t xml:space="preserve">Word count: </w:t>
      </w:r>
      <w:r w:rsidR="00DE27A4">
        <w:t>2000</w:t>
      </w:r>
    </w:p>
    <w:p w:rsidR="00BC06D6" w:rsidRDefault="00BC06D6" w:rsidP="00BC06D6"/>
    <w:p w:rsidR="00BC06D6" w:rsidRDefault="00BC06D6" w:rsidP="00BC06D6"/>
    <w:p w:rsidR="00BC06D6" w:rsidRDefault="00BC06D6" w:rsidP="00BC06D6">
      <w:pPr>
        <w:spacing w:line="360" w:lineRule="auto"/>
        <w:rPr>
          <w:rFonts w:ascii="Arial" w:hAnsi="Arial" w:cs="Arial"/>
        </w:rPr>
      </w:pPr>
    </w:p>
    <w:p w:rsidR="00BC06D6" w:rsidRDefault="00BC06D6" w:rsidP="00BC06D6">
      <w:pPr>
        <w:spacing w:line="360" w:lineRule="auto"/>
        <w:rPr>
          <w:rFonts w:ascii="Arial" w:hAnsi="Arial" w:cs="Arial"/>
        </w:rPr>
      </w:pPr>
    </w:p>
    <w:p w:rsidR="00952210" w:rsidRDefault="00952210" w:rsidP="00BC06D6">
      <w:pPr>
        <w:rPr>
          <w:b/>
          <w:sz w:val="44"/>
          <w:szCs w:val="44"/>
        </w:rPr>
      </w:pPr>
    </w:p>
    <w:p w:rsidR="00BC06D6" w:rsidRDefault="00BC06D6" w:rsidP="00BC06D6">
      <w:pPr>
        <w:rPr>
          <w:b/>
          <w:sz w:val="44"/>
          <w:szCs w:val="44"/>
        </w:rPr>
      </w:pPr>
    </w:p>
    <w:p w:rsidR="00BC06D6" w:rsidRDefault="00BC06D6" w:rsidP="00BC06D6">
      <w:pPr>
        <w:rPr>
          <w:b/>
          <w:sz w:val="44"/>
          <w:szCs w:val="44"/>
        </w:rPr>
      </w:pPr>
    </w:p>
    <w:p w:rsidR="00BC06D6" w:rsidRDefault="00BC06D6" w:rsidP="00BC06D6">
      <w:pPr>
        <w:rPr>
          <w:b/>
          <w:sz w:val="44"/>
          <w:szCs w:val="44"/>
        </w:rPr>
      </w:pPr>
      <w:r w:rsidRPr="001038F2">
        <w:rPr>
          <w:b/>
          <w:sz w:val="44"/>
          <w:szCs w:val="44"/>
        </w:rPr>
        <w:t xml:space="preserve">PROFESSIONAL PRACTICE FRAMEWORK </w:t>
      </w:r>
    </w:p>
    <w:p w:rsidR="00BC06D6" w:rsidRDefault="00BC06D6" w:rsidP="00BC06D6">
      <w:pPr>
        <w:rPr>
          <w:b/>
          <w:sz w:val="44"/>
          <w:szCs w:val="44"/>
        </w:rPr>
      </w:pPr>
    </w:p>
    <w:p w:rsidR="00BC06D6" w:rsidRPr="001038F2" w:rsidRDefault="00BC06D6" w:rsidP="00BC06D6">
      <w:pPr>
        <w:rPr>
          <w:b/>
          <w:sz w:val="44"/>
          <w:szCs w:val="44"/>
        </w:rPr>
      </w:pPr>
    </w:p>
    <w:p w:rsidR="00BC06D6" w:rsidRPr="001038F2" w:rsidRDefault="00BC06D6" w:rsidP="00BC06D6">
      <w:pPr>
        <w:rPr>
          <w:b/>
          <w:sz w:val="44"/>
          <w:szCs w:val="44"/>
        </w:rPr>
      </w:pPr>
    </w:p>
    <w:p w:rsidR="00BC06D6" w:rsidRPr="001038F2" w:rsidRDefault="00BC06D6" w:rsidP="00BC06D6">
      <w:pPr>
        <w:rPr>
          <w:rFonts w:ascii="Arial" w:hAnsi="Arial" w:cs="Arial"/>
          <w:b/>
          <w:sz w:val="40"/>
          <w:szCs w:val="40"/>
        </w:rPr>
      </w:pPr>
      <w:r w:rsidRPr="001038F2">
        <w:rPr>
          <w:rFonts w:ascii="Arial" w:hAnsi="Arial" w:cs="Arial"/>
          <w:b/>
          <w:sz w:val="40"/>
          <w:szCs w:val="40"/>
        </w:rPr>
        <w:t xml:space="preserve">Module Title : INDEPENDENT STUDY MODULE </w:t>
      </w:r>
    </w:p>
    <w:p w:rsidR="00BC06D6" w:rsidRPr="001038F2" w:rsidRDefault="00BC06D6" w:rsidP="00BC06D6">
      <w:pPr>
        <w:rPr>
          <w:rFonts w:ascii="Arial" w:hAnsi="Arial" w:cs="Arial"/>
          <w:b/>
          <w:sz w:val="40"/>
          <w:szCs w:val="40"/>
        </w:rPr>
      </w:pPr>
    </w:p>
    <w:p w:rsidR="00BC06D6" w:rsidRPr="00805233" w:rsidRDefault="00BC06D6" w:rsidP="00BC06D6">
      <w:pPr>
        <w:rPr>
          <w:rFonts w:ascii="Arial" w:hAnsi="Arial" w:cs="Arial"/>
          <w:b/>
          <w:sz w:val="40"/>
          <w:szCs w:val="40"/>
        </w:rPr>
      </w:pPr>
      <w:r w:rsidRPr="001038F2">
        <w:rPr>
          <w:rFonts w:ascii="Arial" w:hAnsi="Arial" w:cs="Arial"/>
          <w:b/>
          <w:sz w:val="40"/>
          <w:szCs w:val="40"/>
        </w:rPr>
        <w:t>Module code: BMPF7013/7073D</w:t>
      </w:r>
    </w:p>
    <w:p w:rsidR="00BC06D6" w:rsidRDefault="00BC06D6" w:rsidP="00BC06D6">
      <w:pPr>
        <w:spacing w:line="360" w:lineRule="auto"/>
        <w:rPr>
          <w:rFonts w:ascii="Arial" w:hAnsi="Arial" w:cs="Arial"/>
        </w:rPr>
      </w:pPr>
    </w:p>
    <w:p w:rsidR="00BC06D6" w:rsidRDefault="00BC06D6" w:rsidP="00BC06D6">
      <w:pPr>
        <w:spacing w:line="360" w:lineRule="auto"/>
        <w:rPr>
          <w:rFonts w:ascii="Arial" w:hAnsi="Arial" w:cs="Arial"/>
        </w:rPr>
      </w:pPr>
    </w:p>
    <w:p w:rsidR="00952210" w:rsidRDefault="00952210" w:rsidP="00BC06D6">
      <w:pPr>
        <w:spacing w:line="360" w:lineRule="auto"/>
        <w:rPr>
          <w:rFonts w:ascii="Arial" w:hAnsi="Arial" w:cs="Arial"/>
        </w:rPr>
      </w:pPr>
    </w:p>
    <w:p w:rsidR="00952210" w:rsidRDefault="00952210" w:rsidP="00BC06D6">
      <w:pPr>
        <w:spacing w:line="360" w:lineRule="auto"/>
        <w:rPr>
          <w:rFonts w:ascii="Arial" w:hAnsi="Arial" w:cs="Arial"/>
        </w:rPr>
      </w:pPr>
    </w:p>
    <w:p w:rsidR="00952210" w:rsidRDefault="00952210" w:rsidP="00BC06D6">
      <w:pPr>
        <w:spacing w:line="360" w:lineRule="auto"/>
        <w:rPr>
          <w:rFonts w:ascii="Arial" w:hAnsi="Arial" w:cs="Arial"/>
        </w:rPr>
      </w:pPr>
    </w:p>
    <w:p w:rsidR="00952210" w:rsidRDefault="00952210" w:rsidP="00BC06D6">
      <w:pPr>
        <w:spacing w:line="360" w:lineRule="auto"/>
        <w:rPr>
          <w:rFonts w:ascii="Arial" w:hAnsi="Arial" w:cs="Arial"/>
        </w:rPr>
      </w:pPr>
    </w:p>
    <w:p w:rsidR="00952210" w:rsidRDefault="00952210" w:rsidP="00BC06D6">
      <w:pPr>
        <w:spacing w:line="360" w:lineRule="auto"/>
        <w:rPr>
          <w:rFonts w:ascii="Arial" w:hAnsi="Arial" w:cs="Arial"/>
        </w:rPr>
      </w:pPr>
    </w:p>
    <w:p w:rsidR="00952210" w:rsidRDefault="00952210" w:rsidP="00BC06D6">
      <w:pPr>
        <w:spacing w:line="360" w:lineRule="auto"/>
        <w:rPr>
          <w:rFonts w:ascii="Arial" w:hAnsi="Arial" w:cs="Arial"/>
        </w:rPr>
      </w:pPr>
    </w:p>
    <w:p w:rsidR="00952210" w:rsidRDefault="00952210" w:rsidP="00BC06D6">
      <w:pPr>
        <w:spacing w:line="360" w:lineRule="auto"/>
        <w:rPr>
          <w:rFonts w:ascii="Arial" w:hAnsi="Arial" w:cs="Arial"/>
        </w:rPr>
      </w:pPr>
    </w:p>
    <w:p w:rsidR="00952210" w:rsidRDefault="00952210" w:rsidP="00BC06D6">
      <w:pPr>
        <w:spacing w:line="360" w:lineRule="auto"/>
        <w:rPr>
          <w:rFonts w:ascii="Arial" w:hAnsi="Arial" w:cs="Arial"/>
        </w:rPr>
      </w:pPr>
    </w:p>
    <w:p w:rsidR="00952210" w:rsidRDefault="00952210" w:rsidP="00BC06D6">
      <w:pPr>
        <w:spacing w:line="360" w:lineRule="auto"/>
        <w:rPr>
          <w:rFonts w:ascii="Arial" w:hAnsi="Arial" w:cs="Arial"/>
        </w:rPr>
      </w:pPr>
    </w:p>
    <w:p w:rsidR="00952210" w:rsidRDefault="00952210" w:rsidP="00BC06D6">
      <w:pPr>
        <w:spacing w:line="360" w:lineRule="auto"/>
        <w:rPr>
          <w:rFonts w:ascii="Arial" w:hAnsi="Arial" w:cs="Arial"/>
        </w:rPr>
      </w:pPr>
    </w:p>
    <w:p w:rsidR="00952210" w:rsidRDefault="00952210" w:rsidP="00BC06D6">
      <w:pPr>
        <w:spacing w:line="360" w:lineRule="auto"/>
        <w:rPr>
          <w:rFonts w:ascii="Arial" w:hAnsi="Arial" w:cs="Arial"/>
        </w:rPr>
      </w:pPr>
    </w:p>
    <w:p w:rsidR="00BC06D6" w:rsidRDefault="00BC06D6" w:rsidP="00BC06D6">
      <w:pPr>
        <w:spacing w:line="360" w:lineRule="auto"/>
        <w:rPr>
          <w:rFonts w:ascii="Arial" w:hAnsi="Arial" w:cs="Arial"/>
        </w:rPr>
      </w:pPr>
    </w:p>
    <w:p w:rsidR="00BC06D6" w:rsidRPr="004524E9" w:rsidRDefault="00BC06D6" w:rsidP="00BC06D6">
      <w:pPr>
        <w:spacing w:line="360" w:lineRule="auto"/>
        <w:rPr>
          <w:rFonts w:ascii="Arial" w:hAnsi="Arial" w:cs="Arial"/>
          <w:b/>
          <w:sz w:val="40"/>
          <w:szCs w:val="40"/>
        </w:rPr>
      </w:pPr>
      <w:r>
        <w:rPr>
          <w:rFonts w:ascii="Arial" w:hAnsi="Arial" w:cs="Arial"/>
          <w:b/>
          <w:sz w:val="40"/>
          <w:szCs w:val="40"/>
        </w:rPr>
        <w:t xml:space="preserve">COMPONENT 1 : Element  2 -  Literature Review </w:t>
      </w:r>
    </w:p>
    <w:p w:rsidR="00BC06D6" w:rsidRPr="004524E9" w:rsidRDefault="00BC06D6" w:rsidP="00BC06D6">
      <w:pPr>
        <w:spacing w:line="360" w:lineRule="auto"/>
        <w:rPr>
          <w:rFonts w:ascii="Arial" w:hAnsi="Arial" w:cs="Arial"/>
          <w:sz w:val="36"/>
          <w:szCs w:val="36"/>
        </w:rPr>
      </w:pPr>
    </w:p>
    <w:p w:rsidR="00BC06D6" w:rsidRPr="00952210" w:rsidRDefault="00BC06D6" w:rsidP="00952210">
      <w:pPr>
        <w:spacing w:line="360" w:lineRule="auto"/>
        <w:jc w:val="both"/>
        <w:rPr>
          <w:rFonts w:ascii="Arial" w:hAnsi="Arial" w:cs="Arial"/>
          <w:b/>
          <w:color w:val="353740"/>
          <w:shd w:val="clear" w:color="auto" w:fill="FFFFFF"/>
          <w:lang w:eastAsia="en-US"/>
        </w:rPr>
      </w:pPr>
      <w:r w:rsidRPr="00952210">
        <w:rPr>
          <w:rFonts w:ascii="Arial" w:hAnsi="Arial" w:cs="Arial"/>
          <w:b/>
          <w:color w:val="353740"/>
          <w:sz w:val="28"/>
          <w:szCs w:val="28"/>
          <w:shd w:val="clear" w:color="auto" w:fill="FFFFFF"/>
          <w:lang w:eastAsia="en-US"/>
        </w:rPr>
        <w:t>"Supporting Mental Health Recovery: Exploring the Role of Life Coaches in Post-Discharge Care from NHS Services</w:t>
      </w:r>
      <w:r w:rsidRPr="00952210">
        <w:rPr>
          <w:rFonts w:ascii="Arial" w:hAnsi="Arial" w:cs="Arial"/>
          <w:b/>
          <w:color w:val="353740"/>
          <w:shd w:val="clear" w:color="auto" w:fill="FFFFFF"/>
          <w:lang w:eastAsia="en-US"/>
        </w:rPr>
        <w:t xml:space="preserve">" </w:t>
      </w:r>
    </w:p>
    <w:p w:rsidR="00BC06D6" w:rsidRPr="00952210" w:rsidRDefault="00BC06D6" w:rsidP="00952210">
      <w:pPr>
        <w:spacing w:line="360" w:lineRule="auto"/>
        <w:jc w:val="both"/>
        <w:rPr>
          <w:rFonts w:ascii="Arial" w:hAnsi="Arial" w:cs="Arial"/>
          <w:b/>
          <w:color w:val="353740"/>
          <w:shd w:val="clear" w:color="auto" w:fill="FFFFFF"/>
          <w:lang w:eastAsia="en-US"/>
        </w:rPr>
      </w:pPr>
    </w:p>
    <w:p w:rsidR="00BC06D6" w:rsidRPr="00952210" w:rsidRDefault="00BC06D6" w:rsidP="00952210">
      <w:pPr>
        <w:spacing w:line="360" w:lineRule="auto"/>
        <w:jc w:val="both"/>
        <w:rPr>
          <w:rFonts w:ascii="Arial" w:hAnsi="Arial" w:cs="Arial"/>
          <w:b/>
          <w:color w:val="353740"/>
          <w:shd w:val="clear" w:color="auto" w:fill="FFFFFF"/>
          <w:lang w:eastAsia="en-US"/>
        </w:rPr>
      </w:pPr>
    </w:p>
    <w:p w:rsidR="00F31092" w:rsidRDefault="00BC06D6" w:rsidP="00952210">
      <w:pPr>
        <w:shd w:val="clear" w:color="auto" w:fill="FFFFFF"/>
        <w:spacing w:line="360" w:lineRule="auto"/>
        <w:jc w:val="both"/>
        <w:rPr>
          <w:rFonts w:asciiTheme="minorHAnsi" w:hAnsiTheme="minorHAnsi"/>
          <w:color w:val="353740"/>
        </w:rPr>
      </w:pPr>
      <w:r w:rsidRPr="00952210">
        <w:rPr>
          <w:rFonts w:asciiTheme="minorHAnsi" w:hAnsiTheme="minorHAnsi"/>
          <w:color w:val="353740"/>
        </w:rPr>
        <w:t xml:space="preserve">The aim of this review of literature is to examine the use of life coaches in the post-discharge care of individuals who have been provided mental health services by the National Health Service (1948). There is </w:t>
      </w:r>
      <w:r w:rsidR="001D2464" w:rsidRPr="00952210">
        <w:rPr>
          <w:rFonts w:asciiTheme="minorHAnsi" w:hAnsiTheme="minorHAnsi"/>
          <w:color w:val="353740"/>
        </w:rPr>
        <w:t>an increasing number of studies</w:t>
      </w:r>
      <w:r w:rsidRPr="00952210">
        <w:rPr>
          <w:rFonts w:asciiTheme="minorHAnsi" w:hAnsiTheme="minorHAnsi"/>
          <w:color w:val="353740"/>
        </w:rPr>
        <w:t xml:space="preserve"> being conducted on this topic, and it implies that life coaching may have potential benefits in terms of assisting in the recovery of mental health and preventing relapse. Within this framework, the objective of this review is to conduct an investigation into the concepts and evidence that are connected to the usage of life coaches. The primary goal of a life coach is to collaborate with individuals in order to set goals, create action plans, and improve their general well-being and quality of life. Within the field of mental health, this approach has gained acknowledgment as a supplementary service to the existing traditional medical care. As a potential intervention in the field of mental health therapy, there is evidence to suggest that life coaching has the potential to be of great assistance. For instance, compared to cognitive behavioural treatment (CBT), </w:t>
      </w:r>
      <w:r w:rsidR="00DB48D8" w:rsidRPr="00952210">
        <w:rPr>
          <w:rFonts w:asciiTheme="minorHAnsi" w:hAnsiTheme="minorHAnsi"/>
          <w:color w:val="353740"/>
        </w:rPr>
        <w:t xml:space="preserve">(Beck 2011), </w:t>
      </w:r>
      <w:r w:rsidRPr="00952210">
        <w:rPr>
          <w:rFonts w:asciiTheme="minorHAnsi" w:hAnsiTheme="minorHAnsi"/>
          <w:color w:val="353740"/>
        </w:rPr>
        <w:t>life coaching is proven to produce a more notable and durable improvement in anxiety and depression symptoms (Spence et al., 2013</w:t>
      </w:r>
      <w:r w:rsidR="00F130C3" w:rsidRPr="00952210">
        <w:rPr>
          <w:rFonts w:asciiTheme="minorHAnsi" w:hAnsiTheme="minorHAnsi"/>
          <w:color w:val="353740"/>
        </w:rPr>
        <w:t>,</w:t>
      </w:r>
      <w:r w:rsidR="009D2FA6" w:rsidRPr="00952210">
        <w:rPr>
          <w:rFonts w:asciiTheme="minorHAnsi" w:hAnsiTheme="minorHAnsi"/>
          <w:color w:val="353740"/>
        </w:rPr>
        <w:t>p</w:t>
      </w:r>
      <w:r w:rsidR="00F130C3" w:rsidRPr="00952210">
        <w:rPr>
          <w:rFonts w:asciiTheme="minorHAnsi" w:hAnsiTheme="minorHAnsi"/>
          <w:color w:val="353740"/>
        </w:rPr>
        <w:t>.</w:t>
      </w:r>
      <w:r w:rsidR="009D2FA6" w:rsidRPr="00952210">
        <w:rPr>
          <w:rFonts w:asciiTheme="minorHAnsi" w:hAnsiTheme="minorHAnsi"/>
          <w:color w:val="353740"/>
        </w:rPr>
        <w:t>212-223</w:t>
      </w:r>
      <w:r w:rsidRPr="00952210">
        <w:rPr>
          <w:rFonts w:asciiTheme="minorHAnsi" w:hAnsiTheme="minorHAnsi"/>
          <w:color w:val="353740"/>
        </w:rPr>
        <w:t>). Schmierer et al., (2018</w:t>
      </w:r>
      <w:r w:rsidR="00F130C3" w:rsidRPr="00952210">
        <w:rPr>
          <w:rFonts w:asciiTheme="minorHAnsi" w:hAnsiTheme="minorHAnsi"/>
          <w:color w:val="353740"/>
        </w:rPr>
        <w:t>, p.378-397</w:t>
      </w:r>
      <w:r w:rsidRPr="00952210">
        <w:rPr>
          <w:rFonts w:asciiTheme="minorHAnsi" w:hAnsiTheme="minorHAnsi"/>
          <w:color w:val="353740"/>
        </w:rPr>
        <w:t xml:space="preserve">) carried out a study in which they evaluated the experiences of individuals who had been discharged from  hospital and had received life coaching as part of their post-discharge treatment. The findings from this study was favourably positive, as it was found that individuals were in favour of life coaching as it enhanced their well being. </w:t>
      </w:r>
    </w:p>
    <w:p w:rsidR="00BC06D6" w:rsidRPr="00952210" w:rsidRDefault="00BC06D6" w:rsidP="00952210">
      <w:pPr>
        <w:shd w:val="clear" w:color="auto" w:fill="FFFFFF"/>
        <w:spacing w:line="360" w:lineRule="auto"/>
        <w:jc w:val="both"/>
        <w:rPr>
          <w:rFonts w:asciiTheme="minorHAnsi" w:hAnsiTheme="minorHAnsi"/>
          <w:color w:val="353740"/>
        </w:rPr>
      </w:pPr>
      <w:r w:rsidRPr="00952210">
        <w:rPr>
          <w:rFonts w:asciiTheme="minorHAnsi" w:hAnsiTheme="minorHAnsi"/>
          <w:color w:val="353740"/>
        </w:rPr>
        <w:t>A systematic review that was carried out by Wampold et al., (2018</w:t>
      </w:r>
      <w:r w:rsidR="00F130C3" w:rsidRPr="00952210">
        <w:rPr>
          <w:rFonts w:asciiTheme="minorHAnsi" w:hAnsiTheme="minorHAnsi"/>
          <w:color w:val="353740"/>
        </w:rPr>
        <w:t>,p.2095-2113</w:t>
      </w:r>
      <w:r w:rsidRPr="00952210">
        <w:rPr>
          <w:rFonts w:asciiTheme="minorHAnsi" w:hAnsiTheme="minorHAnsi"/>
          <w:color w:val="353740"/>
        </w:rPr>
        <w:t>), life coaching was found to be effective in improving mental health outcomes. Individuals who suffer from mental illness can benefit from life coaches in a number of ways, including the reduction of symptoms and the facilitation of recovery, as well as the promotion of the development of self-management skills. Knorring et al., (2016</w:t>
      </w:r>
      <w:r w:rsidR="00F130C3" w:rsidRPr="00952210">
        <w:rPr>
          <w:rFonts w:asciiTheme="minorHAnsi" w:hAnsiTheme="minorHAnsi"/>
          <w:color w:val="353740"/>
        </w:rPr>
        <w:t>,p.128-134</w:t>
      </w:r>
      <w:r w:rsidRPr="00952210">
        <w:rPr>
          <w:rFonts w:asciiTheme="minorHAnsi" w:hAnsiTheme="minorHAnsi"/>
          <w:color w:val="353740"/>
        </w:rPr>
        <w:t xml:space="preserve">) discovered that individuals who had been diagnosed with bipolar disorder saw an increase in the number of times they adhered to their medication regime, engaged in self-care behaviours, and managed their symptoms when they received life coaching. It is significant that in the context of post-discharge treatment, individuals are required to gain the knowledge and abilities needed for managing their mental health. A further benefit of incorporating life coaches into post-discharge therapy is that it has the potential to close the gap that exists between mental health services and the community. It is possible for life coaches to offer continuing support to  individuals, who are leaving the hospital setting in order to assist them in making the transition from the hospital to the community and in maintaining their mental well-being outside of the hospital setting. </w:t>
      </w:r>
    </w:p>
    <w:p w:rsidR="00BC06D6" w:rsidRPr="00952210" w:rsidRDefault="00BC06D6" w:rsidP="00952210">
      <w:pPr>
        <w:shd w:val="clear" w:color="auto" w:fill="FFFFFF"/>
        <w:spacing w:line="360" w:lineRule="auto"/>
        <w:jc w:val="both"/>
        <w:rPr>
          <w:rFonts w:asciiTheme="minorHAnsi" w:hAnsiTheme="minorHAnsi"/>
          <w:color w:val="353740"/>
        </w:rPr>
      </w:pPr>
      <w:r w:rsidRPr="00952210">
        <w:rPr>
          <w:rFonts w:asciiTheme="minorHAnsi" w:hAnsiTheme="minorHAnsi"/>
          <w:color w:val="353740"/>
        </w:rPr>
        <w:t>As opposed to the traditional mental health professionals, life coaches, as stated by Davis et al., (2019</w:t>
      </w:r>
      <w:r w:rsidR="00F130C3" w:rsidRPr="00952210">
        <w:rPr>
          <w:rFonts w:asciiTheme="minorHAnsi" w:hAnsiTheme="minorHAnsi"/>
          <w:color w:val="353740"/>
        </w:rPr>
        <w:t>,p.963-966</w:t>
      </w:r>
      <w:r w:rsidRPr="00952210">
        <w:rPr>
          <w:rFonts w:asciiTheme="minorHAnsi" w:hAnsiTheme="minorHAnsi"/>
          <w:color w:val="353740"/>
        </w:rPr>
        <w:t xml:space="preserve">), work closely with individuals to ascertain their strengths, aspirations, and issues. Following this, they offer tailored support to aid individuals in accomplishing the outcomes that they feel they desire. The argument that this individualised approach </w:t>
      </w:r>
      <w:r w:rsidR="00F130C3" w:rsidRPr="00952210">
        <w:rPr>
          <w:rFonts w:asciiTheme="minorHAnsi" w:hAnsiTheme="minorHAnsi"/>
          <w:color w:val="353740"/>
        </w:rPr>
        <w:t>is highly valued by individuals</w:t>
      </w:r>
      <w:r w:rsidRPr="00952210">
        <w:rPr>
          <w:rFonts w:asciiTheme="minorHAnsi" w:hAnsiTheme="minorHAnsi"/>
          <w:color w:val="353740"/>
        </w:rPr>
        <w:t xml:space="preserve"> has been shown to provide better results (Baxter 2019</w:t>
      </w:r>
      <w:r w:rsidR="00F130C3" w:rsidRPr="00952210">
        <w:rPr>
          <w:rFonts w:asciiTheme="minorHAnsi" w:hAnsiTheme="minorHAnsi"/>
          <w:color w:val="353740"/>
        </w:rPr>
        <w:t>,p.1-2</w:t>
      </w:r>
      <w:r w:rsidRPr="00952210">
        <w:rPr>
          <w:rFonts w:asciiTheme="minorHAnsi" w:hAnsiTheme="minorHAnsi"/>
          <w:color w:val="353740"/>
        </w:rPr>
        <w:t>). Furthermore, the systematic review undertaken by Smit et al., (2020</w:t>
      </w:r>
      <w:r w:rsidR="00F130C3" w:rsidRPr="00952210">
        <w:rPr>
          <w:rFonts w:asciiTheme="minorHAnsi" w:hAnsiTheme="minorHAnsi"/>
          <w:color w:val="353740"/>
        </w:rPr>
        <w:t>,p.148-162</w:t>
      </w:r>
      <w:r w:rsidRPr="00952210">
        <w:rPr>
          <w:rFonts w:asciiTheme="minorHAnsi" w:hAnsiTheme="minorHAnsi"/>
          <w:color w:val="353740"/>
        </w:rPr>
        <w:t>) provides data supporting the positive influence of life coaching on mental health outcomes. Undoubtedly, coaches offer a unique form of support that prioritises overall well-being and health, which is a crucial aspect of the mental health recovery process (Clutterbuck, 2018</w:t>
      </w:r>
      <w:r w:rsidR="00F130C3" w:rsidRPr="00952210">
        <w:rPr>
          <w:rFonts w:asciiTheme="minorHAnsi" w:hAnsiTheme="minorHAnsi"/>
          <w:color w:val="353740"/>
        </w:rPr>
        <w:t>,p.365-374</w:t>
      </w:r>
      <w:r w:rsidRPr="00952210">
        <w:rPr>
          <w:rFonts w:asciiTheme="minorHAnsi" w:hAnsiTheme="minorHAnsi"/>
          <w:color w:val="353740"/>
        </w:rPr>
        <w:t>). However, there are a few downsides to this method, most notably with respect to the need for regulation and standardisation in the life coaching industry. As of right now, anyone can identify as a "life coach" without having to fulfill any specific qualifications or complete any training (Mamun et al., 2017</w:t>
      </w:r>
      <w:r w:rsidR="00F130C3" w:rsidRPr="00952210">
        <w:rPr>
          <w:rFonts w:asciiTheme="minorHAnsi" w:hAnsiTheme="minorHAnsi"/>
          <w:color w:val="353740"/>
        </w:rPr>
        <w:t>,p.1-5</w:t>
      </w:r>
      <w:r w:rsidRPr="00952210">
        <w:rPr>
          <w:rFonts w:asciiTheme="minorHAnsi" w:hAnsiTheme="minorHAnsi"/>
          <w:color w:val="353740"/>
        </w:rPr>
        <w:t>). This makes one wonder how capable and efficient the support organisations really are. Furthermore, Cohen et al., (2019</w:t>
      </w:r>
      <w:r w:rsidR="00F130C3" w:rsidRPr="00952210">
        <w:rPr>
          <w:rFonts w:asciiTheme="minorHAnsi" w:hAnsiTheme="minorHAnsi"/>
          <w:color w:val="353740"/>
        </w:rPr>
        <w:t>,p.869-880</w:t>
      </w:r>
      <w:r w:rsidRPr="00952210">
        <w:rPr>
          <w:rFonts w:asciiTheme="minorHAnsi" w:hAnsiTheme="minorHAnsi"/>
          <w:color w:val="353740"/>
        </w:rPr>
        <w:t>) claim that it is of the utmost importance to develop adequate training and rules in order to guarantee the quality and safety of life coaching for people who are receiving post-discharge care. Furthermore, Jankowski et al., (2020</w:t>
      </w:r>
      <w:r w:rsidR="00F130C3" w:rsidRPr="00952210">
        <w:rPr>
          <w:rFonts w:asciiTheme="minorHAnsi" w:hAnsiTheme="minorHAnsi"/>
          <w:color w:val="353740"/>
        </w:rPr>
        <w:t>,p.78-97</w:t>
      </w:r>
      <w:r w:rsidRPr="00952210">
        <w:rPr>
          <w:rFonts w:asciiTheme="minorHAnsi" w:hAnsiTheme="minorHAnsi"/>
          <w:color w:val="353740"/>
        </w:rPr>
        <w:t>) and Lewis and Kelly (2015</w:t>
      </w:r>
      <w:r w:rsidR="00F130C3" w:rsidRPr="00952210">
        <w:rPr>
          <w:rFonts w:asciiTheme="minorHAnsi" w:hAnsiTheme="minorHAnsi"/>
          <w:color w:val="353740"/>
        </w:rPr>
        <w:t>,p.64-82</w:t>
      </w:r>
      <w:r w:rsidRPr="00952210">
        <w:rPr>
          <w:rFonts w:asciiTheme="minorHAnsi" w:hAnsiTheme="minorHAnsi"/>
          <w:color w:val="353740"/>
        </w:rPr>
        <w:t xml:space="preserve">) found that life coaches with professional training and credentials are more likely to help their clients effectively and provide positive outcomes. </w:t>
      </w:r>
    </w:p>
    <w:p w:rsidR="00BC06D6" w:rsidRPr="00952210" w:rsidRDefault="00BC06D6" w:rsidP="00952210">
      <w:pPr>
        <w:shd w:val="clear" w:color="auto" w:fill="FFFFFF"/>
        <w:spacing w:line="360" w:lineRule="auto"/>
        <w:jc w:val="both"/>
        <w:rPr>
          <w:rFonts w:asciiTheme="minorHAnsi" w:hAnsiTheme="minorHAnsi"/>
          <w:color w:val="353740"/>
        </w:rPr>
      </w:pPr>
      <w:r w:rsidRPr="00952210">
        <w:rPr>
          <w:rFonts w:asciiTheme="minorHAnsi" w:hAnsiTheme="minorHAnsi"/>
          <w:color w:val="353740"/>
        </w:rPr>
        <w:t>Given the high cost of private life coaching sessions, individuals with little financial resources may struggle to afford them. Since people with more financial means may have access to more extensive and continuous support through private sessions, this begs the questions of accessibility and equity (Cohen et al., 2019</w:t>
      </w:r>
      <w:r w:rsidR="00F130C3" w:rsidRPr="00952210">
        <w:rPr>
          <w:rFonts w:asciiTheme="minorHAnsi" w:hAnsiTheme="minorHAnsi"/>
          <w:color w:val="353740"/>
        </w:rPr>
        <w:t>,p.869-880</w:t>
      </w:r>
      <w:r w:rsidRPr="00952210">
        <w:rPr>
          <w:rFonts w:asciiTheme="minorHAnsi" w:hAnsiTheme="minorHAnsi"/>
          <w:color w:val="353740"/>
        </w:rPr>
        <w:t>). In order to find a solution to this problem, there are a number of different methods that might be studied as potential solutions. A number of these ideas include the incorporation of life coaches into pre-existing mental health services or the provision of services that are either low or free of charge. As stated by Taladiensis (2019</w:t>
      </w:r>
      <w:r w:rsidR="00F130C3" w:rsidRPr="00952210">
        <w:rPr>
          <w:rFonts w:asciiTheme="minorHAnsi" w:hAnsiTheme="minorHAnsi"/>
          <w:color w:val="353740"/>
        </w:rPr>
        <w:t>,p.105-114</w:t>
      </w:r>
      <w:r w:rsidRPr="00952210">
        <w:rPr>
          <w:rFonts w:asciiTheme="minorHAnsi" w:hAnsiTheme="minorHAnsi"/>
          <w:color w:val="353740"/>
        </w:rPr>
        <w:t xml:space="preserve">), the incorporation of life coaching into mental health care might be a method that is not only cost-effective but also improves the outcomes for some individuals. </w:t>
      </w:r>
    </w:p>
    <w:p w:rsidR="00BC06D6" w:rsidRPr="00952210" w:rsidRDefault="00BC06D6" w:rsidP="00952210">
      <w:pPr>
        <w:shd w:val="clear" w:color="auto" w:fill="FFFFFF"/>
        <w:spacing w:line="360" w:lineRule="auto"/>
        <w:jc w:val="both"/>
        <w:rPr>
          <w:rFonts w:asciiTheme="minorHAnsi" w:hAnsiTheme="minorHAnsi"/>
          <w:color w:val="353740"/>
        </w:rPr>
      </w:pPr>
      <w:r w:rsidRPr="00952210">
        <w:rPr>
          <w:rFonts w:asciiTheme="minorHAnsi" w:hAnsiTheme="minorHAnsi"/>
          <w:color w:val="353740"/>
        </w:rPr>
        <w:t>In addition, life coaches and mental health professionals must collaborate and share information in order to offer individuals in post-discharge settings co-ordinated and effective care (Hitchchings et al., 2018</w:t>
      </w:r>
      <w:r w:rsidR="00F130C3" w:rsidRPr="00952210">
        <w:rPr>
          <w:rFonts w:asciiTheme="minorHAnsi" w:hAnsiTheme="minorHAnsi"/>
          <w:color w:val="353740"/>
        </w:rPr>
        <w:t>,p.158-173</w:t>
      </w:r>
      <w:r w:rsidRPr="00952210">
        <w:rPr>
          <w:rFonts w:asciiTheme="minorHAnsi" w:hAnsiTheme="minorHAnsi"/>
          <w:color w:val="353740"/>
        </w:rPr>
        <w:t>). In the event that these professionals fail to collaborate efficiently, the question we may ask ourselves is there a potential for them to encounter conflicts or misinterpretations (Cohen et al.,2019</w:t>
      </w:r>
      <w:r w:rsidR="00F130C3" w:rsidRPr="00952210">
        <w:rPr>
          <w:rFonts w:asciiTheme="minorHAnsi" w:hAnsiTheme="minorHAnsi"/>
          <w:color w:val="353740"/>
        </w:rPr>
        <w:t>,p.869-880</w:t>
      </w:r>
      <w:r w:rsidRPr="00952210">
        <w:rPr>
          <w:rFonts w:asciiTheme="minorHAnsi" w:hAnsiTheme="minorHAnsi"/>
          <w:color w:val="353740"/>
        </w:rPr>
        <w:t xml:space="preserve">). </w:t>
      </w:r>
    </w:p>
    <w:p w:rsidR="00BC06D6" w:rsidRPr="00952210" w:rsidRDefault="00BC06D6" w:rsidP="00952210">
      <w:pPr>
        <w:shd w:val="clear" w:color="auto" w:fill="FFFFFF"/>
        <w:spacing w:line="360" w:lineRule="auto"/>
        <w:jc w:val="both"/>
        <w:rPr>
          <w:rFonts w:asciiTheme="minorHAnsi" w:hAnsiTheme="minorHAnsi"/>
          <w:color w:val="353740"/>
        </w:rPr>
      </w:pPr>
      <w:r w:rsidRPr="00952210">
        <w:rPr>
          <w:rFonts w:asciiTheme="minorHAnsi" w:hAnsiTheme="minorHAnsi"/>
          <w:color w:val="353740"/>
        </w:rPr>
        <w:t>Based on the research of Bartholomew et al., (2017</w:t>
      </w:r>
      <w:r w:rsidR="00F130C3" w:rsidRPr="00952210">
        <w:rPr>
          <w:rFonts w:asciiTheme="minorHAnsi" w:hAnsiTheme="minorHAnsi"/>
          <w:color w:val="353740"/>
        </w:rPr>
        <w:t>,p.336-354</w:t>
      </w:r>
      <w:r w:rsidRPr="00952210">
        <w:rPr>
          <w:rFonts w:asciiTheme="minorHAnsi" w:hAnsiTheme="minorHAnsi"/>
          <w:color w:val="353740"/>
        </w:rPr>
        <w:t>) and Fisher et al., (2008</w:t>
      </w:r>
      <w:r w:rsidR="00F130C3" w:rsidRPr="00952210">
        <w:rPr>
          <w:rFonts w:asciiTheme="minorHAnsi" w:hAnsiTheme="minorHAnsi"/>
          <w:color w:val="353740"/>
        </w:rPr>
        <w:t>,p.356-359</w:t>
      </w:r>
      <w:r w:rsidRPr="00952210">
        <w:rPr>
          <w:rFonts w:asciiTheme="minorHAnsi" w:hAnsiTheme="minorHAnsi"/>
          <w:color w:val="353740"/>
        </w:rPr>
        <w:t>), they found that life coaching can help individuals rediscover their value and take charge of their own recovery journey. The practice of working together with clients to define and work towards personal goals and aspirations is what has been shown to be effective in achieving this goal. This approach is consistent with the recovery-oriented approach in mental health, which recognises the relevance of individual empowerment and self-determination (Slade et al., 2014</w:t>
      </w:r>
      <w:r w:rsidR="00F130C3" w:rsidRPr="00952210">
        <w:rPr>
          <w:rFonts w:asciiTheme="minorHAnsi" w:hAnsiTheme="minorHAnsi"/>
          <w:color w:val="353740"/>
        </w:rPr>
        <w:t>,p.1-8</w:t>
      </w:r>
      <w:r w:rsidRPr="00952210">
        <w:rPr>
          <w:rFonts w:asciiTheme="minorHAnsi" w:hAnsiTheme="minorHAnsi"/>
          <w:color w:val="353740"/>
        </w:rPr>
        <w:t>). Furthermore, another possible advantage is the role that life coaching may play in resolving the practical challenges that individuals who suffer from mental illnesses face, such as employment, education, and relationships. This is an area that can be addressed by life coaching. This further supports the idea that mental health treatment must be holistic and focused on the individual (Reeve et al. 2009</w:t>
      </w:r>
      <w:r w:rsidR="008D4974" w:rsidRPr="00952210">
        <w:rPr>
          <w:rFonts w:asciiTheme="minorHAnsi" w:hAnsiTheme="minorHAnsi"/>
          <w:color w:val="353740"/>
        </w:rPr>
        <w:t>,p.34-41</w:t>
      </w:r>
      <w:r w:rsidRPr="00952210">
        <w:rPr>
          <w:rFonts w:asciiTheme="minorHAnsi" w:hAnsiTheme="minorHAnsi"/>
          <w:color w:val="353740"/>
        </w:rPr>
        <w:t>; Kaufman and Scogin 2012</w:t>
      </w:r>
      <w:r w:rsidR="008D4974" w:rsidRPr="00952210">
        <w:rPr>
          <w:rFonts w:asciiTheme="minorHAnsi" w:hAnsiTheme="minorHAnsi"/>
          <w:color w:val="353740"/>
        </w:rPr>
        <w:t>,p.69-78</w:t>
      </w:r>
      <w:r w:rsidRPr="00952210">
        <w:rPr>
          <w:rFonts w:asciiTheme="minorHAnsi" w:hAnsiTheme="minorHAnsi"/>
          <w:color w:val="353740"/>
        </w:rPr>
        <w:t>). Not only does this method prioritise symptom management, but it also seeks to address systemic issues that may be impeding recovery. The current evidence strongly supports the feasibility and potential effectiveness of life coaching in promoting mental health rehabilitation. According to the findings of a number of research studies, including those conducted by Bartholomew et al., (2017</w:t>
      </w:r>
      <w:r w:rsidR="008D4974" w:rsidRPr="00952210">
        <w:rPr>
          <w:rFonts w:asciiTheme="minorHAnsi" w:hAnsiTheme="minorHAnsi"/>
          <w:color w:val="353740"/>
        </w:rPr>
        <w:t>,p.336-354</w:t>
      </w:r>
      <w:r w:rsidRPr="00952210">
        <w:rPr>
          <w:rFonts w:asciiTheme="minorHAnsi" w:hAnsiTheme="minorHAnsi"/>
          <w:color w:val="353740"/>
        </w:rPr>
        <w:t>), Fisher et al. (2008</w:t>
      </w:r>
      <w:r w:rsidR="008D4974" w:rsidRPr="00952210">
        <w:rPr>
          <w:rFonts w:asciiTheme="minorHAnsi" w:hAnsiTheme="minorHAnsi"/>
          <w:color w:val="353740"/>
        </w:rPr>
        <w:t>,p.356-359</w:t>
      </w:r>
      <w:r w:rsidRPr="00952210">
        <w:rPr>
          <w:rFonts w:asciiTheme="minorHAnsi" w:hAnsiTheme="minorHAnsi"/>
          <w:color w:val="353740"/>
        </w:rPr>
        <w:t>), and Reeve et al., (2009</w:t>
      </w:r>
      <w:r w:rsidR="008D4974" w:rsidRPr="00952210">
        <w:rPr>
          <w:rFonts w:asciiTheme="minorHAnsi" w:hAnsiTheme="minorHAnsi"/>
          <w:color w:val="353740"/>
        </w:rPr>
        <w:t>,p.34-41</w:t>
      </w:r>
      <w:r w:rsidRPr="00952210">
        <w:rPr>
          <w:rFonts w:asciiTheme="minorHAnsi" w:hAnsiTheme="minorHAnsi"/>
          <w:color w:val="353740"/>
        </w:rPr>
        <w:t xml:space="preserve">), this method has the potential to be met with positive reception and to have a significant influence on the lives of individuals. Positive results have been obtained from these discoveries and experiences. However, as previously mentioned, despite the fact that there is the potential for benefits, there are also limitations and challenges that need to be </w:t>
      </w:r>
      <w:r w:rsidR="008D4974" w:rsidRPr="00952210">
        <w:rPr>
          <w:rFonts w:asciiTheme="minorHAnsi" w:hAnsiTheme="minorHAnsi"/>
          <w:color w:val="353740"/>
        </w:rPr>
        <w:t>taken into</w:t>
      </w:r>
      <w:r w:rsidRPr="00952210">
        <w:rPr>
          <w:rFonts w:asciiTheme="minorHAnsi" w:hAnsiTheme="minorHAnsi"/>
          <w:color w:val="353740"/>
        </w:rPr>
        <w:t xml:space="preserve"> account.  There is a lack of standardisation and regulation in the field of life coaching, this  is a significant cause for concern because it may result in varying degrees of effectiveness and quality of therapy that is provided to clients. In light of this, concerns have been raised regarding the appropriateness and safety of the support that is currently being offered (Gardiner et al., 2017</w:t>
      </w:r>
      <w:r w:rsidR="008D4974" w:rsidRPr="00952210">
        <w:rPr>
          <w:rFonts w:asciiTheme="minorHAnsi" w:hAnsiTheme="minorHAnsi"/>
          <w:color w:val="353740"/>
        </w:rPr>
        <w:t>,p.175-180</w:t>
      </w:r>
      <w:r w:rsidRPr="00952210">
        <w:rPr>
          <w:rFonts w:asciiTheme="minorHAnsi" w:hAnsiTheme="minorHAnsi"/>
          <w:color w:val="353740"/>
        </w:rPr>
        <w:t>). According to Gardiner et al., (2017), individuals who have limited financial resources may encounter a barrier in the form of the expense of life coaching services due to the fact that they are not easily accessible. This has the ability to widen a healthcare disparity that already exists. We should also think about the risks and limitations that could be involved, for example;  not including individuals  with more serious mental health issues and the risk that coaching will replace traditional mental health treatments (Drury et al., 2010</w:t>
      </w:r>
      <w:r w:rsidR="008D4974" w:rsidRPr="00952210">
        <w:rPr>
          <w:rFonts w:asciiTheme="minorHAnsi" w:hAnsiTheme="minorHAnsi"/>
          <w:color w:val="353740"/>
        </w:rPr>
        <w:t>,p.313-317</w:t>
      </w:r>
      <w:r w:rsidRPr="00952210">
        <w:rPr>
          <w:rFonts w:asciiTheme="minorHAnsi" w:hAnsiTheme="minorHAnsi"/>
          <w:color w:val="353740"/>
        </w:rPr>
        <w:t>). In addition, to solve the issues mentioned, Gardiner et al., (2017) proposes that guidelines and standards for life coaching in mental health services should be established. Pakenham et al., (2014</w:t>
      </w:r>
      <w:r w:rsidR="008D4974" w:rsidRPr="00952210">
        <w:rPr>
          <w:rFonts w:asciiTheme="minorHAnsi" w:hAnsiTheme="minorHAnsi"/>
          <w:color w:val="353740"/>
        </w:rPr>
        <w:t>,p.144-147</w:t>
      </w:r>
      <w:r w:rsidRPr="00952210">
        <w:rPr>
          <w:rFonts w:asciiTheme="minorHAnsi" w:hAnsiTheme="minorHAnsi"/>
          <w:color w:val="353740"/>
        </w:rPr>
        <w:t>), suggests that in order for life coaches to be able to provide support that is both of high quality and efficient, it is vital for them to have the required training and supervision. Within the context of post-discharge therapy, it is important to take into consideration the possibility of collaboration and relationship between mental health specialists and qualified life coaches. Some are of the opinion, that life coaches can assist in supplementing the work of mental health professionals and provide a more all round  and individualised approach to support (Pakenham et al., 2014). As mentioned earlier, there are also individuals who are concerned about the possibility of role conflicts and the necessity of distinct limits and communication between the two professions (Gardiner et al., 2017). In view of this it is necessary to conduct additional research in order to determine the most effective ways of implementing life coaching into the mental health services. Research has shown that social support is crucial for people with severe mental illnesses to be able to rehabilitate (Galant-Miecznikowska 2019</w:t>
      </w:r>
      <w:r w:rsidR="008D4974" w:rsidRPr="00952210">
        <w:rPr>
          <w:rFonts w:asciiTheme="minorHAnsi" w:hAnsiTheme="minorHAnsi"/>
          <w:color w:val="353740"/>
        </w:rPr>
        <w:t>,p.180-190</w:t>
      </w:r>
      <w:r w:rsidRPr="00952210">
        <w:rPr>
          <w:rFonts w:asciiTheme="minorHAnsi" w:hAnsiTheme="minorHAnsi"/>
          <w:color w:val="353740"/>
        </w:rPr>
        <w:t>). When it comes to providing aid, social support can be both emotional and practical. Therefore, in order to develop a network that is more comprehensive, it is vital to incorporate family and friends as part of the support system and to educate them about doing so. Life coaching has potential benefits when integrated into mental health care (Bartholomew et al., 2017; Fisher et al., 2008; Reeve et al. 2009; Yarmolnik &amp; Aldea, 2020</w:t>
      </w:r>
      <w:r w:rsidR="008D4974" w:rsidRPr="00952210">
        <w:rPr>
          <w:rFonts w:asciiTheme="minorHAnsi" w:hAnsiTheme="minorHAnsi"/>
          <w:color w:val="353740"/>
        </w:rPr>
        <w:t>,p.5-18</w:t>
      </w:r>
      <w:r w:rsidRPr="00952210">
        <w:rPr>
          <w:rFonts w:asciiTheme="minorHAnsi" w:hAnsiTheme="minorHAnsi"/>
          <w:color w:val="353740"/>
        </w:rPr>
        <w:t xml:space="preserve">). On the other hand, additional research is necessary to assess whether or not life coaching is effective and whether or not it is culturally appropriate in the context of post-discharge care. Life coaches have been shown to have positive effects and potential benefits for mental health clients, even if there is little evidence supporting their use in post-discharge treatment. </w:t>
      </w:r>
    </w:p>
    <w:p w:rsidR="00BC06D6" w:rsidRPr="00952210" w:rsidRDefault="00BC06D6" w:rsidP="00952210">
      <w:pPr>
        <w:shd w:val="clear" w:color="auto" w:fill="FFFFFF"/>
        <w:spacing w:line="360" w:lineRule="auto"/>
        <w:jc w:val="both"/>
        <w:rPr>
          <w:rFonts w:asciiTheme="minorHAnsi" w:hAnsiTheme="minorHAnsi"/>
          <w:color w:val="353740"/>
        </w:rPr>
      </w:pPr>
      <w:r w:rsidRPr="00952210">
        <w:rPr>
          <w:rFonts w:asciiTheme="minorHAnsi" w:hAnsiTheme="minorHAnsi"/>
          <w:color w:val="353740"/>
        </w:rPr>
        <w:t>In conclusion, this review emphasises the potential advantages that could be gained by including life coaching into post-discharge care for those who are receiving mental health services. There is evidence to suggest that life coaching can assist in the rehabilitation of mental health conditions, to improve abilities in self-management, and to minimise the rates of repeated episodes. This technique provides a personalised strategy that enables individuals to establish and accomplish their own particular goals, ultimately contributing to an overall improvement in well-being. However, there are a number of obstacles that need to be addressed, including the absence of regulation and standardisation in the field of life coaching, accessibility problems for persons who are concerned about their financial situation, and the requirement for collaboration between life coaches and specialists working in the field of mental health. Life coaching has shown promising results in the short term, but more study is needed to determine its efficacy in the long run and whether it is culturally app</w:t>
      </w:r>
      <w:r w:rsidR="00F31092">
        <w:rPr>
          <w:rFonts w:asciiTheme="minorHAnsi" w:hAnsiTheme="minorHAnsi"/>
          <w:color w:val="353740"/>
        </w:rPr>
        <w:t>ropriate in different settings.</w:t>
      </w:r>
    </w:p>
    <w:p w:rsidR="00952210" w:rsidRPr="00F31092" w:rsidRDefault="00F31092" w:rsidP="00F31092">
      <w:pPr>
        <w:shd w:val="clear" w:color="auto" w:fill="FFFFFF"/>
        <w:spacing w:line="360" w:lineRule="auto"/>
        <w:jc w:val="both"/>
        <w:rPr>
          <w:rFonts w:asciiTheme="minorHAnsi" w:hAnsiTheme="minorHAnsi"/>
          <w:color w:val="353740"/>
        </w:rPr>
      </w:pPr>
      <w:r>
        <w:rPr>
          <w:rFonts w:asciiTheme="minorHAnsi" w:hAnsiTheme="minorHAnsi"/>
          <w:color w:val="353740"/>
        </w:rPr>
        <w:t xml:space="preserve">    </w:t>
      </w:r>
      <w:bookmarkStart w:id="0" w:name="_GoBack"/>
      <w:bookmarkEnd w:id="0"/>
      <w:r>
        <w:rPr>
          <w:rFonts w:asciiTheme="minorHAnsi" w:hAnsiTheme="minorHAnsi"/>
          <w:color w:val="353740"/>
        </w:rPr>
        <w:t xml:space="preserve">                </w:t>
      </w:r>
      <w:r w:rsidR="00BC06D6" w:rsidRPr="00952210">
        <w:rPr>
          <w:rFonts w:asciiTheme="minorHAnsi" w:hAnsiTheme="minorHAnsi"/>
          <w:color w:val="353740"/>
        </w:rPr>
        <w:t xml:space="preserve">   </w:t>
      </w:r>
      <w:r>
        <w:rPr>
          <w:rFonts w:asciiTheme="minorHAnsi" w:hAnsiTheme="minorHAnsi"/>
          <w:color w:val="353740"/>
        </w:rPr>
        <w:t xml:space="preserve">                            </w:t>
      </w:r>
      <w:r w:rsidR="00BC06D6" w:rsidRPr="00952210">
        <w:rPr>
          <w:rFonts w:asciiTheme="minorHAnsi" w:hAnsiTheme="minorHAnsi"/>
          <w:color w:val="353740"/>
          <w:shd w:val="clear" w:color="auto" w:fill="FFFFFF"/>
        </w:rPr>
        <w:t xml:space="preserve"> </w:t>
      </w:r>
      <w:r>
        <w:rPr>
          <w:rFonts w:asciiTheme="minorHAnsi" w:hAnsiTheme="minorHAnsi"/>
          <w:color w:val="353740"/>
          <w:shd w:val="clear" w:color="auto" w:fill="FFFFFF"/>
        </w:rPr>
        <w:t xml:space="preserve">                          </w:t>
      </w:r>
    </w:p>
    <w:p w:rsidR="00952210" w:rsidRDefault="00952210" w:rsidP="00952210">
      <w:pPr>
        <w:spacing w:line="360" w:lineRule="auto"/>
        <w:jc w:val="both"/>
        <w:rPr>
          <w:rFonts w:asciiTheme="minorHAnsi" w:hAnsiTheme="minorHAnsi"/>
          <w:color w:val="353740"/>
          <w:shd w:val="clear" w:color="auto" w:fill="FFFFFF"/>
        </w:rPr>
      </w:pPr>
    </w:p>
    <w:p w:rsidR="00BC06D6" w:rsidRPr="00952210" w:rsidRDefault="00F31092" w:rsidP="00952210">
      <w:pPr>
        <w:spacing w:line="360" w:lineRule="auto"/>
        <w:jc w:val="both"/>
        <w:rPr>
          <w:rFonts w:asciiTheme="minorHAnsi" w:hAnsiTheme="minorHAnsi"/>
          <w:b/>
          <w:color w:val="353740"/>
          <w:sz w:val="32"/>
          <w:szCs w:val="32"/>
          <w:shd w:val="clear" w:color="auto" w:fill="FFFFFF"/>
        </w:rPr>
      </w:pPr>
      <w:r>
        <w:rPr>
          <w:rFonts w:asciiTheme="minorHAnsi" w:hAnsiTheme="minorHAnsi"/>
          <w:color w:val="353740"/>
          <w:shd w:val="clear" w:color="auto" w:fill="FFFFFF"/>
        </w:rPr>
        <w:t xml:space="preserve"> </w:t>
      </w:r>
      <w:r w:rsidR="00BC06D6" w:rsidRPr="00952210">
        <w:rPr>
          <w:rFonts w:asciiTheme="minorHAnsi" w:hAnsiTheme="minorHAnsi"/>
          <w:color w:val="353740"/>
          <w:shd w:val="clear" w:color="auto" w:fill="FFFFFF"/>
        </w:rPr>
        <w:t xml:space="preserve">         </w:t>
      </w:r>
      <w:r w:rsidR="00952210">
        <w:rPr>
          <w:rFonts w:asciiTheme="minorHAnsi" w:hAnsiTheme="minorHAnsi"/>
          <w:color w:val="353740"/>
          <w:shd w:val="clear" w:color="auto" w:fill="FFFFFF"/>
        </w:rPr>
        <w:t xml:space="preserve">                                       </w:t>
      </w:r>
      <w:r w:rsidR="00BC06D6" w:rsidRPr="00952210">
        <w:rPr>
          <w:rFonts w:asciiTheme="minorHAnsi" w:hAnsiTheme="minorHAnsi"/>
          <w:color w:val="353740"/>
          <w:shd w:val="clear" w:color="auto" w:fill="FFFFFF"/>
        </w:rPr>
        <w:t xml:space="preserve">   </w:t>
      </w:r>
      <w:r w:rsidR="00BC06D6" w:rsidRPr="00952210">
        <w:rPr>
          <w:rFonts w:asciiTheme="minorHAnsi" w:hAnsiTheme="minorHAnsi"/>
          <w:b/>
          <w:color w:val="353740"/>
          <w:sz w:val="32"/>
          <w:szCs w:val="32"/>
          <w:shd w:val="clear" w:color="auto" w:fill="FFFFFF"/>
        </w:rPr>
        <w:t>References</w:t>
      </w:r>
    </w:p>
    <w:p w:rsidR="00952210" w:rsidRPr="00952210" w:rsidRDefault="00952210" w:rsidP="00952210">
      <w:pPr>
        <w:spacing w:line="360" w:lineRule="auto"/>
        <w:jc w:val="both"/>
        <w:rPr>
          <w:rFonts w:asciiTheme="minorHAnsi" w:hAnsiTheme="minorHAnsi"/>
          <w:color w:val="353740"/>
          <w:shd w:val="clear" w:color="auto" w:fill="FFFFFF"/>
        </w:rPr>
      </w:pPr>
    </w:p>
    <w:p w:rsidR="00BC06D6" w:rsidRPr="00952210" w:rsidRDefault="00BC06D6" w:rsidP="00952210">
      <w:pPr>
        <w:spacing w:line="360" w:lineRule="auto"/>
        <w:jc w:val="both"/>
        <w:rPr>
          <w:rFonts w:asciiTheme="minorHAnsi" w:hAnsiTheme="minorHAnsi"/>
          <w:color w:val="353740"/>
        </w:rPr>
      </w:pPr>
    </w:p>
    <w:p w:rsidR="00BC06D6" w:rsidRPr="00952210" w:rsidRDefault="00BC06D6" w:rsidP="00952210">
      <w:pPr>
        <w:spacing w:line="360" w:lineRule="auto"/>
        <w:jc w:val="both"/>
        <w:rPr>
          <w:rFonts w:asciiTheme="minorHAnsi" w:hAnsiTheme="minorHAnsi"/>
          <w:color w:val="353740"/>
        </w:rPr>
      </w:pPr>
    </w:p>
    <w:p w:rsidR="00BC06D6" w:rsidRPr="00952210" w:rsidRDefault="00BC06D6" w:rsidP="00952210">
      <w:pPr>
        <w:spacing w:line="360" w:lineRule="auto"/>
        <w:jc w:val="both"/>
        <w:rPr>
          <w:rFonts w:asciiTheme="minorHAnsi" w:hAnsiTheme="minorHAnsi"/>
          <w:color w:val="353740"/>
        </w:rPr>
      </w:pPr>
    </w:p>
    <w:p w:rsidR="00BC06D6" w:rsidRPr="00952210" w:rsidRDefault="00BC06D6" w:rsidP="00952210">
      <w:pPr>
        <w:spacing w:line="360" w:lineRule="auto"/>
        <w:jc w:val="both"/>
        <w:rPr>
          <w:rFonts w:asciiTheme="minorHAnsi" w:hAnsiTheme="minorHAnsi"/>
          <w:color w:val="353740"/>
          <w:shd w:val="clear" w:color="auto" w:fill="FFFFFF"/>
        </w:rPr>
      </w:pPr>
      <w:r w:rsidRPr="00952210">
        <w:rPr>
          <w:rFonts w:asciiTheme="minorHAnsi" w:hAnsiTheme="minorHAnsi"/>
          <w:color w:val="353740"/>
          <w:shd w:val="clear" w:color="auto" w:fill="FFFFFF"/>
        </w:rPr>
        <w:t>Bartholomew, T., Peterson, J., Slocombe, L., Ache, K., Horan, B., &amp; Sherman, K. (2017). Effectiveness of a life coaching intervention on psychosocial well-being and employment for people with severe mental illness: a randomised controlled trial. Occupational Therapy in Mental Health, 33(4), 336-354.</w:t>
      </w:r>
    </w:p>
    <w:p w:rsidR="00BC06D6" w:rsidRPr="00952210" w:rsidRDefault="00BC06D6" w:rsidP="00952210">
      <w:pPr>
        <w:spacing w:line="360" w:lineRule="auto"/>
        <w:jc w:val="both"/>
        <w:rPr>
          <w:rFonts w:asciiTheme="minorHAnsi" w:hAnsiTheme="minorHAnsi"/>
          <w:color w:val="353740"/>
          <w:shd w:val="clear" w:color="auto" w:fill="FFFFFF"/>
        </w:rPr>
      </w:pPr>
    </w:p>
    <w:p w:rsidR="00BC06D6" w:rsidRPr="00952210" w:rsidRDefault="00BC06D6" w:rsidP="00952210">
      <w:pPr>
        <w:spacing w:line="360" w:lineRule="auto"/>
        <w:jc w:val="both"/>
        <w:rPr>
          <w:rFonts w:asciiTheme="minorHAnsi" w:hAnsiTheme="minorHAnsi"/>
          <w:color w:val="353740"/>
          <w:shd w:val="clear" w:color="auto" w:fill="FFFFFF"/>
        </w:rPr>
      </w:pPr>
      <w:r w:rsidRPr="00952210">
        <w:rPr>
          <w:rFonts w:asciiTheme="minorHAnsi" w:hAnsiTheme="minorHAnsi"/>
          <w:color w:val="353740"/>
          <w:shd w:val="clear" w:color="auto" w:fill="FFFFFF"/>
        </w:rPr>
        <w:t xml:space="preserve">Baxter, A.J. (2019). People with lived experience needs their own mental health coach. International Journal of Mental Health Systems, 13(1), 1-2. </w:t>
      </w:r>
    </w:p>
    <w:p w:rsidR="00BC06D6" w:rsidRPr="00952210" w:rsidRDefault="00BC06D6" w:rsidP="00952210">
      <w:pPr>
        <w:spacing w:line="360" w:lineRule="auto"/>
        <w:jc w:val="both"/>
        <w:rPr>
          <w:rFonts w:asciiTheme="minorHAnsi" w:hAnsiTheme="minorHAnsi"/>
          <w:color w:val="353740"/>
          <w:shd w:val="clear" w:color="auto" w:fill="FFFFFF"/>
        </w:rPr>
      </w:pPr>
    </w:p>
    <w:p w:rsidR="00DB48D8" w:rsidRPr="00952210" w:rsidRDefault="00DB48D8" w:rsidP="00952210">
      <w:pPr>
        <w:spacing w:line="360" w:lineRule="auto"/>
        <w:rPr>
          <w:rFonts w:asciiTheme="minorHAnsi" w:hAnsiTheme="minorHAnsi"/>
          <w:lang w:eastAsia="en-US"/>
        </w:rPr>
      </w:pPr>
      <w:r w:rsidRPr="00952210">
        <w:rPr>
          <w:rFonts w:asciiTheme="minorHAnsi" w:hAnsiTheme="minorHAnsi"/>
          <w:color w:val="353740"/>
          <w:lang w:eastAsia="en-US"/>
        </w:rPr>
        <w:t>Beck, A. T. (2011). Cognitive behaviour therapy: Basics and beyond. New York, NY: Guilford Press.</w:t>
      </w:r>
    </w:p>
    <w:p w:rsidR="00DB48D8" w:rsidRPr="00952210" w:rsidRDefault="00DB48D8" w:rsidP="00952210">
      <w:pPr>
        <w:spacing w:line="360" w:lineRule="auto"/>
        <w:jc w:val="both"/>
        <w:rPr>
          <w:rFonts w:asciiTheme="minorHAnsi" w:hAnsiTheme="minorHAnsi"/>
          <w:color w:val="353740"/>
          <w:shd w:val="clear" w:color="auto" w:fill="FFFFFF"/>
        </w:rPr>
      </w:pPr>
    </w:p>
    <w:p w:rsidR="00BC06D6" w:rsidRPr="00952210" w:rsidRDefault="00BC06D6" w:rsidP="00952210">
      <w:pPr>
        <w:spacing w:line="360" w:lineRule="auto"/>
        <w:jc w:val="both"/>
        <w:rPr>
          <w:rFonts w:asciiTheme="minorHAnsi" w:hAnsiTheme="minorHAnsi"/>
          <w:color w:val="353740"/>
          <w:shd w:val="clear" w:color="auto" w:fill="FFFFFF"/>
        </w:rPr>
      </w:pPr>
      <w:r w:rsidRPr="00952210">
        <w:rPr>
          <w:rFonts w:asciiTheme="minorHAnsi" w:hAnsiTheme="minorHAnsi"/>
          <w:color w:val="353740"/>
          <w:shd w:val="clear" w:color="auto" w:fill="FFFFFF"/>
        </w:rPr>
        <w:t xml:space="preserve">Clutterbuck, J. (2018). The advantages and challenges of evidence based coaching. Evidence Based Coaching Handbook: Putting Best Practices to Work for Your Clients, 2, 365-374. </w:t>
      </w:r>
    </w:p>
    <w:p w:rsidR="00BC06D6" w:rsidRPr="00952210" w:rsidRDefault="00BC06D6" w:rsidP="00952210">
      <w:pPr>
        <w:spacing w:line="360" w:lineRule="auto"/>
        <w:jc w:val="both"/>
        <w:rPr>
          <w:rFonts w:asciiTheme="minorHAnsi" w:hAnsiTheme="minorHAnsi"/>
          <w:color w:val="353740"/>
          <w:shd w:val="clear" w:color="auto" w:fill="FFFFFF"/>
        </w:rPr>
      </w:pPr>
    </w:p>
    <w:p w:rsidR="00BC06D6" w:rsidRPr="00952210" w:rsidRDefault="00BC06D6" w:rsidP="00952210">
      <w:pPr>
        <w:spacing w:line="360" w:lineRule="auto"/>
        <w:jc w:val="both"/>
        <w:rPr>
          <w:rFonts w:asciiTheme="minorHAnsi" w:hAnsiTheme="minorHAnsi"/>
          <w:color w:val="353740"/>
          <w:shd w:val="clear" w:color="auto" w:fill="FFFFFF"/>
        </w:rPr>
      </w:pPr>
      <w:r w:rsidRPr="00952210">
        <w:rPr>
          <w:rFonts w:asciiTheme="minorHAnsi" w:hAnsiTheme="minorHAnsi"/>
          <w:color w:val="353740"/>
          <w:shd w:val="clear" w:color="auto" w:fill="FFFFFF"/>
        </w:rPr>
        <w:t xml:space="preserve">Cohen, L.J., Dryden, W., &amp; Dattilio, F.M. (2019). Training and regulation of coaching in mental health settings. Cognitive and Behavioral Practice, 26(4), 869-880. </w:t>
      </w:r>
    </w:p>
    <w:p w:rsidR="00BC06D6" w:rsidRPr="00952210" w:rsidRDefault="00BC06D6" w:rsidP="00952210">
      <w:pPr>
        <w:spacing w:line="360" w:lineRule="auto"/>
        <w:jc w:val="both"/>
        <w:rPr>
          <w:rFonts w:asciiTheme="minorHAnsi" w:hAnsiTheme="minorHAnsi"/>
          <w:color w:val="353740"/>
          <w:shd w:val="clear" w:color="auto" w:fill="FFFFFF"/>
        </w:rPr>
      </w:pPr>
    </w:p>
    <w:p w:rsidR="00BC06D6" w:rsidRPr="00952210" w:rsidRDefault="00BC06D6" w:rsidP="00952210">
      <w:pPr>
        <w:spacing w:line="360" w:lineRule="auto"/>
        <w:jc w:val="both"/>
        <w:rPr>
          <w:rFonts w:asciiTheme="minorHAnsi" w:hAnsiTheme="minorHAnsi"/>
          <w:color w:val="353740"/>
          <w:shd w:val="clear" w:color="auto" w:fill="FFFFFF"/>
        </w:rPr>
      </w:pPr>
      <w:r w:rsidRPr="00952210">
        <w:rPr>
          <w:rFonts w:asciiTheme="minorHAnsi" w:hAnsiTheme="minorHAnsi"/>
          <w:color w:val="353740"/>
          <w:shd w:val="clear" w:color="auto" w:fill="FFFFFF"/>
        </w:rPr>
        <w:t xml:space="preserve">Davis, S., &amp; McClanahan, J. (2019). Life coaching: a proposed complementary intervention to improve recovery-oriented outcomes. Psychiatric Services, 70(11), 963-966. </w:t>
      </w:r>
    </w:p>
    <w:p w:rsidR="00BC06D6" w:rsidRPr="00952210" w:rsidRDefault="00BC06D6" w:rsidP="00952210">
      <w:pPr>
        <w:spacing w:line="360" w:lineRule="auto"/>
        <w:jc w:val="both"/>
        <w:rPr>
          <w:rFonts w:asciiTheme="minorHAnsi" w:hAnsiTheme="minorHAnsi"/>
          <w:color w:val="353740"/>
          <w:shd w:val="clear" w:color="auto" w:fill="FFFFFF"/>
        </w:rPr>
      </w:pPr>
    </w:p>
    <w:p w:rsidR="00BC06D6" w:rsidRPr="00952210" w:rsidRDefault="00BC06D6" w:rsidP="00952210">
      <w:pPr>
        <w:spacing w:line="360" w:lineRule="auto"/>
        <w:jc w:val="both"/>
        <w:rPr>
          <w:rFonts w:asciiTheme="minorHAnsi" w:hAnsiTheme="minorHAnsi"/>
          <w:color w:val="353740"/>
          <w:shd w:val="clear" w:color="auto" w:fill="FFFFFF"/>
        </w:rPr>
      </w:pPr>
      <w:r w:rsidRPr="00952210">
        <w:rPr>
          <w:rFonts w:asciiTheme="minorHAnsi" w:hAnsiTheme="minorHAnsi"/>
          <w:color w:val="353740"/>
          <w:shd w:val="clear" w:color="auto" w:fill="FFFFFF"/>
        </w:rPr>
        <w:t xml:space="preserve">Drury, J., Ponto, M., &amp; Trajkovski, K. (2010). Improving adherence to antipsychotic medications in persons with mental illness. Journal of the American Psychiatric Nurses Association, 16(5), 313-317. </w:t>
      </w:r>
    </w:p>
    <w:p w:rsidR="00BC06D6" w:rsidRPr="00952210" w:rsidRDefault="00BC06D6" w:rsidP="00952210">
      <w:pPr>
        <w:spacing w:line="360" w:lineRule="auto"/>
        <w:jc w:val="both"/>
        <w:rPr>
          <w:rFonts w:asciiTheme="minorHAnsi" w:hAnsiTheme="minorHAnsi"/>
          <w:color w:val="353740"/>
          <w:shd w:val="clear" w:color="auto" w:fill="FFFFFF"/>
        </w:rPr>
      </w:pPr>
    </w:p>
    <w:p w:rsidR="00BC06D6" w:rsidRPr="00952210" w:rsidRDefault="00BC06D6" w:rsidP="00952210">
      <w:pPr>
        <w:spacing w:line="360" w:lineRule="auto"/>
        <w:jc w:val="both"/>
        <w:rPr>
          <w:rFonts w:asciiTheme="minorHAnsi" w:hAnsiTheme="minorHAnsi"/>
          <w:color w:val="353740"/>
          <w:shd w:val="clear" w:color="auto" w:fill="FFFFFF"/>
        </w:rPr>
      </w:pPr>
      <w:r w:rsidRPr="00952210">
        <w:rPr>
          <w:rFonts w:asciiTheme="minorHAnsi" w:hAnsiTheme="minorHAnsi"/>
          <w:color w:val="353740"/>
          <w:shd w:val="clear" w:color="auto" w:fill="FFFFFF"/>
        </w:rPr>
        <w:t>Fisher, R.S., Chiko, B.P., Cohen-Wilson, K., &amp; Kasonde, J. (2008). Transformative life coaching for individuals with disabilities: a preliminary report of intervention outcomes. Rehabilitation Psychology, 53(3), 356-359.</w:t>
      </w:r>
    </w:p>
    <w:p w:rsidR="00BC06D6" w:rsidRPr="00952210" w:rsidRDefault="00BC06D6" w:rsidP="00952210">
      <w:pPr>
        <w:spacing w:line="360" w:lineRule="auto"/>
        <w:jc w:val="both"/>
        <w:rPr>
          <w:rFonts w:asciiTheme="minorHAnsi" w:hAnsiTheme="minorHAnsi"/>
          <w:color w:val="353740"/>
          <w:shd w:val="clear" w:color="auto" w:fill="FFFFFF"/>
        </w:rPr>
      </w:pPr>
    </w:p>
    <w:p w:rsidR="00BC06D6" w:rsidRPr="00952210" w:rsidRDefault="00BC06D6" w:rsidP="00952210">
      <w:pPr>
        <w:spacing w:line="360" w:lineRule="auto"/>
        <w:jc w:val="both"/>
        <w:rPr>
          <w:rFonts w:asciiTheme="minorHAnsi" w:hAnsiTheme="minorHAnsi"/>
          <w:color w:val="353740"/>
          <w:shd w:val="clear" w:color="auto" w:fill="FFFFFF"/>
        </w:rPr>
      </w:pPr>
      <w:r w:rsidRPr="00952210">
        <w:rPr>
          <w:rFonts w:asciiTheme="minorHAnsi" w:hAnsiTheme="minorHAnsi"/>
          <w:color w:val="353740"/>
          <w:shd w:val="clear" w:color="auto" w:fill="FFFFFF"/>
        </w:rPr>
        <w:t xml:space="preserve">Galant-Miecznikowska, L. (2019). Social support and rehabilitation outcomes in individuals with serious mental illness: a systematic review and meta-analysis. Archives of Psychiatric Nursing, 33(4), 180-190. </w:t>
      </w:r>
    </w:p>
    <w:p w:rsidR="00BC06D6" w:rsidRPr="00952210" w:rsidRDefault="00BC06D6" w:rsidP="00952210">
      <w:pPr>
        <w:spacing w:line="360" w:lineRule="auto"/>
        <w:jc w:val="both"/>
        <w:rPr>
          <w:rFonts w:asciiTheme="minorHAnsi" w:hAnsiTheme="minorHAnsi"/>
          <w:color w:val="353740"/>
          <w:shd w:val="clear" w:color="auto" w:fill="FFFFFF"/>
        </w:rPr>
      </w:pPr>
    </w:p>
    <w:p w:rsidR="00BC06D6" w:rsidRPr="00952210" w:rsidRDefault="00BC06D6" w:rsidP="00952210">
      <w:pPr>
        <w:spacing w:line="360" w:lineRule="auto"/>
        <w:jc w:val="both"/>
        <w:rPr>
          <w:rFonts w:asciiTheme="minorHAnsi" w:hAnsiTheme="minorHAnsi"/>
          <w:color w:val="353740"/>
          <w:shd w:val="clear" w:color="auto" w:fill="FFFFFF"/>
        </w:rPr>
      </w:pPr>
      <w:r w:rsidRPr="00952210">
        <w:rPr>
          <w:rFonts w:asciiTheme="minorHAnsi" w:hAnsiTheme="minorHAnsi"/>
          <w:color w:val="353740"/>
          <w:shd w:val="clear" w:color="auto" w:fill="FFFFFF"/>
        </w:rPr>
        <w:t xml:space="preserve">Gardiner, C., Geldenhuys, D., &amp; Gott, K.M. (2017). Exploring the role of life coaching in mental health care: a systematic review. Journal of Mental Health, 26(2), 175-180. </w:t>
      </w:r>
    </w:p>
    <w:p w:rsidR="00BC06D6" w:rsidRPr="00952210" w:rsidRDefault="00BC06D6" w:rsidP="00952210">
      <w:pPr>
        <w:spacing w:line="360" w:lineRule="auto"/>
        <w:jc w:val="both"/>
        <w:rPr>
          <w:rFonts w:asciiTheme="minorHAnsi" w:hAnsiTheme="minorHAnsi"/>
          <w:color w:val="353740"/>
          <w:shd w:val="clear" w:color="auto" w:fill="FFFFFF"/>
        </w:rPr>
      </w:pPr>
    </w:p>
    <w:p w:rsidR="00BC06D6" w:rsidRPr="00952210" w:rsidRDefault="00BC06D6" w:rsidP="00952210">
      <w:pPr>
        <w:spacing w:line="360" w:lineRule="auto"/>
        <w:jc w:val="both"/>
        <w:rPr>
          <w:rFonts w:asciiTheme="minorHAnsi" w:hAnsiTheme="minorHAnsi"/>
          <w:color w:val="353740"/>
          <w:shd w:val="clear" w:color="auto" w:fill="FFFFFF"/>
        </w:rPr>
      </w:pPr>
      <w:r w:rsidRPr="00952210">
        <w:rPr>
          <w:rFonts w:asciiTheme="minorHAnsi" w:hAnsiTheme="minorHAnsi"/>
          <w:color w:val="353740"/>
          <w:shd w:val="clear" w:color="auto" w:fill="FFFFFF"/>
        </w:rPr>
        <w:t xml:space="preserve">Hitchings, H., Debrito, F., &amp; Werner, P. (2018). The role of life coaching in promoting mental health: a scoping review. International Journal of Evidence-Based Coaching and Mentoring, 16(2), 158-173. </w:t>
      </w:r>
    </w:p>
    <w:p w:rsidR="00BC06D6" w:rsidRPr="00952210" w:rsidRDefault="00BC06D6" w:rsidP="00952210">
      <w:pPr>
        <w:spacing w:line="360" w:lineRule="auto"/>
        <w:jc w:val="both"/>
        <w:rPr>
          <w:rFonts w:asciiTheme="minorHAnsi" w:hAnsiTheme="minorHAnsi"/>
          <w:color w:val="353740"/>
          <w:shd w:val="clear" w:color="auto" w:fill="FFFFFF"/>
        </w:rPr>
      </w:pPr>
    </w:p>
    <w:p w:rsidR="00BC06D6" w:rsidRPr="00952210" w:rsidRDefault="00BC06D6" w:rsidP="00952210">
      <w:pPr>
        <w:spacing w:line="360" w:lineRule="auto"/>
        <w:jc w:val="both"/>
        <w:rPr>
          <w:rFonts w:asciiTheme="minorHAnsi" w:hAnsiTheme="minorHAnsi"/>
          <w:color w:val="353740"/>
          <w:shd w:val="clear" w:color="auto" w:fill="FFFFFF"/>
        </w:rPr>
      </w:pPr>
      <w:r w:rsidRPr="00952210">
        <w:rPr>
          <w:rFonts w:asciiTheme="minorHAnsi" w:hAnsiTheme="minorHAnsi"/>
          <w:color w:val="353740"/>
          <w:shd w:val="clear" w:color="auto" w:fill="FFFFFF"/>
        </w:rPr>
        <w:t xml:space="preserve">Jankowski, T., Mueller, M., &amp; Blatterer-Hofer, B. (2020). Training and certification in life coaching: a systematic review. International Journal of Evidence-Based Coaching and Mentoring, 18(1), 78-97. </w:t>
      </w:r>
    </w:p>
    <w:p w:rsidR="00BC06D6" w:rsidRPr="00952210" w:rsidRDefault="00BC06D6" w:rsidP="00952210">
      <w:pPr>
        <w:spacing w:line="360" w:lineRule="auto"/>
        <w:jc w:val="both"/>
        <w:rPr>
          <w:rFonts w:asciiTheme="minorHAnsi" w:hAnsiTheme="minorHAnsi"/>
          <w:color w:val="353740"/>
          <w:shd w:val="clear" w:color="auto" w:fill="FFFFFF"/>
        </w:rPr>
      </w:pPr>
    </w:p>
    <w:p w:rsidR="00BC06D6" w:rsidRPr="00952210" w:rsidRDefault="00BC06D6" w:rsidP="00952210">
      <w:pPr>
        <w:spacing w:line="360" w:lineRule="auto"/>
        <w:rPr>
          <w:rFonts w:asciiTheme="minorHAnsi" w:hAnsiTheme="minorHAnsi"/>
          <w:color w:val="353740"/>
        </w:rPr>
      </w:pPr>
      <w:r w:rsidRPr="00952210">
        <w:rPr>
          <w:rFonts w:asciiTheme="minorHAnsi" w:hAnsiTheme="minorHAnsi"/>
          <w:color w:val="353740"/>
        </w:rPr>
        <w:t xml:space="preserve">Kaufman, K. &amp; Scogin, F. (2012). Mental health coaching: A promising new intervention for addressing mental health issues. Mental Health Review, 17(2), 69-78. </w:t>
      </w:r>
    </w:p>
    <w:p w:rsidR="00BC06D6" w:rsidRPr="00952210" w:rsidRDefault="00BC06D6" w:rsidP="00952210">
      <w:pPr>
        <w:spacing w:line="360" w:lineRule="auto"/>
        <w:jc w:val="both"/>
        <w:rPr>
          <w:rFonts w:asciiTheme="minorHAnsi" w:hAnsiTheme="minorHAnsi"/>
          <w:color w:val="353740"/>
          <w:shd w:val="clear" w:color="auto" w:fill="FFFFFF"/>
        </w:rPr>
      </w:pPr>
    </w:p>
    <w:p w:rsidR="00BC06D6" w:rsidRPr="00952210" w:rsidRDefault="00BC06D6" w:rsidP="00952210">
      <w:pPr>
        <w:spacing w:line="360" w:lineRule="auto"/>
        <w:jc w:val="both"/>
        <w:rPr>
          <w:rFonts w:asciiTheme="minorHAnsi" w:hAnsiTheme="minorHAnsi"/>
          <w:color w:val="353740"/>
          <w:shd w:val="clear" w:color="auto" w:fill="FFFFFF"/>
        </w:rPr>
      </w:pPr>
      <w:r w:rsidRPr="00952210">
        <w:rPr>
          <w:rFonts w:asciiTheme="minorHAnsi" w:hAnsiTheme="minorHAnsi"/>
          <w:color w:val="353740"/>
          <w:shd w:val="clear" w:color="auto" w:fill="FFFFFF"/>
        </w:rPr>
        <w:t xml:space="preserve">Knorring, A.L., Guo, B., Skoog, M., &amp; Söderberg, P. (2016). Use of life coaching to improve self-management skills in patients with bipolar disorder: a randomised controlled trial. Journal of Affective Disorders, 189, 128-134. </w:t>
      </w:r>
    </w:p>
    <w:p w:rsidR="00BC06D6" w:rsidRPr="00952210" w:rsidRDefault="00BC06D6" w:rsidP="00952210">
      <w:pPr>
        <w:spacing w:line="360" w:lineRule="auto"/>
        <w:jc w:val="both"/>
        <w:rPr>
          <w:rFonts w:asciiTheme="minorHAnsi" w:hAnsiTheme="minorHAnsi"/>
          <w:color w:val="353740"/>
          <w:shd w:val="clear" w:color="auto" w:fill="FFFFFF"/>
        </w:rPr>
      </w:pPr>
    </w:p>
    <w:p w:rsidR="00BC06D6" w:rsidRPr="00952210" w:rsidRDefault="00BC06D6" w:rsidP="00952210">
      <w:pPr>
        <w:spacing w:line="360" w:lineRule="auto"/>
        <w:jc w:val="both"/>
        <w:rPr>
          <w:rFonts w:asciiTheme="minorHAnsi" w:hAnsiTheme="minorHAnsi"/>
          <w:color w:val="353740"/>
          <w:shd w:val="clear" w:color="auto" w:fill="FFFFFF"/>
        </w:rPr>
      </w:pPr>
      <w:r w:rsidRPr="00952210">
        <w:rPr>
          <w:rFonts w:asciiTheme="minorHAnsi" w:hAnsiTheme="minorHAnsi"/>
          <w:color w:val="353740"/>
          <w:shd w:val="clear" w:color="auto" w:fill="FFFFFF"/>
        </w:rPr>
        <w:t xml:space="preserve">Lewis, S., &amp; Kelly, S. (2015). The rise of the mental fitness coaching industry: towards a model of human signposting. International Journal of Evidence-Based Coaching and Mentoring, 13(1), 64-82. </w:t>
      </w:r>
    </w:p>
    <w:p w:rsidR="00BC06D6" w:rsidRPr="00952210" w:rsidRDefault="00BC06D6" w:rsidP="00952210">
      <w:pPr>
        <w:spacing w:line="360" w:lineRule="auto"/>
        <w:jc w:val="both"/>
        <w:rPr>
          <w:rFonts w:asciiTheme="minorHAnsi" w:hAnsiTheme="minorHAnsi"/>
          <w:color w:val="353740"/>
          <w:shd w:val="clear" w:color="auto" w:fill="FFFFFF"/>
        </w:rPr>
      </w:pPr>
    </w:p>
    <w:p w:rsidR="00BC06D6" w:rsidRPr="00952210" w:rsidRDefault="00BC06D6" w:rsidP="00952210">
      <w:pPr>
        <w:spacing w:line="360" w:lineRule="auto"/>
        <w:rPr>
          <w:rFonts w:asciiTheme="minorHAnsi" w:hAnsiTheme="minorHAnsi"/>
          <w:color w:val="353740"/>
        </w:rPr>
      </w:pPr>
      <w:r w:rsidRPr="00952210">
        <w:rPr>
          <w:rFonts w:asciiTheme="minorHAnsi" w:hAnsiTheme="minorHAnsi"/>
          <w:color w:val="353740"/>
        </w:rPr>
        <w:t xml:space="preserve">Wampold, B. E., Flückiger, C., Del Re, A. C., Yulish, N. E., &amp; Baardseth, T. P. (2018). Life coaching: A meta-analytic review. Journal of Clinical Psychology, 74(11), 2095-2113. </w:t>
      </w:r>
    </w:p>
    <w:p w:rsidR="00BC06D6" w:rsidRPr="00952210" w:rsidRDefault="00BC06D6" w:rsidP="00952210">
      <w:pPr>
        <w:spacing w:line="360" w:lineRule="auto"/>
        <w:jc w:val="both"/>
        <w:rPr>
          <w:rFonts w:asciiTheme="minorHAnsi" w:hAnsiTheme="minorHAnsi"/>
          <w:color w:val="353740"/>
          <w:shd w:val="clear" w:color="auto" w:fill="FFFFFF"/>
        </w:rPr>
      </w:pPr>
    </w:p>
    <w:p w:rsidR="00BC06D6" w:rsidRPr="00952210" w:rsidRDefault="00BC06D6" w:rsidP="00952210">
      <w:pPr>
        <w:spacing w:line="360" w:lineRule="auto"/>
        <w:jc w:val="both"/>
        <w:rPr>
          <w:rFonts w:asciiTheme="minorHAnsi" w:hAnsiTheme="minorHAnsi"/>
          <w:color w:val="353740"/>
          <w:shd w:val="clear" w:color="auto" w:fill="FFFFFF"/>
        </w:rPr>
      </w:pPr>
      <w:r w:rsidRPr="00952210">
        <w:rPr>
          <w:rFonts w:asciiTheme="minorHAnsi" w:hAnsiTheme="minorHAnsi"/>
          <w:color w:val="353740"/>
          <w:shd w:val="clear" w:color="auto" w:fill="FFFFFF"/>
        </w:rPr>
        <w:t xml:space="preserve">Mamun, M., Hossain, S., Glaves, P., Elzomor, A., &amp; Rahman, M. (2017). Life coaching: the past, present, and future. Journal of Psychiatry and Psychiatric Disorders, 1(3), 1-5. </w:t>
      </w:r>
    </w:p>
    <w:p w:rsidR="00BC06D6" w:rsidRPr="00952210" w:rsidRDefault="00BC06D6" w:rsidP="00952210">
      <w:pPr>
        <w:spacing w:line="360" w:lineRule="auto"/>
        <w:jc w:val="both"/>
        <w:rPr>
          <w:rFonts w:asciiTheme="minorHAnsi" w:hAnsiTheme="minorHAnsi"/>
          <w:color w:val="353740"/>
          <w:shd w:val="clear" w:color="auto" w:fill="FFFFFF"/>
        </w:rPr>
      </w:pPr>
    </w:p>
    <w:p w:rsidR="00BC06D6" w:rsidRPr="00952210" w:rsidRDefault="00BC06D6" w:rsidP="00952210">
      <w:pPr>
        <w:spacing w:line="360" w:lineRule="auto"/>
        <w:rPr>
          <w:rFonts w:asciiTheme="minorHAnsi" w:hAnsiTheme="minorHAnsi"/>
        </w:rPr>
      </w:pPr>
      <w:r w:rsidRPr="00952210">
        <w:rPr>
          <w:rFonts w:asciiTheme="minorHAnsi" w:hAnsiTheme="minorHAnsi"/>
          <w:color w:val="353740"/>
        </w:rPr>
        <w:t xml:space="preserve">National Health Service (1948). </w:t>
      </w:r>
    </w:p>
    <w:p w:rsidR="00BC06D6" w:rsidRPr="00952210" w:rsidRDefault="00BC06D6" w:rsidP="00952210">
      <w:pPr>
        <w:spacing w:line="360" w:lineRule="auto"/>
        <w:jc w:val="both"/>
        <w:rPr>
          <w:rFonts w:asciiTheme="minorHAnsi" w:hAnsiTheme="minorHAnsi"/>
          <w:color w:val="353740"/>
          <w:shd w:val="clear" w:color="auto" w:fill="FFFFFF"/>
        </w:rPr>
      </w:pPr>
    </w:p>
    <w:p w:rsidR="00BC06D6" w:rsidRPr="00952210" w:rsidRDefault="00BC06D6" w:rsidP="00952210">
      <w:pPr>
        <w:spacing w:line="360" w:lineRule="auto"/>
        <w:jc w:val="both"/>
        <w:rPr>
          <w:rFonts w:asciiTheme="minorHAnsi" w:hAnsiTheme="minorHAnsi"/>
          <w:color w:val="353740"/>
          <w:shd w:val="clear" w:color="auto" w:fill="FFFFFF"/>
        </w:rPr>
      </w:pPr>
      <w:r w:rsidRPr="00952210">
        <w:rPr>
          <w:rFonts w:asciiTheme="minorHAnsi" w:hAnsiTheme="minorHAnsi"/>
          <w:color w:val="353740"/>
          <w:shd w:val="clear" w:color="auto" w:fill="FFFFFF"/>
        </w:rPr>
        <w:t xml:space="preserve">Pakenham, K.I., Meyer, D., Luscri, L., &amp; Hiles, S. (2014). Life coach training in the treatment of mental illness: a case study. Journal of Mental Health, 23(3), 144-147. </w:t>
      </w:r>
    </w:p>
    <w:p w:rsidR="00BC06D6" w:rsidRPr="00952210" w:rsidRDefault="00BC06D6" w:rsidP="00952210">
      <w:pPr>
        <w:spacing w:line="360" w:lineRule="auto"/>
        <w:jc w:val="both"/>
        <w:rPr>
          <w:rFonts w:asciiTheme="minorHAnsi" w:hAnsiTheme="minorHAnsi"/>
          <w:color w:val="353740"/>
          <w:shd w:val="clear" w:color="auto" w:fill="FFFFFF"/>
        </w:rPr>
      </w:pPr>
    </w:p>
    <w:p w:rsidR="00BC06D6" w:rsidRPr="00952210" w:rsidRDefault="00BC06D6" w:rsidP="00952210">
      <w:pPr>
        <w:spacing w:line="360" w:lineRule="auto"/>
        <w:jc w:val="both"/>
        <w:rPr>
          <w:rFonts w:asciiTheme="minorHAnsi" w:hAnsiTheme="minorHAnsi"/>
          <w:color w:val="353740"/>
          <w:shd w:val="clear" w:color="auto" w:fill="FFFFFF"/>
        </w:rPr>
      </w:pPr>
      <w:r w:rsidRPr="00952210">
        <w:rPr>
          <w:rFonts w:asciiTheme="minorHAnsi" w:hAnsiTheme="minorHAnsi"/>
          <w:color w:val="353740"/>
          <w:shd w:val="clear" w:color="auto" w:fill="FFFFFF"/>
        </w:rPr>
        <w:t xml:space="preserve">Reeve, J., &amp; Lefroy, J. (2009). Fulfilling potential or furthering disadvantage? Disrupting and transforming the positioned of people with intellectual disabilities through coaching. Disability &amp; Society, 24(7), 799-815. </w:t>
      </w:r>
    </w:p>
    <w:p w:rsidR="00BC06D6" w:rsidRPr="00952210" w:rsidRDefault="00BC06D6" w:rsidP="00952210">
      <w:pPr>
        <w:spacing w:line="360" w:lineRule="auto"/>
        <w:jc w:val="both"/>
        <w:rPr>
          <w:rFonts w:asciiTheme="minorHAnsi" w:hAnsiTheme="minorHAnsi"/>
          <w:color w:val="353740"/>
          <w:shd w:val="clear" w:color="auto" w:fill="FFFFFF"/>
        </w:rPr>
      </w:pPr>
    </w:p>
    <w:p w:rsidR="00BC06D6" w:rsidRPr="00952210" w:rsidRDefault="00BC06D6" w:rsidP="00952210">
      <w:pPr>
        <w:spacing w:line="360" w:lineRule="auto"/>
        <w:rPr>
          <w:rFonts w:asciiTheme="minorHAnsi" w:hAnsiTheme="minorHAnsi"/>
        </w:rPr>
      </w:pPr>
      <w:r w:rsidRPr="00952210">
        <w:rPr>
          <w:rFonts w:asciiTheme="minorHAnsi" w:hAnsiTheme="minorHAnsi"/>
          <w:color w:val="353740"/>
        </w:rPr>
        <w:t>Reeve, C., Pickering, D., Moran, R. &amp; Zasada, M. (2009). The role of life coaching in mental health care. International Journal of Mental Health Promotion, 11(3), 34-41.</w:t>
      </w:r>
    </w:p>
    <w:p w:rsidR="00BC06D6" w:rsidRPr="00952210" w:rsidRDefault="00BC06D6" w:rsidP="00952210">
      <w:pPr>
        <w:spacing w:line="360" w:lineRule="auto"/>
        <w:jc w:val="both"/>
        <w:rPr>
          <w:rFonts w:asciiTheme="minorHAnsi" w:hAnsiTheme="minorHAnsi"/>
          <w:color w:val="353740"/>
          <w:shd w:val="clear" w:color="auto" w:fill="FFFFFF"/>
        </w:rPr>
      </w:pPr>
    </w:p>
    <w:p w:rsidR="00BC06D6" w:rsidRPr="00952210" w:rsidRDefault="00BC06D6" w:rsidP="00952210">
      <w:pPr>
        <w:spacing w:line="360" w:lineRule="auto"/>
        <w:jc w:val="both"/>
        <w:rPr>
          <w:rFonts w:asciiTheme="minorHAnsi" w:hAnsiTheme="minorHAnsi"/>
          <w:color w:val="353740"/>
          <w:shd w:val="clear" w:color="auto" w:fill="FFFFFF"/>
        </w:rPr>
      </w:pPr>
      <w:r w:rsidRPr="00952210">
        <w:rPr>
          <w:rFonts w:asciiTheme="minorHAnsi" w:hAnsiTheme="minorHAnsi"/>
          <w:color w:val="353740"/>
          <w:shd w:val="clear" w:color="auto" w:fill="FFFFFF"/>
        </w:rPr>
        <w:t>Schmierer, I.A., Ziff, C., Swiney, J., Walker, G.M., &amp; Jahoda, A. (2018). 'I would tell him that this is your life': mental illness, relationships and life coaching-hot and cold opportunities for enacting self-management. Health, 24(4), 378-397.</w:t>
      </w:r>
    </w:p>
    <w:p w:rsidR="00BC06D6" w:rsidRPr="00952210" w:rsidRDefault="00BC06D6" w:rsidP="00952210">
      <w:pPr>
        <w:spacing w:line="360" w:lineRule="auto"/>
        <w:jc w:val="both"/>
        <w:rPr>
          <w:rFonts w:asciiTheme="minorHAnsi" w:hAnsiTheme="minorHAnsi"/>
          <w:color w:val="353740"/>
          <w:shd w:val="clear" w:color="auto" w:fill="FFFFFF"/>
        </w:rPr>
      </w:pPr>
    </w:p>
    <w:p w:rsidR="00BC06D6" w:rsidRPr="00952210" w:rsidRDefault="00BC06D6" w:rsidP="00952210">
      <w:pPr>
        <w:spacing w:line="360" w:lineRule="auto"/>
        <w:jc w:val="both"/>
        <w:rPr>
          <w:rFonts w:asciiTheme="minorHAnsi" w:hAnsiTheme="minorHAnsi"/>
          <w:color w:val="353740"/>
          <w:shd w:val="clear" w:color="auto" w:fill="FFFFFF"/>
        </w:rPr>
      </w:pPr>
      <w:r w:rsidRPr="00952210">
        <w:rPr>
          <w:rFonts w:asciiTheme="minorHAnsi" w:hAnsiTheme="minorHAnsi"/>
          <w:color w:val="353740"/>
          <w:shd w:val="clear" w:color="auto" w:fill="FFFFFF"/>
        </w:rPr>
        <w:t xml:space="preserve">Slade, M., Bird, V., Chandler, R., Clarke, E., Larsen, J., McCrone, P., &amp; Wallace, G. (2014). The contribution of advisory committees and public involvement to large studies: case study. BMC Health Services Research, 14, 1-8. </w:t>
      </w:r>
    </w:p>
    <w:p w:rsidR="00BC06D6" w:rsidRPr="00952210" w:rsidRDefault="00BC06D6" w:rsidP="00952210">
      <w:pPr>
        <w:spacing w:line="360" w:lineRule="auto"/>
        <w:jc w:val="both"/>
        <w:rPr>
          <w:rFonts w:asciiTheme="minorHAnsi" w:hAnsiTheme="minorHAnsi"/>
          <w:color w:val="353740"/>
          <w:shd w:val="clear" w:color="auto" w:fill="FFFFFF"/>
        </w:rPr>
      </w:pPr>
    </w:p>
    <w:p w:rsidR="00BC06D6" w:rsidRPr="00952210" w:rsidRDefault="00BC06D6" w:rsidP="00952210">
      <w:pPr>
        <w:spacing w:line="360" w:lineRule="auto"/>
        <w:jc w:val="both"/>
        <w:rPr>
          <w:rFonts w:asciiTheme="minorHAnsi" w:hAnsiTheme="minorHAnsi"/>
          <w:color w:val="353740"/>
          <w:shd w:val="clear" w:color="auto" w:fill="FFFFFF"/>
        </w:rPr>
      </w:pPr>
      <w:r w:rsidRPr="00952210">
        <w:rPr>
          <w:rFonts w:asciiTheme="minorHAnsi" w:hAnsiTheme="minorHAnsi"/>
          <w:color w:val="353740"/>
          <w:shd w:val="clear" w:color="auto" w:fill="FFFFFF"/>
        </w:rPr>
        <w:t>Smit, H., Hulsbergen, M., Dreeszen, A., &amp; Disselhorst, K. (2020). Client perspectives on the effectiveness of life coaching: findings from a survey of clients of positive strengths-based coaching. Coaching: An International Journal of Theory, Research and Practice, 13(2), 148-162.</w:t>
      </w:r>
    </w:p>
    <w:p w:rsidR="00BC06D6" w:rsidRPr="00952210" w:rsidRDefault="00BC06D6" w:rsidP="00952210">
      <w:pPr>
        <w:spacing w:line="360" w:lineRule="auto"/>
        <w:jc w:val="both"/>
        <w:rPr>
          <w:rFonts w:asciiTheme="minorHAnsi" w:hAnsiTheme="minorHAnsi"/>
          <w:color w:val="353740"/>
          <w:shd w:val="clear" w:color="auto" w:fill="FFFFFF"/>
        </w:rPr>
      </w:pPr>
    </w:p>
    <w:p w:rsidR="00BC06D6" w:rsidRPr="00952210" w:rsidRDefault="00BC06D6" w:rsidP="00952210">
      <w:pPr>
        <w:spacing w:line="360" w:lineRule="auto"/>
        <w:jc w:val="both"/>
        <w:rPr>
          <w:rFonts w:asciiTheme="minorHAnsi" w:hAnsiTheme="minorHAnsi"/>
          <w:color w:val="353740"/>
          <w:shd w:val="clear" w:color="auto" w:fill="FFFFFF"/>
        </w:rPr>
      </w:pPr>
      <w:r w:rsidRPr="00952210">
        <w:rPr>
          <w:rFonts w:asciiTheme="minorHAnsi" w:hAnsiTheme="minorHAnsi"/>
          <w:color w:val="353740"/>
          <w:shd w:val="clear" w:color="auto" w:fill="FFFFFF"/>
        </w:rPr>
        <w:t xml:space="preserve">Spence, G., Grant, A., &amp; Gray, H. (2013). Comparing the efficacy of cognitive therapists and life coaches in reducing anxiety and depression: a preliminary study. Journal of Cognitive Psychotherapy, 27(2), 212-223. </w:t>
      </w:r>
    </w:p>
    <w:p w:rsidR="00BC06D6" w:rsidRPr="00952210" w:rsidRDefault="00BC06D6" w:rsidP="00952210">
      <w:pPr>
        <w:spacing w:line="360" w:lineRule="auto"/>
        <w:jc w:val="both"/>
        <w:rPr>
          <w:rFonts w:asciiTheme="minorHAnsi" w:hAnsiTheme="minorHAnsi"/>
          <w:color w:val="353740"/>
          <w:shd w:val="clear" w:color="auto" w:fill="FFFFFF"/>
        </w:rPr>
      </w:pPr>
    </w:p>
    <w:p w:rsidR="00BC06D6" w:rsidRPr="00952210" w:rsidRDefault="00BC06D6" w:rsidP="00952210">
      <w:pPr>
        <w:spacing w:line="360" w:lineRule="auto"/>
        <w:rPr>
          <w:rFonts w:asciiTheme="minorHAnsi" w:hAnsiTheme="minorHAnsi"/>
        </w:rPr>
      </w:pPr>
      <w:r w:rsidRPr="00952210">
        <w:rPr>
          <w:rFonts w:asciiTheme="minorHAnsi" w:hAnsiTheme="minorHAnsi"/>
          <w:color w:val="353740"/>
        </w:rPr>
        <w:t xml:space="preserve">Yarmolnik, D., &amp; Aldea, M. A. (2020). Life coaching and mental health: A scoping review of current research and future directions. Coaching: An International Journal of Theory, Research and Practice, 13(1), 5-18. </w:t>
      </w:r>
    </w:p>
    <w:p w:rsidR="00BC06D6" w:rsidRPr="00952210" w:rsidRDefault="00BC06D6" w:rsidP="00952210">
      <w:pPr>
        <w:spacing w:line="360" w:lineRule="auto"/>
        <w:jc w:val="both"/>
        <w:rPr>
          <w:rFonts w:asciiTheme="minorHAnsi" w:hAnsiTheme="minorHAnsi"/>
          <w:color w:val="353740"/>
          <w:shd w:val="clear" w:color="auto" w:fill="FFFFFF"/>
        </w:rPr>
      </w:pPr>
    </w:p>
    <w:p w:rsidR="00BC06D6" w:rsidRPr="00952210" w:rsidRDefault="00BC06D6" w:rsidP="00952210">
      <w:pPr>
        <w:spacing w:line="360" w:lineRule="auto"/>
        <w:rPr>
          <w:rFonts w:asciiTheme="minorHAnsi" w:hAnsiTheme="minorHAnsi"/>
        </w:rPr>
      </w:pPr>
      <w:r w:rsidRPr="00952210">
        <w:rPr>
          <w:rFonts w:asciiTheme="minorHAnsi" w:hAnsiTheme="minorHAnsi"/>
          <w:color w:val="353740"/>
        </w:rPr>
        <w:t xml:space="preserve">Taladiensis, I. (2019). Incorporating life coaching into mental health care: A cost-effective and beneficial approach. Journal of Mental Health Counseling, 41(2), 105-114. </w:t>
      </w:r>
    </w:p>
    <w:p w:rsidR="00BC06D6" w:rsidRPr="00952210" w:rsidRDefault="00BC06D6" w:rsidP="00952210">
      <w:pPr>
        <w:spacing w:line="360" w:lineRule="auto"/>
        <w:jc w:val="both"/>
        <w:rPr>
          <w:rFonts w:asciiTheme="minorHAnsi" w:hAnsiTheme="minorHAnsi"/>
        </w:rPr>
      </w:pPr>
    </w:p>
    <w:p w:rsidR="00BC06D6" w:rsidRPr="00952210" w:rsidRDefault="00BC06D6" w:rsidP="00952210">
      <w:pPr>
        <w:spacing w:line="360" w:lineRule="auto"/>
        <w:jc w:val="both"/>
        <w:rPr>
          <w:rFonts w:asciiTheme="minorHAnsi" w:hAnsiTheme="minorHAnsi"/>
        </w:rPr>
      </w:pPr>
    </w:p>
    <w:p w:rsidR="00BC06D6" w:rsidRPr="00952210" w:rsidRDefault="00BC06D6" w:rsidP="00952210">
      <w:pPr>
        <w:spacing w:line="360" w:lineRule="auto"/>
        <w:jc w:val="both"/>
        <w:rPr>
          <w:rFonts w:asciiTheme="minorHAnsi" w:hAnsiTheme="minorHAnsi" w:cs="Arial"/>
          <w:b/>
          <w:color w:val="353740"/>
          <w:shd w:val="clear" w:color="auto" w:fill="FFFFFF"/>
          <w:lang w:eastAsia="en-US"/>
        </w:rPr>
      </w:pPr>
    </w:p>
    <w:p w:rsidR="00BC06D6" w:rsidRPr="00952210" w:rsidRDefault="00BC06D6" w:rsidP="00952210">
      <w:pPr>
        <w:spacing w:line="360" w:lineRule="auto"/>
        <w:rPr>
          <w:rFonts w:asciiTheme="minorHAnsi" w:hAnsiTheme="minorHAnsi" w:cs="Arial"/>
        </w:rPr>
      </w:pPr>
    </w:p>
    <w:p w:rsidR="00BC06D6" w:rsidRPr="00952210" w:rsidRDefault="00BC06D6" w:rsidP="00952210">
      <w:pPr>
        <w:spacing w:line="360" w:lineRule="auto"/>
        <w:rPr>
          <w:rFonts w:asciiTheme="minorHAnsi" w:hAnsiTheme="minorHAnsi" w:cs="Arial"/>
          <w:b/>
        </w:rPr>
      </w:pPr>
      <w:r w:rsidRPr="00952210">
        <w:rPr>
          <w:rFonts w:asciiTheme="minorHAnsi" w:hAnsiTheme="minorHAnsi" w:cs="Arial"/>
          <w:b/>
        </w:rPr>
        <w:t xml:space="preserve">                            </w:t>
      </w:r>
    </w:p>
    <w:p w:rsidR="00BC06D6" w:rsidRPr="00952210" w:rsidRDefault="00BC06D6" w:rsidP="00952210">
      <w:pPr>
        <w:spacing w:line="360" w:lineRule="auto"/>
        <w:rPr>
          <w:rFonts w:asciiTheme="minorHAnsi" w:hAnsiTheme="minorHAnsi" w:cs="Arial"/>
          <w:b/>
        </w:rPr>
      </w:pPr>
    </w:p>
    <w:p w:rsidR="00BC06D6" w:rsidRPr="00952210" w:rsidRDefault="00BC06D6" w:rsidP="00952210">
      <w:pPr>
        <w:spacing w:line="360" w:lineRule="auto"/>
        <w:rPr>
          <w:rFonts w:asciiTheme="minorHAnsi" w:hAnsiTheme="minorHAnsi" w:cs="Arial"/>
          <w:b/>
        </w:rPr>
      </w:pPr>
    </w:p>
    <w:p w:rsidR="00BC06D6" w:rsidRPr="00952210" w:rsidRDefault="00BC06D6" w:rsidP="00952210">
      <w:pPr>
        <w:spacing w:line="360" w:lineRule="auto"/>
        <w:rPr>
          <w:rFonts w:asciiTheme="minorHAnsi" w:hAnsiTheme="minorHAnsi" w:cs="Arial"/>
          <w:b/>
        </w:rPr>
      </w:pPr>
    </w:p>
    <w:p w:rsidR="00BC06D6" w:rsidRPr="00952210" w:rsidRDefault="00BC06D6" w:rsidP="00952210">
      <w:pPr>
        <w:spacing w:line="360" w:lineRule="auto"/>
        <w:rPr>
          <w:rFonts w:asciiTheme="minorHAnsi" w:hAnsiTheme="minorHAnsi" w:cs="Arial"/>
          <w:b/>
        </w:rPr>
      </w:pPr>
    </w:p>
    <w:p w:rsidR="00BC06D6" w:rsidRPr="00952210" w:rsidRDefault="00BC06D6" w:rsidP="00952210">
      <w:pPr>
        <w:spacing w:line="360" w:lineRule="auto"/>
        <w:rPr>
          <w:rFonts w:asciiTheme="minorHAnsi" w:hAnsiTheme="minorHAnsi" w:cs="Arial"/>
          <w:b/>
        </w:rPr>
      </w:pPr>
    </w:p>
    <w:p w:rsidR="00BC06D6" w:rsidRPr="00952210" w:rsidRDefault="00BC06D6" w:rsidP="00952210">
      <w:pPr>
        <w:spacing w:line="360" w:lineRule="auto"/>
        <w:rPr>
          <w:rFonts w:asciiTheme="minorHAnsi" w:hAnsiTheme="minorHAnsi" w:cs="Arial"/>
          <w:b/>
        </w:rPr>
      </w:pPr>
    </w:p>
    <w:p w:rsidR="00BC06D6" w:rsidRPr="00952210" w:rsidRDefault="00BC06D6" w:rsidP="00952210">
      <w:pPr>
        <w:spacing w:line="360" w:lineRule="auto"/>
        <w:rPr>
          <w:rFonts w:asciiTheme="minorHAnsi" w:hAnsiTheme="minorHAnsi" w:cs="Arial"/>
          <w:b/>
        </w:rPr>
      </w:pPr>
    </w:p>
    <w:p w:rsidR="00B837F4" w:rsidRPr="00952210" w:rsidRDefault="00B837F4" w:rsidP="00952210">
      <w:pPr>
        <w:spacing w:line="360" w:lineRule="auto"/>
        <w:rPr>
          <w:rFonts w:asciiTheme="minorHAnsi" w:hAnsiTheme="minorHAnsi"/>
        </w:rPr>
      </w:pPr>
    </w:p>
    <w:sectPr w:rsidR="00B837F4" w:rsidRPr="00952210" w:rsidSect="0051192D">
      <w:footerReference w:type="even" r:id="rId7"/>
      <w:footerReference w:type="default" r:id="rId8"/>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27A4" w:rsidRDefault="00DE27A4" w:rsidP="00DE76F0">
      <w:r>
        <w:separator/>
      </w:r>
    </w:p>
  </w:endnote>
  <w:endnote w:type="continuationSeparator" w:id="0">
    <w:p w:rsidR="00DE27A4" w:rsidRDefault="00DE27A4" w:rsidP="00DE76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Lucida Handwriting">
    <w:panose1 w:val="03010101010101010101"/>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27A4" w:rsidRDefault="00DE27A4" w:rsidP="00DE76F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E27A4" w:rsidRDefault="00DE27A4" w:rsidP="00DE76F0">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27A4" w:rsidRDefault="00DE27A4" w:rsidP="00DE76F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31092">
      <w:rPr>
        <w:rStyle w:val="PageNumber"/>
        <w:noProof/>
      </w:rPr>
      <w:t>1</w:t>
    </w:r>
    <w:r>
      <w:rPr>
        <w:rStyle w:val="PageNumber"/>
      </w:rPr>
      <w:fldChar w:fldCharType="end"/>
    </w:r>
  </w:p>
  <w:p w:rsidR="00DE27A4" w:rsidRDefault="00DE27A4" w:rsidP="00DE76F0">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27A4" w:rsidRDefault="00DE27A4" w:rsidP="00DE76F0">
      <w:r>
        <w:separator/>
      </w:r>
    </w:p>
  </w:footnote>
  <w:footnote w:type="continuationSeparator" w:id="0">
    <w:p w:rsidR="00DE27A4" w:rsidRDefault="00DE27A4" w:rsidP="00DE76F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06D6"/>
    <w:rsid w:val="001D2464"/>
    <w:rsid w:val="002653DE"/>
    <w:rsid w:val="003630DF"/>
    <w:rsid w:val="00452123"/>
    <w:rsid w:val="0051192D"/>
    <w:rsid w:val="00805233"/>
    <w:rsid w:val="008D4974"/>
    <w:rsid w:val="00952210"/>
    <w:rsid w:val="009D2FA6"/>
    <w:rsid w:val="00A53CBA"/>
    <w:rsid w:val="00B837F4"/>
    <w:rsid w:val="00BC06D6"/>
    <w:rsid w:val="00DB48D8"/>
    <w:rsid w:val="00DB6BFC"/>
    <w:rsid w:val="00DE27A4"/>
    <w:rsid w:val="00DE76F0"/>
    <w:rsid w:val="00F130C3"/>
    <w:rsid w:val="00F3109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864224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06D6"/>
    <w:rPr>
      <w:rFonts w:ascii="Times New Roman" w:eastAsia="Times New Roman" w:hAnsi="Times New Roman" w:cs="Times New Roman"/>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E76F0"/>
    <w:pPr>
      <w:tabs>
        <w:tab w:val="center" w:pos="4320"/>
        <w:tab w:val="right" w:pos="8640"/>
      </w:tabs>
    </w:pPr>
  </w:style>
  <w:style w:type="character" w:customStyle="1" w:styleId="FooterChar">
    <w:name w:val="Footer Char"/>
    <w:basedOn w:val="DefaultParagraphFont"/>
    <w:link w:val="Footer"/>
    <w:uiPriority w:val="99"/>
    <w:rsid w:val="00DE76F0"/>
    <w:rPr>
      <w:rFonts w:ascii="Times New Roman" w:eastAsia="Times New Roman" w:hAnsi="Times New Roman" w:cs="Times New Roman"/>
      <w:lang w:val="en-GB" w:eastAsia="en-GB"/>
    </w:rPr>
  </w:style>
  <w:style w:type="character" w:styleId="PageNumber">
    <w:name w:val="page number"/>
    <w:basedOn w:val="DefaultParagraphFont"/>
    <w:uiPriority w:val="99"/>
    <w:semiHidden/>
    <w:unhideWhenUsed/>
    <w:rsid w:val="00DE76F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06D6"/>
    <w:rPr>
      <w:rFonts w:ascii="Times New Roman" w:eastAsia="Times New Roman" w:hAnsi="Times New Roman" w:cs="Times New Roman"/>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E76F0"/>
    <w:pPr>
      <w:tabs>
        <w:tab w:val="center" w:pos="4320"/>
        <w:tab w:val="right" w:pos="8640"/>
      </w:tabs>
    </w:pPr>
  </w:style>
  <w:style w:type="character" w:customStyle="1" w:styleId="FooterChar">
    <w:name w:val="Footer Char"/>
    <w:basedOn w:val="DefaultParagraphFont"/>
    <w:link w:val="Footer"/>
    <w:uiPriority w:val="99"/>
    <w:rsid w:val="00DE76F0"/>
    <w:rPr>
      <w:rFonts w:ascii="Times New Roman" w:eastAsia="Times New Roman" w:hAnsi="Times New Roman" w:cs="Times New Roman"/>
      <w:lang w:val="en-GB" w:eastAsia="en-GB"/>
    </w:rPr>
  </w:style>
  <w:style w:type="character" w:styleId="PageNumber">
    <w:name w:val="page number"/>
    <w:basedOn w:val="DefaultParagraphFont"/>
    <w:uiPriority w:val="99"/>
    <w:semiHidden/>
    <w:unhideWhenUsed/>
    <w:rsid w:val="00DE76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599776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2866</Words>
  <Characters>16342</Characters>
  <Application>Microsoft Macintosh Word</Application>
  <DocSecurity>0</DocSecurity>
  <Lines>136</Lines>
  <Paragraphs>38</Paragraphs>
  <ScaleCrop>false</ScaleCrop>
  <Company/>
  <LinksUpToDate>false</LinksUpToDate>
  <CharactersWithSpaces>19170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Caterina Brigiano</dc:creator>
  <cp:keywords/>
  <dc:description/>
  <cp:lastModifiedBy>Caterina Brigiano</cp:lastModifiedBy>
  <cp:revision>2</cp:revision>
  <dcterms:created xsi:type="dcterms:W3CDTF">2024-09-13T23:01:00Z</dcterms:created>
  <dcterms:modified xsi:type="dcterms:W3CDTF">2024-09-13T23:01:00Z</dcterms:modified>
</cp:coreProperties>
</file>