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1F04" w:rsidRDefault="005A1F04" w:rsidP="002B666F">
      <w:pPr>
        <w:spacing w:after="0" w:line="360" w:lineRule="auto"/>
        <w:jc w:val="both"/>
        <w:rPr>
          <w:rFonts w:ascii="Times New Roman" w:hAnsi="Times New Roman" w:cs="Times New Roman"/>
          <w:sz w:val="24"/>
          <w:szCs w:val="24"/>
        </w:rPr>
      </w:pPr>
    </w:p>
    <w:p w:rsidR="00540FEB" w:rsidRPr="002B666F" w:rsidRDefault="00540FEB" w:rsidP="002B666F">
      <w:pPr>
        <w:spacing w:after="0" w:line="360" w:lineRule="auto"/>
        <w:jc w:val="both"/>
        <w:rPr>
          <w:rFonts w:ascii="Times New Roman" w:hAnsi="Times New Roman" w:cs="Times New Roman"/>
          <w:sz w:val="24"/>
          <w:szCs w:val="24"/>
        </w:rPr>
      </w:pPr>
    </w:p>
    <w:p w:rsidR="0002522D" w:rsidRPr="000450B9" w:rsidRDefault="000450B9" w:rsidP="000450B9">
      <w:pPr>
        <w:spacing w:after="0" w:line="360" w:lineRule="auto"/>
        <w:ind w:firstLine="720"/>
        <w:jc w:val="center"/>
        <w:rPr>
          <w:rFonts w:ascii="Times New Roman" w:hAnsi="Times New Roman" w:cs="Times New Roman"/>
          <w:sz w:val="32"/>
          <w:szCs w:val="32"/>
          <w:u w:val="single"/>
        </w:rPr>
      </w:pPr>
      <w:r w:rsidRPr="000450B9">
        <w:rPr>
          <w:rFonts w:ascii="Times New Roman" w:hAnsi="Times New Roman" w:cs="Times New Roman"/>
          <w:b/>
          <w:sz w:val="32"/>
          <w:szCs w:val="32"/>
          <w:u w:val="single"/>
        </w:rPr>
        <w:t>HOFSTEDE THEORY APPLIED ON GREECE</w:t>
      </w:r>
    </w:p>
    <w:p w:rsidR="0002522D" w:rsidRPr="002B666F" w:rsidRDefault="0002522D" w:rsidP="002B666F">
      <w:pPr>
        <w:spacing w:after="0" w:line="360" w:lineRule="auto"/>
        <w:jc w:val="both"/>
        <w:rPr>
          <w:rFonts w:ascii="Times New Roman" w:hAnsi="Times New Roman" w:cs="Times New Roman"/>
          <w:sz w:val="24"/>
          <w:szCs w:val="24"/>
        </w:rPr>
      </w:pPr>
    </w:p>
    <w:p w:rsidR="00F44602" w:rsidRDefault="00F44602" w:rsidP="00540FEB">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The idea of ​​this podcast arises mainly from the urge to do a research study in the field of tourism based on some authors who demonstrate how the culture of origin of people influences their tourist motivations in the moment of </w:t>
      </w:r>
      <w:r w:rsidR="00540FEB" w:rsidRPr="00F44602">
        <w:rPr>
          <w:rFonts w:ascii="Times New Roman" w:hAnsi="Times New Roman" w:cs="Times New Roman"/>
          <w:sz w:val="24"/>
          <w:szCs w:val="24"/>
        </w:rPr>
        <w:t>choice.</w:t>
      </w:r>
      <w:r w:rsidR="00540FEB">
        <w:rPr>
          <w:rFonts w:ascii="Times New Roman" w:hAnsi="Times New Roman" w:cs="Times New Roman"/>
          <w:sz w:val="24"/>
          <w:szCs w:val="24"/>
        </w:rPr>
        <w:t xml:space="preserve"> </w:t>
      </w:r>
      <w:r w:rsidR="00540FEB" w:rsidRPr="00F44602">
        <w:rPr>
          <w:rFonts w:ascii="Times New Roman" w:hAnsi="Times New Roman" w:cs="Times New Roman"/>
          <w:sz w:val="24"/>
          <w:szCs w:val="24"/>
        </w:rPr>
        <w:t>Gert</w:t>
      </w:r>
      <w:r w:rsidRPr="00F44602">
        <w:rPr>
          <w:rFonts w:ascii="Times New Roman" w:hAnsi="Times New Roman" w:cs="Times New Roman"/>
          <w:sz w:val="24"/>
          <w:szCs w:val="24"/>
        </w:rPr>
        <w:t xml:space="preserve"> Hofstede based his studies on the differences in the functioning of branches of the same company in 50 different countries. After receiving a questionnaire consisting of 100 questions filled out by IBM employees, Hofstede identified four cultural dimensions through the factor analysis:</w:t>
      </w:r>
    </w:p>
    <w:p w:rsidR="00F44602" w:rsidRPr="00F44602" w:rsidRDefault="00540FEB" w:rsidP="00540F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4283F">
        <w:rPr>
          <w:rFonts w:ascii="Times New Roman" w:hAnsi="Times New Roman" w:cs="Times New Roman"/>
          <w:sz w:val="24"/>
          <w:szCs w:val="24"/>
        </w:rPr>
        <w:t xml:space="preserve">- </w:t>
      </w:r>
      <w:r w:rsidR="00C72B24">
        <w:rPr>
          <w:rFonts w:ascii="Times New Roman" w:hAnsi="Times New Roman" w:cs="Times New Roman"/>
          <w:sz w:val="24"/>
          <w:szCs w:val="24"/>
        </w:rPr>
        <w:t xml:space="preserve"> </w:t>
      </w:r>
      <w:r w:rsidR="00A4283F">
        <w:rPr>
          <w:rFonts w:ascii="Times New Roman" w:hAnsi="Times New Roman" w:cs="Times New Roman"/>
          <w:sz w:val="24"/>
          <w:szCs w:val="24"/>
        </w:rPr>
        <w:t>T</w:t>
      </w:r>
      <w:r w:rsidR="00F44602" w:rsidRPr="00F44602">
        <w:rPr>
          <w:rFonts w:ascii="Times New Roman" w:hAnsi="Times New Roman" w:cs="Times New Roman"/>
          <w:sz w:val="24"/>
          <w:szCs w:val="24"/>
        </w:rPr>
        <w:t>he distance from the authority</w:t>
      </w:r>
    </w:p>
    <w:p w:rsidR="00F44602" w:rsidRPr="00F44602" w:rsidRDefault="00540FEB" w:rsidP="00540F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4283F">
        <w:rPr>
          <w:rFonts w:ascii="Times New Roman" w:hAnsi="Times New Roman" w:cs="Times New Roman"/>
          <w:sz w:val="24"/>
          <w:szCs w:val="24"/>
        </w:rPr>
        <w:t xml:space="preserve">- </w:t>
      </w:r>
      <w:r w:rsidR="00C72B24">
        <w:rPr>
          <w:rFonts w:ascii="Times New Roman" w:hAnsi="Times New Roman" w:cs="Times New Roman"/>
          <w:sz w:val="24"/>
          <w:szCs w:val="24"/>
        </w:rPr>
        <w:t xml:space="preserve"> </w:t>
      </w:r>
      <w:r w:rsidR="00A4283F">
        <w:rPr>
          <w:rFonts w:ascii="Times New Roman" w:hAnsi="Times New Roman" w:cs="Times New Roman"/>
          <w:sz w:val="24"/>
          <w:szCs w:val="24"/>
        </w:rPr>
        <w:t>I</w:t>
      </w:r>
      <w:r w:rsidR="00C72B24">
        <w:rPr>
          <w:rFonts w:ascii="Times New Roman" w:hAnsi="Times New Roman" w:cs="Times New Roman"/>
          <w:sz w:val="24"/>
          <w:szCs w:val="24"/>
        </w:rPr>
        <w:t>ndividualism-</w:t>
      </w:r>
      <w:r w:rsidR="00A4283F">
        <w:rPr>
          <w:rFonts w:ascii="Times New Roman" w:hAnsi="Times New Roman" w:cs="Times New Roman"/>
          <w:sz w:val="24"/>
          <w:szCs w:val="24"/>
        </w:rPr>
        <w:t>C</w:t>
      </w:r>
      <w:r w:rsidR="00F44602" w:rsidRPr="00F44602">
        <w:rPr>
          <w:rFonts w:ascii="Times New Roman" w:hAnsi="Times New Roman" w:cs="Times New Roman"/>
          <w:sz w:val="24"/>
          <w:szCs w:val="24"/>
        </w:rPr>
        <w:t>ollectivism</w:t>
      </w:r>
    </w:p>
    <w:p w:rsidR="00F44602" w:rsidRPr="00F44602" w:rsidRDefault="00540FEB" w:rsidP="00540F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4283F">
        <w:rPr>
          <w:rFonts w:ascii="Times New Roman" w:hAnsi="Times New Roman" w:cs="Times New Roman"/>
          <w:sz w:val="24"/>
          <w:szCs w:val="24"/>
        </w:rPr>
        <w:t xml:space="preserve">- </w:t>
      </w:r>
      <w:r w:rsidR="00C72B24">
        <w:rPr>
          <w:rFonts w:ascii="Times New Roman" w:hAnsi="Times New Roman" w:cs="Times New Roman"/>
          <w:sz w:val="24"/>
          <w:szCs w:val="24"/>
        </w:rPr>
        <w:t xml:space="preserve"> </w:t>
      </w:r>
      <w:r w:rsidR="00A4283F">
        <w:rPr>
          <w:rFonts w:ascii="Times New Roman" w:hAnsi="Times New Roman" w:cs="Times New Roman"/>
          <w:sz w:val="24"/>
          <w:szCs w:val="24"/>
        </w:rPr>
        <w:t>F</w:t>
      </w:r>
      <w:r w:rsidR="00C72B24">
        <w:rPr>
          <w:rFonts w:ascii="Times New Roman" w:hAnsi="Times New Roman" w:cs="Times New Roman"/>
          <w:sz w:val="24"/>
          <w:szCs w:val="24"/>
        </w:rPr>
        <w:t xml:space="preserve">emininity - </w:t>
      </w:r>
      <w:r w:rsidR="00A4283F">
        <w:rPr>
          <w:rFonts w:ascii="Times New Roman" w:hAnsi="Times New Roman" w:cs="Times New Roman"/>
          <w:sz w:val="24"/>
          <w:szCs w:val="24"/>
        </w:rPr>
        <w:t>M</w:t>
      </w:r>
      <w:r w:rsidR="00C72B24">
        <w:rPr>
          <w:rFonts w:ascii="Times New Roman" w:hAnsi="Times New Roman" w:cs="Times New Roman"/>
          <w:sz w:val="24"/>
          <w:szCs w:val="24"/>
        </w:rPr>
        <w:t>asculinity</w:t>
      </w:r>
    </w:p>
    <w:p w:rsidR="00F44602" w:rsidRPr="00F44602" w:rsidRDefault="00540FEB" w:rsidP="00540F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4283F">
        <w:rPr>
          <w:rFonts w:ascii="Times New Roman" w:hAnsi="Times New Roman" w:cs="Times New Roman"/>
          <w:sz w:val="24"/>
          <w:szCs w:val="24"/>
        </w:rPr>
        <w:t xml:space="preserve">- </w:t>
      </w:r>
      <w:r w:rsidR="00F44602" w:rsidRPr="00F44602">
        <w:rPr>
          <w:rFonts w:ascii="Times New Roman" w:hAnsi="Times New Roman" w:cs="Times New Roman"/>
          <w:sz w:val="24"/>
          <w:szCs w:val="24"/>
        </w:rPr>
        <w:t xml:space="preserve"> </w:t>
      </w:r>
      <w:r w:rsidR="00A4283F">
        <w:rPr>
          <w:rFonts w:ascii="Times New Roman" w:hAnsi="Times New Roman" w:cs="Times New Roman"/>
          <w:sz w:val="24"/>
          <w:szCs w:val="24"/>
        </w:rPr>
        <w:t>A</w:t>
      </w:r>
      <w:r w:rsidR="00F44602" w:rsidRPr="00F44602">
        <w:rPr>
          <w:rFonts w:ascii="Times New Roman" w:hAnsi="Times New Roman" w:cs="Times New Roman"/>
          <w:sz w:val="24"/>
          <w:szCs w:val="24"/>
        </w:rPr>
        <w:t>void insecurities</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Based on the results of studying the cultural value of a nation, the success or failure of an international business can be anticipated and evaluated, </w:t>
      </w:r>
      <w:r w:rsidR="00440307" w:rsidRPr="00F44602">
        <w:rPr>
          <w:rFonts w:ascii="Times New Roman" w:hAnsi="Times New Roman" w:cs="Times New Roman"/>
          <w:sz w:val="24"/>
          <w:szCs w:val="24"/>
        </w:rPr>
        <w:t>even more</w:t>
      </w:r>
      <w:r w:rsidRPr="00F44602">
        <w:rPr>
          <w:rFonts w:ascii="Times New Roman" w:hAnsi="Times New Roman" w:cs="Times New Roman"/>
          <w:sz w:val="24"/>
          <w:szCs w:val="24"/>
        </w:rPr>
        <w:t xml:space="preserve"> so when it comes to a foreign manager who has a business in a country different from the country of origin. The ability to communicate in the language of the recipient country is another condition of business success. These can be conditions that depend on the success or failure of the business itself.</w:t>
      </w:r>
    </w:p>
    <w:p w:rsid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Each culture must be analyzed in its own context, and not by concepts integrated by the kind of "humanity as a whole" or "evolution of humanity".</w:t>
      </w:r>
    </w:p>
    <w:p w:rsidR="00934C5F" w:rsidRDefault="00F44602" w:rsidP="00934C5F">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The distance factor from the authority shows the dependency relations </w:t>
      </w:r>
      <w:r w:rsidR="00440307" w:rsidRPr="00F44602">
        <w:rPr>
          <w:rFonts w:ascii="Times New Roman" w:hAnsi="Times New Roman" w:cs="Times New Roman"/>
          <w:sz w:val="24"/>
          <w:szCs w:val="24"/>
        </w:rPr>
        <w:t>in each</w:t>
      </w:r>
      <w:r w:rsidRPr="00F44602">
        <w:rPr>
          <w:rFonts w:ascii="Times New Roman" w:hAnsi="Times New Roman" w:cs="Times New Roman"/>
          <w:sz w:val="24"/>
          <w:szCs w:val="24"/>
        </w:rPr>
        <w:t xml:space="preserve"> culture and the preferred style of the relationship between the employee and the superior</w:t>
      </w:r>
      <w:r w:rsidR="00440307">
        <w:rPr>
          <w:rFonts w:ascii="Times New Roman" w:hAnsi="Times New Roman" w:cs="Times New Roman"/>
          <w:sz w:val="24"/>
          <w:szCs w:val="24"/>
        </w:rPr>
        <w:t>.</w:t>
      </w:r>
      <w:r w:rsidRPr="00F44602">
        <w:rPr>
          <w:rFonts w:ascii="Times New Roman" w:hAnsi="Times New Roman" w:cs="Times New Roman"/>
          <w:sz w:val="24"/>
          <w:szCs w:val="24"/>
        </w:rPr>
        <w:t xml:space="preserve"> </w:t>
      </w:r>
      <w:r w:rsidR="00440307">
        <w:rPr>
          <w:rFonts w:ascii="Times New Roman" w:hAnsi="Times New Roman" w:cs="Times New Roman"/>
          <w:sz w:val="24"/>
          <w:szCs w:val="24"/>
        </w:rPr>
        <w:t>S</w:t>
      </w:r>
      <w:r w:rsidRPr="00F44602">
        <w:rPr>
          <w:rFonts w:ascii="Times New Roman" w:hAnsi="Times New Roman" w:cs="Times New Roman"/>
          <w:sz w:val="24"/>
          <w:szCs w:val="24"/>
        </w:rPr>
        <w:t>ince this indicator is closely related to education and professional position, people who carry out the same job have been compared. The greatest distance from authority is peculiar to countries like Malaysia and those of Central America</w:t>
      </w:r>
      <w:r w:rsidR="00934C5F">
        <w:rPr>
          <w:rFonts w:ascii="Times New Roman" w:hAnsi="Times New Roman" w:cs="Times New Roman"/>
          <w:sz w:val="24"/>
          <w:szCs w:val="24"/>
        </w:rPr>
        <w:t>,</w:t>
      </w:r>
      <w:r w:rsidRPr="00F44602">
        <w:rPr>
          <w:rFonts w:ascii="Times New Roman" w:hAnsi="Times New Roman" w:cs="Times New Roman"/>
          <w:sz w:val="24"/>
          <w:szCs w:val="24"/>
        </w:rPr>
        <w:t xml:space="preserve"> in Europe</w:t>
      </w:r>
      <w:r w:rsidR="00440307">
        <w:rPr>
          <w:rFonts w:ascii="Times New Roman" w:hAnsi="Times New Roman" w:cs="Times New Roman"/>
          <w:sz w:val="24"/>
          <w:szCs w:val="24"/>
        </w:rPr>
        <w:t xml:space="preserve"> and more precise in</w:t>
      </w:r>
      <w:r w:rsidRPr="00F44602">
        <w:rPr>
          <w:rFonts w:ascii="Times New Roman" w:hAnsi="Times New Roman" w:cs="Times New Roman"/>
          <w:sz w:val="24"/>
          <w:szCs w:val="24"/>
        </w:rPr>
        <w:t xml:space="preserve"> France</w:t>
      </w:r>
      <w:r w:rsidR="00440307">
        <w:rPr>
          <w:rFonts w:ascii="Times New Roman" w:hAnsi="Times New Roman" w:cs="Times New Roman"/>
          <w:sz w:val="24"/>
          <w:szCs w:val="24"/>
        </w:rPr>
        <w:t>.</w:t>
      </w:r>
      <w:r w:rsidRPr="00F44602">
        <w:rPr>
          <w:rFonts w:ascii="Times New Roman" w:hAnsi="Times New Roman" w:cs="Times New Roman"/>
          <w:sz w:val="24"/>
          <w:szCs w:val="24"/>
        </w:rPr>
        <w:t xml:space="preserve"> </w:t>
      </w:r>
      <w:r w:rsidR="00934C5F">
        <w:rPr>
          <w:rFonts w:ascii="Times New Roman" w:hAnsi="Times New Roman" w:cs="Times New Roman"/>
          <w:sz w:val="24"/>
          <w:szCs w:val="24"/>
        </w:rPr>
        <w:t>T</w:t>
      </w:r>
      <w:r w:rsidRPr="00F44602">
        <w:rPr>
          <w:rFonts w:ascii="Times New Roman" w:hAnsi="Times New Roman" w:cs="Times New Roman"/>
          <w:sz w:val="24"/>
          <w:szCs w:val="24"/>
        </w:rPr>
        <w:t>he lowest values ​​are recorded in Austria, Israel, Denmark and the Scandinavian countries. Hofstede recalls a very specific historical fact linked to the problem of foreign languages, in wanting to explain the difference between France and Sweden: in 1809 the Swedes elected king the French Napoleonic general Jean Baptiste Bernadotte.</w:t>
      </w:r>
    </w:p>
    <w:p w:rsidR="00F44602" w:rsidRPr="00F44602" w:rsidRDefault="00F44602" w:rsidP="00540FEB">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lastRenderedPageBreak/>
        <w:t>He revisited it as a real cultural shock - in France there has never been such a situation where employees make fun of boss mistakes.</w:t>
      </w:r>
      <w:r w:rsidR="00540FEB">
        <w:rPr>
          <w:rFonts w:ascii="Times New Roman" w:hAnsi="Times New Roman" w:cs="Times New Roman"/>
          <w:sz w:val="24"/>
          <w:szCs w:val="24"/>
        </w:rPr>
        <w:t xml:space="preserve"> </w:t>
      </w:r>
      <w:r w:rsidRPr="00F44602">
        <w:rPr>
          <w:rFonts w:ascii="Times New Roman" w:hAnsi="Times New Roman" w:cs="Times New Roman"/>
          <w:sz w:val="24"/>
          <w:szCs w:val="24"/>
        </w:rPr>
        <w:t>In this case, we must note that the use of the foreign language will cause serious damage to the speaker.</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The degree of individualism-collectivism defines the role conferred on the individual and the group, the level of integration, mutual support and loyalty within the group. The United States, Australia, Great Britain, Canada and Western European countries are in the top of the special ranking; the lowest rate is for Central American countries.</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The masculinity-femininity rate provides information on the level of assertiveness in the behaviors of the members of a particular cultural group as well as the appreciation by the workers of the</w:t>
      </w:r>
      <w:r w:rsidR="00F2508A">
        <w:rPr>
          <w:rFonts w:ascii="Times New Roman" w:hAnsi="Times New Roman" w:cs="Times New Roman"/>
          <w:sz w:val="24"/>
          <w:szCs w:val="24"/>
        </w:rPr>
        <w:t xml:space="preserve"> </w:t>
      </w:r>
      <w:r w:rsidRPr="00F44602">
        <w:rPr>
          <w:rFonts w:ascii="Times New Roman" w:hAnsi="Times New Roman" w:cs="Times New Roman"/>
          <w:sz w:val="24"/>
          <w:szCs w:val="24"/>
        </w:rPr>
        <w:t>so-called</w:t>
      </w:r>
      <w:r w:rsidR="00F2508A">
        <w:rPr>
          <w:rFonts w:ascii="Times New Roman" w:hAnsi="Times New Roman" w:cs="Times New Roman"/>
          <w:sz w:val="24"/>
          <w:szCs w:val="24"/>
        </w:rPr>
        <w:t>, according to Hofstede’s theory</w:t>
      </w:r>
      <w:r w:rsidRPr="00F44602">
        <w:rPr>
          <w:rFonts w:ascii="Times New Roman" w:hAnsi="Times New Roman" w:cs="Times New Roman"/>
          <w:sz w:val="24"/>
          <w:szCs w:val="24"/>
        </w:rPr>
        <w:t xml:space="preserve"> "male factors"</w:t>
      </w:r>
      <w:r w:rsidR="00F2508A">
        <w:rPr>
          <w:rFonts w:ascii="Times New Roman" w:hAnsi="Times New Roman" w:cs="Times New Roman"/>
          <w:sz w:val="24"/>
          <w:szCs w:val="24"/>
        </w:rPr>
        <w:t>. H</w:t>
      </w:r>
      <w:r w:rsidRPr="00F44602">
        <w:rPr>
          <w:rFonts w:ascii="Times New Roman" w:hAnsi="Times New Roman" w:cs="Times New Roman"/>
          <w:sz w:val="24"/>
          <w:szCs w:val="24"/>
        </w:rPr>
        <w:t>igh earnings, recognition, career and new challenges, unlike so-called “female factors”, such as a good relationship with the boss, a spirit of collaboration, an appropriate place of residence and assurances of recruitment. The highest rate of "masculinity", according to studies, was obtained by Japan, followed by Austria, Venezuela and Italy; the lowest is the Scandinavian countries and the Netherlands.</w:t>
      </w:r>
    </w:p>
    <w:p w:rsid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The data on the will to avoid insecurities sheds light on the typical ways of a given culture to overcome the situations of insecurity and stress; we could also define it as the degree of threat perceived by members of a certain culture in the face of new, unforeseen or uncertain situations. The slightest desire to avoid insecurity distinguishes Greece, Latin American countries and Latin Europe, while the strongest is typical of Singapore, Scandinavian countries and Britain. This dimension is interesting in the light of intercultural communication and foreign languages; every contact with a foreign culture carries with it an enormous risk (possibility) of surprise, novelty, misunderstanding.</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However, Hofstede's studies leave a certain amount of incompleteness, and this is mainly for two reasons. In the first place, the countries of Central Eastern Europe (excluding Yugoslavia) and the ex-USSR countries are not considered - as there were no branches in these countries at the time of research. Secondly, IBM itself belongs to those companies with a long-standing tradition of developing organizational culture principles; It is therefore difficult to upgrade it to the ranks of contemporary global companies. </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Each company shares its own rules, values ​​and symbols. It is said, then, that every society has a different culture. </w:t>
      </w:r>
    </w:p>
    <w:p w:rsidR="00F44602" w:rsidRPr="00F44602" w:rsidRDefault="00F44602" w:rsidP="00F44602">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lastRenderedPageBreak/>
        <w:t xml:space="preserve">Hofstede has shown that people share characteristics at the regional and national levels. These distinctive traits influence their behavior and persist over time. </w:t>
      </w:r>
    </w:p>
    <w:p w:rsidR="00A4283F" w:rsidRDefault="00F44602" w:rsidP="00A4283F">
      <w:pPr>
        <w:spacing w:after="0" w:line="360" w:lineRule="auto"/>
        <w:ind w:firstLine="720"/>
        <w:jc w:val="both"/>
        <w:rPr>
          <w:rFonts w:ascii="Times New Roman" w:hAnsi="Times New Roman" w:cs="Times New Roman"/>
          <w:sz w:val="24"/>
          <w:szCs w:val="24"/>
        </w:rPr>
      </w:pPr>
      <w:r w:rsidRPr="00F44602">
        <w:rPr>
          <w:rFonts w:ascii="Times New Roman" w:hAnsi="Times New Roman" w:cs="Times New Roman"/>
          <w:sz w:val="24"/>
          <w:szCs w:val="24"/>
        </w:rPr>
        <w:t xml:space="preserve">These dimensions </w:t>
      </w:r>
      <w:r w:rsidR="00934C5F" w:rsidRPr="00F44602">
        <w:rPr>
          <w:rFonts w:ascii="Times New Roman" w:hAnsi="Times New Roman" w:cs="Times New Roman"/>
          <w:sz w:val="24"/>
          <w:szCs w:val="24"/>
        </w:rPr>
        <w:t>are</w:t>
      </w:r>
      <w:r w:rsidRPr="00F44602">
        <w:rPr>
          <w:rFonts w:ascii="Times New Roman" w:hAnsi="Times New Roman" w:cs="Times New Roman"/>
          <w:sz w:val="24"/>
          <w:szCs w:val="24"/>
        </w:rPr>
        <w:t xml:space="preserve"> distance from power, individualism against collectivism, masculinity against femininity, rejection of uncertainty and short-term orientation as opposed to long-term orientation. The five dimensions therefore have two poles. For each dimension a company can point up or down, giving rise to different</w:t>
      </w:r>
      <w:r>
        <w:rPr>
          <w:rFonts w:ascii="Times New Roman" w:hAnsi="Times New Roman" w:cs="Times New Roman"/>
          <w:sz w:val="24"/>
          <w:szCs w:val="24"/>
        </w:rPr>
        <w:t xml:space="preserve"> characteristics and behaviors.</w:t>
      </w:r>
    </w:p>
    <w:p w:rsidR="00F44602" w:rsidRPr="002B666F" w:rsidRDefault="00A4283F" w:rsidP="00A4283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Based on Hofstede’s theory a web site page was created</w:t>
      </w:r>
      <w:r w:rsidR="00C72B24">
        <w:rPr>
          <w:rFonts w:ascii="Times New Roman" w:hAnsi="Times New Roman" w:cs="Times New Roman"/>
          <w:sz w:val="24"/>
          <w:szCs w:val="24"/>
        </w:rPr>
        <w:t xml:space="preserve">: </w:t>
      </w:r>
      <w:hyperlink r:id="rId7" w:history="1">
        <w:r w:rsidR="00C72B24" w:rsidRPr="004360D4">
          <w:rPr>
            <w:rStyle w:val="Hyperlink"/>
            <w:rFonts w:ascii="Times New Roman" w:hAnsi="Times New Roman" w:cs="Times New Roman"/>
            <w:sz w:val="24"/>
            <w:szCs w:val="24"/>
          </w:rPr>
          <w:t>https://www.hofstede-insights.com/product/compare-countries/</w:t>
        </w:r>
      </w:hyperlink>
      <w:r w:rsidR="00C72B24">
        <w:rPr>
          <w:rFonts w:ascii="Times New Roman" w:hAnsi="Times New Roman" w:cs="Times New Roman"/>
          <w:sz w:val="24"/>
          <w:szCs w:val="24"/>
        </w:rPr>
        <w:t xml:space="preserve"> where we</w:t>
      </w:r>
      <w:r w:rsidR="00F44602" w:rsidRPr="00F44602">
        <w:rPr>
          <w:rFonts w:ascii="Times New Roman" w:hAnsi="Times New Roman" w:cs="Times New Roman"/>
          <w:sz w:val="24"/>
          <w:szCs w:val="24"/>
        </w:rPr>
        <w:t xml:space="preserve"> can consult the scores of the cultural dimensions of his country and compare it wi</w:t>
      </w:r>
      <w:r w:rsidR="00C72B24">
        <w:rPr>
          <w:rFonts w:ascii="Times New Roman" w:hAnsi="Times New Roman" w:cs="Times New Roman"/>
          <w:sz w:val="24"/>
          <w:szCs w:val="24"/>
        </w:rPr>
        <w:t>th those of others. A</w:t>
      </w:r>
      <w:r w:rsidR="00F44602" w:rsidRPr="00F44602">
        <w:rPr>
          <w:rFonts w:ascii="Times New Roman" w:hAnsi="Times New Roman" w:cs="Times New Roman"/>
          <w:sz w:val="24"/>
          <w:szCs w:val="24"/>
        </w:rPr>
        <w:t xml:space="preserve">lthough a country reaches a high score in some cultural dimensions, it is not said that all citizens have the same propensity. These characteristics are more uniform in smaller companies with strong sharing of uses and costumes. </w:t>
      </w:r>
      <w:r w:rsidRPr="00F44602">
        <w:rPr>
          <w:rFonts w:ascii="Times New Roman" w:hAnsi="Times New Roman" w:cs="Times New Roman"/>
          <w:sz w:val="24"/>
          <w:szCs w:val="24"/>
        </w:rPr>
        <w:t>Therefore,</w:t>
      </w:r>
      <w:r w:rsidR="00F44602" w:rsidRPr="00F44602">
        <w:rPr>
          <w:rFonts w:ascii="Times New Roman" w:hAnsi="Times New Roman" w:cs="Times New Roman"/>
          <w:sz w:val="24"/>
          <w:szCs w:val="24"/>
        </w:rPr>
        <w:t xml:space="preserve"> the theory of cultural dimensions applies to societies, to large groups</w:t>
      </w:r>
      <w:r w:rsidR="00934C5F">
        <w:rPr>
          <w:rFonts w:ascii="Times New Roman" w:hAnsi="Times New Roman" w:cs="Times New Roman"/>
          <w:sz w:val="24"/>
          <w:szCs w:val="24"/>
        </w:rPr>
        <w:t>,</w:t>
      </w:r>
      <w:r w:rsidR="00F44602" w:rsidRPr="00F44602">
        <w:rPr>
          <w:rFonts w:ascii="Times New Roman" w:hAnsi="Times New Roman" w:cs="Times New Roman"/>
          <w:sz w:val="24"/>
          <w:szCs w:val="24"/>
        </w:rPr>
        <w:t xml:space="preserve"> at individual level, regardless of the group of affiliation</w:t>
      </w:r>
      <w:r w:rsidR="00934C5F">
        <w:rPr>
          <w:rFonts w:ascii="Times New Roman" w:hAnsi="Times New Roman" w:cs="Times New Roman"/>
          <w:sz w:val="24"/>
          <w:szCs w:val="24"/>
        </w:rPr>
        <w:t>,</w:t>
      </w:r>
      <w:r w:rsidR="00F44602" w:rsidRPr="00F44602">
        <w:rPr>
          <w:rFonts w:ascii="Times New Roman" w:hAnsi="Times New Roman" w:cs="Times New Roman"/>
          <w:sz w:val="24"/>
          <w:szCs w:val="24"/>
        </w:rPr>
        <w:t xml:space="preserve"> very different scores can be reached.</w:t>
      </w:r>
    </w:p>
    <w:p w:rsidR="00F44602" w:rsidRPr="00F44602" w:rsidRDefault="00F44602" w:rsidP="00F44602">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 xml:space="preserve">The Hofstede model is described by taking the variables used by the same author </w:t>
      </w:r>
      <w:r w:rsidR="00A4283F">
        <w:rPr>
          <w:rFonts w:ascii="Times New Roman" w:hAnsi="Times New Roman" w:cs="Times New Roman"/>
          <w:sz w:val="24"/>
          <w:szCs w:val="24"/>
          <w:lang w:bidi="it-IT"/>
        </w:rPr>
        <w:t>according to the book</w:t>
      </w:r>
      <w:r w:rsidRPr="00F44602">
        <w:rPr>
          <w:rFonts w:ascii="Times New Roman" w:hAnsi="Times New Roman" w:cs="Times New Roman"/>
          <w:sz w:val="24"/>
          <w:szCs w:val="24"/>
          <w:lang w:bidi="it-IT"/>
        </w:rPr>
        <w:t xml:space="preserve"> </w:t>
      </w:r>
      <w:r w:rsidRPr="00C72B24">
        <w:rPr>
          <w:rFonts w:ascii="Times New Roman" w:hAnsi="Times New Roman" w:cs="Times New Roman"/>
          <w:i/>
          <w:sz w:val="24"/>
          <w:szCs w:val="24"/>
          <w:lang w:bidi="it-IT"/>
        </w:rPr>
        <w:t>Cultures and Organizations</w:t>
      </w:r>
      <w:r w:rsidRPr="00F44602">
        <w:rPr>
          <w:rFonts w:ascii="Times New Roman" w:hAnsi="Times New Roman" w:cs="Times New Roman"/>
          <w:sz w:val="24"/>
          <w:szCs w:val="24"/>
          <w:lang w:bidi="it-IT"/>
        </w:rPr>
        <w:t xml:space="preserve"> (1991), through a brief description of the nature of the variable and the schematic presentation of the results achieved on the seventy countries analyzed. </w:t>
      </w:r>
    </w:p>
    <w:p w:rsidR="00C70ADA" w:rsidRPr="00C70ADA" w:rsidRDefault="00F44602" w:rsidP="00F44602">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 xml:space="preserve">Hierarchical distance can be defined as the extent to which less influential people within institutions and organizations expect to see and accept the unequal distribution of power. From the biological point of </w:t>
      </w:r>
      <w:r w:rsidR="007548F7" w:rsidRPr="00F44602">
        <w:rPr>
          <w:rFonts w:ascii="Times New Roman" w:hAnsi="Times New Roman" w:cs="Times New Roman"/>
          <w:sz w:val="24"/>
          <w:szCs w:val="24"/>
          <w:lang w:bidi="it-IT"/>
        </w:rPr>
        <w:t>view,</w:t>
      </w:r>
      <w:r w:rsidRPr="00F44602">
        <w:rPr>
          <w:rFonts w:ascii="Times New Roman" w:hAnsi="Times New Roman" w:cs="Times New Roman"/>
          <w:sz w:val="24"/>
          <w:szCs w:val="24"/>
          <w:lang w:bidi="it-IT"/>
        </w:rPr>
        <w:t xml:space="preserve"> it has been shown how man presents a connatural predisposition to the domain </w:t>
      </w:r>
      <w:r w:rsidR="007548F7">
        <w:rPr>
          <w:rFonts w:ascii="Times New Roman" w:hAnsi="Times New Roman" w:cs="Times New Roman"/>
          <w:sz w:val="24"/>
          <w:szCs w:val="24"/>
          <w:lang w:bidi="it-IT"/>
        </w:rPr>
        <w:t xml:space="preserve">according to M. </w:t>
      </w:r>
      <w:r w:rsidRPr="00F44602">
        <w:rPr>
          <w:rFonts w:ascii="Times New Roman" w:hAnsi="Times New Roman" w:cs="Times New Roman"/>
          <w:sz w:val="24"/>
          <w:szCs w:val="24"/>
          <w:lang w:bidi="it-IT"/>
        </w:rPr>
        <w:t>Plautus</w:t>
      </w:r>
      <w:r w:rsidR="007548F7">
        <w:rPr>
          <w:rFonts w:ascii="Times New Roman" w:hAnsi="Times New Roman" w:cs="Times New Roman"/>
          <w:sz w:val="24"/>
          <w:szCs w:val="24"/>
          <w:lang w:bidi="it-IT"/>
        </w:rPr>
        <w:t xml:space="preserve"> scripts “Homo hominis lupus” (</w:t>
      </w:r>
      <w:r w:rsidRPr="00F44602">
        <w:rPr>
          <w:rFonts w:ascii="Times New Roman" w:hAnsi="Times New Roman" w:cs="Times New Roman"/>
          <w:sz w:val="24"/>
          <w:szCs w:val="24"/>
          <w:lang w:bidi="it-IT"/>
        </w:rPr>
        <w:t>210 BC</w:t>
      </w:r>
      <w:r w:rsidR="007548F7">
        <w:rPr>
          <w:rFonts w:ascii="Times New Roman" w:hAnsi="Times New Roman" w:cs="Times New Roman"/>
          <w:sz w:val="24"/>
          <w:szCs w:val="24"/>
          <w:lang w:bidi="it-IT"/>
        </w:rPr>
        <w:t>). Therefore</w:t>
      </w:r>
      <w:r w:rsidRPr="00F44602">
        <w:rPr>
          <w:rFonts w:ascii="Times New Roman" w:hAnsi="Times New Roman" w:cs="Times New Roman"/>
          <w:sz w:val="24"/>
          <w:szCs w:val="24"/>
          <w:lang w:bidi="it-IT"/>
        </w:rPr>
        <w:t xml:space="preserve"> some societies will let themselves be subjected because they will need the security deriving from dependence and submission, others will try to contain this domain. The author found that the latitude (the distance from the equator) explains 43 percent of the variable in question, which increases to 51 percent if combined with the size of the nations, to the extent of explaining 58 percent if combined with the distribution of income. A high geographical latitude, like the wealth of the country is associated with a low rate of PDI, a large size of the population instead at a high rate of PDI. The countries with reduced latitude constitute more favorable environments for man and his survival</w:t>
      </w:r>
      <w:r w:rsidR="007548F7">
        <w:rPr>
          <w:rFonts w:ascii="Times New Roman" w:hAnsi="Times New Roman" w:cs="Times New Roman"/>
          <w:sz w:val="24"/>
          <w:szCs w:val="24"/>
          <w:lang w:bidi="it-IT"/>
        </w:rPr>
        <w:t>,</w:t>
      </w:r>
      <w:r w:rsidRPr="00F44602">
        <w:rPr>
          <w:rFonts w:ascii="Times New Roman" w:hAnsi="Times New Roman" w:cs="Times New Roman"/>
          <w:sz w:val="24"/>
          <w:szCs w:val="24"/>
          <w:lang w:bidi="it-IT"/>
        </w:rPr>
        <w:t xml:space="preserve"> in this context the greatest threats derive from the competition between individuals for the appropriation of the same resources or territories. In these </w:t>
      </w:r>
      <w:r w:rsidR="00F83D36" w:rsidRPr="00F44602">
        <w:rPr>
          <w:rFonts w:ascii="Times New Roman" w:hAnsi="Times New Roman" w:cs="Times New Roman"/>
          <w:sz w:val="24"/>
          <w:szCs w:val="24"/>
          <w:lang w:bidi="it-IT"/>
        </w:rPr>
        <w:t>situations,</w:t>
      </w:r>
      <w:r w:rsidRPr="00F44602">
        <w:rPr>
          <w:rFonts w:ascii="Times New Roman" w:hAnsi="Times New Roman" w:cs="Times New Roman"/>
          <w:sz w:val="24"/>
          <w:szCs w:val="24"/>
          <w:lang w:bidi="it-IT"/>
        </w:rPr>
        <w:t xml:space="preserve"> the best answer is the hierarchical organization where the maintenance of order and balance depends on the central power. At high </w:t>
      </w:r>
      <w:r w:rsidRPr="00F44602">
        <w:rPr>
          <w:rFonts w:ascii="Times New Roman" w:hAnsi="Times New Roman" w:cs="Times New Roman"/>
          <w:sz w:val="24"/>
          <w:szCs w:val="24"/>
          <w:lang w:bidi="it-IT"/>
        </w:rPr>
        <w:lastRenderedPageBreak/>
        <w:t>latitude, on the other hand, nature is one of the worst enemies to resist the most independent and autonomous societies will therefore be facilitated.</w:t>
      </w:r>
      <w:r w:rsidR="00C70ADA" w:rsidRPr="00C70ADA">
        <w:rPr>
          <w:rFonts w:ascii="Times New Roman" w:hAnsi="Times New Roman" w:cs="Times New Roman"/>
          <w:sz w:val="24"/>
          <w:szCs w:val="24"/>
          <w:lang w:bidi="it-IT"/>
        </w:rPr>
        <w:t xml:space="preserve"> </w:t>
      </w:r>
    </w:p>
    <w:p w:rsidR="00F44602" w:rsidRPr="00F44602" w:rsidRDefault="00F44602" w:rsidP="00F44602">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The size of the population implies dependence on the authority since the more it is extended the more it will have to accept a remote and less accessible political power compared to the independence that they often manage to achieve and manage the small centers. Finally, income is unequally distributed where the hierarchical distance is greater, this depends on parameters such as technology, social mobility, education systems etc.</w:t>
      </w:r>
    </w:p>
    <w:p w:rsidR="00F44602" w:rsidRPr="00F44602" w:rsidRDefault="00F44602" w:rsidP="00F44602">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The hierarchical distance goes from 0 (minimum distance) to 110 (maximum distance). In societies where this dimension reaches high values, individuals accept the authority of those who place themselves in a superordinate position (considering this natural and appropriate); in cases where the variable has contained indices, the expressions of authoritarianism and hierarchy will be difficult to accept. These considerations can influence marketing decisions in terms of purchasing roles (influencer), communication policies etc.</w:t>
      </w:r>
    </w:p>
    <w:p w:rsidR="00F44602" w:rsidRDefault="00F44602" w:rsidP="00C72B24">
      <w:pPr>
        <w:spacing w:after="0" w:line="360" w:lineRule="auto"/>
        <w:ind w:firstLine="720"/>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Men and women have distinct biological traits, but they also have social roles that are not felt and experienced in the same manner and depth in the various societies: the more the roles are close, the more the female traits will prevail, the greater the inequalities between the roles the more society could be defined as masculine. In the latter, competitiveness, the ability to impose and material success will prevail. In societies that show a low rate of masculinity, the characteristics of men and women overlap (ability to establish relationships, lack of aggressiveness, help towards the weakest), in this context too aggressive marketing policies can be experienced in a negative way and not bring the desired results. Hofstede could not find strong correlations between the variable in question and other parameters (unlike what has already been described for hierarchical distance and for individualism).</w:t>
      </w:r>
    </w:p>
    <w:p w:rsidR="00F2508A" w:rsidRDefault="00F44602" w:rsidP="00F2508A">
      <w:pPr>
        <w:spacing w:after="0" w:line="360" w:lineRule="auto"/>
        <w:jc w:val="both"/>
        <w:rPr>
          <w:rFonts w:ascii="Times New Roman" w:hAnsi="Times New Roman" w:cs="Times New Roman"/>
          <w:sz w:val="24"/>
          <w:szCs w:val="24"/>
          <w:lang w:bidi="it-IT"/>
        </w:rPr>
      </w:pPr>
      <w:r w:rsidRPr="00F44602">
        <w:rPr>
          <w:rFonts w:ascii="Times New Roman" w:hAnsi="Times New Roman" w:cs="Times New Roman"/>
          <w:sz w:val="24"/>
          <w:szCs w:val="24"/>
          <w:lang w:bidi="it-IT"/>
        </w:rPr>
        <w:t>According to Geert Hofstede's studies, Greece has the following values of cultural dimensions:</w:t>
      </w:r>
    </w:p>
    <w:p w:rsidR="00F44602" w:rsidRPr="00F2508A" w:rsidRDefault="00F44602" w:rsidP="00F2508A">
      <w:pPr>
        <w:pStyle w:val="ListParagraph"/>
        <w:numPr>
          <w:ilvl w:val="0"/>
          <w:numId w:val="4"/>
        </w:numPr>
        <w:spacing w:after="0" w:line="360" w:lineRule="auto"/>
        <w:jc w:val="both"/>
        <w:rPr>
          <w:rFonts w:ascii="Times New Roman" w:hAnsi="Times New Roman" w:cs="Times New Roman"/>
          <w:sz w:val="24"/>
          <w:szCs w:val="24"/>
          <w:lang w:bidi="it-IT"/>
        </w:rPr>
      </w:pPr>
      <w:r w:rsidRPr="00F2508A">
        <w:rPr>
          <w:rFonts w:ascii="Times New Roman" w:hAnsi="Times New Roman" w:cs="Times New Roman"/>
          <w:sz w:val="24"/>
          <w:szCs w:val="24"/>
          <w:lang w:bidi="it-IT"/>
        </w:rPr>
        <w:t xml:space="preserve">Power Distance Index </w:t>
      </w:r>
      <w:r w:rsidR="00F2508A">
        <w:rPr>
          <w:rFonts w:ascii="Times New Roman" w:hAnsi="Times New Roman" w:cs="Times New Roman"/>
          <w:sz w:val="24"/>
          <w:szCs w:val="24"/>
          <w:lang w:bidi="it-IT"/>
        </w:rPr>
        <w:t>–</w:t>
      </w:r>
      <w:r w:rsidRPr="00F2508A">
        <w:rPr>
          <w:rFonts w:ascii="Times New Roman" w:hAnsi="Times New Roman" w:cs="Times New Roman"/>
          <w:sz w:val="24"/>
          <w:szCs w:val="24"/>
          <w:lang w:bidi="it-IT"/>
        </w:rPr>
        <w:t xml:space="preserve"> 60</w:t>
      </w:r>
    </w:p>
    <w:p w:rsidR="00F44602" w:rsidRPr="00F2508A" w:rsidRDefault="00F44602" w:rsidP="00F2508A">
      <w:pPr>
        <w:pStyle w:val="ListParagraph"/>
        <w:numPr>
          <w:ilvl w:val="0"/>
          <w:numId w:val="4"/>
        </w:numPr>
        <w:spacing w:after="0" w:line="360" w:lineRule="auto"/>
        <w:jc w:val="both"/>
        <w:rPr>
          <w:rFonts w:ascii="Times New Roman" w:hAnsi="Times New Roman" w:cs="Times New Roman"/>
          <w:sz w:val="24"/>
          <w:szCs w:val="24"/>
          <w:lang w:bidi="it-IT"/>
        </w:rPr>
      </w:pPr>
      <w:r w:rsidRPr="00F2508A">
        <w:rPr>
          <w:rFonts w:ascii="Times New Roman" w:hAnsi="Times New Roman" w:cs="Times New Roman"/>
          <w:sz w:val="24"/>
          <w:szCs w:val="24"/>
          <w:lang w:bidi="it-IT"/>
        </w:rPr>
        <w:t xml:space="preserve">Individualism </w:t>
      </w:r>
      <w:r w:rsidR="00F2508A">
        <w:rPr>
          <w:rFonts w:ascii="Times New Roman" w:hAnsi="Times New Roman" w:cs="Times New Roman"/>
          <w:sz w:val="24"/>
          <w:szCs w:val="24"/>
          <w:lang w:bidi="it-IT"/>
        </w:rPr>
        <w:t>–</w:t>
      </w:r>
      <w:r w:rsidRPr="00F2508A">
        <w:rPr>
          <w:rFonts w:ascii="Times New Roman" w:hAnsi="Times New Roman" w:cs="Times New Roman"/>
          <w:sz w:val="24"/>
          <w:szCs w:val="24"/>
          <w:lang w:bidi="it-IT"/>
        </w:rPr>
        <w:t xml:space="preserve"> 35</w:t>
      </w:r>
    </w:p>
    <w:p w:rsidR="00F44602" w:rsidRPr="00F2508A" w:rsidRDefault="00F44602" w:rsidP="00F2508A">
      <w:pPr>
        <w:pStyle w:val="ListParagraph"/>
        <w:numPr>
          <w:ilvl w:val="0"/>
          <w:numId w:val="4"/>
        </w:numPr>
        <w:spacing w:after="0" w:line="360" w:lineRule="auto"/>
        <w:jc w:val="both"/>
        <w:rPr>
          <w:rFonts w:ascii="Times New Roman" w:hAnsi="Times New Roman" w:cs="Times New Roman"/>
          <w:sz w:val="24"/>
          <w:szCs w:val="24"/>
          <w:lang w:bidi="it-IT"/>
        </w:rPr>
      </w:pPr>
      <w:r w:rsidRPr="00F2508A">
        <w:rPr>
          <w:rFonts w:ascii="Times New Roman" w:hAnsi="Times New Roman" w:cs="Times New Roman"/>
          <w:sz w:val="24"/>
          <w:szCs w:val="24"/>
          <w:lang w:bidi="it-IT"/>
        </w:rPr>
        <w:t xml:space="preserve">Masculinity </w:t>
      </w:r>
      <w:r w:rsidR="00F2508A">
        <w:rPr>
          <w:rFonts w:ascii="Times New Roman" w:hAnsi="Times New Roman" w:cs="Times New Roman"/>
          <w:sz w:val="24"/>
          <w:szCs w:val="24"/>
          <w:lang w:bidi="it-IT"/>
        </w:rPr>
        <w:t>–</w:t>
      </w:r>
      <w:r w:rsidRPr="00F2508A">
        <w:rPr>
          <w:rFonts w:ascii="Times New Roman" w:hAnsi="Times New Roman" w:cs="Times New Roman"/>
          <w:sz w:val="24"/>
          <w:szCs w:val="24"/>
          <w:lang w:bidi="it-IT"/>
        </w:rPr>
        <w:t xml:space="preserve"> 57</w:t>
      </w:r>
    </w:p>
    <w:p w:rsidR="00F44602" w:rsidRPr="00F2508A" w:rsidRDefault="00F44602" w:rsidP="00F2508A">
      <w:pPr>
        <w:pStyle w:val="ListParagraph"/>
        <w:numPr>
          <w:ilvl w:val="0"/>
          <w:numId w:val="4"/>
        </w:numPr>
        <w:spacing w:after="0" w:line="360" w:lineRule="auto"/>
        <w:jc w:val="both"/>
        <w:rPr>
          <w:rFonts w:ascii="Times New Roman" w:hAnsi="Times New Roman" w:cs="Times New Roman"/>
          <w:sz w:val="24"/>
          <w:szCs w:val="24"/>
          <w:lang w:bidi="it-IT"/>
        </w:rPr>
      </w:pPr>
      <w:r w:rsidRPr="00F2508A">
        <w:rPr>
          <w:rFonts w:ascii="Times New Roman" w:hAnsi="Times New Roman" w:cs="Times New Roman"/>
          <w:sz w:val="24"/>
          <w:szCs w:val="24"/>
          <w:lang w:bidi="it-IT"/>
        </w:rPr>
        <w:t>Uncertainty Avoidance Index - 1</w:t>
      </w:r>
      <w:r w:rsidR="00D8483E" w:rsidRPr="00F2508A">
        <w:rPr>
          <w:rFonts w:ascii="Times New Roman" w:hAnsi="Times New Roman" w:cs="Times New Roman"/>
          <w:sz w:val="24"/>
          <w:szCs w:val="24"/>
          <w:lang w:bidi="it-IT"/>
        </w:rPr>
        <w:t>00</w:t>
      </w:r>
    </w:p>
    <w:p w:rsidR="000450B9" w:rsidRPr="000450B9" w:rsidRDefault="000450B9" w:rsidP="00F2508A">
      <w:pPr>
        <w:spacing w:after="0" w:line="360"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According to the values ​​found by Geert Hofstede, Greece is a country with a moderately large distance from power, being a predominantly collective culture and a culture that does not tolerate uncertainty. The value of the masculinity index denotes an average culture, bordering on </w:t>
      </w:r>
      <w:r w:rsidRPr="000450B9">
        <w:rPr>
          <w:rFonts w:ascii="Times New Roman" w:hAnsi="Times New Roman" w:cs="Times New Roman"/>
          <w:sz w:val="24"/>
          <w:szCs w:val="24"/>
        </w:rPr>
        <w:lastRenderedPageBreak/>
        <w:t>femininity and masculinity, but with a certain advance of the characteristics specific to masculinity.</w:t>
      </w:r>
    </w:p>
    <w:p w:rsidR="000450B9" w:rsidRPr="000450B9" w:rsidRDefault="000450B9" w:rsidP="000450B9">
      <w:pPr>
        <w:spacing w:after="0" w:line="360" w:lineRule="auto"/>
        <w:ind w:firstLine="720"/>
        <w:jc w:val="both"/>
        <w:rPr>
          <w:rFonts w:ascii="Times New Roman" w:hAnsi="Times New Roman" w:cs="Times New Roman"/>
          <w:sz w:val="24"/>
          <w:szCs w:val="24"/>
        </w:rPr>
      </w:pPr>
      <w:r w:rsidRPr="000450B9">
        <w:rPr>
          <w:rFonts w:ascii="Times New Roman" w:hAnsi="Times New Roman" w:cs="Times New Roman"/>
          <w:sz w:val="24"/>
          <w:szCs w:val="24"/>
        </w:rPr>
        <w:t>• High PDI - it is due to the inheritance of the Ottoman Empire and the authoritarian style of the Turks, from the rule of the Empire, which generated the reaction of submission to authority and the reaction of not intervening in the exercise of power;</w:t>
      </w:r>
    </w:p>
    <w:p w:rsidR="000450B9" w:rsidRPr="000450B9" w:rsidRDefault="000450B9" w:rsidP="000450B9">
      <w:pPr>
        <w:spacing w:after="0" w:line="360" w:lineRule="auto"/>
        <w:ind w:firstLine="720"/>
        <w:jc w:val="both"/>
        <w:rPr>
          <w:rFonts w:ascii="Times New Roman" w:hAnsi="Times New Roman" w:cs="Times New Roman"/>
          <w:sz w:val="24"/>
          <w:szCs w:val="24"/>
        </w:rPr>
      </w:pPr>
      <w:r w:rsidRPr="000450B9">
        <w:rPr>
          <w:rFonts w:ascii="Times New Roman" w:hAnsi="Times New Roman" w:cs="Times New Roman"/>
          <w:sz w:val="24"/>
          <w:szCs w:val="24"/>
        </w:rPr>
        <w:t>• Low IDV (collectivism) - a consequence of the domination of the Ottoman Empire, the struggle for survival; In an environment characterized by the struggle to obtain scarce resources (Greece is a mountainous country, difficult to cultivate, with a constantly expanding population), the Greeks created the idea of ​​an "extended family", a group in which the proper behaviors were characterized through cooperation, protection and aid; through this group, the Greeks sought to satisfy their need for social security;</w:t>
      </w:r>
    </w:p>
    <w:p w:rsidR="000450B9" w:rsidRPr="000450B9" w:rsidRDefault="000450B9" w:rsidP="000450B9">
      <w:pPr>
        <w:spacing w:after="0" w:line="360" w:lineRule="auto"/>
        <w:ind w:firstLine="720"/>
        <w:jc w:val="both"/>
        <w:rPr>
          <w:rFonts w:ascii="Times New Roman" w:hAnsi="Times New Roman" w:cs="Times New Roman"/>
          <w:sz w:val="24"/>
          <w:szCs w:val="24"/>
        </w:rPr>
      </w:pPr>
      <w:r w:rsidRPr="000450B9">
        <w:rPr>
          <w:rFonts w:ascii="Times New Roman" w:hAnsi="Times New Roman" w:cs="Times New Roman"/>
          <w:sz w:val="24"/>
          <w:szCs w:val="24"/>
        </w:rPr>
        <w:t>• Moderate to high MAS - the admir</w:t>
      </w:r>
      <w:r>
        <w:rPr>
          <w:rFonts w:ascii="Times New Roman" w:hAnsi="Times New Roman" w:cs="Times New Roman"/>
          <w:sz w:val="24"/>
          <w:szCs w:val="24"/>
        </w:rPr>
        <w:t xml:space="preserve">ation for power, the concept of </w:t>
      </w:r>
      <w:r w:rsidRPr="000450B9">
        <w:rPr>
          <w:rFonts w:ascii="Times New Roman" w:hAnsi="Times New Roman" w:cs="Times New Roman"/>
          <w:sz w:val="24"/>
          <w:szCs w:val="24"/>
        </w:rPr>
        <w:t>"Self-gratification" and the masculinity of the Greeks are attributed by Triandis and Vassilou, the significance of the image of the guerrillas in the formation of Greek men, the importance given to the male children in society, but also the Greek literature that has always promoted the image of the male hero</w:t>
      </w:r>
      <w:r w:rsidR="00F83D36">
        <w:rPr>
          <w:rFonts w:ascii="Times New Roman" w:hAnsi="Times New Roman" w:cs="Times New Roman"/>
          <w:sz w:val="24"/>
          <w:szCs w:val="24"/>
        </w:rPr>
        <w:t xml:space="preserve">, </w:t>
      </w:r>
      <w:r w:rsidRPr="000450B9">
        <w:rPr>
          <w:rFonts w:ascii="Times New Roman" w:hAnsi="Times New Roman" w:cs="Times New Roman"/>
          <w:sz w:val="24"/>
          <w:szCs w:val="24"/>
        </w:rPr>
        <w:t>who must fight to achieve it.</w:t>
      </w:r>
    </w:p>
    <w:p w:rsidR="00F44602" w:rsidRDefault="000450B9" w:rsidP="000450B9">
      <w:pPr>
        <w:spacing w:after="0" w:line="360" w:lineRule="auto"/>
        <w:ind w:firstLine="720"/>
        <w:jc w:val="both"/>
        <w:rPr>
          <w:rFonts w:ascii="Times New Roman" w:hAnsi="Times New Roman" w:cs="Times New Roman"/>
          <w:sz w:val="24"/>
          <w:szCs w:val="24"/>
        </w:rPr>
      </w:pPr>
      <w:r w:rsidRPr="000450B9">
        <w:rPr>
          <w:rFonts w:ascii="Times New Roman" w:hAnsi="Times New Roman" w:cs="Times New Roman"/>
          <w:sz w:val="24"/>
          <w:szCs w:val="24"/>
        </w:rPr>
        <w:t>• Extremely high UAI - Triandis and Vassiliou support the idea that the Greeks' heightened intolerance towards uncertainty is precisely due to the distinction that the individual makes between the idea of ​​"extended family" (in-group) and those who are not part of this (out-group)</w:t>
      </w:r>
      <w:r w:rsidR="00F83D36">
        <w:rPr>
          <w:rFonts w:ascii="Times New Roman" w:hAnsi="Times New Roman" w:cs="Times New Roman"/>
          <w:sz w:val="24"/>
          <w:szCs w:val="24"/>
        </w:rPr>
        <w:t>.</w:t>
      </w:r>
      <w:r w:rsidRPr="000450B9">
        <w:rPr>
          <w:rFonts w:ascii="Times New Roman" w:hAnsi="Times New Roman" w:cs="Times New Roman"/>
          <w:sz w:val="24"/>
          <w:szCs w:val="24"/>
        </w:rPr>
        <w:t xml:space="preserve"> </w:t>
      </w:r>
      <w:r w:rsidR="00F83D36">
        <w:rPr>
          <w:rFonts w:ascii="Times New Roman" w:hAnsi="Times New Roman" w:cs="Times New Roman"/>
          <w:sz w:val="24"/>
          <w:szCs w:val="24"/>
        </w:rPr>
        <w:t>T</w:t>
      </w:r>
      <w:r w:rsidRPr="000450B9">
        <w:rPr>
          <w:rFonts w:ascii="Times New Roman" w:hAnsi="Times New Roman" w:cs="Times New Roman"/>
          <w:sz w:val="24"/>
          <w:szCs w:val="24"/>
        </w:rPr>
        <w:t>he two authors claim that the Greeks seem to define their entire universe around the idea of ​​triumph of the "in-group" over the "out-group", and the social behavior of individuals is closely correlated with the belonging or non-belonging of others</w:t>
      </w:r>
      <w:r w:rsidR="00F83D36">
        <w:rPr>
          <w:rFonts w:ascii="Times New Roman" w:hAnsi="Times New Roman" w:cs="Times New Roman"/>
          <w:sz w:val="24"/>
          <w:szCs w:val="24"/>
        </w:rPr>
        <w:t>.</w:t>
      </w:r>
      <w:r w:rsidRPr="000450B9">
        <w:rPr>
          <w:rFonts w:ascii="Times New Roman" w:hAnsi="Times New Roman" w:cs="Times New Roman"/>
          <w:sz w:val="24"/>
          <w:szCs w:val="24"/>
        </w:rPr>
        <w:t xml:space="preserve"> </w:t>
      </w:r>
      <w:r w:rsidR="00F83D36">
        <w:rPr>
          <w:rFonts w:ascii="Times New Roman" w:hAnsi="Times New Roman" w:cs="Times New Roman"/>
          <w:sz w:val="24"/>
          <w:szCs w:val="24"/>
        </w:rPr>
        <w:t>P</w:t>
      </w:r>
      <w:r w:rsidRPr="000450B9">
        <w:rPr>
          <w:rFonts w:ascii="Times New Roman" w:hAnsi="Times New Roman" w:cs="Times New Roman"/>
          <w:sz w:val="24"/>
          <w:szCs w:val="24"/>
        </w:rPr>
        <w:t>eople in this "in-group"</w:t>
      </w:r>
      <w:r w:rsidR="00F83D36">
        <w:rPr>
          <w:rFonts w:ascii="Times New Roman" w:hAnsi="Times New Roman" w:cs="Times New Roman"/>
          <w:sz w:val="24"/>
          <w:szCs w:val="24"/>
        </w:rPr>
        <w:t>,</w:t>
      </w:r>
      <w:r w:rsidRPr="000450B9">
        <w:rPr>
          <w:rFonts w:ascii="Times New Roman" w:hAnsi="Times New Roman" w:cs="Times New Roman"/>
          <w:sz w:val="24"/>
          <w:szCs w:val="24"/>
        </w:rPr>
        <w:t xml:space="preserve"> could</w:t>
      </w:r>
      <w:r w:rsidR="00F83D36">
        <w:rPr>
          <w:rFonts w:ascii="Times New Roman" w:hAnsi="Times New Roman" w:cs="Times New Roman"/>
          <w:sz w:val="24"/>
          <w:szCs w:val="24"/>
        </w:rPr>
        <w:t xml:space="preserve"> be justified</w:t>
      </w:r>
      <w:r w:rsidRPr="000450B9">
        <w:rPr>
          <w:rFonts w:ascii="Times New Roman" w:hAnsi="Times New Roman" w:cs="Times New Roman"/>
          <w:sz w:val="24"/>
          <w:szCs w:val="24"/>
        </w:rPr>
        <w:t xml:space="preserve"> also b</w:t>
      </w:r>
      <w:r w:rsidR="00F83D36">
        <w:rPr>
          <w:rFonts w:ascii="Times New Roman" w:hAnsi="Times New Roman" w:cs="Times New Roman"/>
          <w:sz w:val="24"/>
          <w:szCs w:val="24"/>
        </w:rPr>
        <w:t>y</w:t>
      </w:r>
      <w:r w:rsidRPr="000450B9">
        <w:rPr>
          <w:rFonts w:ascii="Times New Roman" w:hAnsi="Times New Roman" w:cs="Times New Roman"/>
          <w:sz w:val="24"/>
          <w:szCs w:val="24"/>
        </w:rPr>
        <w:t xml:space="preserve"> the historical past of the Greeks (migration, the struggle to maintain national identity, Turkish domination).</w:t>
      </w:r>
    </w:p>
    <w:p w:rsidR="00540FEB" w:rsidRDefault="00540FEB" w:rsidP="000450B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a conclusion </w:t>
      </w:r>
      <w:r w:rsidR="00FD1D8B">
        <w:rPr>
          <w:rFonts w:ascii="Times New Roman" w:hAnsi="Times New Roman" w:cs="Times New Roman"/>
          <w:sz w:val="24"/>
          <w:szCs w:val="24"/>
        </w:rPr>
        <w:t>Greece is full of beauty both geographically and cultural both inside and out but one thing we have to keep on mind that what we see on social media may not be that accurate and so we have to be aware of our stereotypes and then as well as Hofstede paints an accurate picture with the dimensions despite cultural differences</w:t>
      </w:r>
      <w:r w:rsidR="004A3C13">
        <w:rPr>
          <w:rFonts w:ascii="Times New Roman" w:hAnsi="Times New Roman" w:cs="Times New Roman"/>
          <w:sz w:val="24"/>
          <w:szCs w:val="24"/>
        </w:rPr>
        <w:t>,</w:t>
      </w:r>
      <w:bookmarkStart w:id="0" w:name="_GoBack"/>
      <w:bookmarkEnd w:id="0"/>
      <w:r w:rsidR="004A3C13">
        <w:rPr>
          <w:rFonts w:ascii="Times New Roman" w:hAnsi="Times New Roman" w:cs="Times New Roman"/>
          <w:sz w:val="24"/>
          <w:szCs w:val="24"/>
        </w:rPr>
        <w:t xml:space="preserve"> in time changes are most likely to happen.</w:t>
      </w: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C72B24" w:rsidRDefault="00C72B24"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jc w:val="both"/>
        <w:rPr>
          <w:rFonts w:ascii="Times New Roman" w:hAnsi="Times New Roman" w:cs="Times New Roman"/>
          <w:sz w:val="24"/>
          <w:szCs w:val="24"/>
        </w:rPr>
      </w:pPr>
    </w:p>
    <w:p w:rsidR="000450B9" w:rsidRDefault="000450B9" w:rsidP="000450B9">
      <w:pPr>
        <w:spacing w:after="0" w:line="360" w:lineRule="auto"/>
        <w:ind w:firstLine="720"/>
        <w:jc w:val="center"/>
        <w:rPr>
          <w:rFonts w:ascii="Times New Roman" w:hAnsi="Times New Roman" w:cs="Times New Roman"/>
          <w:sz w:val="28"/>
          <w:szCs w:val="28"/>
        </w:rPr>
      </w:pPr>
      <w:r w:rsidRPr="000450B9">
        <w:rPr>
          <w:rFonts w:ascii="Times New Roman" w:hAnsi="Times New Roman" w:cs="Times New Roman"/>
          <w:sz w:val="28"/>
          <w:szCs w:val="28"/>
        </w:rPr>
        <w:t>REFERENCES</w:t>
      </w:r>
    </w:p>
    <w:p w:rsidR="000450B9" w:rsidRPr="000450B9" w:rsidRDefault="000450B9" w:rsidP="000450B9">
      <w:pPr>
        <w:spacing w:after="0" w:line="360" w:lineRule="auto"/>
        <w:rPr>
          <w:rFonts w:ascii="Times New Roman" w:hAnsi="Times New Roman" w:cs="Times New Roman"/>
          <w:sz w:val="28"/>
          <w:szCs w:val="28"/>
        </w:rPr>
      </w:pP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DANN G. (1993). Limitation in the use of ‘‘nationality’’ and ‘‘country of resi</w:t>
      </w:r>
      <w:r w:rsidR="00C72B24">
        <w:rPr>
          <w:rFonts w:ascii="Times New Roman" w:hAnsi="Times New Roman" w:cs="Times New Roman"/>
          <w:sz w:val="24"/>
          <w:szCs w:val="24"/>
        </w:rPr>
        <w:t>dence’’ variables.</w:t>
      </w:r>
      <w:r w:rsidRPr="000450B9">
        <w:rPr>
          <w:rFonts w:ascii="Times New Roman" w:hAnsi="Times New Roman" w:cs="Times New Roman"/>
          <w:sz w:val="24"/>
          <w:szCs w:val="24"/>
        </w:rPr>
        <w:t xml:space="preserve"> Tourism resear</w:t>
      </w:r>
      <w:r w:rsidR="002507C2">
        <w:rPr>
          <w:rFonts w:ascii="Times New Roman" w:hAnsi="Times New Roman" w:cs="Times New Roman"/>
          <w:sz w:val="24"/>
          <w:szCs w:val="24"/>
        </w:rPr>
        <w:t>ch: Critiques and challenges, p</w:t>
      </w:r>
      <w:r w:rsidRPr="000450B9">
        <w:rPr>
          <w:rFonts w:ascii="Times New Roman" w:hAnsi="Times New Roman" w:cs="Times New Roman"/>
          <w:sz w:val="24"/>
          <w:szCs w:val="24"/>
        </w:rPr>
        <w:t xml:space="preserve">. 88-112.   </w:t>
      </w: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DE MOOIJ M., HOFSTEDE G. (2002). Convergence and divergence in consumer behavior: implications for international retailing. Journal of Retailing, Vol. 78, </w:t>
      </w:r>
      <w:r w:rsidR="002507C2">
        <w:rPr>
          <w:rFonts w:ascii="Times New Roman" w:hAnsi="Times New Roman" w:cs="Times New Roman"/>
          <w:sz w:val="24"/>
          <w:szCs w:val="24"/>
        </w:rPr>
        <w:t>p.</w:t>
      </w:r>
      <w:r w:rsidRPr="000450B9">
        <w:rPr>
          <w:rFonts w:ascii="Times New Roman" w:hAnsi="Times New Roman" w:cs="Times New Roman"/>
          <w:sz w:val="24"/>
          <w:szCs w:val="24"/>
        </w:rPr>
        <w:t xml:space="preserve">61-69.  </w:t>
      </w: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DE MOOIJ M., HOFSTEDE J. (2010). The Hofstede model: Applications to global branding and advertising strategy and research. International Journal of Advertising. </w:t>
      </w: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DE MOOIJ M. (2011). Consumer behavior and culture: consequences for Global Marketing and Advertising. </w:t>
      </w:r>
    </w:p>
    <w:p w:rsidR="000450B9" w:rsidRP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DE MOOIJ M., HOFSTEDE G. (2011). Cross-cultural consumer behaviour: A review of research findings. Journal of International Consumer Marketing, 23(3-4), 181-192.  </w:t>
      </w:r>
    </w:p>
    <w:p w:rsidR="000450B9" w:rsidRDefault="000450B9" w:rsidP="000450B9">
      <w:pPr>
        <w:pStyle w:val="ListParagraph"/>
        <w:numPr>
          <w:ilvl w:val="0"/>
          <w:numId w:val="3"/>
        </w:numPr>
        <w:spacing w:after="0" w:line="276" w:lineRule="auto"/>
        <w:jc w:val="both"/>
        <w:rPr>
          <w:rFonts w:ascii="Times New Roman" w:hAnsi="Times New Roman" w:cs="Times New Roman"/>
          <w:sz w:val="24"/>
          <w:szCs w:val="24"/>
        </w:rPr>
      </w:pPr>
      <w:r w:rsidRPr="000450B9">
        <w:rPr>
          <w:rFonts w:ascii="Times New Roman" w:hAnsi="Times New Roman" w:cs="Times New Roman"/>
          <w:sz w:val="24"/>
          <w:szCs w:val="24"/>
        </w:rPr>
        <w:t xml:space="preserve">GARAY L. et al. (2017). Understanding sustainability behavior: The relationship between information acquisition, proactivity and performance. </w:t>
      </w:r>
    </w:p>
    <w:p w:rsid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KOU</w:t>
      </w:r>
      <w:r>
        <w:rPr>
          <w:rFonts w:ascii="Times New Roman" w:hAnsi="Times New Roman" w:cs="Times New Roman"/>
          <w:sz w:val="24"/>
          <w:szCs w:val="24"/>
        </w:rPr>
        <w:t xml:space="preserve">TSANTONI, DIMITRA. </w:t>
      </w:r>
      <w:r w:rsidRPr="002507C2">
        <w:rPr>
          <w:rFonts w:ascii="Times New Roman" w:hAnsi="Times New Roman" w:cs="Times New Roman"/>
          <w:sz w:val="24"/>
          <w:szCs w:val="24"/>
        </w:rPr>
        <w:t xml:space="preserve">Greek Cultural Characteristics and Academic </w:t>
      </w:r>
      <w:r>
        <w:rPr>
          <w:rFonts w:ascii="Times New Roman" w:hAnsi="Times New Roman" w:cs="Times New Roman"/>
          <w:sz w:val="24"/>
          <w:szCs w:val="24"/>
        </w:rPr>
        <w:t xml:space="preserve">Writing. </w:t>
      </w:r>
      <w:r w:rsidRPr="002507C2">
        <w:rPr>
          <w:rFonts w:ascii="Times New Roman" w:hAnsi="Times New Roman" w:cs="Times New Roman"/>
          <w:sz w:val="24"/>
          <w:szCs w:val="24"/>
        </w:rPr>
        <w:t>J</w:t>
      </w:r>
      <w:r>
        <w:rPr>
          <w:rFonts w:ascii="Times New Roman" w:hAnsi="Times New Roman" w:cs="Times New Roman"/>
          <w:sz w:val="24"/>
          <w:szCs w:val="24"/>
        </w:rPr>
        <w:t>ournal of Modern Greek Studies,</w:t>
      </w:r>
      <w:r w:rsidRPr="002507C2">
        <w:rPr>
          <w:rFonts w:ascii="Times New Roman" w:hAnsi="Times New Roman" w:cs="Times New Roman"/>
          <w:sz w:val="24"/>
          <w:szCs w:val="24"/>
        </w:rPr>
        <w:t xml:space="preserve"> vol. 23, </w:t>
      </w:r>
      <w:r>
        <w:rPr>
          <w:rFonts w:ascii="Times New Roman" w:hAnsi="Times New Roman" w:cs="Times New Roman"/>
          <w:sz w:val="24"/>
          <w:szCs w:val="24"/>
        </w:rPr>
        <w:t xml:space="preserve">no. 1, 2005, p. 97-138; </w:t>
      </w:r>
    </w:p>
    <w:p w:rsidR="002507C2" w:rsidRP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G. HOFSTEDE (1994): Cultures and Organisations. Harper Collins, London.</w:t>
      </w:r>
    </w:p>
    <w:p w:rsidR="002507C2" w:rsidRP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 xml:space="preserve"> J. MOLE (2003): Mind your manners: managing business cultures in the new global Europe, Nicolas Brealey Publishing, London.</w:t>
      </w:r>
    </w:p>
    <w:p w:rsidR="002507C2" w:rsidRP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lastRenderedPageBreak/>
        <w:t>R. GESTELAND (1999) Cross-cultural Business Behavior, Marketing, Negotiating and Managing Across Cultures. Handelshojskolens Forlag, Copenhagen Business School Press.</w:t>
      </w:r>
    </w:p>
    <w:p w:rsidR="002507C2" w:rsidRPr="002507C2" w:rsidRDefault="002507C2" w:rsidP="002507C2">
      <w:pPr>
        <w:pStyle w:val="ListParagraph"/>
        <w:numPr>
          <w:ilvl w:val="0"/>
          <w:numId w:val="3"/>
        </w:numPr>
        <w:spacing w:after="0" w:line="276" w:lineRule="auto"/>
        <w:jc w:val="both"/>
        <w:rPr>
          <w:rFonts w:ascii="Times New Roman" w:hAnsi="Times New Roman" w:cs="Times New Roman"/>
          <w:sz w:val="24"/>
          <w:szCs w:val="24"/>
        </w:rPr>
      </w:pPr>
      <w:r w:rsidRPr="002507C2">
        <w:rPr>
          <w:rFonts w:ascii="Times New Roman" w:hAnsi="Times New Roman" w:cs="Times New Roman"/>
          <w:sz w:val="24"/>
          <w:szCs w:val="24"/>
        </w:rPr>
        <w:t xml:space="preserve"> G. HOFSTEDE (1994): Cultures and Organisations. Harper Collins, London.</w:t>
      </w:r>
    </w:p>
    <w:p w:rsidR="002507C2" w:rsidRPr="00703A1A" w:rsidRDefault="00440307" w:rsidP="002507C2">
      <w:pPr>
        <w:pStyle w:val="ListParagraph"/>
        <w:numPr>
          <w:ilvl w:val="0"/>
          <w:numId w:val="3"/>
        </w:numPr>
        <w:spacing w:after="0" w:line="276"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 </w:t>
      </w:r>
      <w:r w:rsidR="00703A1A" w:rsidRPr="00703A1A">
        <w:rPr>
          <w:rFonts w:ascii="Times New Roman" w:hAnsi="Times New Roman" w:cs="Times New Roman"/>
          <w:color w:val="000000"/>
          <w:sz w:val="24"/>
          <w:szCs w:val="24"/>
          <w:shd w:val="clear" w:color="auto" w:fill="FFFFFF"/>
        </w:rPr>
        <w:t xml:space="preserve">Hofstede Insights. (2019). </w:t>
      </w:r>
      <w:r w:rsidR="00703A1A" w:rsidRPr="00703A1A">
        <w:rPr>
          <w:rFonts w:ascii="Times New Roman" w:hAnsi="Times New Roman" w:cs="Times New Roman"/>
          <w:i/>
          <w:iCs/>
          <w:color w:val="000000"/>
          <w:sz w:val="24"/>
          <w:szCs w:val="24"/>
        </w:rPr>
        <w:t>Greece - Hofstede Insights</w:t>
      </w:r>
      <w:r w:rsidR="00703A1A" w:rsidRPr="00703A1A">
        <w:rPr>
          <w:rFonts w:ascii="Times New Roman" w:hAnsi="Times New Roman" w:cs="Times New Roman"/>
          <w:color w:val="000000"/>
          <w:sz w:val="24"/>
          <w:szCs w:val="24"/>
          <w:shd w:val="clear" w:color="auto" w:fill="FFFFFF"/>
        </w:rPr>
        <w:t>. [online] Available at: https://www.hofstede-insights.com/country/greece/ [Accessed 25 Nov. 2019].</w:t>
      </w:r>
    </w:p>
    <w:p w:rsidR="002507C2" w:rsidRPr="000450B9" w:rsidRDefault="002507C2" w:rsidP="002507C2">
      <w:pPr>
        <w:pStyle w:val="ListParagraph"/>
        <w:spacing w:after="0" w:line="276" w:lineRule="auto"/>
        <w:ind w:left="1080"/>
        <w:jc w:val="both"/>
        <w:rPr>
          <w:rFonts w:ascii="Times New Roman" w:hAnsi="Times New Roman" w:cs="Times New Roman"/>
          <w:sz w:val="24"/>
          <w:szCs w:val="24"/>
        </w:rPr>
      </w:pPr>
    </w:p>
    <w:sectPr w:rsidR="002507C2" w:rsidRPr="000450B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0CC6" w:rsidRDefault="00DA0CC6" w:rsidP="000B6474">
      <w:pPr>
        <w:spacing w:after="0" w:line="240" w:lineRule="auto"/>
      </w:pPr>
      <w:r>
        <w:separator/>
      </w:r>
    </w:p>
  </w:endnote>
  <w:endnote w:type="continuationSeparator" w:id="0">
    <w:p w:rsidR="00DA0CC6" w:rsidRDefault="00DA0CC6" w:rsidP="000B6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0CC6" w:rsidRDefault="00DA0CC6" w:rsidP="000B6474">
      <w:pPr>
        <w:spacing w:after="0" w:line="240" w:lineRule="auto"/>
      </w:pPr>
      <w:r>
        <w:separator/>
      </w:r>
    </w:p>
  </w:footnote>
  <w:footnote w:type="continuationSeparator" w:id="0">
    <w:p w:rsidR="00DA0CC6" w:rsidRDefault="00DA0CC6" w:rsidP="000B64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E49A2"/>
    <w:multiLevelType w:val="hybridMultilevel"/>
    <w:tmpl w:val="107E235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352C23DA"/>
    <w:multiLevelType w:val="hybridMultilevel"/>
    <w:tmpl w:val="3F62E7BA"/>
    <w:lvl w:ilvl="0" w:tplc="4A90FAE8">
      <w:numFmt w:val="bullet"/>
      <w:lvlText w:val="–"/>
      <w:lvlJc w:val="left"/>
      <w:pPr>
        <w:ind w:left="587" w:hanging="161"/>
      </w:pPr>
      <w:rPr>
        <w:rFonts w:hint="default"/>
        <w:w w:val="100"/>
        <w:lang w:val="it-IT" w:eastAsia="it-IT" w:bidi="it-IT"/>
      </w:rPr>
    </w:lvl>
    <w:lvl w:ilvl="1" w:tplc="19CAA73C">
      <w:numFmt w:val="bullet"/>
      <w:lvlText w:val=""/>
      <w:lvlJc w:val="left"/>
      <w:pPr>
        <w:ind w:left="1296" w:hanging="356"/>
      </w:pPr>
      <w:rPr>
        <w:rFonts w:ascii="Wingdings" w:eastAsia="Wingdings" w:hAnsi="Wingdings" w:cs="Wingdings" w:hint="default"/>
        <w:w w:val="100"/>
        <w:sz w:val="21"/>
        <w:szCs w:val="21"/>
        <w:lang w:val="it-IT" w:eastAsia="it-IT" w:bidi="it-IT"/>
      </w:rPr>
    </w:lvl>
    <w:lvl w:ilvl="2" w:tplc="309AEDF0">
      <w:numFmt w:val="bullet"/>
      <w:lvlText w:val="•"/>
      <w:lvlJc w:val="left"/>
      <w:pPr>
        <w:ind w:left="2104" w:hanging="356"/>
      </w:pPr>
      <w:rPr>
        <w:rFonts w:hint="default"/>
        <w:lang w:val="it-IT" w:eastAsia="it-IT" w:bidi="it-IT"/>
      </w:rPr>
    </w:lvl>
    <w:lvl w:ilvl="3" w:tplc="C1E88C12">
      <w:numFmt w:val="bullet"/>
      <w:lvlText w:val="•"/>
      <w:lvlJc w:val="left"/>
      <w:pPr>
        <w:ind w:left="2908" w:hanging="356"/>
      </w:pPr>
      <w:rPr>
        <w:rFonts w:hint="default"/>
        <w:lang w:val="it-IT" w:eastAsia="it-IT" w:bidi="it-IT"/>
      </w:rPr>
    </w:lvl>
    <w:lvl w:ilvl="4" w:tplc="0CACA752">
      <w:numFmt w:val="bullet"/>
      <w:lvlText w:val="•"/>
      <w:lvlJc w:val="left"/>
      <w:pPr>
        <w:ind w:left="3713" w:hanging="356"/>
      </w:pPr>
      <w:rPr>
        <w:rFonts w:hint="default"/>
        <w:lang w:val="it-IT" w:eastAsia="it-IT" w:bidi="it-IT"/>
      </w:rPr>
    </w:lvl>
    <w:lvl w:ilvl="5" w:tplc="8DD6D1DE">
      <w:numFmt w:val="bullet"/>
      <w:lvlText w:val="•"/>
      <w:lvlJc w:val="left"/>
      <w:pPr>
        <w:ind w:left="4517" w:hanging="356"/>
      </w:pPr>
      <w:rPr>
        <w:rFonts w:hint="default"/>
        <w:lang w:val="it-IT" w:eastAsia="it-IT" w:bidi="it-IT"/>
      </w:rPr>
    </w:lvl>
    <w:lvl w:ilvl="6" w:tplc="AF70C7B2">
      <w:numFmt w:val="bullet"/>
      <w:lvlText w:val="•"/>
      <w:lvlJc w:val="left"/>
      <w:pPr>
        <w:ind w:left="5322" w:hanging="356"/>
      </w:pPr>
      <w:rPr>
        <w:rFonts w:hint="default"/>
        <w:lang w:val="it-IT" w:eastAsia="it-IT" w:bidi="it-IT"/>
      </w:rPr>
    </w:lvl>
    <w:lvl w:ilvl="7" w:tplc="90E4EBA2">
      <w:numFmt w:val="bullet"/>
      <w:lvlText w:val="•"/>
      <w:lvlJc w:val="left"/>
      <w:pPr>
        <w:ind w:left="6126" w:hanging="356"/>
      </w:pPr>
      <w:rPr>
        <w:rFonts w:hint="default"/>
        <w:lang w:val="it-IT" w:eastAsia="it-IT" w:bidi="it-IT"/>
      </w:rPr>
    </w:lvl>
    <w:lvl w:ilvl="8" w:tplc="3AFAFFD8">
      <w:numFmt w:val="bullet"/>
      <w:lvlText w:val="•"/>
      <w:lvlJc w:val="left"/>
      <w:pPr>
        <w:ind w:left="6931" w:hanging="356"/>
      </w:pPr>
      <w:rPr>
        <w:rFonts w:hint="default"/>
        <w:lang w:val="it-IT" w:eastAsia="it-IT" w:bidi="it-IT"/>
      </w:rPr>
    </w:lvl>
  </w:abstractNum>
  <w:abstractNum w:abstractNumId="2" w15:restartNumberingAfterBreak="0">
    <w:nsid w:val="66FF0BC5"/>
    <w:multiLevelType w:val="hybridMultilevel"/>
    <w:tmpl w:val="8ECE1B60"/>
    <w:lvl w:ilvl="0" w:tplc="B090F086">
      <w:start w:val="1"/>
      <w:numFmt w:val="decimal"/>
      <w:lvlText w:val="%1."/>
      <w:lvlJc w:val="left"/>
      <w:pPr>
        <w:ind w:left="1308" w:hanging="226"/>
        <w:jc w:val="left"/>
      </w:pPr>
      <w:rPr>
        <w:rFonts w:ascii="Times New Roman" w:eastAsia="Times New Roman" w:hAnsi="Times New Roman" w:cs="Times New Roman" w:hint="default"/>
        <w:w w:val="100"/>
        <w:sz w:val="21"/>
        <w:szCs w:val="21"/>
        <w:lang w:val="it-IT" w:eastAsia="it-IT" w:bidi="it-IT"/>
      </w:rPr>
    </w:lvl>
    <w:lvl w:ilvl="1" w:tplc="CB2E518A">
      <w:numFmt w:val="bullet"/>
      <w:lvlText w:val="•"/>
      <w:lvlJc w:val="left"/>
      <w:pPr>
        <w:ind w:left="2024" w:hanging="226"/>
      </w:pPr>
      <w:rPr>
        <w:rFonts w:hint="default"/>
        <w:lang w:val="it-IT" w:eastAsia="it-IT" w:bidi="it-IT"/>
      </w:rPr>
    </w:lvl>
    <w:lvl w:ilvl="2" w:tplc="6A581B74">
      <w:numFmt w:val="bullet"/>
      <w:lvlText w:val="•"/>
      <w:lvlJc w:val="left"/>
      <w:pPr>
        <w:ind w:left="2748" w:hanging="226"/>
      </w:pPr>
      <w:rPr>
        <w:rFonts w:hint="default"/>
        <w:lang w:val="it-IT" w:eastAsia="it-IT" w:bidi="it-IT"/>
      </w:rPr>
    </w:lvl>
    <w:lvl w:ilvl="3" w:tplc="791ED738">
      <w:numFmt w:val="bullet"/>
      <w:lvlText w:val="•"/>
      <w:lvlJc w:val="left"/>
      <w:pPr>
        <w:ind w:left="3472" w:hanging="226"/>
      </w:pPr>
      <w:rPr>
        <w:rFonts w:hint="default"/>
        <w:lang w:val="it-IT" w:eastAsia="it-IT" w:bidi="it-IT"/>
      </w:rPr>
    </w:lvl>
    <w:lvl w:ilvl="4" w:tplc="2056C4A6">
      <w:numFmt w:val="bullet"/>
      <w:lvlText w:val="•"/>
      <w:lvlJc w:val="left"/>
      <w:pPr>
        <w:ind w:left="4196" w:hanging="226"/>
      </w:pPr>
      <w:rPr>
        <w:rFonts w:hint="default"/>
        <w:lang w:val="it-IT" w:eastAsia="it-IT" w:bidi="it-IT"/>
      </w:rPr>
    </w:lvl>
    <w:lvl w:ilvl="5" w:tplc="90B03406">
      <w:numFmt w:val="bullet"/>
      <w:lvlText w:val="•"/>
      <w:lvlJc w:val="left"/>
      <w:pPr>
        <w:ind w:left="4920" w:hanging="226"/>
      </w:pPr>
      <w:rPr>
        <w:rFonts w:hint="default"/>
        <w:lang w:val="it-IT" w:eastAsia="it-IT" w:bidi="it-IT"/>
      </w:rPr>
    </w:lvl>
    <w:lvl w:ilvl="6" w:tplc="479A31AE">
      <w:numFmt w:val="bullet"/>
      <w:lvlText w:val="•"/>
      <w:lvlJc w:val="left"/>
      <w:pPr>
        <w:ind w:left="5644" w:hanging="226"/>
      </w:pPr>
      <w:rPr>
        <w:rFonts w:hint="default"/>
        <w:lang w:val="it-IT" w:eastAsia="it-IT" w:bidi="it-IT"/>
      </w:rPr>
    </w:lvl>
    <w:lvl w:ilvl="7" w:tplc="28269190">
      <w:numFmt w:val="bullet"/>
      <w:lvlText w:val="•"/>
      <w:lvlJc w:val="left"/>
      <w:pPr>
        <w:ind w:left="6368" w:hanging="226"/>
      </w:pPr>
      <w:rPr>
        <w:rFonts w:hint="default"/>
        <w:lang w:val="it-IT" w:eastAsia="it-IT" w:bidi="it-IT"/>
      </w:rPr>
    </w:lvl>
    <w:lvl w:ilvl="8" w:tplc="C6B0D01C">
      <w:numFmt w:val="bullet"/>
      <w:lvlText w:val="•"/>
      <w:lvlJc w:val="left"/>
      <w:pPr>
        <w:ind w:left="7092" w:hanging="226"/>
      </w:pPr>
      <w:rPr>
        <w:rFonts w:hint="default"/>
        <w:lang w:val="it-IT" w:eastAsia="it-IT" w:bidi="it-IT"/>
      </w:rPr>
    </w:lvl>
  </w:abstractNum>
  <w:abstractNum w:abstractNumId="3" w15:restartNumberingAfterBreak="0">
    <w:nsid w:val="790A43CA"/>
    <w:multiLevelType w:val="hybridMultilevel"/>
    <w:tmpl w:val="00C4AD0E"/>
    <w:lvl w:ilvl="0" w:tplc="D720750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66AC"/>
    <w:rsid w:val="0002522D"/>
    <w:rsid w:val="000450B9"/>
    <w:rsid w:val="000B6474"/>
    <w:rsid w:val="001A5049"/>
    <w:rsid w:val="002507C2"/>
    <w:rsid w:val="00252A2C"/>
    <w:rsid w:val="002A0EEE"/>
    <w:rsid w:val="002A2B5A"/>
    <w:rsid w:val="002B666F"/>
    <w:rsid w:val="002B7992"/>
    <w:rsid w:val="00346003"/>
    <w:rsid w:val="00440307"/>
    <w:rsid w:val="004A3C13"/>
    <w:rsid w:val="00540FEB"/>
    <w:rsid w:val="005A1F04"/>
    <w:rsid w:val="00662DB5"/>
    <w:rsid w:val="00703A1A"/>
    <w:rsid w:val="007548F7"/>
    <w:rsid w:val="00847015"/>
    <w:rsid w:val="00862DE1"/>
    <w:rsid w:val="00934C5F"/>
    <w:rsid w:val="009F7B1D"/>
    <w:rsid w:val="00A166C2"/>
    <w:rsid w:val="00A4283F"/>
    <w:rsid w:val="00A50B94"/>
    <w:rsid w:val="00AC21F4"/>
    <w:rsid w:val="00B3463D"/>
    <w:rsid w:val="00B90043"/>
    <w:rsid w:val="00BD66AC"/>
    <w:rsid w:val="00C70ADA"/>
    <w:rsid w:val="00C72B24"/>
    <w:rsid w:val="00CD1AD1"/>
    <w:rsid w:val="00CF7F19"/>
    <w:rsid w:val="00D8483E"/>
    <w:rsid w:val="00DA0CC6"/>
    <w:rsid w:val="00EC5C31"/>
    <w:rsid w:val="00F2508A"/>
    <w:rsid w:val="00F44602"/>
    <w:rsid w:val="00F83D36"/>
    <w:rsid w:val="00FD1D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7ED62"/>
  <w15:chartTrackingRefBased/>
  <w15:docId w15:val="{E86F0DEA-EA67-4866-B54C-855C6C71E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66AC"/>
    <w:rPr>
      <w:color w:val="0000FF"/>
      <w:u w:val="single"/>
    </w:rPr>
  </w:style>
  <w:style w:type="paragraph" w:customStyle="1" w:styleId="footnotedescription">
    <w:name w:val="footnote description"/>
    <w:next w:val="Normal"/>
    <w:link w:val="footnotedescriptionChar"/>
    <w:hidden/>
    <w:rsid w:val="000B6474"/>
    <w:pPr>
      <w:spacing w:after="0" w:line="240" w:lineRule="auto"/>
    </w:pPr>
    <w:rPr>
      <w:rFonts w:ascii="Calibri" w:eastAsia="Calibri" w:hAnsi="Calibri" w:cs="Calibri"/>
      <w:color w:val="000000"/>
      <w:sz w:val="20"/>
    </w:rPr>
  </w:style>
  <w:style w:type="character" w:customStyle="1" w:styleId="footnotedescriptionChar">
    <w:name w:val="footnote description Char"/>
    <w:link w:val="footnotedescription"/>
    <w:rsid w:val="000B6474"/>
    <w:rPr>
      <w:rFonts w:ascii="Calibri" w:eastAsia="Calibri" w:hAnsi="Calibri" w:cs="Calibri"/>
      <w:color w:val="000000"/>
      <w:sz w:val="20"/>
    </w:rPr>
  </w:style>
  <w:style w:type="character" w:customStyle="1" w:styleId="footnotemark">
    <w:name w:val="footnote mark"/>
    <w:hidden/>
    <w:rsid w:val="000B6474"/>
    <w:rPr>
      <w:rFonts w:ascii="Calibri" w:eastAsia="Calibri" w:hAnsi="Calibri" w:cs="Calibri"/>
      <w:color w:val="000000"/>
      <w:sz w:val="20"/>
      <w:vertAlign w:val="superscript"/>
    </w:rPr>
  </w:style>
  <w:style w:type="paragraph" w:styleId="ListParagraph">
    <w:name w:val="List Paragraph"/>
    <w:basedOn w:val="Normal"/>
    <w:uiPriority w:val="34"/>
    <w:qFormat/>
    <w:rsid w:val="000450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fstede-insights.com/product/compare-count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7</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ALYRIA</dc:creator>
  <cp:keywords/>
  <dc:description/>
  <cp:lastModifiedBy>Mircea Sau (1805023)</cp:lastModifiedBy>
  <cp:revision>12</cp:revision>
  <dcterms:created xsi:type="dcterms:W3CDTF">2019-11-25T07:33:00Z</dcterms:created>
  <dcterms:modified xsi:type="dcterms:W3CDTF">2019-11-25T18:01:00Z</dcterms:modified>
</cp:coreProperties>
</file>