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theme/theme1.xml" ContentType="application/vnd.openxmlformats-officedocument.theme+xml"/>
  <Override PartName="/word/styles.xml" ContentType="application/vnd.openxmlformats-officedocument.wordprocessingml.styles+xml"/>
  <Override PartName="/docprops/core.xml" ContentType="application/vnd.openxmlformats-package.core-properties+xml"/>
  <Override PartName="/word/fonttable.xml" ContentType="application/vnd.openxmlformats-officedocument.wordprocessingml.fontTable+xml"/>
  <Override PartName="/word/document.xml" ContentType="application/vnd.openxmlformats-officedocument.wordprocessingml.document.main+xml"/>
  <Override PartName="/word/settings.xml" ContentType="application/vnd.openxmlformats-officedocument.wordprocessingml.settings+xml"/>
  <Override PartName="/docprops/app.xml" ContentType="application/vnd.openxmlformats-officedocument.extended-propertie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body>
    <w:p>
      <w:pPr>
        <w:rPr>
          <w:rFonts w:ascii="Arial" w:cs="Arial" w:hAnsi="Arial"/>
          <w:b/>
          <w:bCs/>
        </w:rPr>
      </w:pPr>
      <w:r>
        <w:rPr>
          <w:rFonts w:ascii="Arial" w:cs="Arial" w:hAnsi="Arial"/>
          <w:b/>
          <w:bCs/>
        </w:rPr>
        <w:drawing xmlns:mc="http://schemas.openxmlformats.org/markup-compatibility/2006">
          <wp:inline distT="0" distB="0" distL="0" distR="0">
            <wp:extent cx="2236470" cy="1370965"/>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Grp="0" noSelect="0" noChangeAspect="1" noMove="0"/>
                    </pic:cNvPicPr>
                  </pic:nvPicPr>
                  <pic:blipFill>
                    <a:blip r:embed="rId8"/>
                    <a:srcRect/>
                    <a:stretch>
                      <a:fillRect/>
                    </a:stretch>
                  </pic:blipFill>
                  <pic:spPr>
                    <a:xfrm>
                      <a:off x="0" y="0"/>
                      <a:ext cx="2236470" cy="1370965"/>
                    </a:xfrm>
                    <a:prstGeom prst="rect">
                      <a:avLst/>
                    </a:prstGeom>
                  </pic:spPr>
                </pic:pic>
              </a:graphicData>
            </a:graphic>
          </wp:inline>
        </w:drawing>
      </w:r>
      <w:r>
        <w:rPr>
          <w:rFonts w:ascii="Arial" w:cs="Arial" w:hAnsi="Arial"/>
          <w:b/>
          <w:bCs/>
          <w:lang w:val="en-GB"/>
        </w:rPr>
        <w:t>Report</w:t>
      </w:r>
    </w:p>
    <w:p>
      <w:pPr>
        <w:rPr>
          <w:rFonts w:ascii="Arial" w:cs="Arial" w:hAnsi="Arial"/>
          <w:b/>
          <w:bCs/>
        </w:rPr>
      </w:pPr>
      <w:r>
        <w:rPr>
          <w:rFonts w:ascii="Arial" w:cs="Arial" w:hAnsi="Arial"/>
          <w:b/>
          <w:bCs/>
        </w:rPr>
        <w:t xml:space="preserve">                     </w:t>
      </w:r>
    </w:p>
    <w:p>
      <w:pPr>
        <w:rPr>
          <w:rFonts w:ascii="Arial" w:cs="Arial" w:hAnsi="Arial"/>
          <w:b/>
          <w:bCs/>
        </w:rPr>
      </w:pPr>
      <w:r>
        <w:rPr>
          <w:rFonts w:ascii="Arial" w:cs="Arial" w:hAnsi="Arial"/>
          <w:b/>
          <w:bCs/>
        </w:rPr>
        <w:t xml:space="preserve">                           </w:t>
      </w:r>
      <w:r>
        <w:rPr>
          <w:rFonts w:ascii="Arial" w:cs="Arial" w:hAnsi="Arial"/>
          <w:b/>
          <w:bCs/>
          <w:lang w:val="en-GB"/>
        </w:rPr>
        <w:t>GEORGIANA MAGDALENA OANA-2130462</w:t>
      </w:r>
    </w:p>
    <w:p>
      <w:pPr>
        <w:rPr>
          <w:rFonts w:ascii="Arial" w:cs="Arial" w:hAnsi="Arial"/>
          <w:b/>
          <w:bCs/>
        </w:rPr>
      </w:pPr>
      <w:r>
        <w:rPr>
          <w:rFonts w:ascii="Arial" w:cs="Arial" w:hAnsi="Arial"/>
          <w:b/>
          <w:bCs/>
        </w:rPr>
        <w:t xml:space="preserve">                          </w:t>
      </w:r>
      <w:r>
        <w:rPr>
          <w:rFonts w:ascii="Arial" w:cs="Arial" w:hAnsi="Arial"/>
          <w:b/>
          <w:bCs/>
          <w:lang w:val="en-GB"/>
        </w:rPr>
        <w:t>Introduction to Public Health (LCHS4003_LON)</w:t>
      </w:r>
    </w:p>
    <w:p>
      <w:pPr>
        <w:rPr>
          <w:rFonts w:ascii="Arial" w:cs="Arial" w:hAnsi="Arial"/>
          <w:b/>
          <w:bCs/>
        </w:rPr>
      </w:pPr>
    </w:p>
    <w:p>
      <w:pPr>
        <w:rPr>
          <w:rFonts w:ascii="Arial" w:cs="Arial" w:hAnsi="Arial"/>
          <w:b/>
          <w:bCs/>
        </w:rPr>
      </w:pPr>
    </w:p>
    <w:p>
      <w:pPr>
        <w:rPr>
          <w:rFonts w:ascii="Arial" w:cs="Arial" w:hAnsi="Arial"/>
          <w:b/>
          <w:bCs/>
        </w:rPr>
      </w:pPr>
    </w:p>
    <w:p>
      <w:pPr>
        <w:rPr>
          <w:rFonts w:ascii="Arial" w:cs="Arial" w:hAnsi="Arial"/>
          <w:b/>
          <w:bCs/>
        </w:rPr>
      </w:pPr>
    </w:p>
    <w:p>
      <w:pPr>
        <w:rPr>
          <w:rFonts w:ascii="Arial" w:cs="Arial" w:hAnsi="Arial"/>
          <w:b/>
          <w:bCs/>
        </w:rPr>
      </w:pPr>
    </w:p>
    <w:p>
      <w:pPr>
        <w:rPr>
          <w:rFonts w:ascii="Arial" w:cs="Arial" w:hAnsi="Arial"/>
          <w:b/>
          <w:bCs/>
        </w:rPr>
      </w:pPr>
    </w:p>
    <w:p>
      <w:pPr>
        <w:rPr>
          <w:rFonts w:ascii="Arial" w:cs="Arial" w:hAnsi="Arial"/>
          <w:b/>
          <w:bCs/>
        </w:rPr>
      </w:pPr>
    </w:p>
    <w:p>
      <w:pPr>
        <w:rPr>
          <w:rFonts w:ascii="Arial" w:cs="Arial" w:hAnsi="Arial"/>
          <w:b/>
          <w:bCs/>
        </w:rPr>
      </w:pPr>
    </w:p>
    <w:p>
      <w:pPr>
        <w:rPr>
          <w:rFonts w:ascii="Arial" w:cs="Arial" w:hAnsi="Arial"/>
          <w:b/>
          <w:bCs/>
        </w:rPr>
      </w:pPr>
    </w:p>
    <w:p>
      <w:pPr>
        <w:rPr>
          <w:rFonts w:ascii="Arial" w:cs="Arial" w:hAnsi="Arial"/>
          <w:b/>
          <w:bCs/>
        </w:rPr>
      </w:pPr>
    </w:p>
    <w:p>
      <w:pPr>
        <w:rPr>
          <w:rFonts w:ascii="Arial" w:cs="Arial" w:hAnsi="Arial"/>
          <w:b/>
          <w:bCs/>
        </w:rPr>
      </w:pPr>
    </w:p>
    <w:p>
      <w:pPr>
        <w:rPr>
          <w:rFonts w:ascii="Arial" w:cs="Arial" w:hAnsi="Arial"/>
          <w:b/>
          <w:bCs/>
        </w:rPr>
      </w:pPr>
    </w:p>
    <w:p>
      <w:pPr>
        <w:rPr>
          <w:rFonts w:ascii="Arial" w:cs="Arial" w:hAnsi="Arial"/>
          <w:b/>
          <w:bCs/>
        </w:rPr>
      </w:pPr>
    </w:p>
    <w:p>
      <w:pPr>
        <w:rPr>
          <w:rFonts w:ascii="Arial" w:cs="Arial" w:hAnsi="Arial"/>
          <w:b/>
          <w:bCs/>
        </w:rPr>
      </w:pPr>
    </w:p>
    <w:p>
      <w:pPr>
        <w:rPr>
          <w:rFonts w:ascii="Arial" w:cs="Arial" w:hAnsi="Arial"/>
          <w:b/>
          <w:bCs/>
        </w:rPr>
      </w:pPr>
    </w:p>
    <w:p>
      <w:pPr>
        <w:rPr>
          <w:rFonts w:ascii="Arial" w:cs="Arial" w:hAnsi="Arial"/>
          <w:b/>
          <w:bCs/>
        </w:rPr>
      </w:pPr>
    </w:p>
    <w:p>
      <w:pPr>
        <w:spacing w:line="360"/>
        <w:jc w:val="both"/>
        <w:rPr>
          <w:rFonts w:ascii="Arial" w:cs="Arial" w:hAnsi="Arial"/>
          <w:b/>
          <w:bCs/>
          <w:sz w:val="22"/>
          <w:szCs w:val="22"/>
        </w:rPr>
      </w:pPr>
    </w:p>
    <w:p>
      <w:pPr>
        <w:spacing w:line="360"/>
        <w:jc w:val="both"/>
        <w:rPr>
          <w:rFonts w:ascii="Arial" w:cs="Arial" w:hAnsi="Arial"/>
          <w:b/>
          <w:bCs/>
          <w:sz w:val="22"/>
          <w:szCs w:val="22"/>
        </w:rPr>
      </w:pPr>
    </w:p>
    <w:p>
      <w:pPr>
        <w:spacing w:line="360"/>
        <w:jc w:val="both"/>
        <w:rPr>
          <w:rFonts w:ascii="Arial" w:cs="Arial" w:hAnsi="Arial"/>
          <w:b/>
          <w:bCs/>
          <w:sz w:val="22"/>
          <w:szCs w:val="22"/>
        </w:rPr>
      </w:pPr>
    </w:p>
    <w:p>
      <w:pPr>
        <w:spacing w:line="360"/>
        <w:jc w:val="both"/>
        <w:rPr>
          <w:rFonts w:ascii="Arial" w:cs="Arial" w:hAnsi="Arial"/>
          <w:b/>
          <w:bCs/>
          <w:sz w:val="22"/>
          <w:szCs w:val="22"/>
        </w:rPr>
      </w:pPr>
    </w:p>
    <w:p>
      <w:pPr>
        <w:spacing w:line="360"/>
        <w:jc w:val="both"/>
        <w:rPr>
          <w:rFonts w:ascii="Arial" w:cs="Arial" w:hAnsi="Arial"/>
          <w:b/>
          <w:bCs/>
          <w:sz w:val="22"/>
          <w:szCs w:val="22"/>
          <w:lang w:val="en-GB"/>
        </w:rPr>
      </w:pPr>
      <w:r>
        <w:rPr>
          <w:rFonts w:ascii="Arial" w:cs="Arial" w:hAnsi="Arial"/>
          <w:b/>
          <w:bCs/>
        </w:rPr>
        <w:drawing xmlns:mc="http://schemas.openxmlformats.org/markup-compatibility/2006">
          <wp:inline distT="0" distB="0" distL="0" distR="0">
            <wp:extent cx="2236470" cy="1370965"/>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Grp="0" noSelect="0" noChangeAspect="1" noMove="0"/>
                    </pic:cNvPicPr>
                  </pic:nvPicPr>
                  <pic:blipFill>
                    <a:blip r:embed="rId9"/>
                    <a:srcRect/>
                    <a:stretch>
                      <a:fillRect/>
                    </a:stretch>
                  </pic:blipFill>
                  <pic:spPr>
                    <a:xfrm>
                      <a:off x="0" y="0"/>
                      <a:ext cx="2236470" cy="1370965"/>
                    </a:xfrm>
                    <a:prstGeom prst="rect">
                      <a:avLst/>
                    </a:prstGeom>
                  </pic:spPr>
                </pic:pic>
              </a:graphicData>
            </a:graphic>
          </wp:inline>
        </w:drawing>
      </w:r>
    </w:p>
    <w:p>
      <w:pPr>
        <w:spacing w:line="360"/>
        <w:jc w:val="both"/>
        <w:rPr>
          <w:rFonts w:ascii="Arial" w:cs="Arial" w:hAnsi="Arial"/>
          <w:b/>
          <w:bCs/>
          <w:sz w:val="22"/>
          <w:szCs w:val="22"/>
          <w:lang w:val="en-GB"/>
        </w:rPr>
      </w:pPr>
    </w:p>
    <w:p>
      <w:pPr>
        <w:spacing w:line="360"/>
        <w:jc w:val="both"/>
        <w:rPr>
          <w:rFonts w:ascii="Arial" w:cs="Arial" w:hAnsi="Arial"/>
          <w:b/>
          <w:bCs/>
          <w:sz w:val="22"/>
          <w:szCs w:val="22"/>
          <w:lang w:val="en-GB"/>
        </w:rPr>
      </w:pPr>
    </w:p>
    <w:p>
      <w:pPr>
        <w:spacing w:line="360"/>
        <w:jc w:val="both"/>
        <w:rPr>
          <w:rFonts w:ascii="Arial" w:cs="Arial" w:hAnsi="Arial"/>
          <w:b/>
          <w:bCs/>
          <w:sz w:val="22"/>
          <w:szCs w:val="22"/>
        </w:rPr>
      </w:pPr>
      <w:r>
        <w:rPr>
          <w:rFonts w:ascii="Arial" w:cs="Arial" w:hAnsi="Arial"/>
          <w:b/>
          <w:bCs/>
          <w:sz w:val="22"/>
          <w:szCs w:val="22"/>
          <w:lang w:val="en-GB"/>
        </w:rPr>
        <w:t>Table of content</w:t>
      </w:r>
    </w:p>
    <w:p>
      <w:pPr>
        <w:spacing w:line="360"/>
        <w:jc w:val="both"/>
        <w:rPr>
          <w:rFonts w:ascii="Arial" w:cs="Arial" w:hAnsi="Arial"/>
          <w:b/>
          <w:bCs/>
          <w:sz w:val="22"/>
          <w:szCs w:val="22"/>
        </w:rPr>
      </w:pPr>
    </w:p>
    <w:p>
      <w:pPr>
        <w:spacing w:line="360"/>
        <w:jc w:val="both"/>
        <w:rPr>
          <w:rFonts w:ascii="Arial" w:cs="Arial" w:hAnsi="Arial"/>
          <w:b/>
          <w:bCs/>
          <w:sz w:val="22"/>
          <w:szCs w:val="22"/>
        </w:rPr>
      </w:pPr>
      <w:r>
        <w:rPr>
          <w:rFonts w:ascii="Arial" w:cs="Arial" w:hAnsi="Arial"/>
          <w:b/>
          <w:bCs/>
          <w:sz w:val="22"/>
          <w:szCs w:val="22"/>
          <w:lang w:val="en-GB"/>
        </w:rPr>
        <w:t>1.Introduction............................................................................</w:t>
      </w:r>
    </w:p>
    <w:p>
      <w:pPr>
        <w:spacing w:line="360"/>
        <w:jc w:val="both"/>
        <w:rPr>
          <w:rFonts w:ascii="Arial" w:cs="Arial" w:hAnsi="Arial"/>
          <w:b/>
          <w:bCs/>
          <w:sz w:val="22"/>
          <w:szCs w:val="22"/>
        </w:rPr>
      </w:pPr>
      <w:r>
        <w:rPr>
          <w:rFonts w:ascii="Arial" w:cs="Arial" w:hAnsi="Arial"/>
          <w:b/>
          <w:bCs/>
          <w:sz w:val="22"/>
          <w:szCs w:val="22"/>
          <w:lang w:val="en-GB"/>
        </w:rPr>
        <w:t>2.Definition of disease .............................................................</w:t>
      </w:r>
    </w:p>
    <w:p>
      <w:pPr>
        <w:spacing w:line="360"/>
        <w:jc w:val="both"/>
        <w:rPr>
          <w:rFonts w:ascii="Arial" w:cs="Arial" w:hAnsi="Arial"/>
          <w:b/>
          <w:bCs/>
          <w:sz w:val="22"/>
          <w:szCs w:val="22"/>
        </w:rPr>
      </w:pPr>
      <w:r>
        <w:rPr>
          <w:rFonts w:ascii="Arial" w:cs="Arial" w:hAnsi="Arial"/>
          <w:b/>
          <w:bCs/>
          <w:sz w:val="22"/>
          <w:szCs w:val="22"/>
          <w:lang w:val="en-GB"/>
        </w:rPr>
        <w:t>3.Level of disease.....................................................................</w:t>
      </w:r>
    </w:p>
    <w:p>
      <w:pPr>
        <w:spacing w:line="360"/>
        <w:jc w:val="both"/>
        <w:rPr>
          <w:rFonts w:ascii="Arial" w:cs="Arial" w:hAnsi="Arial"/>
          <w:b/>
          <w:bCs/>
          <w:sz w:val="22"/>
          <w:szCs w:val="22"/>
        </w:rPr>
      </w:pPr>
      <w:r>
        <w:rPr>
          <w:rFonts w:ascii="Arial" w:cs="Arial" w:hAnsi="Arial"/>
          <w:b/>
          <w:bCs/>
          <w:sz w:val="22"/>
          <w:szCs w:val="22"/>
          <w:lang w:val="en-GB"/>
        </w:rPr>
        <w:t>4.Public Health measure,monitor and control.......................</w:t>
      </w:r>
    </w:p>
    <w:p>
      <w:pPr>
        <w:spacing w:line="360"/>
        <w:jc w:val="both"/>
        <w:rPr>
          <w:rFonts w:ascii="Arial" w:cs="Arial" w:hAnsi="Arial"/>
          <w:b/>
          <w:bCs/>
          <w:sz w:val="22"/>
          <w:szCs w:val="22"/>
        </w:rPr>
      </w:pPr>
      <w:r>
        <w:rPr>
          <w:rFonts w:ascii="Arial" w:cs="Arial" w:hAnsi="Arial"/>
          <w:b/>
          <w:bCs/>
          <w:sz w:val="22"/>
          <w:szCs w:val="22"/>
          <w:lang w:val="en-GB"/>
        </w:rPr>
        <w:t>5.The key determinant of disease...........................................</w:t>
      </w:r>
    </w:p>
    <w:p>
      <w:pPr>
        <w:spacing w:line="360"/>
        <w:jc w:val="both"/>
        <w:rPr>
          <w:rFonts w:ascii="Arial" w:cs="Arial" w:hAnsi="Arial"/>
          <w:b/>
          <w:bCs/>
          <w:sz w:val="22"/>
          <w:szCs w:val="22"/>
        </w:rPr>
      </w:pPr>
      <w:r>
        <w:rPr>
          <w:rFonts w:ascii="Arial" w:cs="Arial" w:hAnsi="Arial"/>
          <w:b/>
          <w:bCs/>
          <w:sz w:val="22"/>
          <w:szCs w:val="22"/>
          <w:lang w:val="en-GB"/>
        </w:rPr>
        <w:t>6.Short-term public health consequences.............................</w:t>
      </w:r>
    </w:p>
    <w:p>
      <w:pPr>
        <w:spacing w:line="360"/>
        <w:jc w:val="both"/>
        <w:rPr>
          <w:rFonts w:ascii="Arial" w:cs="Arial" w:hAnsi="Arial"/>
          <w:b/>
          <w:bCs/>
          <w:sz w:val="22"/>
          <w:szCs w:val="22"/>
        </w:rPr>
      </w:pPr>
      <w:r>
        <w:rPr>
          <w:rFonts w:ascii="Arial" w:cs="Arial" w:hAnsi="Arial"/>
          <w:b/>
          <w:bCs/>
          <w:sz w:val="22"/>
          <w:szCs w:val="22"/>
          <w:lang w:val="en-GB"/>
        </w:rPr>
        <w:t>7.Long-term public health consequences.............................</w:t>
      </w:r>
    </w:p>
    <w:p>
      <w:pPr>
        <w:spacing w:line="360"/>
        <w:jc w:val="both"/>
        <w:rPr>
          <w:rFonts w:ascii="Arial" w:cs="Arial" w:hAnsi="Arial"/>
          <w:b/>
          <w:bCs/>
          <w:sz w:val="22"/>
          <w:szCs w:val="22"/>
        </w:rPr>
      </w:pPr>
      <w:r>
        <w:rPr>
          <w:rFonts w:ascii="Arial" w:cs="Arial" w:hAnsi="Arial"/>
          <w:b/>
          <w:bCs/>
          <w:sz w:val="22"/>
          <w:szCs w:val="22"/>
          <w:lang w:val="en-GB"/>
        </w:rPr>
        <w:t>8.Conclusion.............................................................................</w:t>
      </w:r>
    </w:p>
    <w:p>
      <w:pPr>
        <w:spacing w:line="360"/>
        <w:jc w:val="both"/>
        <w:rPr>
          <w:rFonts w:ascii="Arial" w:cs="Arial" w:hAnsi="Arial"/>
          <w:b/>
          <w:bCs/>
          <w:sz w:val="22"/>
          <w:szCs w:val="22"/>
        </w:rPr>
      </w:pPr>
      <w:r>
        <w:rPr>
          <w:rFonts w:ascii="Arial" w:cs="Arial" w:hAnsi="Arial"/>
          <w:b/>
          <w:bCs/>
          <w:sz w:val="22"/>
          <w:szCs w:val="22"/>
          <w:lang w:val="en-GB"/>
        </w:rPr>
        <w:t>9.References.............................................................................</w:t>
      </w:r>
    </w:p>
    <w:p>
      <w:pPr>
        <w:spacing w:line="360"/>
        <w:jc w:val="both"/>
        <w:rPr>
          <w:rFonts w:ascii="Arial" w:cs="Arial" w:hAnsi="Arial"/>
          <w:b/>
          <w:bCs/>
          <w:sz w:val="22"/>
          <w:szCs w:val="22"/>
        </w:rPr>
      </w:pPr>
    </w:p>
    <w:p>
      <w:pPr>
        <w:spacing w:line="360"/>
        <w:jc w:val="both"/>
        <w:rPr>
          <w:rFonts w:ascii="Arial" w:cs="Arial" w:hAnsi="Arial"/>
          <w:b/>
          <w:bCs/>
          <w:sz w:val="22"/>
          <w:szCs w:val="22"/>
        </w:rPr>
      </w:pPr>
    </w:p>
    <w:p>
      <w:pPr>
        <w:spacing w:line="360"/>
        <w:jc w:val="both"/>
        <w:rPr>
          <w:rFonts w:ascii="Arial" w:cs="Arial" w:hAnsi="Arial"/>
          <w:b/>
          <w:bCs/>
          <w:sz w:val="22"/>
          <w:szCs w:val="22"/>
        </w:rPr>
      </w:pPr>
    </w:p>
    <w:p>
      <w:pPr>
        <w:spacing w:line="360"/>
        <w:jc w:val="both"/>
        <w:rPr>
          <w:rFonts w:ascii="Arial" w:cs="Arial" w:hAnsi="Arial"/>
          <w:b/>
          <w:bCs/>
          <w:sz w:val="22"/>
          <w:szCs w:val="22"/>
        </w:rPr>
      </w:pPr>
    </w:p>
    <w:p>
      <w:pPr>
        <w:spacing w:line="360"/>
        <w:jc w:val="both"/>
        <w:rPr>
          <w:rFonts w:ascii="Arial" w:cs="Arial" w:hAnsi="Arial"/>
          <w:b/>
          <w:bCs/>
          <w:sz w:val="22"/>
          <w:szCs w:val="22"/>
        </w:rPr>
      </w:pPr>
    </w:p>
    <w:p>
      <w:pPr>
        <w:spacing w:line="360"/>
        <w:jc w:val="both"/>
        <w:rPr>
          <w:rFonts w:ascii="Arial" w:cs="Arial" w:hAnsi="Arial"/>
          <w:b/>
          <w:bCs/>
          <w:sz w:val="22"/>
          <w:szCs w:val="22"/>
        </w:rPr>
      </w:pPr>
    </w:p>
    <w:p>
      <w:pPr>
        <w:spacing w:line="360"/>
        <w:jc w:val="both"/>
        <w:rPr>
          <w:rFonts w:ascii="Arial" w:cs="Arial" w:hAnsi="Arial"/>
          <w:b/>
          <w:bCs/>
          <w:sz w:val="22"/>
          <w:szCs w:val="22"/>
        </w:rPr>
      </w:pPr>
    </w:p>
    <w:p>
      <w:pPr>
        <w:spacing w:line="360"/>
        <w:jc w:val="both"/>
        <w:rPr>
          <w:rFonts w:ascii="Arial" w:cs="Arial" w:hAnsi="Arial"/>
          <w:b/>
          <w:bCs/>
          <w:sz w:val="22"/>
          <w:szCs w:val="22"/>
          <w:lang w:val="en-GB"/>
        </w:rPr>
      </w:pPr>
      <w:r>
        <w:rPr>
          <w:rFonts w:ascii="Arial" w:cs="Arial" w:hAnsi="Arial"/>
          <w:b/>
          <w:bCs/>
        </w:rPr>
        <w:drawing xmlns:mc="http://schemas.openxmlformats.org/markup-compatibility/2006">
          <wp:inline distT="0" distB="0" distL="0" distR="0">
            <wp:extent cx="2236470" cy="1370965"/>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Grp="0" noSelect="0" noChangeAspect="1" noMove="0"/>
                    </pic:cNvPicPr>
                  </pic:nvPicPr>
                  <pic:blipFill>
                    <a:blip r:embed="rId10"/>
                    <a:srcRect/>
                    <a:stretch>
                      <a:fillRect/>
                    </a:stretch>
                  </pic:blipFill>
                  <pic:spPr>
                    <a:xfrm>
                      <a:off x="0" y="0"/>
                      <a:ext cx="2236470" cy="1370965"/>
                    </a:xfrm>
                    <a:prstGeom prst="rect">
                      <a:avLst/>
                    </a:prstGeom>
                  </pic:spPr>
                </pic:pic>
              </a:graphicData>
            </a:graphic>
          </wp:inline>
        </w:drawing>
      </w:r>
    </w:p>
    <w:p>
      <w:pPr>
        <w:spacing w:line="360"/>
        <w:jc w:val="both"/>
        <w:rPr>
          <w:rFonts w:ascii="Arial" w:cs="Arial" w:hAnsi="Arial"/>
          <w:b/>
          <w:bCs/>
          <w:sz w:val="22"/>
          <w:szCs w:val="22"/>
        </w:rPr>
      </w:pPr>
    </w:p>
    <w:p>
      <w:pPr>
        <w:spacing w:line="360"/>
        <w:jc w:val="both"/>
        <w:rPr>
          <w:rFonts w:ascii="Arial" w:cs="Arial" w:hAnsi="Arial"/>
          <w:b/>
          <w:bCs/>
          <w:sz w:val="22"/>
          <w:szCs w:val="22"/>
        </w:rPr>
      </w:pPr>
    </w:p>
    <w:p>
      <w:pPr>
        <w:spacing w:line="360"/>
        <w:jc w:val="both"/>
        <w:rPr>
          <w:rFonts w:ascii="Arial" w:cs="Arial" w:hAnsi="Arial"/>
          <w:b/>
          <w:bCs/>
          <w:sz w:val="22"/>
          <w:szCs w:val="22"/>
        </w:rPr>
      </w:pPr>
    </w:p>
    <w:p>
      <w:pPr>
        <w:spacing w:line="360"/>
        <w:jc w:val="both"/>
        <w:rPr>
          <w:rFonts w:ascii="Arial" w:cs="Arial" w:hAnsi="Arial"/>
          <w:b/>
          <w:bCs/>
          <w:sz w:val="22"/>
          <w:szCs w:val="22"/>
        </w:rPr>
      </w:pPr>
      <w:r>
        <w:rPr>
          <w:rFonts w:ascii="Arial" w:cs="Arial" w:hAnsi="Arial"/>
          <w:b/>
          <w:bCs/>
          <w:sz w:val="22"/>
          <w:szCs w:val="22"/>
          <w:lang w:val="en-GB"/>
        </w:rPr>
        <w:t>1.Introduction</w:t>
      </w:r>
    </w:p>
    <w:p>
      <w:pPr>
        <w:spacing w:line="360"/>
        <w:jc w:val="both"/>
        <w:rPr>
          <w:rFonts w:ascii="Arial" w:cs="Arial" w:hAnsi="Arial"/>
          <w:b w:val="off"/>
          <w:bCs w:val="off"/>
          <w:sz w:val="22"/>
          <w:szCs w:val="22"/>
        </w:rPr>
      </w:pPr>
    </w:p>
    <w:p>
      <w:pPr>
        <w:spacing w:line="360"/>
        <w:jc w:val="both"/>
        <w:rPr>
          <w:rFonts w:ascii="Arial" w:cs="Arial" w:hAnsi="Arial"/>
          <w:b w:val="off"/>
          <w:bCs w:val="off"/>
          <w:sz w:val="22"/>
          <w:szCs w:val="22"/>
        </w:rPr>
      </w:pPr>
      <w:r>
        <w:rPr>
          <w:rFonts w:ascii="Arial" w:cs="Arial" w:hAnsi="Arial"/>
          <w:b w:val="off"/>
          <w:bCs w:val="off"/>
          <w:sz w:val="22"/>
          <w:szCs w:val="22"/>
          <w:lang w:val="en-GB"/>
        </w:rPr>
        <w:t>I'll be writing about the non-infectious disease in this report. The definition of obesity and its illness severity. This is a significant truth in our life, and the data indicates that the number of persons affected by this illness grows each. Additionally, the significance of measuring, monitoring, and regulating is crucial for every condition. The factors that determine the condition also have an impact on our life.</w:t>
      </w:r>
    </w:p>
    <w:p>
      <w:pPr>
        <w:spacing w:line="360"/>
        <w:jc w:val="both"/>
        <w:rPr>
          <w:rFonts w:ascii="Arial" w:cs="Arial" w:hAnsi="Arial"/>
          <w:b w:val="off"/>
          <w:bCs w:val="off"/>
          <w:sz w:val="22"/>
          <w:szCs w:val="22"/>
        </w:rPr>
      </w:pPr>
    </w:p>
    <w:p>
      <w:pPr>
        <w:spacing w:line="360"/>
        <w:jc w:val="both"/>
        <w:rPr>
          <w:rFonts w:ascii="Arial" w:cs="Arial" w:hAnsi="Arial"/>
          <w:b w:val="off"/>
          <w:bCs w:val="off"/>
          <w:sz w:val="22"/>
          <w:szCs w:val="22"/>
        </w:rPr>
      </w:pPr>
    </w:p>
    <w:p>
      <w:pPr>
        <w:spacing w:line="360"/>
        <w:jc w:val="both"/>
        <w:rPr>
          <w:rFonts w:ascii="Arial" w:cs="Arial" w:hAnsi="Arial"/>
          <w:b w:val="off"/>
          <w:bCs w:val="off"/>
          <w:sz w:val="22"/>
          <w:szCs w:val="22"/>
        </w:rPr>
      </w:pPr>
    </w:p>
    <w:p>
      <w:pPr>
        <w:spacing w:line="360"/>
        <w:jc w:val="both"/>
        <w:rPr>
          <w:rFonts w:ascii="Arial" w:cs="Arial" w:hAnsi="Arial"/>
          <w:b w:val="off"/>
          <w:bCs w:val="off"/>
          <w:sz w:val="22"/>
          <w:szCs w:val="22"/>
        </w:rPr>
      </w:pPr>
      <w:r>
        <w:rPr>
          <w:rFonts w:ascii="Arial" w:cs="Arial" w:hAnsi="Arial"/>
          <w:b w:val="off"/>
          <w:bCs w:val="off"/>
          <w:sz w:val="22"/>
          <w:szCs w:val="22"/>
          <w:lang w:val="en-GB"/>
        </w:rPr>
        <w:t>2.Definition of Obesity.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b w:val="off"/>
          <w:bCs w:val="off"/>
          <w:sz w:val="22"/>
          <w:szCs w:val="22"/>
          <w:lang w:val="en-GB"/>
        </w:rPr>
        <w:t>Obese is a phrase used to describe someone who is extremely overweight and has a lot of body fat.In the UK, it is a widespread issue that is thought to affect 1 in 4 people and 1 in 5 kids between the ages of 10 and 11.You can tell if you're a healthy weight for your height by looking at your BMI</w:t>
      </w:r>
      <w:r>
        <w:rPr>
          <w:rFonts w:ascii="Arial" w:cs="Arial" w:hAnsi="Arial"/>
          <w:b w:val="off"/>
          <w:bCs w:val="off"/>
          <w:sz w:val="22"/>
          <w:szCs w:val="22"/>
          <w:lang w:val="en-GB"/>
        </w:rPr>
        <w:t>.In addition we have to consider that measuring the BMI is not the same for everyone,this is different to men and women.Obesity raises the risk of many fatal and disabling conditions, such as hyperglycemia, cardiovascular disease, and various malignancies. It accomplishes this through several number of different channels, some as simple as the mechanical strain of carrying more weight and others involving subtle adjustments to hormones and metabolism.</w:t>
      </w:r>
      <w:r>
        <w:rPr>
          <w:rFonts w:ascii="Arial" w:cs="Arial" w:hAnsi="Arial"/>
          <w:color w:val="000000"/>
          <w:sz w:val="22"/>
          <w:szCs w:val="22"/>
          <w:rtl w:val="off"/>
          <w:lang w:val="en-US"/>
        </w:rPr>
        <w:t>(NHS, 2019)</w:t>
      </w:r>
      <w:r>
        <w:rPr>
          <w:rFonts w:ascii="Arial" w:cs="Arial" w:hAnsi="Arial"/>
          <w:color w:val="000000"/>
          <w:sz w:val="22"/>
          <w:szCs w:val="22"/>
          <w:rtl w:val="off"/>
          <w:lang w:val="en-US"/>
        </w:rPr>
        <w:t xml:space="preserve"> </w:t>
      </w:r>
    </w:p>
    <w:p>
      <w:pPr>
        <w:spacing w:line="360"/>
        <w:jc w:val="both"/>
        <w:rPr>
          <w:rFonts w:ascii="Arial" w:cs="Arial" w:hAnsi="Arial"/>
          <w:b w:val="off"/>
          <w:bCs w:val="off"/>
          <w:sz w:val="22"/>
          <w:szCs w:val="22"/>
        </w:rPr>
      </w:pPr>
    </w:p>
    <w:p>
      <w:pPr>
        <w:spacing w:line="360"/>
        <w:jc w:val="both"/>
        <w:rPr>
          <w:rFonts w:ascii="Arial" w:cs="Arial" w:hAnsi="Arial"/>
          <w:b/>
          <w:bCs/>
          <w:sz w:val="22"/>
          <w:szCs w:val="22"/>
          <w:lang w:val="en-GB"/>
        </w:rPr>
      </w:pPr>
      <w:r>
        <w:rPr>
          <w:rFonts w:ascii="Arial" w:cs="Arial" w:hAnsi="Arial"/>
          <w:b/>
          <w:bCs/>
        </w:rPr>
        <w:drawing xmlns:mc="http://schemas.openxmlformats.org/markup-compatibility/2006">
          <wp:inline distT="0" distB="0" distL="0" distR="0">
            <wp:extent cx="2236470" cy="1370965"/>
            <wp:effectExtent l="0" t="0" r="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Grp="0" noSelect="0" noChangeAspect="1" noMove="0"/>
                    </pic:cNvPicPr>
                  </pic:nvPicPr>
                  <pic:blipFill>
                    <a:blip r:embed="rId11"/>
                    <a:srcRect/>
                    <a:stretch>
                      <a:fillRect/>
                    </a:stretch>
                  </pic:blipFill>
                  <pic:spPr>
                    <a:xfrm>
                      <a:off x="0" y="0"/>
                      <a:ext cx="2236470" cy="1370965"/>
                    </a:xfrm>
                    <a:prstGeom prst="rect">
                      <a:avLst/>
                    </a:prstGeom>
                  </pic:spPr>
                </pic:pic>
              </a:graphicData>
            </a:graphic>
          </wp:inline>
        </w:drawing>
      </w:r>
    </w:p>
    <w:p>
      <w:pPr>
        <w:spacing w:line="360"/>
        <w:jc w:val="both"/>
        <w:rPr>
          <w:rFonts w:ascii="Arial" w:cs="Arial" w:hAnsi="Arial"/>
          <w:b w:val="off"/>
          <w:bCs w:val="off"/>
          <w:color w:val="000000"/>
          <w:sz w:val="22"/>
          <w:szCs w:val="22"/>
          <w:lang w:val="en-GB"/>
        </w:rPr>
      </w:pPr>
    </w:p>
    <w:p>
      <w:pPr>
        <w:spacing w:line="360"/>
        <w:jc w:val="both"/>
        <w:rPr>
          <w:rFonts w:ascii="Arial" w:cs="Arial" w:hAnsi="Arial"/>
          <w:b w:val="off"/>
          <w:bCs w:val="off"/>
          <w:color w:val="000000"/>
          <w:sz w:val="22"/>
          <w:szCs w:val="22"/>
          <w:lang w:val="en-GB"/>
        </w:rPr>
      </w:pPr>
    </w:p>
    <w:p>
      <w:pPr>
        <w:spacing w:line="360"/>
        <w:jc w:val="both"/>
        <w:rPr>
          <w:rFonts w:ascii="Arial" w:cs="Arial" w:hAnsi="Arial"/>
          <w:b w:val="off"/>
          <w:bCs w:val="off"/>
          <w:sz w:val="22"/>
          <w:szCs w:val="22"/>
        </w:rPr>
      </w:pPr>
      <w:r>
        <w:rPr>
          <w:rFonts w:ascii="Arial" w:cs="Arial" w:hAnsi="Arial"/>
          <w:b w:val="off"/>
          <w:bCs w:val="off"/>
          <w:color w:val="000000"/>
          <w:sz w:val="22"/>
          <w:szCs w:val="22"/>
          <w:lang w:val="en-GB"/>
        </w:rPr>
        <w:t>3.Level of incidence</w:t>
      </w:r>
    </w:p>
    <w:p>
      <w:pPr>
        <w:spacing w:line="360"/>
        <w:jc w:val="both"/>
        <w:rPr>
          <w:rFonts w:ascii="Arial" w:cs="Arial" w:hAnsi="Arial"/>
          <w:b w:val="off"/>
          <w:bCs w:val="off"/>
          <w:sz w:val="22"/>
          <w:szCs w:val="2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b w:val="off"/>
          <w:bCs w:val="off"/>
          <w:sz w:val="22"/>
          <w:szCs w:val="22"/>
          <w:lang w:val="en-GB"/>
        </w:rPr>
        <w:t>According to the data at hand, The Obesity Society concluded being the conclusion that overweight is causally linked to functional impairment, lower life quality of serious disease, and higher mortality.Thirty.7 percent of adults are overweight. More than one third of men (34.1%) and one fourth (27.5%) of women are overweight. Obesity affects about 2 in 5 persons (42,4%). (including severe obesity). 9.2% of adults (or 1 in 11) have extreme obesity.The BMI is a metric used to gauge and screen for obesity and overweight in both adults and children. BMI is calculated by dividing the weight in kilogrammes by the square of the height in metres. Body fat percentage and BMI are connected. A high fat diet can make several health issues more likely. If a person's weight puts his or her health at risk, a medical practitioner can evaluate this.</w:t>
      </w:r>
      <w:r>
        <w:rPr>
          <w:rFonts w:ascii="Arial" w:cs="Arial" w:hAnsi="Arial"/>
          <w:color w:val="000000"/>
          <w:sz w:val="22"/>
          <w:szCs w:val="22"/>
          <w:rtl w:val="off"/>
          <w:lang w:val="en-US"/>
        </w:rPr>
        <w:t>(ogden, 2018)</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color w:val="000000"/>
          <w:sz w:val="22"/>
          <w:szCs w:val="22"/>
          <w:lang w:val="en-GB"/>
        </w:rPr>
        <w:t>Genetics, the types and quantities of food and beverages consumed, physical activity levels, the amount of time spent engaging in sedentary activities like watching television, using a laptop, or speaking and sending text messages on the phone, sleeping patterns, medical conditions or medications, and how and when people live—including there own access to and financial capacity for fresh diet and safe zones to be active—all may play a role in excessive pounds among adults and children.</w:t>
      </w:r>
      <w:r>
        <w:rPr>
          <w:rFonts w:ascii="Arial" w:cs="Arial" w:hAnsi="Arial"/>
          <w:color w:val="000000"/>
          <w:sz w:val="22"/>
          <w:szCs w:val="22"/>
          <w:rtl w:val="off"/>
          <w:lang w:val="en-US"/>
        </w:rPr>
        <w:t>(ogden, 2018)</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bCs/>
          <w:color w:val="000000"/>
          <w:sz w:val="22"/>
          <w:szCs w:val="22"/>
          <w:lang w:val="en-US"/>
        </w:rPr>
      </w:pPr>
    </w:p>
    <w:p>
      <w:pPr>
        <w:spacing w:line="360"/>
        <w:jc w:val="both"/>
        <w:rPr>
          <w:rFonts w:ascii="Arial" w:cs="Arial" w:hAnsi="Arial"/>
          <w:b/>
          <w:bCs/>
          <w:sz w:val="22"/>
          <w:szCs w:val="22"/>
          <w:lang w:val="en-GB"/>
        </w:rPr>
      </w:pPr>
      <w:r>
        <w:rPr>
          <w:rFonts w:ascii="Arial" w:cs="Arial" w:hAnsi="Arial"/>
          <w:b/>
          <w:bCs/>
        </w:rPr>
        <w:drawing xmlns:mc="http://schemas.openxmlformats.org/markup-compatibility/2006">
          <wp:inline distT="0" distB="0" distL="0" distR="0">
            <wp:extent cx="2236470" cy="1370965"/>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Grp="0" noSelect="0" noChangeAspect="1" noMove="0"/>
                    </pic:cNvPicPr>
                  </pic:nvPicPr>
                  <pic:blipFill>
                    <a:blip r:embed="rId12"/>
                    <a:srcRect/>
                    <a:stretch>
                      <a:fillRect/>
                    </a:stretch>
                  </pic:blipFill>
                  <pic:spPr>
                    <a:xfrm>
                      <a:off x="0" y="0"/>
                      <a:ext cx="2236470" cy="1370965"/>
                    </a:xfrm>
                    <a:prstGeom prst="rect">
                      <a:avLst/>
                    </a:prstGeom>
                  </pic:spPr>
                </pic:pic>
              </a:graphicData>
            </a:graphic>
          </wp:inline>
        </w:drawing>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bCs/>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b/>
          <w:bCs/>
          <w:color w:val="000000"/>
          <w:sz w:val="22"/>
          <w:szCs w:val="22"/>
          <w:lang w:val="en-US"/>
        </w:rPr>
      </w:pPr>
      <w:r>
        <w:rPr>
          <w:rFonts w:ascii="Arial" w:cs="Arial" w:hAnsi="Arial"/>
          <w:b/>
          <w:bCs/>
          <w:color w:val="000000"/>
          <w:sz w:val="22"/>
          <w:szCs w:val="22"/>
          <w:lang w:val="en-US"/>
        </w:rPr>
        <w:t>Public health measure,monitor and control</w:t>
      </w:r>
    </w:p>
    <w:p>
      <w:pPr>
        <w:spacing w:line="360"/>
        <w:jc w:val="both"/>
        <w:rPr>
          <w:rFonts w:ascii="Arial" w:cs="Arial" w:hAnsi="Arial"/>
          <w:b w:val="off"/>
          <w:bCs w:val="off"/>
          <w:sz w:val="22"/>
          <w:szCs w:val="22"/>
        </w:rPr>
      </w:pPr>
    </w:p>
    <w:p>
      <w:pPr>
        <w:spacing w:line="360"/>
        <w:jc w:val="both"/>
        <w:rPr>
          <w:rFonts w:ascii="Arial" w:cs="Arial" w:hAnsi="Arial"/>
          <w:b w:val="off"/>
          <w:bCs w:val="off"/>
          <w:sz w:val="22"/>
          <w:szCs w:val="2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b w:val="off"/>
          <w:bCs w:val="off"/>
          <w:sz w:val="22"/>
          <w:szCs w:val="22"/>
          <w:lang w:val="en-GB"/>
        </w:rPr>
        <w:t>In England's primary schools, the National Child Assessment Programme (NCMP) annually assesses the weight and height of more than a million Reception (age 4-5) and Year 6 (age 10–11) students. The NCMP is a valuable source of surveillance systems that contributes to a better knowledge of the trends and patterns in underweight, healthy body weight, overweight, and fat among the kid population.</w:t>
      </w:r>
      <w:r>
        <w:rPr>
          <w:rFonts w:ascii="Arial" w:cs="Arial" w:hAnsi="Arial"/>
          <w:color w:val="000000"/>
          <w:sz w:val="22"/>
          <w:szCs w:val="22"/>
          <w:rtl w:val="off"/>
          <w:lang w:val="en-US"/>
        </w:rPr>
        <w:t>(Public Health England, 2017)</w:t>
      </w:r>
      <w:r>
        <w:rPr>
          <w:rFonts w:ascii="Arial" w:cs="Arial" w:hAnsi="Arial"/>
          <w:color w:val="000000"/>
          <w:sz w:val="22"/>
          <w:szCs w:val="22"/>
          <w:rtl w:val="off"/>
          <w:lang w:val="en-US"/>
        </w:rPr>
        <w:t xml:space="preserve"> </w:t>
      </w:r>
    </w:p>
    <w:p>
      <w:pPr>
        <w:spacing w:line="360"/>
        <w:jc w:val="both"/>
        <w:rPr>
          <w:rFonts w:ascii="Arial" w:cs="Arial" w:hAnsi="Arial"/>
          <w:b w:val="off"/>
          <w:bCs w:val="off"/>
          <w:sz w:val="22"/>
          <w:szCs w:val="22"/>
        </w:rPr>
      </w:pPr>
      <w:r>
        <w:rPr>
          <w:rFonts w:ascii="Arial" w:cs="Arial" w:hAnsi="Arial"/>
          <w:b w:val="off"/>
          <w:bCs w:val="off"/>
          <w:sz w:val="22"/>
          <w:szCs w:val="22"/>
          <w:lang w:val="en-GB"/>
        </w:rPr>
        <w:t>This profile includes NCMP statistics for the years 2006–07–2021/22. For Outpatient Treatment Board (ICB) geographies, regions, and England, it is possible to look at the incidence of underweight, healthy body weight, overweight, obesity, and severe obesity at the highest and lowest local authority level. The participation rate in the NCMP, for instance, is one of the data quality indicators that are shown. In December of each year, these indicators are often updated.</w:t>
      </w:r>
      <w:r>
        <w:rPr>
          <w:rFonts w:ascii="Arial" w:cs="Arial" w:hAnsi="Arial"/>
          <w:color w:val="000000"/>
          <w:sz w:val="22"/>
          <w:szCs w:val="22"/>
          <w:rtl w:val="off"/>
          <w:lang w:val="en-US"/>
        </w:rPr>
        <w:t>(Public Health England, 2017)</w:t>
      </w:r>
      <w:r>
        <w:rPr>
          <w:rFonts w:ascii="Arial" w:cs="Arial" w:hAnsi="Arial"/>
          <w:color w:val="000000"/>
          <w:sz w:val="22"/>
          <w:szCs w:val="22"/>
          <w:rtl w:val="off"/>
          <w:lang w:val="en-US"/>
        </w:rPr>
        <w:t xml:space="preserve"> </w:t>
      </w:r>
    </w:p>
    <w:p>
      <w:pPr>
        <w:spacing w:line="360"/>
        <w:jc w:val="both"/>
        <w:rPr>
          <w:rFonts w:ascii="Arial" w:cs="Arial" w:hAnsi="Arial"/>
          <w:b w:val="off"/>
          <w:bCs w:val="off"/>
          <w:sz w:val="22"/>
          <w:szCs w:val="22"/>
        </w:rPr>
      </w:pPr>
      <w:r>
        <w:rPr>
          <w:rFonts w:ascii="Arial" w:cs="Arial" w:hAnsi="Arial"/>
          <w:b w:val="off"/>
          <w:bCs w:val="off"/>
          <w:sz w:val="22"/>
          <w:szCs w:val="22"/>
          <w:lang w:val="en-GB"/>
        </w:rPr>
        <w:t>Because of the coronavirus COVID-19 pandemic-related school closings in March 2020, the number of children counted in 2019–20 was almost 75% lower than in previous years. Data at the national and regional levels are trustworthy and comparable to earlier years, according to analysis by NHS Digital. A small number of places have no published data for 2019/20, and data for some areas includes a reliability flag suggesting that statistics need to be read with caution. This is because the data at the level of local authorities and lower is not as reliable.</w:t>
      </w:r>
      <w:r>
        <w:rPr>
          <w:rFonts w:ascii="Arial" w:cs="Arial" w:hAnsi="Arial"/>
          <w:color w:val="000000"/>
          <w:sz w:val="22"/>
          <w:szCs w:val="22"/>
          <w:rtl w:val="off"/>
          <w:lang w:val="en-US"/>
        </w:rPr>
        <w:t>(Public Health England, 2017)</w:t>
      </w:r>
      <w:r>
        <w:rPr>
          <w:rFonts w:ascii="Arial" w:cs="Arial" w:hAnsi="Arial"/>
          <w:color w:val="000000"/>
          <w:sz w:val="22"/>
          <w:szCs w:val="22"/>
          <w:rtl w:val="off"/>
          <w:lang w:val="en-US"/>
        </w:rPr>
        <w:t xml:space="preserve"> </w:t>
      </w:r>
    </w:p>
    <w:p>
      <w:pPr>
        <w:spacing w:line="360"/>
        <w:jc w:val="both"/>
        <w:rPr>
          <w:rFonts w:ascii="Arial" w:cs="Arial" w:hAnsi="Arial"/>
          <w:b w:val="off"/>
          <w:bCs w:val="off"/>
          <w:sz w:val="22"/>
          <w:szCs w:val="22"/>
        </w:rPr>
      </w:pPr>
      <w:r>
        <w:rPr>
          <w:rFonts w:ascii="Arial" w:cs="Arial" w:hAnsi="Arial"/>
          <w:b w:val="off"/>
          <w:bCs w:val="off"/>
          <w:sz w:val="22"/>
          <w:szCs w:val="22"/>
          <w:lang w:val="en-GB"/>
        </w:rPr>
        <w:t>The COVID-19 pandemic reaction caused the commencement of the 2020/21 NCMP to be postponed. Since it was too late in the academic year to expect a complete NCMP collection, local authorities were urged to gather a meaningful 10% sample of data in March 2021. This sample allows for predictions of children's mass index (including obesity prevalence) at the national and regional levels for 2020–21 and helps determine how the COVID–19 pandemic will affect kids' physical health. Weighting was used in the study to make it comparable to data from earlier NCMP years because the final sample was not necessarily reflective of the child population.</w:t>
      </w:r>
      <w:r>
        <w:rPr>
          <w:rFonts w:ascii="Arial" w:cs="Arial" w:hAnsi="Arial"/>
          <w:color w:val="000000"/>
          <w:sz w:val="22"/>
          <w:szCs w:val="22"/>
          <w:rtl w:val="off"/>
          <w:lang w:val="en-US"/>
        </w:rPr>
        <w:t>(Public Health England, 2017)</w:t>
      </w:r>
      <w:r>
        <w:rPr>
          <w:rFonts w:ascii="Arial" w:cs="Arial" w:hAnsi="Arial"/>
          <w:color w:val="000000"/>
          <w:sz w:val="22"/>
          <w:szCs w:val="22"/>
          <w:rtl w:val="off"/>
          <w:lang w:val="en-US"/>
        </w:rPr>
        <w:t xml:space="preserve"> </w:t>
      </w:r>
    </w:p>
    <w:p>
      <w:pPr>
        <w:spacing w:line="360"/>
        <w:jc w:val="both"/>
        <w:rPr>
          <w:rFonts w:ascii="Arial" w:cs="Arial" w:hAnsi="Arial"/>
          <w:b w:val="off"/>
          <w:bCs w:val="off"/>
          <w:sz w:val="22"/>
          <w:szCs w:val="22"/>
        </w:rPr>
      </w:pPr>
      <w:r>
        <w:rPr>
          <w:rFonts w:ascii="Arial" w:cs="Arial" w:hAnsi="Arial"/>
          <w:b w:val="off"/>
          <w:bCs w:val="off"/>
          <w:sz w:val="22"/>
          <w:szCs w:val="22"/>
          <w:lang w:val="en-GB"/>
        </w:rPr>
        <w:t>The 2021/22 NCMP marked the first complete year of collection of data following the beginning of the COVID-19 epidemic, and 1,171,322 children—or 92% of all children enrolled their weight and height measured.</w:t>
      </w:r>
    </w:p>
    <w:p>
      <w:pPr>
        <w:spacing w:line="360"/>
        <w:jc w:val="both"/>
        <w:rPr>
          <w:rFonts w:ascii="Arial" w:cs="Arial" w:hAnsi="Arial"/>
          <w:b/>
          <w:bCs/>
          <w:sz w:val="22"/>
          <w:szCs w:val="22"/>
          <w:lang w:val="en-GB"/>
        </w:rPr>
      </w:pPr>
      <w:r>
        <w:rPr>
          <w:rFonts w:ascii="Arial" w:cs="Arial" w:hAnsi="Arial"/>
          <w:b/>
          <w:bCs/>
          <w:sz w:val="22"/>
          <w:szCs w:val="22"/>
          <w:lang w:val="en-GB"/>
        </w:rPr>
        <w:t xml:space="preserve"> </w:t>
      </w:r>
    </w:p>
    <w:p>
      <w:pPr>
        <w:spacing w:line="360"/>
        <w:jc w:val="both"/>
        <w:rPr>
          <w:rFonts w:ascii="Arial" w:cs="Arial" w:hAnsi="Arial"/>
          <w:b w:val="off"/>
          <w:bCs w:val="off"/>
          <w:sz w:val="22"/>
          <w:szCs w:val="22"/>
        </w:rPr>
      </w:pPr>
      <w:r>
        <w:rPr>
          <w:rFonts w:ascii="Arial" w:cs="Arial" w:hAnsi="Arial"/>
          <w:b/>
          <w:bCs/>
          <w:sz w:val="22"/>
          <w:szCs w:val="22"/>
          <w:lang w:val="en-GB"/>
        </w:rPr>
        <w:t>The key determinant of disease.</w:t>
      </w:r>
    </w:p>
    <w:p>
      <w:pPr>
        <w:spacing w:line="360"/>
        <w:jc w:val="both"/>
        <w:rPr>
          <w:rFonts w:ascii="Arial" w:cs="Arial" w:hAnsi="Arial"/>
          <w:b w:val="off"/>
          <w:bCs w:val="off"/>
          <w:sz w:val="22"/>
          <w:szCs w:val="22"/>
        </w:rPr>
      </w:pPr>
    </w:p>
    <w:p>
      <w:pPr>
        <w:spacing w:line="360"/>
        <w:jc w:val="both"/>
        <w:rPr>
          <w:rFonts w:ascii="Arial" w:cs="Arial" w:hAnsi="Arial"/>
          <w:b w:val="off"/>
          <w:bCs w:val="off"/>
          <w:sz w:val="22"/>
          <w:szCs w:val="2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b w:val="off"/>
          <w:bCs w:val="off"/>
          <w:sz w:val="22"/>
          <w:szCs w:val="22"/>
          <w:lang w:val="en-GB"/>
        </w:rPr>
        <w:t>We refer to the environments in which we reside, study, work, and play as social health factors (SDOH). When these factors do not promote health, it can be challenging to choose appropriate foods and engage in enough physical exercise. With regard to racial, ethnic, social, geographic, and physical ability groupings as well as individuals with various physical abilities, differences in SDOH have an impact on the outcomes and risks of chronic diseases, including obesity.</w:t>
      </w:r>
      <w:r>
        <w:rPr>
          <w:rFonts w:ascii="Arial" w:cs="Arial" w:hAnsi="Arial"/>
          <w:color w:val="000000"/>
          <w:sz w:val="22"/>
          <w:szCs w:val="22"/>
          <w:rtl w:val="off"/>
          <w:lang w:val="en-US"/>
        </w:rPr>
        <w:t xml:space="preserve"> </w:t>
      </w:r>
      <w:r>
        <w:rPr>
          <w:rFonts w:ascii="Arial" w:cs="Arial" w:hAnsi="Arial"/>
          <w:color w:val="000000"/>
          <w:sz w:val="22"/>
          <w:szCs w:val="22"/>
          <w:rtl w:val="off"/>
          <w:lang w:val="en-US"/>
        </w:rPr>
        <w:t>(Centers for Disease Control and Prevention, 2022)</w:t>
      </w:r>
      <w:r>
        <w:rPr>
          <w:rFonts w:ascii="Arial" w:cs="Arial" w:hAnsi="Arial"/>
          <w:color w:val="000000"/>
          <w:sz w:val="22"/>
          <w:szCs w:val="22"/>
          <w:rtl w:val="off"/>
          <w:lang w:val="en-US"/>
        </w:rPr>
        <w:t xml:space="preserve"> </w:t>
      </w:r>
    </w:p>
    <w:p>
      <w:pPr>
        <w:spacing w:line="360"/>
        <w:jc w:val="both"/>
        <w:rPr>
          <w:rFonts w:ascii="Arial" w:cs="Arial" w:hAnsi="Arial"/>
          <w:b w:val="off"/>
          <w:bCs w:val="off"/>
          <w:sz w:val="22"/>
          <w:szCs w:val="2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b w:val="off"/>
          <w:bCs w:val="off"/>
          <w:sz w:val="22"/>
          <w:szCs w:val="22"/>
          <w:lang w:val="en-GB"/>
        </w:rPr>
        <w:t>By providing food and drink options as well as chances for physical activity, settings like day care centres, schools, or communities have an impact on people's eating habits and activity levels. Other local elements that affect obesity include the cost of healthy food choices, peer and social support, marketing and advertising and local planning regulations.</w:t>
      </w:r>
      <w:r>
        <w:rPr>
          <w:rFonts w:ascii="Arial" w:cs="Arial" w:hAnsi="Arial"/>
          <w:color w:val="000000"/>
          <w:sz w:val="22"/>
          <w:szCs w:val="22"/>
          <w:rtl w:val="off"/>
          <w:lang w:val="en-US"/>
        </w:rPr>
        <w:t xml:space="preserve"> </w:t>
      </w:r>
      <w:r>
        <w:rPr>
          <w:rFonts w:ascii="Arial" w:cs="Arial" w:hAnsi="Arial"/>
          <w:color w:val="000000"/>
          <w:sz w:val="22"/>
          <w:szCs w:val="22"/>
          <w:rtl w:val="off"/>
          <w:lang w:val="en-US"/>
        </w:rPr>
        <w:t>(Centers for Disease Control and Prevention, 2022)</w:t>
      </w:r>
      <w:r>
        <w:rPr>
          <w:rFonts w:ascii="Arial" w:cs="Arial" w:hAnsi="Arial"/>
          <w:color w:val="000000"/>
          <w:sz w:val="22"/>
          <w:szCs w:val="22"/>
          <w:rtl w:val="off"/>
          <w:lang w:val="en-US"/>
        </w:rPr>
        <w:t xml:space="preserve"> </w:t>
      </w:r>
    </w:p>
    <w:p>
      <w:pPr>
        <w:spacing w:line="360"/>
        <w:jc w:val="both"/>
        <w:rPr>
          <w:rFonts w:ascii="Arial" w:cs="Arial" w:hAnsi="Arial"/>
          <w:b w:val="off"/>
          <w:bCs w:val="off"/>
          <w:sz w:val="22"/>
          <w:szCs w:val="22"/>
        </w:rPr>
      </w:pPr>
      <w:r>
        <w:rPr>
          <w:rFonts w:ascii="Arial" w:cs="Arial" w:hAnsi="Arial"/>
          <w:b w:val="off"/>
          <w:bCs w:val="off"/>
          <w:sz w:val="22"/>
          <w:szCs w:val="22"/>
          <w:lang w:val="en-GB"/>
        </w:rPr>
        <w:t>In human populations, genetic changes happen too slowly to be the cause of the obesity pandemic. However, changes in multiple genes may make people more likely to overeat as a result of increased hunger. Rarely, a single gene's particular mutation (monogenic obesity) results in a pronounced characteristic of hereditary obesity within a family.</w:t>
      </w:r>
      <w:r>
        <w:rPr>
          <w:rFonts w:ascii="Arial" w:cs="Arial" w:hAnsi="Arial"/>
          <w:color w:val="000000"/>
          <w:sz w:val="22"/>
          <w:szCs w:val="22"/>
          <w:rtl w:val="off"/>
          <w:lang w:val="en-US"/>
        </w:rPr>
        <w:t xml:space="preserve"> </w:t>
      </w:r>
      <w:r>
        <w:rPr>
          <w:rFonts w:ascii="Arial" w:cs="Arial" w:hAnsi="Arial"/>
          <w:color w:val="000000"/>
          <w:sz w:val="22"/>
          <w:szCs w:val="22"/>
          <w:rtl w:val="off"/>
          <w:lang w:val="en-US"/>
        </w:rPr>
        <w:t>(Centers for Disease Control and Prevention, 2022)</w:t>
      </w:r>
      <w:r>
        <w:rPr>
          <w:rFonts w:ascii="Arial" w:cs="Arial" w:hAnsi="Arial"/>
          <w:color w:val="000000"/>
          <w:sz w:val="22"/>
          <w:szCs w:val="22"/>
          <w:rtl w:val="off"/>
          <w:lang w:val="en-US"/>
        </w:rPr>
        <w:t xml:space="preserve"> </w:t>
      </w:r>
    </w:p>
    <w:p>
      <w:pPr>
        <w:spacing w:line="360"/>
        <w:jc w:val="both"/>
        <w:rPr>
          <w:rFonts w:ascii="Arial" w:cs="Arial" w:hAnsi="Arial"/>
          <w:b w:val="off"/>
          <w:bCs w:val="off"/>
          <w:sz w:val="22"/>
          <w:szCs w:val="22"/>
        </w:rPr>
      </w:pPr>
    </w:p>
    <w:p>
      <w:pPr>
        <w:spacing w:line="360"/>
        <w:jc w:val="both"/>
        <w:rPr>
          <w:rFonts w:ascii="Arial" w:cs="Arial" w:hAnsi="Arial"/>
          <w:b w:val="off"/>
          <w:bCs w:val="off"/>
          <w:sz w:val="22"/>
          <w:szCs w:val="22"/>
        </w:rPr>
      </w:pPr>
    </w:p>
    <w:p>
      <w:pPr>
        <w:spacing w:line="360"/>
        <w:jc w:val="both"/>
        <w:rPr>
          <w:rFonts w:ascii="Arial" w:cs="Arial" w:hAnsi="Arial"/>
          <w:b w:val="off"/>
          <w:bCs w:val="off"/>
          <w:sz w:val="22"/>
          <w:szCs w:val="22"/>
        </w:rPr>
      </w:pPr>
      <w:r>
        <w:rPr>
          <w:rFonts w:ascii="Arial" w:cs="Arial" w:hAnsi="Arial"/>
          <w:b/>
          <w:bCs/>
          <w:sz w:val="22"/>
          <w:szCs w:val="22"/>
          <w:lang w:val="en-GB"/>
        </w:rPr>
        <w:t>Short-term public health consequences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b w:val="off"/>
          <w:bCs w:val="off"/>
          <w:sz w:val="22"/>
          <w:szCs w:val="22"/>
          <w:lang w:val="en-GB"/>
        </w:rPr>
        <w:t xml:space="preserve">Life expectancy: Obesity, a disease of modern living, not only causes significant illnesses but also sharply reduces the average lifespan of the general population. Adult obesity is a significant risk factor for dying young </w:t>
      </w:r>
      <w:r>
        <w:rPr>
          <w:rFonts w:ascii="Arial" w:cs="Arial" w:hAnsi="Arial"/>
          <w:color w:val="000000"/>
          <w:sz w:val="22"/>
          <w:szCs w:val="22"/>
          <w:rtl w:val="off"/>
          <w:lang w:val="en-US"/>
        </w:rPr>
        <w:t>(Tiwari and Balasundaram, 2021)</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b w:val="off"/>
          <w:bCs w:val="off"/>
          <w:sz w:val="22"/>
          <w:szCs w:val="22"/>
          <w:lang w:val="en-GB"/>
        </w:rPr>
        <w:t>.The mental and physical components of life satisfaction are both impacted by obesity, with morbidly obese people experiencing the effects more severely.</w:t>
      </w:r>
      <w:r>
        <w:rPr>
          <w:rFonts w:ascii="Arial" w:cs="Arial" w:hAnsi="Arial"/>
          <w:color w:val="000000"/>
          <w:sz w:val="22"/>
          <w:szCs w:val="22"/>
          <w:rtl w:val="off"/>
          <w:lang w:val="en-US"/>
        </w:rPr>
        <w:t>(Tiwari and Balasundaram, 2021)</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b w:val="off"/>
          <w:bCs w:val="off"/>
          <w:sz w:val="22"/>
          <w:szCs w:val="22"/>
          <w:lang w:val="en-GB"/>
        </w:rPr>
        <w:t>The public's pronounced obsession with thinness makes obesity a significant psychological burden that is made worse.</w:t>
      </w:r>
      <w:r>
        <w:rPr>
          <w:rFonts w:ascii="Arial" w:cs="Arial" w:hAnsi="Arial"/>
          <w:color w:val="000000"/>
          <w:sz w:val="22"/>
          <w:szCs w:val="22"/>
          <w:rtl w:val="off"/>
          <w:lang w:val="en-US"/>
        </w:rPr>
        <w:t>(Tiwari and Balasundaram, 2021)</w:t>
      </w:r>
      <w:r>
        <w:rPr>
          <w:rFonts w:ascii="Arial" w:cs="Arial" w:hAnsi="Arial"/>
          <w:color w:val="000000"/>
          <w:sz w:val="22"/>
          <w:szCs w:val="22"/>
          <w:rtl w:val="off"/>
          <w:lang w:val="en-US"/>
        </w:rPr>
        <w:t xml:space="preserve"> </w:t>
      </w:r>
    </w:p>
    <w:p>
      <w:pPr>
        <w:spacing w:line="360"/>
        <w:jc w:val="both"/>
        <w:rPr>
          <w:rFonts w:ascii="Arial" w:cs="Arial" w:hAnsi="Arial"/>
          <w:b w:val="off"/>
          <w:bCs w:val="off"/>
          <w:sz w:val="22"/>
          <w:szCs w:val="22"/>
        </w:rPr>
      </w:pPr>
      <w:r>
        <w:rPr>
          <w:rFonts w:ascii="Arial" w:cs="Arial" w:hAnsi="Arial"/>
          <w:b w:val="off"/>
          <w:bCs w:val="off"/>
          <w:sz w:val="22"/>
          <w:szCs w:val="22"/>
          <w:lang w:val="en-GB"/>
        </w:rPr>
        <w:t>Employment: More so among fat females than obese males, obesity is one of the main causes of prejudice in the recruiting process for jobs.</w:t>
      </w:r>
      <w:r>
        <w:rPr>
          <w:rFonts w:ascii="Arial" w:cs="Arial" w:hAnsi="Arial"/>
          <w:b w:val="off"/>
          <w:bCs w:val="off"/>
          <w:sz w:val="22"/>
          <w:szCs w:val="22"/>
          <w:lang w:val="en-GB"/>
        </w:rPr>
        <w:t>In comparison to those of normal weight, obesity might lead to decreased job and an elevation in self-reported work constraints.</w:t>
      </w:r>
      <w:r>
        <w:rPr>
          <w:rFonts w:ascii="Arial" w:cs="Arial" w:hAnsi="Arial"/>
          <w:color w:val="000000"/>
          <w:sz w:val="22"/>
          <w:szCs w:val="22"/>
          <w:rtl w:val="off"/>
          <w:lang w:val="en-US"/>
        </w:rPr>
        <w:t>(Tiwari and Balasundaram, 2021)</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b w:val="off"/>
          <w:bCs w:val="off"/>
          <w:sz w:val="22"/>
          <w:szCs w:val="22"/>
          <w:lang w:val="en-GB"/>
        </w:rPr>
        <w:t>The effects of being overweight are numerous. It shortens life expectancy and raises the risk of contracting diseases like diabetes, cardiovascular disease, osteoarthritis, and several malignancies, to mention a few. The annual expense of treating obesity and diseases linked to it is in the billions. According to one calculation, the U.S. doubled prior projections in 2005 and paid $190 billion on sedentary lifestyles medical costs.</w:t>
      </w:r>
      <w:r>
        <w:rPr>
          <w:rFonts w:ascii="Arial" w:cs="Arial" w:hAnsi="Arial"/>
          <w:color w:val="000000"/>
          <w:sz w:val="22"/>
          <w:szCs w:val="22"/>
          <w:rtl w:val="off"/>
          <w:lang w:val="en-US"/>
        </w:rPr>
        <w:t xml:space="preserve"> </w:t>
      </w:r>
      <w:r>
        <w:rPr>
          <w:rFonts w:ascii="Arial" w:cs="Arial" w:hAnsi="Arial"/>
          <w:color w:val="000000"/>
          <w:sz w:val="22"/>
          <w:szCs w:val="22"/>
          <w:rtl w:val="off"/>
          <w:lang w:val="en-GB"/>
        </w:rPr>
        <w:t xml:space="preserve">The full implications of this </w:t>
      </w:r>
      <w:r>
        <w:rPr>
          <w:rFonts w:ascii="roboto"/>
          <w:color w:val="000000"/>
          <w:sz w:val="22"/>
          <w:rtl w:val="off"/>
          <w:lang w:val="en-GB"/>
        </w:rPr>
        <w:t xml:space="preserve">economic cost and the severe toll that being overweight has on one's nutrition and well-being are starting to increase political awareness on a global scale that more needs to </w:t>
      </w:r>
      <w:r>
        <w:rPr>
          <w:rFonts w:ascii="Arial" w:cs="Arial" w:hAnsi="Arial"/>
          <w:color w:val="000000"/>
          <w:sz w:val="22"/>
          <w:szCs w:val="22"/>
          <w:rtl w:val="off"/>
          <w:lang w:val="en-GB"/>
        </w:rPr>
        <w:t>be done to halt the rapid rise of obesity on the part of people. community members, nations,  and international organisations.</w:t>
      </w:r>
      <w:r>
        <w:rPr>
          <w:rFonts w:ascii="Arial" w:cs="Arial" w:hAnsi="Arial"/>
          <w:color w:val="000000"/>
          <w:sz w:val="22"/>
          <w:szCs w:val="22"/>
          <w:rtl w:val="off"/>
          <w:lang w:val="en-US"/>
        </w:rPr>
        <w:t>(Harvard School of Public Health, 2016)</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b/>
          <w:bCs/>
          <w:sz w:val="22"/>
          <w:szCs w:val="22"/>
          <w:lang w:val="en-GB"/>
        </w:rPr>
        <w:t>.Long-term public health consequences.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GB"/>
        </w:rPr>
      </w:pPr>
      <w:r>
        <w:rPr>
          <w:rFonts w:ascii="Arial" w:cs="Arial" w:hAnsi="Arial"/>
          <w:color w:val="000000"/>
          <w:sz w:val="22"/>
          <w:szCs w:val="22"/>
          <w:lang w:val="en-GB"/>
        </w:rPr>
        <w:t>At the same time that physical activity levels have significantly decreased, there has also been a shift in global eating habits toward foods that are higher in calories. Obese and overweight people have a much increased risk of developing non-communicable diseases.</w:t>
      </w:r>
      <w:r>
        <w:rPr>
          <w:rFonts w:ascii="Arial" w:cs="Arial" w:hAnsi="Arial"/>
          <w:color w:val="000000"/>
          <w:sz w:val="22"/>
          <w:szCs w:val="22"/>
          <w:lang w:val="en-GB"/>
        </w:rPr>
        <w:t>By decreasing production and mortality rate and raising disability and medical costs, obesity has a significant negative influence on national economies.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color w:val="000000"/>
          <w:sz w:val="22"/>
          <w:szCs w:val="22"/>
          <w:lang w:val="en-GB"/>
        </w:rPr>
        <w:t>Over 2 billion individuals considered overweight or obese in the globe in 2016, and more than 70% of these were in low - income or middle-income nations.</w:t>
      </w:r>
      <w:r>
        <w:rPr>
          <w:rFonts w:ascii="Arial" w:cs="Arial" w:hAnsi="Arial"/>
          <w:color w:val="000000"/>
          <w:sz w:val="22"/>
          <w:szCs w:val="22"/>
          <w:rtl w:val="off"/>
          <w:lang w:val="en-US"/>
        </w:rPr>
        <w:t>(World Bank, 2020)</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Segoe UI"/>
          <w:color w:val="000000"/>
          <w:sz w:val="18"/>
          <w:lang w:val="en-US"/>
        </w:rPr>
      </w:pPr>
      <w:r>
        <w:rPr>
          <w:rFonts w:ascii="Arial" w:cs="Arial" w:hAnsi="Arial"/>
          <w:color w:val="000000"/>
          <w:sz w:val="22"/>
          <w:szCs w:val="22"/>
          <w:lang w:val="en-GB"/>
        </w:rPr>
        <w:t>Authorities and partners must implement a comprehensive strategy that places a significant emphasis on preventative measures in order to stop the increase of overweight in future generations.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rPr>
      </w:pPr>
    </w:p>
    <w:p>
      <w:pPr>
        <w:rPr>
          <w:rFonts w:ascii="Arial" w:cs="Arial" w:hAnsi="Arial"/>
          <w:b w:val="off"/>
          <w:bCs w:val="off"/>
        </w:rPr>
      </w:pPr>
    </w:p>
    <w:p>
      <w:pPr>
        <w:rPr>
          <w:rFonts w:ascii="Arial" w:cs="Arial" w:hAnsi="Arial"/>
          <w:b w:val="off"/>
          <w:bCs w:val="off"/>
        </w:rPr>
      </w:pPr>
    </w:p>
    <w:p>
      <w:pPr>
        <w:rPr>
          <w:rFonts w:ascii="Arial" w:cs="Arial" w:hAnsi="Arial"/>
          <w:b w:val="off"/>
          <w:bCs w:val="off"/>
        </w:rPr>
      </w:pPr>
    </w:p>
    <w:p>
      <w:pPr>
        <w:rPr>
          <w:rFonts w:ascii="Arial" w:cs="Arial" w:hAnsi="Arial"/>
          <w:b w:val="off"/>
          <w:bCs w:val="off"/>
        </w:rPr>
      </w:pPr>
    </w:p>
    <w:p>
      <w:pPr>
        <w:rPr>
          <w:rFonts w:ascii="Arial" w:cs="Arial" w:hAnsi="Arial"/>
          <w:b w:val="off"/>
          <w:bCs w:val="off"/>
        </w:rPr>
      </w:pPr>
    </w:p>
    <w:p>
      <w:pPr>
        <w:rPr>
          <w:rFonts w:ascii="Arial" w:cs="Arial" w:hAnsi="Arial"/>
          <w:b w:val="off"/>
          <w:bCs w:val="off"/>
        </w:rPr>
      </w:pPr>
    </w:p>
    <w:p>
      <w:pPr>
        <w:rPr>
          <w:rFonts w:ascii="Arial" w:cs="Arial" w:hAnsi="Arial"/>
          <w:b w:val="off"/>
          <w:bCs w:val="off"/>
        </w:rPr>
      </w:pPr>
    </w:p>
    <w:p>
      <w:pPr>
        <w:rPr>
          <w:rFonts w:ascii="Arial" w:cs="Arial" w:hAnsi="Arial"/>
          <w:b w:val="off"/>
          <w:bCs w:val="off"/>
        </w:rPr>
      </w:pPr>
    </w:p>
    <w:p>
      <w:pPr>
        <w:rPr>
          <w:rFonts w:ascii="Arial" w:cs="Arial" w:hAnsi="Arial"/>
          <w:b w:val="off"/>
          <w:bCs w:val="off"/>
        </w:rPr>
      </w:pPr>
    </w:p>
    <w:p>
      <w:pPr>
        <w:rPr>
          <w:rFonts w:ascii="Arial" w:cs="Arial" w:hAnsi="Arial"/>
          <w:b w:val="off"/>
          <w:bCs w:val="off"/>
          <w:sz w:val="22"/>
          <w:szCs w:val="22"/>
        </w:rPr>
      </w:pPr>
    </w:p>
    <w:p>
      <w:pPr>
        <w:rPr>
          <w:rFonts w:ascii="Arial" w:cs="Arial" w:hAnsi="Arial"/>
          <w:b w:val="off"/>
          <w:bCs w:val="off"/>
          <w:sz w:val="22"/>
          <w:szCs w:val="22"/>
        </w:rPr>
      </w:pPr>
    </w:p>
    <w:p>
      <w:pPr>
        <w:rPr>
          <w:rFonts w:ascii="Arial" w:cs="Arial" w:hAnsi="Arial"/>
          <w:b w:val="off"/>
          <w:bCs w:val="off"/>
          <w:sz w:val="22"/>
          <w:szCs w:val="22"/>
        </w:rPr>
      </w:pPr>
    </w:p>
    <w:p>
      <w:pPr>
        <w:rPr>
          <w:rFonts w:ascii="Arial" w:cs="Arial" w:hAnsi="Arial"/>
          <w:b w:val="off"/>
          <w:bCs w:val="off"/>
          <w:sz w:val="22"/>
          <w:szCs w:val="22"/>
        </w:rPr>
      </w:pPr>
    </w:p>
    <w:p>
      <w:pPr>
        <w:rPr>
          <w:rFonts w:ascii="Arial" w:cs="Arial" w:hAnsi="Arial"/>
          <w:b w:val="off"/>
          <w:bCs w:val="off"/>
          <w:sz w:val="22"/>
          <w:szCs w:val="22"/>
        </w:rPr>
      </w:pPr>
    </w:p>
    <w:p>
      <w:pPr>
        <w:rPr>
          <w:rFonts w:ascii="Arial" w:cs="Arial" w:hAnsi="Arial"/>
          <w:b w:val="off"/>
          <w:bCs w:val="off"/>
          <w:sz w:val="22"/>
          <w:szCs w:val="22"/>
        </w:rPr>
      </w:pPr>
    </w:p>
    <w:p>
      <w:pPr>
        <w:rPr>
          <w:rFonts w:ascii="Arial" w:cs="Arial" w:hAnsi="Arial"/>
          <w:b w:val="off"/>
          <w:bCs w:val="off"/>
          <w:sz w:val="22"/>
          <w:szCs w:val="22"/>
        </w:rPr>
      </w:pPr>
    </w:p>
    <w:p>
      <w:pPr>
        <w:rPr>
          <w:rFonts w:ascii="Arial" w:cs="Arial" w:hAnsi="Arial"/>
          <w:b w:val="off"/>
          <w:bCs w:val="off"/>
          <w:sz w:val="22"/>
          <w:szCs w:val="22"/>
        </w:rPr>
      </w:pPr>
    </w:p>
    <w:p>
      <w:pPr>
        <w:rPr>
          <w:rFonts w:ascii="Arial" w:cs="Arial" w:hAnsi="Arial"/>
          <w:b w:val="off"/>
          <w:bCs w:val="off"/>
          <w:sz w:val="22"/>
          <w:szCs w:val="22"/>
        </w:rPr>
      </w:pPr>
    </w:p>
    <w:p>
      <w:pPr>
        <w:rPr>
          <w:rFonts w:ascii="Arial" w:cs="Arial" w:hAnsi="Arial"/>
          <w:b w:val="off"/>
          <w:bCs w:val="off"/>
          <w:sz w:val="22"/>
          <w:szCs w:val="22"/>
        </w:rPr>
      </w:pPr>
    </w:p>
    <w:p>
      <w:pPr>
        <w:rPr>
          <w:rFonts w:ascii="Arial" w:cs="Arial" w:hAnsi="Arial"/>
          <w:b w:val="off"/>
          <w:bCs w:val="off"/>
          <w:sz w:val="22"/>
          <w:szCs w:val="22"/>
        </w:rPr>
      </w:pPr>
    </w:p>
    <w:p>
      <w:pPr>
        <w:rPr>
          <w:rFonts w:ascii="Arial" w:cs="Arial" w:hAnsi="Arial"/>
          <w:b w:val="off"/>
          <w:bCs w:val="off"/>
          <w:sz w:val="22"/>
          <w:szCs w:val="22"/>
        </w:rPr>
      </w:pPr>
    </w:p>
    <w:p>
      <w:pPr>
        <w:rPr>
          <w:rFonts w:ascii="Arial" w:cs="Arial" w:hAnsi="Arial"/>
          <w:b w:val="off"/>
          <w:bCs w:val="off"/>
          <w:sz w:val="22"/>
          <w:szCs w:val="22"/>
        </w:rPr>
      </w:pPr>
    </w:p>
    <w:p>
      <w:pPr>
        <w:rPr>
          <w:rFonts w:ascii="Arial" w:cs="Arial" w:hAnsi="Arial"/>
          <w:b w:val="off"/>
          <w:bCs w:val="off"/>
          <w:sz w:val="22"/>
          <w:szCs w:val="22"/>
        </w:rPr>
      </w:pPr>
    </w:p>
    <w:p>
      <w:pPr>
        <w:spacing w:line="360"/>
        <w:jc w:val="both"/>
        <w:rPr>
          <w:rFonts w:ascii="Arial" w:cs="Arial" w:hAnsi="Arial"/>
          <w:b w:val="off"/>
          <w:bCs w:val="off"/>
          <w:sz w:val="22"/>
          <w:szCs w:val="22"/>
        </w:rPr>
      </w:pPr>
    </w:p>
    <w:p>
      <w:pPr>
        <w:spacing w:line="360"/>
        <w:jc w:val="both"/>
        <w:rPr>
          <w:rFonts w:ascii="Arial" w:cs="Arial" w:hAnsi="Arial"/>
          <w:b w:val="off"/>
          <w:bCs w:val="off"/>
          <w:sz w:val="22"/>
          <w:szCs w:val="22"/>
        </w:rPr>
      </w:pPr>
    </w:p>
    <w:p>
      <w:pPr>
        <w:spacing w:line="360"/>
        <w:jc w:val="both"/>
        <w:rPr>
          <w:rFonts w:ascii="Arial" w:cs="Arial" w:hAnsi="Arial"/>
          <w:b/>
          <w:bCs/>
          <w:sz w:val="22"/>
          <w:szCs w:val="22"/>
          <w:lang w:val="en-GB"/>
        </w:rPr>
      </w:pPr>
      <w:r>
        <w:rPr>
          <w:rFonts w:ascii="Arial" w:cs="Arial" w:hAnsi="Arial"/>
          <w:b/>
          <w:bCs/>
        </w:rPr>
        <w:drawing xmlns:mc="http://schemas.openxmlformats.org/markup-compatibility/2006">
          <wp:inline distT="0" distB="0" distL="0" distR="0">
            <wp:extent cx="2236470" cy="1370965"/>
            <wp:effectExtent l="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Grp="0" noSelect="0" noChangeAspect="1" noMove="0"/>
                    </pic:cNvPicPr>
                  </pic:nvPicPr>
                  <pic:blipFill>
                    <a:blip r:embed="rId13"/>
                    <a:srcRect/>
                    <a:stretch>
                      <a:fillRect/>
                    </a:stretch>
                  </pic:blipFill>
                  <pic:spPr>
                    <a:xfrm>
                      <a:off x="0" y="0"/>
                      <a:ext cx="2236470" cy="1370965"/>
                    </a:xfrm>
                    <a:prstGeom prst="rect">
                      <a:avLst/>
                    </a:prstGeom>
                  </pic:spPr>
                </pic:pic>
              </a:graphicData>
            </a:graphic>
          </wp:inline>
        </w:drawing>
      </w:r>
    </w:p>
    <w:p>
      <w:pPr>
        <w:spacing w:line="360"/>
        <w:jc w:val="both"/>
        <w:rPr>
          <w:rFonts w:ascii="Arial" w:cs="Arial" w:hAnsi="Arial"/>
          <w:b w:val="off"/>
          <w:bCs w:val="off"/>
          <w:sz w:val="22"/>
          <w:szCs w:val="22"/>
        </w:rPr>
      </w:pPr>
    </w:p>
    <w:p>
      <w:pPr>
        <w:spacing w:line="360"/>
        <w:jc w:val="both"/>
        <w:rPr>
          <w:rFonts w:ascii="Arial" w:cs="Arial" w:hAnsi="Arial"/>
          <w:b w:val="off"/>
          <w:bCs w:val="off"/>
          <w:sz w:val="22"/>
          <w:szCs w:val="22"/>
          <w:lang w:val="en-GB"/>
        </w:rPr>
      </w:pPr>
    </w:p>
    <w:p>
      <w:pPr>
        <w:spacing w:line="360"/>
        <w:jc w:val="both"/>
        <w:rPr>
          <w:rFonts w:ascii="Arial" w:cs="Arial" w:hAnsi="Arial"/>
          <w:b w:val="off"/>
          <w:bCs w:val="off"/>
          <w:sz w:val="22"/>
          <w:szCs w:val="22"/>
          <w:lang w:val="en-GB"/>
        </w:rPr>
      </w:pPr>
    </w:p>
    <w:p>
      <w:pPr>
        <w:spacing w:line="360"/>
        <w:jc w:val="both"/>
        <w:rPr>
          <w:rFonts w:ascii="Arial" w:cs="Arial" w:hAnsi="Arial"/>
          <w:b w:val="off"/>
          <w:bCs w:val="off"/>
          <w:sz w:val="22"/>
          <w:szCs w:val="22"/>
          <w:lang w:val="en-GB"/>
        </w:rPr>
      </w:pPr>
    </w:p>
    <w:p>
      <w:pPr>
        <w:spacing w:line="360"/>
        <w:jc w:val="both"/>
        <w:rPr>
          <w:rFonts w:ascii="Arial" w:cs="Arial" w:hAnsi="Arial"/>
          <w:b w:val="off"/>
          <w:bCs w:val="off"/>
          <w:sz w:val="22"/>
          <w:szCs w:val="22"/>
          <w:lang w:val="en-GB"/>
        </w:rPr>
      </w:pPr>
    </w:p>
    <w:p>
      <w:pPr>
        <w:spacing w:line="360"/>
        <w:jc w:val="both"/>
        <w:rPr>
          <w:rFonts w:ascii="Arial" w:cs="Arial" w:hAnsi="Arial"/>
          <w:b w:val="off"/>
          <w:bCs w:val="off"/>
          <w:sz w:val="22"/>
          <w:szCs w:val="22"/>
          <w:lang w:val="en-GB"/>
        </w:rPr>
      </w:pPr>
    </w:p>
    <w:p>
      <w:pPr>
        <w:spacing w:line="360"/>
        <w:jc w:val="both"/>
        <w:rPr>
          <w:rFonts w:ascii="Arial" w:cs="Arial" w:hAnsi="Arial"/>
          <w:b w:val="off"/>
          <w:bCs w:val="off"/>
          <w:sz w:val="22"/>
          <w:szCs w:val="22"/>
        </w:rPr>
      </w:pPr>
      <w:r>
        <w:rPr>
          <w:rFonts w:ascii="Arial" w:cs="Arial" w:hAnsi="Arial"/>
          <w:b w:val="off"/>
          <w:bCs w:val="off"/>
          <w:sz w:val="22"/>
          <w:szCs w:val="22"/>
          <w:lang w:val="en-GB"/>
        </w:rPr>
        <w:t>REFERENCES</w:t>
      </w:r>
    </w:p>
    <w:p>
      <w:pPr>
        <w:spacing w:line="360"/>
        <w:jc w:val="both"/>
        <w:rPr>
          <w:rFonts w:ascii="Arial" w:cs="Arial" w:hAnsi="Arial"/>
          <w:b w:val="off"/>
          <w:bCs w:val="off"/>
          <w:sz w:val="22"/>
          <w:szCs w:val="22"/>
        </w:rPr>
      </w:pPr>
    </w:p>
    <w:p>
      <w:pPr>
        <w:spacing w:line="360"/>
        <w:jc w:val="both"/>
        <w:rPr>
          <w:rFonts w:ascii="Arial" w:cs="Arial" w:hAnsi="Arial"/>
          <w:b w:val="off"/>
          <w:bCs w:val="off"/>
          <w:sz w:val="22"/>
          <w:szCs w:val="2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color w:val="000000"/>
          <w:sz w:val="22"/>
          <w:szCs w:val="22"/>
          <w:rtl w:val="off"/>
          <w:lang w:val="en-US"/>
        </w:rPr>
        <w:t xml:space="preserve">NHS (2019). </w:t>
      </w:r>
      <w:r>
        <w:rPr>
          <w:rFonts w:ascii="Arial" w:cs="Arial" w:hAnsi="Arial"/>
          <w:i/>
          <w:color w:val="000000"/>
          <w:sz w:val="22"/>
          <w:szCs w:val="22"/>
          <w:rtl w:val="off"/>
          <w:lang w:val="en-US"/>
        </w:rPr>
        <w:t>Obesity</w:t>
      </w:r>
      <w:r>
        <w:rPr>
          <w:rFonts w:ascii="Arial" w:cs="Arial" w:hAnsi="Arial"/>
          <w:color w:val="000000"/>
          <w:sz w:val="22"/>
          <w:szCs w:val="22"/>
          <w:rtl w:val="off"/>
          <w:lang w:val="en-US"/>
        </w:rPr>
        <w:t>. [online] www.nhs.uk. Available at: https://www.nhs.uk/conditions/obesity/.</w:t>
      </w:r>
      <w:r>
        <w:rPr>
          <w:rFonts w:ascii="Arial" w:cs="Arial" w:hAnsi="Arial"/>
          <w:color w:val="000000"/>
          <w:sz w:val="22"/>
          <w:szCs w:val="22"/>
          <w:rtl w:val="off"/>
          <w:lang w:val="en-US"/>
        </w:rPr>
        <w:t xml:space="preserve"> (Access 8 .Dec .2022)</w:t>
      </w:r>
    </w:p>
    <w:p>
      <w:pPr>
        <w:spacing w:line="360"/>
        <w:jc w:val="both"/>
        <w:rPr>
          <w:rFonts w:ascii="Arial" w:cs="Arial" w:hAnsi="Arial"/>
          <w:b w:val="off"/>
          <w:bCs w:val="off"/>
          <w:sz w:val="22"/>
          <w:szCs w:val="2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color w:val="000000"/>
          <w:sz w:val="22"/>
          <w:szCs w:val="22"/>
          <w:rtl w:val="off"/>
          <w:lang w:val="en-US"/>
        </w:rPr>
        <w:t xml:space="preserve">NCBI (2019). </w:t>
      </w:r>
      <w:r>
        <w:rPr>
          <w:rFonts w:ascii="Arial" w:cs="Arial" w:hAnsi="Arial"/>
          <w:i/>
          <w:color w:val="000000"/>
          <w:sz w:val="22"/>
          <w:szCs w:val="22"/>
          <w:rtl w:val="off"/>
          <w:lang w:val="en-US"/>
        </w:rPr>
        <w:t>National Center for Biotechnology Information</w:t>
      </w:r>
      <w:r>
        <w:rPr>
          <w:rFonts w:ascii="Arial" w:cs="Arial" w:hAnsi="Arial"/>
          <w:color w:val="000000"/>
          <w:sz w:val="22"/>
          <w:szCs w:val="22"/>
          <w:rtl w:val="off"/>
          <w:lang w:val="en-US"/>
        </w:rPr>
        <w:t>. [online] Nih.gov. Available at: https://www.ncbi.nlm.nih.gov/.</w:t>
      </w:r>
      <w:r>
        <w:rPr>
          <w:rFonts w:ascii="Arial" w:cs="Arial" w:hAnsi="Arial"/>
          <w:color w:val="000000"/>
          <w:sz w:val="22"/>
          <w:szCs w:val="22"/>
          <w:rtl w:val="off"/>
          <w:lang w:val="en-US"/>
        </w:rPr>
        <w:t xml:space="preserve"> </w:t>
      </w:r>
      <w:r>
        <w:rPr>
          <w:rFonts w:ascii="Arial" w:cs="Arial" w:hAnsi="Arial"/>
          <w:color w:val="000000"/>
          <w:sz w:val="22"/>
          <w:szCs w:val="22"/>
          <w:rtl w:val="off"/>
          <w:lang w:val="en-US"/>
        </w:rPr>
        <w:t xml:space="preserve"> (Access 8..Dec. 2022)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color w:val="000000"/>
          <w:sz w:val="22"/>
          <w:szCs w:val="22"/>
          <w:rtl w:val="off"/>
          <w:lang w:val="en-US"/>
        </w:rPr>
        <w:t xml:space="preserve">ogden (2018). </w:t>
      </w:r>
      <w:r>
        <w:rPr>
          <w:rFonts w:ascii="Arial" w:cs="Arial" w:hAnsi="Arial"/>
          <w:i/>
          <w:color w:val="000000"/>
          <w:sz w:val="22"/>
          <w:szCs w:val="22"/>
          <w:rtl w:val="off"/>
          <w:lang w:val="en-US"/>
        </w:rPr>
        <w:t>Overweight &amp; Obesity Statistics | NIDDK</w:t>
      </w:r>
      <w:r>
        <w:rPr>
          <w:rFonts w:ascii="Arial" w:cs="Arial" w:hAnsi="Arial"/>
          <w:color w:val="000000"/>
          <w:sz w:val="22"/>
          <w:szCs w:val="22"/>
          <w:rtl w:val="off"/>
          <w:lang w:val="en-US"/>
        </w:rPr>
        <w:t>. [online] National Institute of Diabetes and Digestive and Kidney Diseases. Available at: https://www.niddk.nih.gov/health-information/health-statistics/overweight-obesity.</w:t>
      </w:r>
      <w:r>
        <w:rPr>
          <w:rFonts w:ascii="Arial" w:cs="Arial" w:hAnsi="Arial"/>
          <w:color w:val="000000"/>
          <w:sz w:val="22"/>
          <w:szCs w:val="22"/>
          <w:rtl w:val="off"/>
          <w:lang w:val="en-US"/>
        </w:rPr>
        <w:t xml:space="preserve"> (Access 8.Dec .2022)</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color w:val="000000"/>
          <w:sz w:val="22"/>
          <w:szCs w:val="22"/>
          <w:rtl w:val="off"/>
          <w:lang w:val="en-US"/>
        </w:rPr>
        <w:t xml:space="preserve">Public Health England (2017). </w:t>
      </w:r>
      <w:r>
        <w:rPr>
          <w:rFonts w:ascii="Arial" w:cs="Arial" w:hAnsi="Arial"/>
          <w:i/>
          <w:color w:val="000000"/>
          <w:sz w:val="22"/>
          <w:szCs w:val="22"/>
          <w:rtl w:val="off"/>
          <w:lang w:val="en-US"/>
        </w:rPr>
        <w:t>Public Health Profiles</w:t>
      </w:r>
      <w:r>
        <w:rPr>
          <w:rFonts w:ascii="Arial" w:cs="Arial" w:hAnsi="Arial"/>
          <w:color w:val="000000"/>
          <w:sz w:val="22"/>
          <w:szCs w:val="22"/>
          <w:rtl w:val="off"/>
          <w:lang w:val="en-US"/>
        </w:rPr>
        <w:t>. [online] Phe.org.uk. Available at: https://fingertips.phe.org.uk/profile/national-child-measurement-programme.</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color w:val="000000"/>
          <w:sz w:val="22"/>
          <w:szCs w:val="22"/>
          <w:rtl w:val="off"/>
          <w:lang w:val="en-US"/>
        </w:rPr>
        <w:t xml:space="preserve">Centers for Disease Control and Prevention (2022). </w:t>
      </w:r>
      <w:r>
        <w:rPr>
          <w:rFonts w:ascii="Arial" w:cs="Arial" w:hAnsi="Arial"/>
          <w:i/>
          <w:color w:val="000000"/>
          <w:sz w:val="22"/>
          <w:szCs w:val="22"/>
          <w:rtl w:val="off"/>
          <w:lang w:val="en-US"/>
        </w:rPr>
        <w:t>Causes of Obesity</w:t>
      </w:r>
      <w:r>
        <w:rPr>
          <w:rFonts w:ascii="Arial" w:cs="Arial" w:hAnsi="Arial"/>
          <w:color w:val="000000"/>
          <w:sz w:val="22"/>
          <w:szCs w:val="22"/>
          <w:rtl w:val="off"/>
          <w:lang w:val="en-US"/>
        </w:rPr>
        <w:t>. [online] Centers for Disease Control and Prevention. Available at: https://www.cdc.gov/obesity/basics/causes.html.</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color w:val="000000"/>
          <w:sz w:val="22"/>
          <w:szCs w:val="22"/>
          <w:rtl w:val="off"/>
          <w:lang w:val="en-US"/>
        </w:rPr>
        <w:t xml:space="preserve">Tiwari, A. and Balasundaram, P. (2021). </w:t>
      </w:r>
      <w:r>
        <w:rPr>
          <w:rFonts w:ascii="Arial" w:cs="Arial" w:hAnsi="Arial"/>
          <w:i/>
          <w:color w:val="000000"/>
          <w:sz w:val="22"/>
          <w:szCs w:val="22"/>
          <w:rtl w:val="off"/>
          <w:lang w:val="en-US"/>
        </w:rPr>
        <w:t>Public Health Considerations Regarding Obesity</w:t>
      </w:r>
      <w:r>
        <w:rPr>
          <w:rFonts w:ascii="Arial" w:cs="Arial" w:hAnsi="Arial"/>
          <w:color w:val="000000"/>
          <w:sz w:val="22"/>
          <w:szCs w:val="22"/>
          <w:rtl w:val="off"/>
          <w:lang w:val="en-US"/>
        </w:rPr>
        <w:t>. [online] PubMed. Available at: https://www.ncbi.nlm.nih.gov/books/NBK572122/.</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Arial" w:cs="Arial" w:hAnsi="Arial"/>
          <w:color w:val="000000"/>
          <w:sz w:val="22"/>
          <w:szCs w:val="22"/>
          <w:lang w:val="en-US"/>
        </w:rPr>
      </w:pPr>
      <w:r>
        <w:rPr>
          <w:rFonts w:ascii="Arial" w:cs="Arial" w:hAnsi="Arial"/>
          <w:color w:val="000000"/>
          <w:sz w:val="22"/>
          <w:szCs w:val="22"/>
          <w:rtl w:val="off"/>
          <w:lang w:val="en-US"/>
        </w:rPr>
        <w:t xml:space="preserve">Harvard School of Public Health (2016). </w:t>
      </w:r>
      <w:r>
        <w:rPr>
          <w:rFonts w:ascii="Arial" w:cs="Arial" w:hAnsi="Arial"/>
          <w:i/>
          <w:color w:val="000000"/>
          <w:sz w:val="22"/>
          <w:szCs w:val="22"/>
          <w:rtl w:val="off"/>
          <w:lang w:val="en-US"/>
        </w:rPr>
        <w:t>Economic Costs</w:t>
      </w:r>
      <w:r>
        <w:rPr>
          <w:rFonts w:ascii="Arial" w:cs="Arial" w:hAnsi="Arial"/>
          <w:color w:val="000000"/>
          <w:sz w:val="22"/>
          <w:szCs w:val="22"/>
          <w:rtl w:val="off"/>
          <w:lang w:val="en-US"/>
        </w:rPr>
        <w:t>. [online] Obesity Prevention Source. Available at: https://www.hsph.harvard.edu/obesity-prevention-source/obesity-consequences/economic/.</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both"/>
        <w:rPr>
          <w:rFonts w:ascii="Segoe UI"/>
          <w:color w:val="000000"/>
          <w:sz w:val="18"/>
          <w:lang w:val="en-US"/>
        </w:rPr>
      </w:pPr>
      <w:r>
        <w:rPr>
          <w:rFonts w:ascii="Arial" w:cs="Arial" w:hAnsi="Arial"/>
          <w:color w:val="000000"/>
          <w:sz w:val="22"/>
          <w:szCs w:val="22"/>
          <w:rtl w:val="off"/>
          <w:lang w:val="en-US"/>
        </w:rPr>
        <w:t xml:space="preserve">World Bank. (2020). </w:t>
      </w:r>
      <w:r>
        <w:rPr>
          <w:rFonts w:ascii="Arial" w:cs="Arial" w:hAnsi="Arial"/>
          <w:i/>
          <w:color w:val="000000"/>
          <w:sz w:val="22"/>
          <w:szCs w:val="22"/>
          <w:rtl w:val="off"/>
          <w:lang w:val="en-US"/>
        </w:rPr>
        <w:t>Obesity: Health and Economic Consequences of an Impending Global Challenge</w:t>
      </w:r>
      <w:r>
        <w:rPr>
          <w:rFonts w:ascii="Arial" w:cs="Arial" w:hAnsi="Arial"/>
          <w:color w:val="000000"/>
          <w:sz w:val="22"/>
          <w:szCs w:val="22"/>
          <w:rtl w:val="off"/>
          <w:lang w:val="en-US"/>
        </w:rPr>
        <w:t>. [online] Available at: https://www.worldbank.org/en/topic/nutrition/publication/obesity-health-and-economic-consequences-of-an-impending-global-challenge.</w:t>
      </w:r>
      <w:r>
        <w:rPr>
          <w:rFonts w:ascii="Arial" w:cs="Arial" w:hAnsi="Arial"/>
          <w:color w:val="000000"/>
          <w:sz w:val="22"/>
          <w:szCs w:val="2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2"/>
          <w:szCs w:val="22"/>
          <w:lang w:val="en-US"/>
        </w:rPr>
      </w:pPr>
    </w:p>
    <w:p>
      <w:pPr>
        <w:rPr>
          <w:rFonts w:ascii="Arial" w:cs="Arial" w:hAnsi="Arial"/>
          <w:b w:val="off"/>
          <w:bCs w:val="off"/>
        </w:rPr>
      </w:pPr>
    </w:p>
    <w:sectPr>
      <w:headerReference w:type="default" r:id="rId14"/>
      <w:footerReference w:type="default" r:id="rId15"/>
      <w:footnotePr/>
      <w:type w:val="nextPage"/>
      <w:pgSz w:w="11906" w:h="16838" w:orient="portrait"/>
      <w:pgMar w:top="1440" w:right="1440" w:bottom="1440" w:left="1440" w:header="708" w:footer="708" w:gutter="0"/>
      <w:paperSrc w:first="1" w:other="1"/>
      <w:pgNumType w:fmt="decimal"/>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calibri">
    <w:charset w:val="00"/>
  </w:font>
  <w:font w:name="Segoe UI">
    <w:charset w:val="00"/>
  </w:font>
  <w:font w:name="roboto">
    <w:charset w:val="00"/>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p>
    <w:pPr>
      <w:spacing w:after="0" w:line="240" w:lineRule="auto"/>
      <w:jc w:val="center"/>
      <w:rPr/>
    </w:pPr>
    <w:r>
      <w:fldChar w:fldCharType="begin"/>
    </w:r>
    <w:r>
      <w:instrText xml:space="preserve">PAGE</w:instrText>
    </w:r>
    <w:r>
      <w:fldChar w:fldCharType="separate"/>
    </w:r>
    <w:r>
      <w:rPr>
        <w:lang w:val="en-US"/>
      </w:rPr>
      <w:t>*</w:t>
    </w:r>
    <w:r>
      <w:fldChar w:fldCharType="end"/>
    </w:r>
  </w:p>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xmlns:dgm="http://schemas.openxmlformats.org/drawingml/2006/diagram">
  <w:p>
    <w:pPr>
      <w:spacing w:after="0" w:line="240" w:lineRule="auto"/>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themeFontLang w:val="en-GB" w:eastAsia="zh-CN" w:bidi="ar-SA"/>
  <w:clrSchemeMapping w:accent1="accent1" w:accent2="accent2" w:accent3="accent3" w:accent4="accent4" w:accent5="accent5" w:accent6="accent6" w:bg1="light1" w:bg2="light2" w:followedHyperlink="followedHyperlink" w:hyperlink="hyperlink" w:text1="dark1" w:text2="dark2"/>
  <w:footnotePr/>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styleId="TOCHeading">
    <w:name w:val="TOC Heading"/>
    <w:basedOn w:val="Heading1"/>
    <w:next w:val="Normal"/>
    <w:uiPriority w:val="39"/>
    <w:unhideWhenUsed w:val="on"/>
    <w:qFormat w:val="on"/>
    <w:pPr/>
    <w:rPr>
      <w:b w:val="off"/>
      <w:bCs w:val="off"/>
      <w:sz w:val="32"/>
      <w:szCs w:val="32"/>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20"/>
    </w:pPr>
  </w:style>
  <w:style w:type="paragraph" w:styleId="Toc3">
    <w:name w:val="Toc 3"/>
    <w:basedOn w:val="Normal"/>
    <w:next w:val="Normal"/>
    <w:uiPriority w:val="39"/>
    <w:unhideWhenUsed w:val="on"/>
    <w:pPr>
      <w:spacing w:after="100"/>
      <w:ind w:left="440"/>
    </w:pPr>
  </w:style>
  <w:style w:type="paragraph" w:styleId="Toc4">
    <w:name w:val="Toc 4"/>
    <w:basedOn w:val="Normal"/>
    <w:next w:val="Normal"/>
    <w:uiPriority w:val="39"/>
    <w:unhideWhenUsed w:val="on"/>
    <w:pPr>
      <w:spacing w:after="100"/>
      <w:ind w:left="660"/>
    </w:pPr>
  </w:style>
  <w:style w:type="paragraph" w:styleId="Toc5">
    <w:name w:val="Toc 5"/>
    <w:basedOn w:val="Normal"/>
    <w:next w:val="Normal"/>
    <w:uiPriority w:val="39"/>
    <w:unhideWhenUsed w:val="on"/>
    <w:pPr>
      <w:spacing w:after="100"/>
      <w:ind w:left="880"/>
    </w:pPr>
  </w:style>
  <w:style w:type="paragraph" w:styleId="Toc6">
    <w:name w:val="Toc 6"/>
    <w:basedOn w:val="Normal"/>
    <w:next w:val="Normal"/>
    <w:uiPriority w:val="39"/>
    <w:unhideWhenUsed w:val="on"/>
    <w:pPr>
      <w:spacing w:after="100"/>
      <w:ind w:left="1100"/>
    </w:pPr>
  </w:style>
  <w:style w:type="paragraph" w:styleId="Toc7">
    <w:name w:val="Toc 7"/>
    <w:basedOn w:val="Normal"/>
    <w:next w:val="Normal"/>
    <w:uiPriority w:val="39"/>
    <w:unhideWhenUsed w:val="on"/>
    <w:pPr>
      <w:spacing w:after="100"/>
      <w:ind w:left="1320"/>
    </w:pPr>
  </w:style>
  <w:style w:type="paragraph" w:styleId="Toc8">
    <w:name w:val="Toc 8"/>
    <w:basedOn w:val="Normal"/>
    <w:next w:val="Normal"/>
    <w:uiPriority w:val="39"/>
    <w:unhideWhenUsed w:val="on"/>
    <w:pPr>
      <w:spacing w:after="100"/>
      <w:ind w:left="1540"/>
    </w:pPr>
  </w:style>
  <w:style w:type="paragraph" w:styleId="Toc9">
    <w:name w:val="Toc 9"/>
    <w:basedOn w:val="Normal"/>
    <w:next w:val="Normal"/>
    <w:uiPriority w:val="39"/>
    <w:unhideWhenUsed w:val="on"/>
    <w:pPr>
      <w:spacing w:after="100"/>
      <w:ind w:left="1760"/>
    </w:p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0" Type="http://schemas.openxmlformats.org/officeDocument/2006/relationships/image" Target="media/image4.jpeg"/><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image" Target="media/image7.jpeg"/><Relationship Id="rId14" Type="http://schemas.openxmlformats.org/officeDocument/2006/relationships/header" Target="header1.xml"/><Relationship Id="rId15" Type="http://schemas.openxmlformats.org/officeDocument/2006/relationships/footer" Target="footer1.xml"/><Relationship Id="rId2" Type="http://schemas.openxmlformats.org/officeDocument/2006/relationships/fontTable" Target="fontTable.xml"/><Relationship Id="rId3" Type="http://schemas.openxmlformats.org/officeDocument/2006/relationships/styles" Target="styles.xml"/><Relationship Id="rId5" Type="http://schemas.openxmlformats.org/officeDocument/2006/relationships/settings" Target="settings.xml"/><Relationship Id="rId8" Type="http://schemas.openxmlformats.org/officeDocument/2006/relationships/image" Target="media/image2.jpeg"/><Relationship Id="rId9" Type="http://schemas.openxmlformats.org/officeDocument/2006/relationships/image" Target="media/image3.jpeg"/><Relationship Id="rId4"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1.jpeg"/></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Magdalena Oana</dc:creator>
  <cp:lastModifiedBy>Magdalena Oana</cp:lastModifiedBy>
</cp:coreProperties>
</file>