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16="http://schemas.microsoft.com/office/drawing/2014/main" xmlns:dgm="http://schemas.openxmlformats.org/drawingml/2006/diagram" mc:Ignorable="w14 w15 w16se w16cid w16 w16cex w16sdtdh w16sdtfl w16du wp14">
  <w:body>
    <w:p w:rsidR="00063B4C" w:rsidRDefault="00063B4C" w14:paraId="7B396377" w14:textId="74AF5F5A" w14:noSpellErr="1"/>
    <w:p w:rsidR="00063B4C" w:rsidRDefault="00063B4C" w14:paraId="00DE7510" w14:textId="684CC594"/>
    <w:p w:rsidR="00063B4C" w:rsidRDefault="00063B4C" w14:paraId="62B6C1AB" w14:textId="77777777"/>
    <w:p w:rsidR="00063B4C" w:rsidP="00063B4C" w:rsidRDefault="00063B4C" w14:paraId="19C1447B" w14:textId="77777777">
      <w:pPr>
        <w:ind w:right="1229"/>
      </w:pPr>
    </w:p>
    <w:p w:rsidR="00063B4C" w:rsidRDefault="00063B4C" w14:paraId="5B270734" w14:textId="55782988"/>
    <w:p w:rsidR="00995444" w:rsidP="00995444" w:rsidRDefault="00995444" w14:paraId="2C0F81B3" w14:textId="77777777">
      <w:pPr>
        <w:pStyle w:val="Heading1"/>
        <w:ind w:left="0"/>
        <w:rPr>
          <w:rFonts w:ascii="Aptos" w:hAnsi="Aptos" w:cs="Arial"/>
        </w:rPr>
      </w:pPr>
    </w:p>
    <w:p w:rsidRPr="004739A4" w:rsidR="00063B4C" w:rsidP="2302A0EF" w:rsidRDefault="00063B4C" w14:paraId="6D29CD44" w14:textId="75C545B1" w14:noSpellErr="1">
      <w:pPr>
        <w:rPr>
          <w:rFonts w:ascii="Arial" w:hAnsi="Arial" w:eastAsia="Arial" w:cs="Arial"/>
          <w:b w:val="1"/>
          <w:bCs w:val="1"/>
          <w:sz w:val="22"/>
          <w:szCs w:val="22"/>
        </w:rPr>
      </w:pPr>
      <w:r w:rsidRPr="2302A0EF" w:rsidR="00063B4C">
        <w:rPr>
          <w:rFonts w:ascii="Arial" w:hAnsi="Arial" w:eastAsia="Arial" w:cs="Arial"/>
          <w:b w:val="1"/>
          <w:bCs w:val="1"/>
          <w:sz w:val="22"/>
          <w:szCs w:val="22"/>
        </w:rPr>
        <w:t>Disclaimer</w:t>
      </w:r>
    </w:p>
    <w:p w:rsidR="00730C3C" w:rsidP="2302A0EF" w:rsidRDefault="00063B4C" w14:paraId="265E2262" w14:textId="360845F8">
      <w:pPr>
        <w:spacing w:before="62"/>
        <w:ind w:right="96"/>
        <w:rPr>
          <w:rFonts w:ascii="Arial" w:hAnsi="Arial" w:eastAsia="Arial" w:cs="Arial"/>
          <w:sz w:val="22"/>
          <w:szCs w:val="22"/>
        </w:rPr>
      </w:pPr>
      <w:r w:rsidRPr="2302A0EF" w:rsidR="00063B4C">
        <w:rPr>
          <w:rFonts w:ascii="Arial" w:hAnsi="Arial" w:eastAsia="Arial" w:cs="Arial"/>
          <w:sz w:val="22"/>
          <w:szCs w:val="22"/>
        </w:rPr>
        <w:t xml:space="preserve">This document was correct at the time of publication. The Module Coordinator reserves the right to </w:t>
      </w:r>
      <w:r w:rsidRPr="2302A0EF" w:rsidR="00063B4C">
        <w:rPr>
          <w:rFonts w:ascii="Arial" w:hAnsi="Arial" w:eastAsia="Arial" w:cs="Arial"/>
          <w:sz w:val="22"/>
          <w:szCs w:val="22"/>
        </w:rPr>
        <w:t>modify</w:t>
      </w:r>
      <w:r w:rsidRPr="2302A0EF" w:rsidR="00063B4C">
        <w:rPr>
          <w:rFonts w:ascii="Arial" w:hAnsi="Arial" w:eastAsia="Arial" w:cs="Arial"/>
          <w:sz w:val="22"/>
          <w:szCs w:val="22"/>
        </w:rPr>
        <w:t xml:space="preserve"> any </w:t>
      </w:r>
      <w:r w:rsidRPr="2302A0EF" w:rsidR="650F41E9">
        <w:rPr>
          <w:rFonts w:ascii="Arial" w:hAnsi="Arial" w:eastAsia="Arial" w:cs="Arial"/>
          <w:sz w:val="22"/>
          <w:szCs w:val="22"/>
        </w:rPr>
        <w:t>statement,</w:t>
      </w:r>
      <w:r w:rsidRPr="2302A0EF" w:rsidR="00063B4C">
        <w:rPr>
          <w:rFonts w:ascii="Arial" w:hAnsi="Arial" w:eastAsia="Arial" w:cs="Arial"/>
          <w:sz w:val="22"/>
          <w:szCs w:val="22"/>
        </w:rPr>
        <w:t xml:space="preserve"> if necessary, make variations to the content or methods of delivery of programmes of study, to </w:t>
      </w:r>
      <w:r w:rsidRPr="2302A0EF" w:rsidR="00063B4C">
        <w:rPr>
          <w:rFonts w:ascii="Arial" w:hAnsi="Arial" w:eastAsia="Arial" w:cs="Arial"/>
          <w:sz w:val="22"/>
          <w:szCs w:val="22"/>
        </w:rPr>
        <w:t>discontinue</w:t>
      </w:r>
      <w:r w:rsidRPr="2302A0EF" w:rsidR="00063B4C">
        <w:rPr>
          <w:rFonts w:ascii="Arial" w:hAnsi="Arial" w:eastAsia="Arial" w:cs="Arial"/>
          <w:sz w:val="22"/>
          <w:szCs w:val="22"/>
        </w:rPr>
        <w:t xml:space="preserve"> programmes, or merge or combine programmes if such actions are </w:t>
      </w:r>
      <w:r w:rsidRPr="2302A0EF" w:rsidR="00063B4C">
        <w:rPr>
          <w:rFonts w:ascii="Arial" w:hAnsi="Arial" w:eastAsia="Arial" w:cs="Arial"/>
          <w:sz w:val="22"/>
          <w:szCs w:val="22"/>
        </w:rPr>
        <w:t>reasonably considered</w:t>
      </w:r>
      <w:r w:rsidRPr="2302A0EF" w:rsidR="00063B4C">
        <w:rPr>
          <w:rFonts w:ascii="Arial" w:hAnsi="Arial" w:eastAsia="Arial" w:cs="Arial"/>
          <w:sz w:val="22"/>
          <w:szCs w:val="22"/>
        </w:rPr>
        <w:t xml:space="preserve"> to be necessary by UWTSD. Every effort will be made to keep disruption to a minimum and to give as much notice as possible. An electronic copy of this handbook can be found on the Moodle page for the module.</w:t>
      </w:r>
    </w:p>
    <w:p w:rsidR="00CA7B55" w:rsidP="2302A0EF" w:rsidRDefault="00CA7B55" w14:paraId="1C362DA2" w14:textId="77777777" w14:noSpellErr="1">
      <w:pPr>
        <w:spacing w:before="62"/>
        <w:ind w:right="96"/>
        <w:rPr>
          <w:rFonts w:ascii="Arial" w:hAnsi="Arial" w:eastAsia="Arial" w:cs="Arial"/>
          <w:sz w:val="22"/>
          <w:szCs w:val="22"/>
        </w:rPr>
      </w:pPr>
    </w:p>
    <w:p w:rsidR="00CA7B55" w:rsidP="2302A0EF" w:rsidRDefault="00CA7B55" w14:paraId="32462E10" w14:textId="77777777" w14:noSpellErr="1">
      <w:pPr>
        <w:spacing w:before="62"/>
        <w:ind w:right="96"/>
        <w:rPr>
          <w:rFonts w:ascii="Arial" w:hAnsi="Arial" w:eastAsia="Arial" w:cs="Arial"/>
          <w:sz w:val="22"/>
          <w:szCs w:val="22"/>
        </w:rPr>
      </w:pPr>
    </w:p>
    <w:p w:rsidRPr="004739A4" w:rsidR="00CA7B55" w:rsidP="2302A0EF" w:rsidRDefault="00CA7B55" w14:paraId="4EDA70AD" w14:textId="77777777" w14:noSpellErr="1">
      <w:pPr>
        <w:spacing w:before="62"/>
        <w:ind w:right="96"/>
        <w:rPr>
          <w:rFonts w:ascii="Arial" w:hAnsi="Arial" w:eastAsia="Arial" w:cs="Arial"/>
          <w:sz w:val="22"/>
          <w:szCs w:val="22"/>
        </w:rPr>
      </w:pPr>
    </w:p>
    <w:p w:rsidRPr="0073280B" w:rsidR="00604A87" w:rsidP="2302A0EF" w:rsidRDefault="00604A87" w14:paraId="3492E4C4" w14:textId="45AA03BC" w14:noSpellErr="1">
      <w:pPr>
        <w:rPr>
          <w:rFonts w:ascii="Arial" w:hAnsi="Arial" w:eastAsia="Arial" w:cs="Arial"/>
          <w:b w:val="1"/>
          <w:bCs w:val="1"/>
          <w:sz w:val="22"/>
          <w:szCs w:val="22"/>
        </w:rPr>
      </w:pPr>
      <w:r w:rsidRPr="2302A0EF" w:rsidR="00604A87">
        <w:rPr>
          <w:rFonts w:ascii="Arial" w:hAnsi="Arial" w:eastAsia="Arial" w:cs="Arial"/>
          <w:b w:val="1"/>
          <w:bCs w:val="1"/>
          <w:sz w:val="22"/>
          <w:szCs w:val="22"/>
        </w:rPr>
        <w:t>DECLARATION</w:t>
      </w:r>
    </w:p>
    <w:p w:rsidRPr="00604A87" w:rsidR="00604A87" w:rsidP="2302A0EF" w:rsidRDefault="00604A87" w14:paraId="113CAAED" w14:textId="6001CFD3" w14:noSpellErr="1">
      <w:pPr>
        <w:rPr>
          <w:rFonts w:ascii="Arial" w:hAnsi="Arial" w:eastAsia="Arial" w:cs="Arial"/>
          <w:sz w:val="22"/>
          <w:szCs w:val="22"/>
        </w:rPr>
      </w:pPr>
      <w:r w:rsidRPr="2302A0EF" w:rsidR="00604A87">
        <w:rPr>
          <w:rFonts w:ascii="Arial" w:hAnsi="Arial" w:eastAsia="Arial" w:cs="Arial"/>
          <w:sz w:val="22"/>
          <w:szCs w:val="22"/>
        </w:rPr>
        <w:t xml:space="preserve">This </w:t>
      </w:r>
      <w:r w:rsidRPr="2302A0EF" w:rsidR="00604A87">
        <w:rPr>
          <w:rFonts w:ascii="Arial" w:hAnsi="Arial" w:eastAsia="Arial" w:cs="Arial"/>
          <w:sz w:val="22"/>
          <w:szCs w:val="22"/>
        </w:rPr>
        <w:t xml:space="preserve">work has not previously been accepted in substance for any degree and is not being concurrently </w:t>
      </w:r>
      <w:r w:rsidRPr="2302A0EF" w:rsidR="00604A87">
        <w:rPr>
          <w:rFonts w:ascii="Arial" w:hAnsi="Arial" w:eastAsia="Arial" w:cs="Arial"/>
          <w:sz w:val="22"/>
          <w:szCs w:val="22"/>
        </w:rPr>
        <w:t>submitted</w:t>
      </w:r>
      <w:r w:rsidRPr="2302A0EF" w:rsidR="00604A87">
        <w:rPr>
          <w:rFonts w:ascii="Arial" w:hAnsi="Arial" w:eastAsia="Arial" w:cs="Arial"/>
          <w:sz w:val="22"/>
          <w:szCs w:val="22"/>
        </w:rPr>
        <w:t xml:space="preserve"> in candidature for any degree</w:t>
      </w:r>
      <w:r w:rsidRPr="2302A0EF" w:rsidR="00CB3DFB">
        <w:rPr>
          <w:rFonts w:ascii="Arial" w:hAnsi="Arial" w:eastAsia="Arial" w:cs="Arial"/>
          <w:sz w:val="22"/>
          <w:szCs w:val="22"/>
        </w:rPr>
        <w:t>.</w:t>
      </w:r>
    </w:p>
    <w:p w:rsidRPr="00604A87" w:rsidR="00604A87" w:rsidP="2302A0EF" w:rsidRDefault="00604A87" w14:paraId="3EF51212" w14:textId="3CB2EC0D">
      <w:pPr>
        <w:rPr>
          <w:rFonts w:ascii="Arial" w:hAnsi="Arial" w:eastAsia="Arial" w:cs="Arial"/>
          <w:sz w:val="22"/>
          <w:szCs w:val="22"/>
        </w:rPr>
      </w:pPr>
      <w:r w:rsidRPr="2302A0EF" w:rsidR="00604A87">
        <w:rPr>
          <w:rFonts w:ascii="Arial" w:hAnsi="Arial" w:eastAsia="Arial" w:cs="Arial"/>
          <w:sz w:val="22"/>
          <w:szCs w:val="22"/>
        </w:rPr>
        <w:t>Signed</w:t>
      </w:r>
      <w:r w:rsidRPr="2302A0EF" w:rsidR="00604A87">
        <w:rPr>
          <w:rFonts w:ascii="Arial" w:hAnsi="Arial" w:eastAsia="Arial" w:cs="Arial"/>
          <w:sz w:val="22"/>
          <w:szCs w:val="22"/>
        </w:rPr>
        <w:t>…</w:t>
      </w:r>
      <w:r w:rsidRPr="2302A0EF" w:rsidR="2EFB896B">
        <w:rPr>
          <w:rFonts w:ascii="Arial" w:hAnsi="Arial" w:eastAsia="Arial" w:cs="Arial"/>
          <w:sz w:val="22"/>
          <w:szCs w:val="22"/>
        </w:rPr>
        <w:t xml:space="preserve">S malik </w:t>
      </w:r>
      <w:r w:rsidRPr="2302A0EF" w:rsidR="00604A87">
        <w:rPr>
          <w:rFonts w:ascii="Arial" w:hAnsi="Arial" w:eastAsia="Arial" w:cs="Arial"/>
          <w:sz w:val="22"/>
          <w:szCs w:val="22"/>
        </w:rPr>
        <w:t>…………………………………………</w:t>
      </w:r>
    </w:p>
    <w:p w:rsidRPr="00604A87" w:rsidR="00604A87" w:rsidP="2302A0EF" w:rsidRDefault="00604A87" w14:paraId="16B6CB34" w14:textId="12B37E45">
      <w:pPr>
        <w:rPr>
          <w:rFonts w:ascii="Arial" w:hAnsi="Arial" w:eastAsia="Arial" w:cs="Arial"/>
          <w:sz w:val="22"/>
          <w:szCs w:val="22"/>
        </w:rPr>
      </w:pPr>
      <w:r w:rsidRPr="2302A0EF" w:rsidR="00604A87">
        <w:rPr>
          <w:rFonts w:ascii="Arial" w:hAnsi="Arial" w:eastAsia="Arial" w:cs="Arial"/>
          <w:sz w:val="22"/>
          <w:szCs w:val="22"/>
        </w:rPr>
        <w:t>Date………</w:t>
      </w:r>
      <w:r w:rsidRPr="2302A0EF" w:rsidR="77690570">
        <w:rPr>
          <w:rFonts w:ascii="Arial" w:hAnsi="Arial" w:eastAsia="Arial" w:cs="Arial"/>
          <w:sz w:val="22"/>
          <w:szCs w:val="22"/>
        </w:rPr>
        <w:t>27/11/2025</w:t>
      </w:r>
      <w:r w:rsidRPr="2302A0EF" w:rsidR="00604A87">
        <w:rPr>
          <w:rFonts w:ascii="Arial" w:hAnsi="Arial" w:eastAsia="Arial" w:cs="Arial"/>
          <w:sz w:val="22"/>
          <w:szCs w:val="22"/>
        </w:rPr>
        <w:t>………………………………………</w:t>
      </w:r>
    </w:p>
    <w:p w:rsidRPr="00604A87" w:rsidR="00604A87" w:rsidP="2302A0EF" w:rsidRDefault="00604A87" w14:paraId="7D9E43A8" w14:textId="77777777" w14:noSpellErr="1">
      <w:pPr>
        <w:rPr>
          <w:rFonts w:ascii="Arial" w:hAnsi="Arial" w:eastAsia="Arial" w:cs="Arial"/>
          <w:kern w:val="32"/>
          <w:sz w:val="22"/>
          <w:szCs w:val="22"/>
        </w:rPr>
      </w:pPr>
      <w:r w:rsidRPr="2302A0EF" w:rsidR="00604A87">
        <w:rPr>
          <w:rFonts w:ascii="Arial" w:hAnsi="Arial" w:eastAsia="Arial" w:cs="Arial"/>
          <w:b w:val="1"/>
          <w:bCs w:val="1"/>
          <w:sz w:val="22"/>
          <w:szCs w:val="22"/>
        </w:rPr>
        <w:t xml:space="preserve">STATEMENT 1 </w:t>
      </w:r>
    </w:p>
    <w:p w:rsidRPr="00604A87" w:rsidR="00604A87" w:rsidP="2302A0EF" w:rsidRDefault="00604A87" w14:paraId="189DE0A6" w14:textId="710F2765" w14:noSpellErr="1">
      <w:pPr>
        <w:rPr>
          <w:rFonts w:ascii="Arial" w:hAnsi="Arial" w:eastAsia="Arial" w:cs="Arial"/>
          <w:sz w:val="22"/>
          <w:szCs w:val="22"/>
        </w:rPr>
      </w:pPr>
      <w:r w:rsidRPr="2302A0EF" w:rsidR="00604A87">
        <w:rPr>
          <w:rFonts w:ascii="Arial" w:hAnsi="Arial" w:eastAsia="Arial" w:cs="Arial"/>
          <w:sz w:val="22"/>
          <w:szCs w:val="22"/>
        </w:rPr>
        <w:t xml:space="preserve">This dissertation is being </w:t>
      </w:r>
      <w:r w:rsidRPr="2302A0EF" w:rsidR="00604A87">
        <w:rPr>
          <w:rFonts w:ascii="Arial" w:hAnsi="Arial" w:eastAsia="Arial" w:cs="Arial"/>
          <w:sz w:val="22"/>
          <w:szCs w:val="22"/>
        </w:rPr>
        <w:t>submitted</w:t>
      </w:r>
      <w:r w:rsidRPr="2302A0EF" w:rsidR="00604A87">
        <w:rPr>
          <w:rFonts w:ascii="Arial" w:hAnsi="Arial" w:eastAsia="Arial" w:cs="Arial"/>
          <w:sz w:val="22"/>
          <w:szCs w:val="22"/>
        </w:rPr>
        <w:t xml:space="preserve"> in partial fulfilment of the requirements for the degree of BSc.</w:t>
      </w:r>
    </w:p>
    <w:p w:rsidRPr="00604A87" w:rsidR="00604A87" w:rsidP="2302A0EF" w:rsidRDefault="00604A87" w14:paraId="39F661A6" w14:textId="1DE84DD1">
      <w:pPr>
        <w:rPr>
          <w:rFonts w:ascii="Arial" w:hAnsi="Arial" w:eastAsia="Arial" w:cs="Arial"/>
          <w:sz w:val="22"/>
          <w:szCs w:val="22"/>
        </w:rPr>
      </w:pPr>
      <w:r w:rsidRPr="2302A0EF" w:rsidR="00604A87">
        <w:rPr>
          <w:rFonts w:ascii="Arial" w:hAnsi="Arial" w:eastAsia="Arial" w:cs="Arial"/>
          <w:sz w:val="22"/>
          <w:szCs w:val="22"/>
        </w:rPr>
        <w:t>Signed……</w:t>
      </w:r>
      <w:r w:rsidRPr="2302A0EF" w:rsidR="4EB1C9D7">
        <w:rPr>
          <w:rFonts w:ascii="Arial" w:hAnsi="Arial" w:eastAsia="Arial" w:cs="Arial"/>
          <w:sz w:val="22"/>
          <w:szCs w:val="22"/>
        </w:rPr>
        <w:t>S Malik</w:t>
      </w:r>
      <w:r w:rsidRPr="2302A0EF" w:rsidR="00604A87">
        <w:rPr>
          <w:rFonts w:ascii="Arial" w:hAnsi="Arial" w:eastAsia="Arial" w:cs="Arial"/>
          <w:sz w:val="22"/>
          <w:szCs w:val="22"/>
        </w:rPr>
        <w:t xml:space="preserve">………………………………………. </w:t>
      </w:r>
    </w:p>
    <w:p w:rsidRPr="00604A87" w:rsidR="00604A87" w:rsidP="2302A0EF" w:rsidRDefault="00604A87" w14:paraId="21F5E413" w14:textId="179D57C8">
      <w:pPr>
        <w:rPr>
          <w:rFonts w:ascii="Arial" w:hAnsi="Arial" w:eastAsia="Arial" w:cs="Arial"/>
          <w:sz w:val="22"/>
          <w:szCs w:val="22"/>
        </w:rPr>
      </w:pPr>
      <w:r w:rsidRPr="2302A0EF" w:rsidR="00604A87">
        <w:rPr>
          <w:rFonts w:ascii="Arial" w:hAnsi="Arial" w:eastAsia="Arial" w:cs="Arial"/>
          <w:sz w:val="22"/>
          <w:szCs w:val="22"/>
        </w:rPr>
        <w:t>Date…</w:t>
      </w:r>
      <w:r w:rsidRPr="2302A0EF" w:rsidR="3DA692FC">
        <w:rPr>
          <w:rFonts w:ascii="Arial" w:hAnsi="Arial" w:eastAsia="Arial" w:cs="Arial"/>
          <w:sz w:val="22"/>
          <w:szCs w:val="22"/>
        </w:rPr>
        <w:t>27/11/2025</w:t>
      </w:r>
      <w:r w:rsidRPr="2302A0EF" w:rsidR="00604A87">
        <w:rPr>
          <w:rFonts w:ascii="Arial" w:hAnsi="Arial" w:eastAsia="Arial" w:cs="Arial"/>
          <w:sz w:val="22"/>
          <w:szCs w:val="22"/>
        </w:rPr>
        <w:t>……………………………………</w:t>
      </w:r>
    </w:p>
    <w:p w:rsidRPr="00604A87" w:rsidR="00604A87" w:rsidP="2302A0EF" w:rsidRDefault="00604A87" w14:paraId="713B64B9" w14:textId="77777777" w14:noSpellErr="1">
      <w:pPr>
        <w:rPr>
          <w:rFonts w:ascii="Arial" w:hAnsi="Arial" w:eastAsia="Arial" w:cs="Arial"/>
          <w:sz w:val="22"/>
          <w:szCs w:val="22"/>
        </w:rPr>
      </w:pPr>
      <w:r w:rsidRPr="2302A0EF" w:rsidR="00604A87">
        <w:rPr>
          <w:rFonts w:ascii="Arial" w:hAnsi="Arial" w:eastAsia="Arial" w:cs="Arial"/>
          <w:b w:val="1"/>
          <w:bCs w:val="1"/>
          <w:sz w:val="22"/>
          <w:szCs w:val="22"/>
        </w:rPr>
        <w:t>STATEMENT 2</w:t>
      </w:r>
    </w:p>
    <w:p w:rsidRPr="00604A87" w:rsidR="00604A87" w:rsidP="2302A0EF" w:rsidRDefault="00604A87" w14:paraId="4AA5D04A" w14:textId="65BB11AC" w14:noSpellErr="1">
      <w:pPr>
        <w:rPr>
          <w:rFonts w:ascii="Arial" w:hAnsi="Arial" w:eastAsia="Arial" w:cs="Arial"/>
          <w:sz w:val="22"/>
          <w:szCs w:val="22"/>
        </w:rPr>
      </w:pPr>
      <w:r w:rsidRPr="2302A0EF" w:rsidR="00604A87">
        <w:rPr>
          <w:rFonts w:ascii="Arial" w:hAnsi="Arial" w:eastAsia="Arial" w:cs="Arial"/>
          <w:sz w:val="22"/>
          <w:szCs w:val="22"/>
        </w:rPr>
        <w:t xml:space="preserve">This dissertation is the result of my own independent work/investigation, except where otherwise </w:t>
      </w:r>
      <w:r w:rsidRPr="2302A0EF" w:rsidR="00604A87">
        <w:rPr>
          <w:rFonts w:ascii="Arial" w:hAnsi="Arial" w:eastAsia="Arial" w:cs="Arial"/>
          <w:sz w:val="22"/>
          <w:szCs w:val="22"/>
        </w:rPr>
        <w:t>stated</w:t>
      </w:r>
      <w:r w:rsidRPr="2302A0EF" w:rsidR="00604A87">
        <w:rPr>
          <w:rFonts w:ascii="Arial" w:hAnsi="Arial" w:eastAsia="Arial" w:cs="Arial"/>
          <w:sz w:val="22"/>
          <w:szCs w:val="22"/>
        </w:rPr>
        <w:t>.</w:t>
      </w:r>
      <w:r w:rsidRPr="2302A0EF" w:rsidR="00604A87">
        <w:rPr>
          <w:rFonts w:ascii="Arial" w:hAnsi="Arial" w:eastAsia="Arial" w:cs="Arial"/>
          <w:sz w:val="22"/>
          <w:szCs w:val="22"/>
        </w:rPr>
        <w:t xml:space="preserve"> </w:t>
      </w:r>
      <w:r w:rsidRPr="2302A0EF" w:rsidR="00604A87">
        <w:rPr>
          <w:rFonts w:ascii="Arial" w:hAnsi="Arial" w:eastAsia="Arial" w:cs="Arial"/>
          <w:sz w:val="22"/>
          <w:szCs w:val="22"/>
        </w:rPr>
        <w:t>Other sources are acknowledged by footnotes giving explicit references</w:t>
      </w:r>
      <w:r w:rsidRPr="2302A0EF" w:rsidR="00604A87">
        <w:rPr>
          <w:rFonts w:ascii="Arial" w:hAnsi="Arial" w:eastAsia="Arial" w:cs="Arial"/>
          <w:sz w:val="22"/>
          <w:szCs w:val="22"/>
        </w:rPr>
        <w:t xml:space="preserve">.  </w:t>
      </w:r>
      <w:r w:rsidRPr="2302A0EF" w:rsidR="00604A87">
        <w:rPr>
          <w:rFonts w:ascii="Arial" w:hAnsi="Arial" w:eastAsia="Arial" w:cs="Arial"/>
          <w:sz w:val="22"/>
          <w:szCs w:val="22"/>
        </w:rPr>
        <w:t>A bibliography is appended.</w:t>
      </w:r>
    </w:p>
    <w:p w:rsidRPr="00604A87" w:rsidR="00604A87" w:rsidP="2302A0EF" w:rsidRDefault="00604A87" w14:paraId="319A31E7" w14:textId="6B56FF1B">
      <w:pPr>
        <w:rPr>
          <w:rFonts w:ascii="Arial" w:hAnsi="Arial" w:eastAsia="Arial" w:cs="Arial"/>
          <w:sz w:val="22"/>
          <w:szCs w:val="22"/>
        </w:rPr>
      </w:pPr>
      <w:r w:rsidRPr="2302A0EF" w:rsidR="00604A87">
        <w:rPr>
          <w:rFonts w:ascii="Arial" w:hAnsi="Arial" w:eastAsia="Arial" w:cs="Arial"/>
          <w:sz w:val="22"/>
          <w:szCs w:val="22"/>
        </w:rPr>
        <w:t>Signed……</w:t>
      </w:r>
      <w:r w:rsidRPr="2302A0EF" w:rsidR="49999F96">
        <w:rPr>
          <w:rFonts w:ascii="Arial" w:hAnsi="Arial" w:eastAsia="Arial" w:cs="Arial"/>
          <w:sz w:val="22"/>
          <w:szCs w:val="22"/>
        </w:rPr>
        <w:t>S malik</w:t>
      </w:r>
      <w:r w:rsidRPr="2302A0EF" w:rsidR="00604A87">
        <w:rPr>
          <w:rFonts w:ascii="Arial" w:hAnsi="Arial" w:eastAsia="Arial" w:cs="Arial"/>
          <w:sz w:val="22"/>
          <w:szCs w:val="22"/>
        </w:rPr>
        <w:t>………………………………………</w:t>
      </w:r>
    </w:p>
    <w:p w:rsidRPr="00604A87" w:rsidR="00604A87" w:rsidP="2302A0EF" w:rsidRDefault="00604A87" w14:paraId="1CB40FFB" w14:textId="306589AB">
      <w:pPr>
        <w:rPr>
          <w:rFonts w:ascii="Arial" w:hAnsi="Arial" w:eastAsia="Arial" w:cs="Arial"/>
          <w:sz w:val="22"/>
          <w:szCs w:val="22"/>
        </w:rPr>
      </w:pPr>
      <w:r w:rsidRPr="2302A0EF" w:rsidR="00604A87">
        <w:rPr>
          <w:rFonts w:ascii="Arial" w:hAnsi="Arial" w:eastAsia="Arial" w:cs="Arial"/>
          <w:sz w:val="22"/>
          <w:szCs w:val="22"/>
        </w:rPr>
        <w:t>Date………</w:t>
      </w:r>
      <w:r w:rsidRPr="2302A0EF" w:rsidR="6704CDDB">
        <w:rPr>
          <w:rFonts w:ascii="Arial" w:hAnsi="Arial" w:eastAsia="Arial" w:cs="Arial"/>
          <w:sz w:val="22"/>
          <w:szCs w:val="22"/>
        </w:rPr>
        <w:t>27/11/2025</w:t>
      </w:r>
      <w:r w:rsidRPr="2302A0EF" w:rsidR="00604A87">
        <w:rPr>
          <w:rFonts w:ascii="Arial" w:hAnsi="Arial" w:eastAsia="Arial" w:cs="Arial"/>
          <w:sz w:val="22"/>
          <w:szCs w:val="22"/>
        </w:rPr>
        <w:t xml:space="preserve">……………………………………… </w:t>
      </w:r>
    </w:p>
    <w:p w:rsidRPr="00604A87" w:rsidR="00604A87" w:rsidP="2302A0EF" w:rsidRDefault="00604A87" w14:paraId="42D5D0C6" w14:textId="77777777" w14:noSpellErr="1">
      <w:pPr>
        <w:rPr>
          <w:rFonts w:ascii="Arial" w:hAnsi="Arial" w:eastAsia="Arial" w:cs="Arial"/>
          <w:sz w:val="22"/>
          <w:szCs w:val="22"/>
        </w:rPr>
      </w:pPr>
      <w:r w:rsidRPr="2302A0EF" w:rsidR="00604A87">
        <w:rPr>
          <w:rFonts w:ascii="Arial" w:hAnsi="Arial" w:eastAsia="Arial" w:cs="Arial"/>
          <w:b w:val="1"/>
          <w:bCs w:val="1"/>
          <w:sz w:val="22"/>
          <w:szCs w:val="22"/>
        </w:rPr>
        <w:t>STATEMENT 3</w:t>
      </w:r>
    </w:p>
    <w:p w:rsidRPr="00604A87" w:rsidR="00604A87" w:rsidP="2302A0EF" w:rsidRDefault="00604A87" w14:paraId="4B58546E" w14:textId="61CCB29A" w14:noSpellErr="1">
      <w:pPr>
        <w:rPr>
          <w:rFonts w:ascii="Arial" w:hAnsi="Arial" w:eastAsia="Arial" w:cs="Arial"/>
          <w:sz w:val="22"/>
          <w:szCs w:val="22"/>
        </w:rPr>
      </w:pPr>
      <w:r w:rsidRPr="2302A0EF" w:rsidR="00604A87">
        <w:rPr>
          <w:rFonts w:ascii="Arial" w:hAnsi="Arial" w:eastAsia="Arial" w:cs="Arial"/>
          <w:sz w:val="22"/>
          <w:szCs w:val="22"/>
        </w:rPr>
        <w:t>I hereby give consent for my dissertation, if accepted, to be available for photocopying and for interlibrary loan, and for the title and summary to be made available to outside organisations.</w:t>
      </w:r>
    </w:p>
    <w:p w:rsidRPr="00604A87" w:rsidR="00604A87" w:rsidP="2302A0EF" w:rsidRDefault="00604A87" w14:paraId="5C25443E" w14:textId="23246875">
      <w:pPr>
        <w:rPr>
          <w:rFonts w:ascii="Arial" w:hAnsi="Arial" w:eastAsia="Arial" w:cs="Arial"/>
          <w:sz w:val="22"/>
          <w:szCs w:val="22"/>
        </w:rPr>
      </w:pPr>
      <w:r w:rsidRPr="2302A0EF" w:rsidR="00604A87">
        <w:rPr>
          <w:rFonts w:ascii="Arial" w:hAnsi="Arial" w:eastAsia="Arial" w:cs="Arial"/>
          <w:sz w:val="22"/>
          <w:szCs w:val="22"/>
        </w:rPr>
        <w:t>Signed</w:t>
      </w:r>
      <w:r w:rsidRPr="2302A0EF" w:rsidR="6094BC1A">
        <w:rPr>
          <w:rFonts w:ascii="Arial" w:hAnsi="Arial" w:eastAsia="Arial" w:cs="Arial"/>
          <w:sz w:val="22"/>
          <w:szCs w:val="22"/>
        </w:rPr>
        <w:t xml:space="preserve">     S malik  </w:t>
      </w:r>
      <w:r w:rsidRPr="2302A0EF" w:rsidR="00604A87">
        <w:rPr>
          <w:rFonts w:ascii="Arial" w:hAnsi="Arial" w:eastAsia="Arial" w:cs="Arial"/>
          <w:sz w:val="22"/>
          <w:szCs w:val="22"/>
        </w:rPr>
        <w:t>………………</w:t>
      </w:r>
      <w:r w:rsidRPr="2302A0EF" w:rsidR="00604A87">
        <w:rPr>
          <w:rFonts w:ascii="Arial" w:hAnsi="Arial" w:eastAsia="Arial" w:cs="Arial"/>
          <w:sz w:val="22"/>
          <w:szCs w:val="22"/>
        </w:rPr>
        <w:t>………………………………</w:t>
      </w:r>
    </w:p>
    <w:p w:rsidRPr="00604A87" w:rsidR="00604A87" w:rsidP="2302A0EF" w:rsidRDefault="00604A87" w14:paraId="021196D1" w14:textId="457471B9">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Arial" w:hAnsi="Arial" w:eastAsia="Arial" w:cs="Arial"/>
          <w:sz w:val="22"/>
          <w:szCs w:val="22"/>
        </w:rPr>
      </w:pPr>
      <w:r w:rsidRPr="2302A0EF" w:rsidR="00604A87">
        <w:rPr>
          <w:rFonts w:ascii="Arial" w:hAnsi="Arial" w:eastAsia="Arial" w:cs="Arial"/>
          <w:sz w:val="22"/>
          <w:szCs w:val="22"/>
        </w:rPr>
        <w:t>Date</w:t>
      </w:r>
      <w:r w:rsidRPr="2302A0EF" w:rsidR="4591A5F0">
        <w:rPr>
          <w:rFonts w:ascii="Arial" w:hAnsi="Arial" w:eastAsia="Arial" w:cs="Arial"/>
          <w:sz w:val="22"/>
          <w:szCs w:val="22"/>
        </w:rPr>
        <w:t xml:space="preserve">     27/11/25</w:t>
      </w:r>
    </w:p>
    <w:p w:rsidRPr="00604A87" w:rsidR="00604A87" w:rsidP="2302A0EF" w:rsidRDefault="00604A87" w14:paraId="77D38054" w14:textId="77777777" w14:noSpellErr="1">
      <w:pPr>
        <w:rPr>
          <w:rFonts w:ascii="Arial" w:hAnsi="Arial" w:eastAsia="Arial" w:cs="Arial"/>
          <w:b w:val="1"/>
          <w:bCs w:val="1"/>
          <w:sz w:val="22"/>
          <w:szCs w:val="22"/>
        </w:rPr>
      </w:pPr>
      <w:r w:rsidRPr="2302A0EF" w:rsidR="00604A87">
        <w:rPr>
          <w:rFonts w:ascii="Arial" w:hAnsi="Arial" w:eastAsia="Arial" w:cs="Arial"/>
          <w:b w:val="1"/>
          <w:bCs w:val="1"/>
          <w:sz w:val="22"/>
          <w:szCs w:val="22"/>
        </w:rPr>
        <w:t>STATEMENT 4</w:t>
      </w:r>
    </w:p>
    <w:p w:rsidRPr="00604A87" w:rsidR="00604A87" w:rsidP="2302A0EF" w:rsidRDefault="00604A87" w14:paraId="0A15E499" w14:textId="1F9546C0" w14:noSpellErr="1">
      <w:pPr>
        <w:rPr>
          <w:rFonts w:ascii="Arial" w:hAnsi="Arial" w:eastAsia="Arial" w:cs="Arial"/>
          <w:sz w:val="22"/>
          <w:szCs w:val="22"/>
        </w:rPr>
      </w:pPr>
      <w:r w:rsidRPr="2302A0EF" w:rsidR="00604A87">
        <w:rPr>
          <w:rFonts w:ascii="Arial" w:hAnsi="Arial" w:eastAsia="Arial" w:cs="Arial"/>
          <w:sz w:val="22"/>
          <w:szCs w:val="22"/>
        </w:rPr>
        <w:t>I hereby give consent for my dissertation, if accepted, to be available on the university’s IT system to those who have consent to use the system.</w:t>
      </w:r>
    </w:p>
    <w:p w:rsidRPr="00604A87" w:rsidR="00604A87" w:rsidP="2302A0EF" w:rsidRDefault="00604A87" w14:paraId="73D7762F" w14:textId="04843378">
      <w:pPr>
        <w:rPr>
          <w:rFonts w:ascii="Arial" w:hAnsi="Arial" w:eastAsia="Arial" w:cs="Arial"/>
          <w:sz w:val="22"/>
          <w:szCs w:val="22"/>
        </w:rPr>
      </w:pPr>
      <w:r w:rsidRPr="2302A0EF" w:rsidR="00604A87">
        <w:rPr>
          <w:rFonts w:ascii="Arial" w:hAnsi="Arial" w:eastAsia="Arial" w:cs="Arial"/>
          <w:sz w:val="22"/>
          <w:szCs w:val="22"/>
        </w:rPr>
        <w:t>Signed…</w:t>
      </w:r>
      <w:r w:rsidRPr="2302A0EF" w:rsidR="2465A4D8">
        <w:rPr>
          <w:rFonts w:ascii="Arial" w:hAnsi="Arial" w:eastAsia="Arial" w:cs="Arial"/>
          <w:sz w:val="22"/>
          <w:szCs w:val="22"/>
        </w:rPr>
        <w:t>S Malik</w:t>
      </w:r>
      <w:r w:rsidRPr="2302A0EF" w:rsidR="00604A87">
        <w:rPr>
          <w:rFonts w:ascii="Arial" w:hAnsi="Arial" w:eastAsia="Arial" w:cs="Arial"/>
          <w:sz w:val="22"/>
          <w:szCs w:val="22"/>
        </w:rPr>
        <w:t>……………………………………………</w:t>
      </w:r>
    </w:p>
    <w:p w:rsidRPr="00604A87" w:rsidR="00604A87" w:rsidP="2302A0EF" w:rsidRDefault="00604A87" w14:paraId="2BDDE109" w14:textId="46427FA0">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Arial" w:hAnsi="Arial" w:eastAsia="Arial" w:cs="Arial"/>
          <w:sz w:val="22"/>
          <w:szCs w:val="22"/>
        </w:rPr>
      </w:pPr>
      <w:r w:rsidRPr="2302A0EF" w:rsidR="00604A87">
        <w:rPr>
          <w:rFonts w:ascii="Arial" w:hAnsi="Arial" w:eastAsia="Arial" w:cs="Arial"/>
          <w:sz w:val="22"/>
          <w:szCs w:val="22"/>
        </w:rPr>
        <w:t>Date</w:t>
      </w:r>
      <w:r w:rsidRPr="2302A0EF" w:rsidR="6E8BBA47">
        <w:rPr>
          <w:rFonts w:ascii="Arial" w:hAnsi="Arial" w:eastAsia="Arial" w:cs="Arial"/>
          <w:sz w:val="22"/>
          <w:szCs w:val="22"/>
        </w:rPr>
        <w:t xml:space="preserve"> 27/11/25</w:t>
      </w:r>
    </w:p>
    <w:p w:rsidR="00063B4C" w:rsidP="2302A0EF" w:rsidRDefault="00063B4C" w14:paraId="324943A4" w14:textId="77777777" w14:noSpellErr="1">
      <w:pPr>
        <w:rPr>
          <w:rFonts w:ascii="Arial" w:hAnsi="Arial" w:eastAsia="Arial" w:cs="Arial"/>
          <w:sz w:val="22"/>
          <w:szCs w:val="22"/>
        </w:rPr>
      </w:pPr>
    </w:p>
    <w:p w:rsidR="00063B4C" w:rsidP="2302A0EF" w:rsidRDefault="00063B4C" w14:paraId="13649F9E" w14:textId="77777777" w14:noSpellErr="1">
      <w:pPr>
        <w:rPr>
          <w:rFonts w:ascii="Arial" w:hAnsi="Arial" w:eastAsia="Arial" w:cs="Arial"/>
          <w:sz w:val="22"/>
          <w:szCs w:val="22"/>
        </w:rPr>
      </w:pPr>
    </w:p>
    <w:p w:rsidR="00995444" w:rsidP="2302A0EF" w:rsidRDefault="00995444" w14:paraId="7CE514EB" w14:textId="77777777" w14:noSpellErr="1">
      <w:pPr>
        <w:rPr>
          <w:rFonts w:ascii="Arial" w:hAnsi="Arial" w:eastAsia="Arial" w:cs="Arial"/>
          <w:b w:val="1"/>
          <w:bCs w:val="1"/>
          <w:sz w:val="22"/>
          <w:szCs w:val="22"/>
        </w:rPr>
      </w:pPr>
    </w:p>
    <w:p w:rsidR="2302A0EF" w:rsidP="2302A0EF" w:rsidRDefault="2302A0EF" w14:paraId="6516A5EA" w14:textId="0DDB1F0B">
      <w:pPr>
        <w:jc w:val="center"/>
        <w:rPr>
          <w:rFonts w:ascii="Arial" w:hAnsi="Arial" w:eastAsia="Arial" w:cs="Arial"/>
          <w:b w:val="1"/>
          <w:bCs w:val="1"/>
          <w:sz w:val="22"/>
          <w:szCs w:val="22"/>
        </w:rPr>
      </w:pPr>
    </w:p>
    <w:p w:rsidR="2302A0EF" w:rsidP="2302A0EF" w:rsidRDefault="2302A0EF" w14:paraId="15CEEBD3" w14:textId="328231EA">
      <w:pPr>
        <w:jc w:val="center"/>
        <w:rPr>
          <w:rFonts w:ascii="Arial" w:hAnsi="Arial" w:eastAsia="Arial" w:cs="Arial"/>
          <w:b w:val="1"/>
          <w:bCs w:val="1"/>
          <w:sz w:val="22"/>
          <w:szCs w:val="22"/>
        </w:rPr>
      </w:pPr>
    </w:p>
    <w:p w:rsidR="2302A0EF" w:rsidP="2302A0EF" w:rsidRDefault="2302A0EF" w14:paraId="7492384F" w14:textId="5382699C">
      <w:pPr>
        <w:jc w:val="center"/>
        <w:rPr>
          <w:rFonts w:ascii="Arial" w:hAnsi="Arial" w:eastAsia="Arial" w:cs="Arial"/>
          <w:b w:val="1"/>
          <w:bCs w:val="1"/>
          <w:sz w:val="22"/>
          <w:szCs w:val="22"/>
        </w:rPr>
      </w:pPr>
    </w:p>
    <w:p w:rsidR="2302A0EF" w:rsidP="2302A0EF" w:rsidRDefault="2302A0EF" w14:paraId="1CB2B524" w14:textId="6C6C2B4F">
      <w:pPr>
        <w:jc w:val="center"/>
        <w:rPr>
          <w:rFonts w:ascii="Arial" w:hAnsi="Arial" w:eastAsia="Arial" w:cs="Arial"/>
          <w:b w:val="1"/>
          <w:bCs w:val="1"/>
          <w:sz w:val="22"/>
          <w:szCs w:val="22"/>
        </w:rPr>
      </w:pPr>
    </w:p>
    <w:p w:rsidR="2302A0EF" w:rsidP="2302A0EF" w:rsidRDefault="2302A0EF" w14:paraId="01B8A7DE" w14:textId="0E375885">
      <w:pPr>
        <w:jc w:val="center"/>
        <w:rPr>
          <w:rFonts w:ascii="Arial" w:hAnsi="Arial" w:eastAsia="Arial" w:cs="Arial"/>
          <w:b w:val="1"/>
          <w:bCs w:val="1"/>
          <w:sz w:val="22"/>
          <w:szCs w:val="22"/>
        </w:rPr>
      </w:pPr>
    </w:p>
    <w:p w:rsidR="2302A0EF" w:rsidP="2302A0EF" w:rsidRDefault="2302A0EF" w14:paraId="180FEC51" w14:textId="11929A55">
      <w:pPr>
        <w:jc w:val="center"/>
        <w:rPr>
          <w:rFonts w:ascii="Arial" w:hAnsi="Arial" w:eastAsia="Arial" w:cs="Arial"/>
          <w:b w:val="1"/>
          <w:bCs w:val="1"/>
          <w:sz w:val="22"/>
          <w:szCs w:val="22"/>
        </w:rPr>
      </w:pPr>
    </w:p>
    <w:p w:rsidR="2302A0EF" w:rsidP="2302A0EF" w:rsidRDefault="2302A0EF" w14:paraId="04757E43" w14:textId="18897871">
      <w:pPr>
        <w:jc w:val="center"/>
        <w:rPr>
          <w:rFonts w:ascii="Arial" w:hAnsi="Arial" w:eastAsia="Arial" w:cs="Arial"/>
          <w:b w:val="1"/>
          <w:bCs w:val="1"/>
          <w:sz w:val="22"/>
          <w:szCs w:val="22"/>
        </w:rPr>
      </w:pPr>
    </w:p>
    <w:p w:rsidR="2302A0EF" w:rsidP="2302A0EF" w:rsidRDefault="2302A0EF" w14:paraId="011AC5CA" w14:textId="45C407CC">
      <w:pPr>
        <w:jc w:val="center"/>
        <w:rPr>
          <w:rFonts w:ascii="Arial" w:hAnsi="Arial" w:eastAsia="Arial" w:cs="Arial"/>
          <w:b w:val="1"/>
          <w:bCs w:val="1"/>
          <w:sz w:val="22"/>
          <w:szCs w:val="22"/>
        </w:rPr>
      </w:pPr>
    </w:p>
    <w:p w:rsidR="2302A0EF" w:rsidP="2302A0EF" w:rsidRDefault="2302A0EF" w14:paraId="0AC6853D" w14:textId="36C42D0D">
      <w:pPr>
        <w:jc w:val="center"/>
        <w:rPr>
          <w:rFonts w:ascii="Arial" w:hAnsi="Arial" w:eastAsia="Arial" w:cs="Arial"/>
          <w:b w:val="1"/>
          <w:bCs w:val="1"/>
          <w:sz w:val="22"/>
          <w:szCs w:val="22"/>
        </w:rPr>
      </w:pPr>
    </w:p>
    <w:p w:rsidRPr="006B4354" w:rsidR="006B4354" w:rsidP="2302A0EF" w:rsidRDefault="006B4354" w14:paraId="65B40A51" w14:textId="77777777" w14:noSpellErr="1">
      <w:pPr>
        <w:jc w:val="center"/>
        <w:rPr>
          <w:rFonts w:ascii="Arial" w:hAnsi="Arial" w:eastAsia="Arial" w:cs="Arial"/>
          <w:b w:val="0"/>
          <w:bCs w:val="0"/>
          <w:sz w:val="22"/>
          <w:szCs w:val="22"/>
        </w:rPr>
      </w:pPr>
      <w:r w:rsidRPr="2302A0EF" w:rsidR="006B4354">
        <w:rPr>
          <w:rFonts w:ascii="Arial" w:hAnsi="Arial" w:eastAsia="Arial" w:cs="Arial"/>
          <w:b w:val="0"/>
          <w:bCs w:val="0"/>
          <w:sz w:val="22"/>
          <w:szCs w:val="22"/>
        </w:rPr>
        <w:t>The Impact of Child Poverty on Access to Mental Health Services in Urban Areas of the UK</w:t>
      </w:r>
    </w:p>
    <w:p w:rsidRPr="00995444" w:rsidR="00995444" w:rsidP="2302A0EF" w:rsidRDefault="00995444" w14:paraId="69E4F63C" w14:textId="6BA282FA" w14:noSpellErr="1">
      <w:pPr>
        <w:jc w:val="center"/>
        <w:rPr>
          <w:rFonts w:ascii="Arial" w:hAnsi="Arial" w:eastAsia="Arial" w:cs="Arial"/>
          <w:b w:val="0"/>
          <w:bCs w:val="0"/>
          <w:sz w:val="22"/>
          <w:szCs w:val="22"/>
        </w:rPr>
      </w:pPr>
    </w:p>
    <w:p w:rsidRPr="00995444" w:rsidR="00995444" w:rsidP="2302A0EF" w:rsidRDefault="00995444" w14:paraId="0FC75915" w14:textId="77777777" w14:noSpellErr="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hAnsi="Arial" w:eastAsia="Arial" w:cs="Arial"/>
          <w:b w:val="0"/>
          <w:bCs w:val="0"/>
          <w:sz w:val="22"/>
          <w:szCs w:val="22"/>
        </w:rPr>
      </w:pPr>
    </w:p>
    <w:p w:rsidRPr="00995444" w:rsidR="00995444" w:rsidP="2302A0EF" w:rsidRDefault="00995444" w14:paraId="3F8DA723" w14:textId="4AB6DA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hAnsi="Arial" w:eastAsia="Arial" w:cs="Arial"/>
          <w:b w:val="0"/>
          <w:bCs w:val="0"/>
          <w:i w:val="1"/>
          <w:iCs w:val="1"/>
          <w:sz w:val="22"/>
          <w:szCs w:val="22"/>
        </w:rPr>
      </w:pPr>
      <w:r w:rsidRPr="2302A0EF" w:rsidR="764F6EBA">
        <w:rPr>
          <w:rFonts w:ascii="Arial" w:hAnsi="Arial" w:eastAsia="Arial" w:cs="Arial"/>
          <w:b w:val="0"/>
          <w:bCs w:val="0"/>
          <w:i w:val="1"/>
          <w:iCs w:val="1"/>
          <w:sz w:val="22"/>
          <w:szCs w:val="22"/>
        </w:rPr>
        <w:t xml:space="preserve">Student Name: Shazia Malik </w:t>
      </w:r>
    </w:p>
    <w:p w:rsidR="764F6EBA" w:rsidP="2302A0EF" w:rsidRDefault="764F6EBA" w14:paraId="740F3061" w14:textId="2C5982E1">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center"/>
        <w:rPr>
          <w:rFonts w:ascii="Arial" w:hAnsi="Arial" w:eastAsia="Arial" w:cs="Arial"/>
          <w:b w:val="0"/>
          <w:bCs w:val="0"/>
          <w:i w:val="1"/>
          <w:iCs w:val="1"/>
          <w:sz w:val="22"/>
          <w:szCs w:val="22"/>
        </w:rPr>
      </w:pPr>
      <w:r w:rsidRPr="2302A0EF" w:rsidR="764F6EBA">
        <w:rPr>
          <w:rFonts w:ascii="Arial" w:hAnsi="Arial" w:eastAsia="Arial" w:cs="Arial"/>
          <w:b w:val="0"/>
          <w:bCs w:val="0"/>
          <w:i w:val="1"/>
          <w:iCs w:val="1"/>
          <w:sz w:val="22"/>
          <w:szCs w:val="22"/>
        </w:rPr>
        <w:t>Student number: 2127945</w:t>
      </w:r>
    </w:p>
    <w:p w:rsidRPr="00995444" w:rsidR="00995444" w:rsidP="2302A0EF" w:rsidRDefault="00995444" w14:paraId="3851CFD8" w14:textId="77777777" w14:noSpellErr="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eastAsia="Arial" w:cs="Arial"/>
          <w:b w:val="0"/>
          <w:bCs w:val="0"/>
          <w:sz w:val="22"/>
          <w:szCs w:val="22"/>
        </w:rPr>
      </w:pPr>
      <w:r w:rsidRPr="00995444">
        <w:rPr>
          <w:rFonts w:eastAsia="Arial Unicode MS" w:cs="Arial Unicode MS"/>
        </w:rPr>
        <w:tab/>
      </w:r>
    </w:p>
    <w:p w:rsidRPr="00995444" w:rsidR="00995444" w:rsidP="2302A0EF" w:rsidRDefault="00995444" w14:paraId="11885DD2" w14:textId="77777777" w14:noSpellErr="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eastAsia="Arial" w:cs="Arial"/>
          <w:sz w:val="22"/>
          <w:szCs w:val="22"/>
        </w:rPr>
      </w:pPr>
    </w:p>
    <w:p w:rsidRPr="00995444" w:rsidR="00995444" w:rsidP="2302A0EF" w:rsidRDefault="00995444" w14:paraId="2057C793" w14:textId="103D0F80" w14:noSpellErr="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hAnsi="Arial" w:eastAsia="Arial" w:cs="Arial"/>
          <w:sz w:val="22"/>
          <w:szCs w:val="22"/>
        </w:rPr>
      </w:pPr>
      <w:r w:rsidRPr="2302A0EF" w:rsidR="00995444">
        <w:rPr>
          <w:rFonts w:ascii="Arial" w:hAnsi="Arial" w:eastAsia="Arial" w:cs="Arial"/>
          <w:sz w:val="22"/>
          <w:szCs w:val="22"/>
        </w:rPr>
        <w:t xml:space="preserve">Dissertation </w:t>
      </w:r>
      <w:r w:rsidRPr="2302A0EF" w:rsidR="00995444">
        <w:rPr>
          <w:rFonts w:ascii="Arial" w:hAnsi="Arial" w:eastAsia="Arial" w:cs="Arial"/>
          <w:sz w:val="22"/>
          <w:szCs w:val="22"/>
        </w:rPr>
        <w:t>submitted</w:t>
      </w:r>
      <w:r w:rsidRPr="2302A0EF" w:rsidR="00995444">
        <w:rPr>
          <w:rFonts w:ascii="Arial" w:hAnsi="Arial" w:eastAsia="Arial" w:cs="Arial"/>
          <w:sz w:val="22"/>
          <w:szCs w:val="22"/>
        </w:rPr>
        <w:t xml:space="preserve"> as part of the requirements for the award BSc (Hons) Health and Social Care</w:t>
      </w:r>
    </w:p>
    <w:p w:rsidR="00063B4C" w:rsidP="2302A0EF" w:rsidRDefault="00063B4C" w14:paraId="03004EEE" w14:textId="77777777" w14:noSpellErr="1">
      <w:pPr>
        <w:rPr>
          <w:rFonts w:ascii="Arial" w:hAnsi="Arial" w:eastAsia="Arial" w:cs="Arial"/>
          <w:sz w:val="22"/>
          <w:szCs w:val="22"/>
        </w:rPr>
      </w:pPr>
    </w:p>
    <w:p w:rsidR="006B4354" w:rsidP="2302A0EF" w:rsidRDefault="006B4354" w14:paraId="7C43D01E" w14:textId="77777777" w14:noSpellErr="1">
      <w:pPr>
        <w:rPr>
          <w:rFonts w:ascii="Arial" w:hAnsi="Arial" w:eastAsia="Arial" w:cs="Arial"/>
          <w:sz w:val="22"/>
          <w:szCs w:val="22"/>
        </w:rPr>
      </w:pPr>
    </w:p>
    <w:p w:rsidR="00995444" w:rsidP="2302A0EF" w:rsidRDefault="00995444" w14:paraId="65358A57" w14:textId="77777777" w14:noSpellErr="1">
      <w:pPr>
        <w:rPr>
          <w:rFonts w:ascii="Arial" w:hAnsi="Arial" w:eastAsia="Arial" w:cs="Arial"/>
          <w:sz w:val="22"/>
          <w:szCs w:val="22"/>
        </w:rPr>
      </w:pPr>
    </w:p>
    <w:p w:rsidRPr="0025020C" w:rsidR="00995444" w:rsidP="2302A0EF" w:rsidRDefault="00995444" w14:paraId="0F4A849F" w14:textId="088090D8" w14:noSpellErr="1">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eastAsia="Arial" w:cs="Arial"/>
          <w:sz w:val="22"/>
          <w:szCs w:val="22"/>
        </w:rPr>
      </w:pPr>
      <w:r w:rsidRPr="2302A0EF" w:rsidR="00995444">
        <w:rPr>
          <w:rFonts w:ascii="Arial" w:hAnsi="Arial" w:eastAsia="Arial" w:cs="Arial"/>
          <w:b w:val="1"/>
          <w:bCs w:val="1"/>
          <w:sz w:val="22"/>
          <w:szCs w:val="22"/>
        </w:rPr>
        <w:t>ACKNOWLEDGEMENTS</w:t>
      </w:r>
      <w:r w:rsidRPr="2302A0EF" w:rsidR="00995444">
        <w:rPr>
          <w:rFonts w:ascii="Arial" w:hAnsi="Arial" w:eastAsia="Arial" w:cs="Arial"/>
          <w:b w:val="1"/>
          <w:bCs w:val="1"/>
          <w:sz w:val="22"/>
          <w:szCs w:val="22"/>
        </w:rPr>
        <w:t xml:space="preserve"> </w:t>
      </w:r>
    </w:p>
    <w:p w:rsidR="004906CF" w:rsidP="2302A0EF" w:rsidRDefault="004906CF" w14:paraId="6B75AF5C" w14:textId="328661D6">
      <w:pPr>
        <w:rPr>
          <w:rFonts w:ascii="Arial" w:hAnsi="Arial" w:eastAsia="Arial" w:cs="Arial"/>
          <w:sz w:val="22"/>
          <w:szCs w:val="22"/>
        </w:rPr>
      </w:pPr>
      <w:r w:rsidRPr="2302A0EF" w:rsidR="004906CF">
        <w:rPr>
          <w:rFonts w:ascii="Arial" w:hAnsi="Arial" w:eastAsia="Arial" w:cs="Arial"/>
          <w:sz w:val="22"/>
          <w:szCs w:val="22"/>
        </w:rPr>
        <w:t>I w</w:t>
      </w:r>
      <w:r w:rsidRPr="2302A0EF" w:rsidR="00CB3DFB">
        <w:rPr>
          <w:rFonts w:ascii="Arial" w:hAnsi="Arial" w:eastAsia="Arial" w:cs="Arial"/>
          <w:sz w:val="22"/>
          <w:szCs w:val="22"/>
        </w:rPr>
        <w:t>ould like to thank</w:t>
      </w:r>
      <w:r w:rsidRPr="2302A0EF" w:rsidR="2555E9C1">
        <w:rPr>
          <w:rFonts w:ascii="Arial" w:hAnsi="Arial" w:eastAsia="Arial" w:cs="Arial"/>
          <w:sz w:val="22"/>
          <w:szCs w:val="22"/>
        </w:rPr>
        <w:t xml:space="preserve"> Joanne Davies</w:t>
      </w:r>
      <w:r w:rsidRPr="2302A0EF" w:rsidR="1546BD92">
        <w:rPr>
          <w:rFonts w:ascii="Arial" w:hAnsi="Arial" w:eastAsia="Arial" w:cs="Arial"/>
          <w:sz w:val="22"/>
          <w:szCs w:val="22"/>
        </w:rPr>
        <w:t xml:space="preserve"> and Chole Harries</w:t>
      </w:r>
      <w:r w:rsidRPr="2302A0EF" w:rsidR="00CB3DFB">
        <w:rPr>
          <w:rFonts w:ascii="Arial" w:hAnsi="Arial" w:eastAsia="Arial" w:cs="Arial"/>
          <w:sz w:val="22"/>
          <w:szCs w:val="22"/>
        </w:rPr>
        <w:t xml:space="preserve"> who guided me throughout my journey to complete this dissertation and provided constructive feedback and support, without which I could not have possibly done i</w:t>
      </w:r>
      <w:r w:rsidRPr="2302A0EF" w:rsidR="004906CF">
        <w:rPr>
          <w:rFonts w:ascii="Arial" w:hAnsi="Arial" w:eastAsia="Arial" w:cs="Arial"/>
          <w:sz w:val="22"/>
          <w:szCs w:val="22"/>
        </w:rPr>
        <w:t xml:space="preserve">t. Their knowledge and patience have played a core role in developing my work and helping me remain focused on my research goals. I </w:t>
      </w:r>
      <w:r w:rsidRPr="2302A0EF" w:rsidR="00CB3DFB">
        <w:rPr>
          <w:rFonts w:ascii="Arial" w:hAnsi="Arial" w:eastAsia="Arial" w:cs="Arial"/>
          <w:sz w:val="22"/>
          <w:szCs w:val="22"/>
        </w:rPr>
        <w:t>would</w:t>
      </w:r>
      <w:r w:rsidRPr="2302A0EF" w:rsidR="004906CF">
        <w:rPr>
          <w:rFonts w:ascii="Arial" w:hAnsi="Arial" w:eastAsia="Arial" w:cs="Arial"/>
          <w:sz w:val="22"/>
          <w:szCs w:val="22"/>
        </w:rPr>
        <w:t xml:space="preserve"> also like to acknowledge the academic faculty of the BMHP6020 module</w:t>
      </w:r>
      <w:r w:rsidRPr="2302A0EF" w:rsidR="00CB3DFB">
        <w:rPr>
          <w:rFonts w:ascii="Arial" w:hAnsi="Arial" w:eastAsia="Arial" w:cs="Arial"/>
          <w:sz w:val="22"/>
          <w:szCs w:val="22"/>
        </w:rPr>
        <w:t>,</w:t>
      </w:r>
      <w:r w:rsidRPr="2302A0EF" w:rsidR="004906CF">
        <w:rPr>
          <w:rFonts w:ascii="Arial" w:hAnsi="Arial" w:eastAsia="Arial" w:cs="Arial"/>
          <w:sz w:val="22"/>
          <w:szCs w:val="22"/>
        </w:rPr>
        <w:t xml:space="preserve"> whose lectures and materials formed the bas</w:t>
      </w:r>
      <w:r w:rsidRPr="2302A0EF" w:rsidR="00CB3DFB">
        <w:rPr>
          <w:rFonts w:ascii="Arial" w:hAnsi="Arial" w:eastAsia="Arial" w:cs="Arial"/>
          <w:sz w:val="22"/>
          <w:szCs w:val="22"/>
        </w:rPr>
        <w:t>i</w:t>
      </w:r>
      <w:r w:rsidRPr="2302A0EF" w:rsidR="004906CF">
        <w:rPr>
          <w:rFonts w:ascii="Arial" w:hAnsi="Arial" w:eastAsia="Arial" w:cs="Arial"/>
          <w:sz w:val="22"/>
          <w:szCs w:val="22"/>
        </w:rPr>
        <w:t>s of this project.</w:t>
      </w:r>
    </w:p>
    <w:p w:rsidRPr="006B4354" w:rsidR="001B5900" w:rsidP="2302A0EF" w:rsidRDefault="004906CF" w14:paraId="6090F6E5" w14:textId="7142B978" w14:noSpellErr="1">
      <w:pPr>
        <w:rPr>
          <w:rFonts w:ascii="Arial" w:hAnsi="Arial" w:eastAsia="Arial" w:cs="Arial"/>
          <w:sz w:val="22"/>
          <w:szCs w:val="22"/>
        </w:rPr>
      </w:pPr>
      <w:r w:rsidRPr="2302A0EF" w:rsidR="004906CF">
        <w:rPr>
          <w:rFonts w:ascii="Arial" w:hAnsi="Arial" w:eastAsia="Arial" w:cs="Arial"/>
          <w:sz w:val="22"/>
          <w:szCs w:val="22"/>
        </w:rPr>
        <w:t xml:space="preserve">I would particularly like to thank the university librarians who helped me access some of the important literature and resources </w:t>
      </w:r>
      <w:r w:rsidRPr="2302A0EF" w:rsidR="004906CF">
        <w:rPr>
          <w:rFonts w:ascii="Arial" w:hAnsi="Arial" w:eastAsia="Arial" w:cs="Arial"/>
          <w:sz w:val="22"/>
          <w:szCs w:val="22"/>
        </w:rPr>
        <w:t>required</w:t>
      </w:r>
      <w:r w:rsidRPr="2302A0EF" w:rsidR="004906CF">
        <w:rPr>
          <w:rFonts w:ascii="Arial" w:hAnsi="Arial" w:eastAsia="Arial" w:cs="Arial"/>
          <w:sz w:val="22"/>
          <w:szCs w:val="22"/>
        </w:rPr>
        <w:t xml:space="preserve"> to complete the secondary research. I would also like to recognise my peers and colleagues, who provided not only interesting debates, but also moral support at difficult parts of the dissertation. Lastly, I would like to express my gratitude to my family and friends</w:t>
      </w:r>
      <w:r w:rsidRPr="2302A0EF" w:rsidR="00CB3DFB">
        <w:rPr>
          <w:rFonts w:ascii="Arial" w:hAnsi="Arial" w:eastAsia="Arial" w:cs="Arial"/>
          <w:sz w:val="22"/>
          <w:szCs w:val="22"/>
        </w:rPr>
        <w:t>, who have fully supported, encouraged, and understood me throughout this</w:t>
      </w:r>
      <w:r w:rsidRPr="2302A0EF" w:rsidR="004906CF">
        <w:rPr>
          <w:rFonts w:ascii="Arial" w:hAnsi="Arial" w:eastAsia="Arial" w:cs="Arial"/>
          <w:sz w:val="22"/>
          <w:szCs w:val="22"/>
        </w:rPr>
        <w:t xml:space="preserve"> journey.</w:t>
      </w:r>
    </w:p>
    <w:p w:rsidR="00995444" w:rsidP="2302A0EF" w:rsidRDefault="00995444" w14:paraId="40A3E6C2" w14:textId="77777777" w14:noSpellErr="1">
      <w:pPr>
        <w:rPr>
          <w:rFonts w:ascii="Arial" w:hAnsi="Arial" w:eastAsia="Arial" w:cs="Arial"/>
          <w:sz w:val="22"/>
          <w:szCs w:val="22"/>
        </w:rPr>
      </w:pPr>
    </w:p>
    <w:p w:rsidR="0073280B" w:rsidP="2302A0EF" w:rsidRDefault="0073280B" w14:paraId="7EA8A979" w14:textId="77777777" w14:noSpellErr="1">
      <w:pPr>
        <w:rPr>
          <w:rFonts w:ascii="Arial" w:hAnsi="Arial" w:eastAsia="Arial" w:cs="Arial"/>
          <w:sz w:val="22"/>
          <w:szCs w:val="22"/>
        </w:rPr>
      </w:pPr>
    </w:p>
    <w:p w:rsidR="0073280B" w:rsidP="2302A0EF" w:rsidRDefault="0073280B" w14:paraId="24382F47" w14:textId="77777777" w14:noSpellErr="1">
      <w:pPr>
        <w:rPr>
          <w:rFonts w:ascii="Arial" w:hAnsi="Arial" w:eastAsia="Arial" w:cs="Arial"/>
          <w:sz w:val="22"/>
          <w:szCs w:val="22"/>
        </w:rPr>
      </w:pPr>
    </w:p>
    <w:p w:rsidR="0073280B" w:rsidP="2302A0EF" w:rsidRDefault="0073280B" w14:paraId="6A8FCE15" w14:textId="77777777" w14:noSpellErr="1">
      <w:pPr>
        <w:rPr>
          <w:rFonts w:ascii="Arial" w:hAnsi="Arial" w:eastAsia="Arial" w:cs="Arial"/>
          <w:sz w:val="22"/>
          <w:szCs w:val="22"/>
        </w:rPr>
      </w:pPr>
    </w:p>
    <w:p w:rsidR="0073280B" w:rsidP="2302A0EF" w:rsidRDefault="0073280B" w14:paraId="5B45260B" w14:textId="77777777" w14:noSpellErr="1">
      <w:pPr>
        <w:rPr>
          <w:rFonts w:ascii="Arial" w:hAnsi="Arial" w:eastAsia="Arial" w:cs="Arial"/>
          <w:sz w:val="22"/>
          <w:szCs w:val="22"/>
        </w:rPr>
      </w:pPr>
    </w:p>
    <w:p w:rsidR="0073280B" w:rsidP="2302A0EF" w:rsidRDefault="0073280B" w14:paraId="29F99602" w14:textId="77777777" w14:noSpellErr="1">
      <w:pPr>
        <w:rPr>
          <w:rFonts w:ascii="Arial" w:hAnsi="Arial" w:eastAsia="Arial" w:cs="Arial"/>
          <w:sz w:val="22"/>
          <w:szCs w:val="22"/>
        </w:rPr>
      </w:pPr>
    </w:p>
    <w:p w:rsidR="0073280B" w:rsidP="2302A0EF" w:rsidRDefault="0073280B" w14:paraId="7FFDFCFF" w14:textId="77777777" w14:noSpellErr="1">
      <w:pPr>
        <w:rPr>
          <w:rFonts w:ascii="Arial" w:hAnsi="Arial" w:eastAsia="Arial" w:cs="Arial"/>
          <w:sz w:val="22"/>
          <w:szCs w:val="22"/>
        </w:rPr>
      </w:pPr>
    </w:p>
    <w:p w:rsidR="0073280B" w:rsidP="2302A0EF" w:rsidRDefault="0073280B" w14:paraId="1E61CB56" w14:textId="77777777" w14:noSpellErr="1">
      <w:pPr>
        <w:rPr>
          <w:rFonts w:ascii="Arial" w:hAnsi="Arial" w:eastAsia="Arial" w:cs="Arial"/>
          <w:sz w:val="22"/>
          <w:szCs w:val="22"/>
        </w:rPr>
      </w:pPr>
    </w:p>
    <w:p w:rsidR="0073280B" w:rsidP="2302A0EF" w:rsidRDefault="0073280B" w14:paraId="4650381F" w14:textId="77777777" w14:noSpellErr="1">
      <w:pPr>
        <w:rPr>
          <w:rFonts w:ascii="Arial" w:hAnsi="Arial" w:eastAsia="Arial" w:cs="Arial"/>
          <w:sz w:val="22"/>
          <w:szCs w:val="22"/>
        </w:rPr>
      </w:pPr>
    </w:p>
    <w:p w:rsidR="0073280B" w:rsidP="2302A0EF" w:rsidRDefault="0073280B" w14:paraId="413A9F5D" w14:textId="77777777" w14:noSpellErr="1">
      <w:pPr>
        <w:rPr>
          <w:rFonts w:ascii="Arial" w:hAnsi="Arial" w:eastAsia="Arial" w:cs="Arial"/>
          <w:sz w:val="22"/>
          <w:szCs w:val="22"/>
        </w:rPr>
      </w:pPr>
    </w:p>
    <w:p w:rsidR="0073280B" w:rsidP="2302A0EF" w:rsidRDefault="0073280B" w14:paraId="0F7E2C83" w14:textId="77777777" w14:noSpellErr="1">
      <w:pPr>
        <w:rPr>
          <w:rFonts w:ascii="Arial" w:hAnsi="Arial" w:eastAsia="Arial" w:cs="Arial"/>
          <w:sz w:val="22"/>
          <w:szCs w:val="22"/>
        </w:rPr>
      </w:pPr>
    </w:p>
    <w:p w:rsidR="0073280B" w:rsidP="2302A0EF" w:rsidRDefault="0073280B" w14:paraId="68D32102" w14:textId="77777777" w14:noSpellErr="1">
      <w:pPr>
        <w:rPr>
          <w:rFonts w:ascii="Arial" w:hAnsi="Arial" w:eastAsia="Arial" w:cs="Arial"/>
          <w:sz w:val="22"/>
          <w:szCs w:val="22"/>
        </w:rPr>
      </w:pPr>
    </w:p>
    <w:p w:rsidR="0073280B" w:rsidP="2302A0EF" w:rsidRDefault="0073280B" w14:paraId="3269986A" w14:textId="77777777" w14:noSpellErr="1">
      <w:pPr>
        <w:rPr>
          <w:rFonts w:ascii="Arial" w:hAnsi="Arial" w:eastAsia="Arial" w:cs="Arial"/>
          <w:sz w:val="22"/>
          <w:szCs w:val="22"/>
        </w:rPr>
      </w:pPr>
    </w:p>
    <w:p w:rsidR="0073280B" w:rsidP="2302A0EF" w:rsidRDefault="0073280B" w14:paraId="26B038C1" w14:textId="77777777" w14:noSpellErr="1">
      <w:pPr>
        <w:rPr>
          <w:rFonts w:ascii="Arial" w:hAnsi="Arial" w:eastAsia="Arial" w:cs="Arial"/>
          <w:sz w:val="22"/>
          <w:szCs w:val="22"/>
        </w:rPr>
      </w:pPr>
    </w:p>
    <w:p w:rsidR="0073280B" w:rsidP="2302A0EF" w:rsidRDefault="0073280B" w14:paraId="6C0EC770" w14:textId="77777777" w14:noSpellErr="1">
      <w:pPr>
        <w:rPr>
          <w:rFonts w:ascii="Arial" w:hAnsi="Arial" w:eastAsia="Arial" w:cs="Arial"/>
          <w:sz w:val="22"/>
          <w:szCs w:val="22"/>
        </w:rPr>
      </w:pPr>
    </w:p>
    <w:p w:rsidR="0073280B" w:rsidP="2302A0EF" w:rsidRDefault="0073280B" w14:paraId="16D78A60" w14:textId="77777777" w14:noSpellErr="1">
      <w:pPr>
        <w:rPr>
          <w:rFonts w:ascii="Arial" w:hAnsi="Arial" w:eastAsia="Arial" w:cs="Arial"/>
          <w:sz w:val="22"/>
          <w:szCs w:val="22"/>
        </w:rPr>
      </w:pPr>
    </w:p>
    <w:p w:rsidR="0025020C" w:rsidP="2302A0EF" w:rsidRDefault="0073280B" w14:paraId="101AA6A9" w14:textId="1C1B7B5F" w14:noSpellErr="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eastAsia="Arial" w:cs="Arial"/>
          <w:sz w:val="22"/>
          <w:szCs w:val="22"/>
        </w:rPr>
      </w:pPr>
      <w:r w:rsidRPr="2302A0EF" w:rsidR="0073280B">
        <w:rPr>
          <w:rFonts w:ascii="Arial" w:hAnsi="Arial" w:eastAsia="Arial" w:cs="Arial"/>
          <w:b w:val="1"/>
          <w:bCs w:val="1"/>
          <w:sz w:val="22"/>
          <w:szCs w:val="22"/>
        </w:rPr>
        <w:t>ABSTRACT</w:t>
      </w:r>
    </w:p>
    <w:p w:rsidR="004906CF" w:rsidP="2302A0EF" w:rsidRDefault="004906CF" w14:paraId="0DD35263" w14:textId="419082EE" w14:noSpellErr="1">
      <w:pPr>
        <w:rPr>
          <w:rFonts w:ascii="Arial" w:hAnsi="Arial" w:eastAsia="Arial" w:cs="Arial"/>
          <w:sz w:val="22"/>
          <w:szCs w:val="22"/>
        </w:rPr>
      </w:pPr>
      <w:r w:rsidRPr="2302A0EF" w:rsidR="004906CF">
        <w:rPr>
          <w:rFonts w:ascii="Arial" w:hAnsi="Arial" w:eastAsia="Arial" w:cs="Arial"/>
          <w:sz w:val="22"/>
          <w:szCs w:val="22"/>
        </w:rPr>
        <w:t xml:space="preserve">This dissertation was to discuss the effects of child poverty on access to mental health services in </w:t>
      </w:r>
      <w:r w:rsidRPr="2302A0EF" w:rsidR="00CB3DFB">
        <w:rPr>
          <w:rFonts w:ascii="Arial" w:hAnsi="Arial" w:eastAsia="Arial" w:cs="Arial"/>
          <w:sz w:val="22"/>
          <w:szCs w:val="22"/>
        </w:rPr>
        <w:t xml:space="preserve">the </w:t>
      </w:r>
      <w:r w:rsidRPr="2302A0EF" w:rsidR="004906CF">
        <w:rPr>
          <w:rFonts w:ascii="Arial" w:hAnsi="Arial" w:eastAsia="Arial" w:cs="Arial"/>
          <w:sz w:val="22"/>
          <w:szCs w:val="22"/>
        </w:rPr>
        <w:t xml:space="preserve">urban United Kingdom with the intention of critically examining barriers, policy and service gaps, and broader socioeconomic inequalities. The </w:t>
      </w:r>
      <w:r w:rsidRPr="2302A0EF" w:rsidR="00CB3DFB">
        <w:rPr>
          <w:rFonts w:ascii="Arial" w:hAnsi="Arial" w:eastAsia="Arial" w:cs="Arial"/>
          <w:sz w:val="22"/>
          <w:szCs w:val="22"/>
        </w:rPr>
        <w:t>study aimed</w:t>
      </w:r>
      <w:r w:rsidRPr="2302A0EF" w:rsidR="004906CF">
        <w:rPr>
          <w:rFonts w:ascii="Arial" w:hAnsi="Arial" w:eastAsia="Arial" w:cs="Arial"/>
          <w:sz w:val="22"/>
          <w:szCs w:val="22"/>
        </w:rPr>
        <w:t xml:space="preserve"> to define the main determinants of poor access, assess the role of structural and systemic </w:t>
      </w:r>
      <w:r w:rsidRPr="2302A0EF" w:rsidR="004906CF">
        <w:rPr>
          <w:rFonts w:ascii="Arial" w:hAnsi="Arial" w:eastAsia="Arial" w:cs="Arial"/>
          <w:sz w:val="22"/>
          <w:szCs w:val="22"/>
        </w:rPr>
        <w:t>factors</w:t>
      </w:r>
      <w:r w:rsidRPr="2302A0EF" w:rsidR="004906CF">
        <w:rPr>
          <w:rFonts w:ascii="Arial" w:hAnsi="Arial" w:eastAsia="Arial" w:cs="Arial"/>
          <w:sz w:val="22"/>
          <w:szCs w:val="22"/>
        </w:rPr>
        <w:t xml:space="preserve"> and add to health and social care recommendations. This study is practical in health and social care because it </w:t>
      </w:r>
      <w:r w:rsidRPr="2302A0EF" w:rsidR="004906CF">
        <w:rPr>
          <w:rFonts w:ascii="Arial" w:hAnsi="Arial" w:eastAsia="Arial" w:cs="Arial"/>
          <w:sz w:val="22"/>
          <w:szCs w:val="22"/>
        </w:rPr>
        <w:t>demonstrates</w:t>
      </w:r>
      <w:r w:rsidRPr="2302A0EF" w:rsidR="004906CF">
        <w:rPr>
          <w:rFonts w:ascii="Arial" w:hAnsi="Arial" w:eastAsia="Arial" w:cs="Arial"/>
          <w:sz w:val="22"/>
          <w:szCs w:val="22"/>
        </w:rPr>
        <w:t xml:space="preserve"> that child poverty erodes equity, resilience, and </w:t>
      </w:r>
      <w:r w:rsidRPr="2302A0EF" w:rsidR="00CB3DFB">
        <w:rPr>
          <w:rFonts w:ascii="Arial" w:hAnsi="Arial" w:eastAsia="Arial" w:cs="Arial"/>
          <w:sz w:val="22"/>
          <w:szCs w:val="22"/>
        </w:rPr>
        <w:t xml:space="preserve">the </w:t>
      </w:r>
      <w:r w:rsidRPr="2302A0EF" w:rsidR="004906CF">
        <w:rPr>
          <w:rFonts w:ascii="Arial" w:hAnsi="Arial" w:eastAsia="Arial" w:cs="Arial"/>
          <w:sz w:val="22"/>
          <w:szCs w:val="22"/>
        </w:rPr>
        <w:t>realisation of children</w:t>
      </w:r>
      <w:r w:rsidRPr="2302A0EF" w:rsidR="00CB3DFB">
        <w:rPr>
          <w:rFonts w:ascii="Arial" w:hAnsi="Arial" w:eastAsia="Arial" w:cs="Arial"/>
          <w:sz w:val="22"/>
          <w:szCs w:val="22"/>
        </w:rPr>
        <w:t>'s</w:t>
      </w:r>
      <w:r w:rsidRPr="2302A0EF" w:rsidR="004906CF">
        <w:rPr>
          <w:rFonts w:ascii="Arial" w:hAnsi="Arial" w:eastAsia="Arial" w:cs="Arial"/>
          <w:sz w:val="22"/>
          <w:szCs w:val="22"/>
        </w:rPr>
        <w:t xml:space="preserve"> rights under the UNCRC.</w:t>
      </w:r>
    </w:p>
    <w:p w:rsidR="004906CF" w:rsidP="2302A0EF" w:rsidRDefault="004906CF" w14:paraId="7F0C50AA" w14:textId="594FEFAB" w14:noSpellErr="1">
      <w:pPr>
        <w:rPr>
          <w:rFonts w:ascii="Arial" w:hAnsi="Arial" w:eastAsia="Arial" w:cs="Arial"/>
          <w:sz w:val="22"/>
          <w:szCs w:val="22"/>
        </w:rPr>
      </w:pPr>
      <w:r w:rsidRPr="2302A0EF" w:rsidR="004906CF">
        <w:rPr>
          <w:rFonts w:ascii="Arial" w:hAnsi="Arial" w:eastAsia="Arial" w:cs="Arial"/>
          <w:sz w:val="22"/>
          <w:szCs w:val="22"/>
        </w:rPr>
        <w:t xml:space="preserve">The secondary research </w:t>
      </w:r>
      <w:r w:rsidRPr="2302A0EF" w:rsidR="004906CF">
        <w:rPr>
          <w:rFonts w:ascii="Arial" w:hAnsi="Arial" w:eastAsia="Arial" w:cs="Arial"/>
          <w:sz w:val="22"/>
          <w:szCs w:val="22"/>
        </w:rPr>
        <w:t>methodology</w:t>
      </w:r>
      <w:r w:rsidRPr="2302A0EF" w:rsidR="00CB3DFB">
        <w:rPr>
          <w:rFonts w:ascii="Arial" w:hAnsi="Arial" w:eastAsia="Arial" w:cs="Arial"/>
          <w:sz w:val="22"/>
          <w:szCs w:val="22"/>
        </w:rPr>
        <w:t>, based on thematic analysis (Braun and Clarke, 2006), was employed to synthesis</w:t>
      </w:r>
      <w:r w:rsidRPr="2302A0EF" w:rsidR="004906CF">
        <w:rPr>
          <w:rFonts w:ascii="Arial" w:hAnsi="Arial" w:eastAsia="Arial" w:cs="Arial"/>
          <w:sz w:val="22"/>
          <w:szCs w:val="22"/>
        </w:rPr>
        <w:t>e the results of 20 peer-reviewed articles and credible reports. Data were coded and grouped into three umbrella themes, namely barriers to access (stigma, racism, housing insecurity), policy and service gaps (austerity, underfunding, CAMHS shortages), and socioeconomic inequalities (urban deprivation, parental sacrifice, child morbidity).</w:t>
      </w:r>
    </w:p>
    <w:p w:rsidR="004906CF" w:rsidP="2302A0EF" w:rsidRDefault="004906CF" w14:paraId="167F8C83" w14:textId="79A213BD" w14:noSpellErr="1">
      <w:pPr>
        <w:rPr>
          <w:rFonts w:ascii="Arial" w:hAnsi="Arial" w:eastAsia="Arial" w:cs="Arial"/>
          <w:sz w:val="22"/>
          <w:szCs w:val="22"/>
        </w:rPr>
      </w:pPr>
      <w:r w:rsidRPr="2302A0EF" w:rsidR="004906CF">
        <w:rPr>
          <w:rFonts w:ascii="Arial" w:hAnsi="Arial" w:eastAsia="Arial" w:cs="Arial"/>
          <w:sz w:val="22"/>
          <w:szCs w:val="22"/>
        </w:rPr>
        <w:t>The results show that mental health and poverty are also reciprocal, and structural barriers worsen family stress and service exclusion. The</w:t>
      </w:r>
      <w:r w:rsidRPr="2302A0EF" w:rsidR="00CB3DFB">
        <w:rPr>
          <w:rFonts w:ascii="Arial" w:hAnsi="Arial" w:eastAsia="Arial" w:cs="Arial"/>
          <w:sz w:val="22"/>
          <w:szCs w:val="22"/>
        </w:rPr>
        <w:t xml:space="preserve"> policy failures, including austerity and the removal of child poverty targets, have </w:t>
      </w:r>
      <w:r w:rsidRPr="2302A0EF" w:rsidR="00CB3DFB">
        <w:rPr>
          <w:rFonts w:ascii="Arial" w:hAnsi="Arial" w:eastAsia="Arial" w:cs="Arial"/>
          <w:sz w:val="22"/>
          <w:szCs w:val="22"/>
        </w:rPr>
        <w:t>exacerbated</w:t>
      </w:r>
      <w:r w:rsidRPr="2302A0EF" w:rsidR="00CB3DFB">
        <w:rPr>
          <w:rFonts w:ascii="Arial" w:hAnsi="Arial" w:eastAsia="Arial" w:cs="Arial"/>
          <w:sz w:val="22"/>
          <w:szCs w:val="22"/>
        </w:rPr>
        <w:t xml:space="preserve"> these disparitie</w:t>
      </w:r>
      <w:r w:rsidRPr="2302A0EF" w:rsidR="004906CF">
        <w:rPr>
          <w:rFonts w:ascii="Arial" w:hAnsi="Arial" w:eastAsia="Arial" w:cs="Arial"/>
          <w:sz w:val="22"/>
          <w:szCs w:val="22"/>
        </w:rPr>
        <w:t xml:space="preserve">s. Critiques </w:t>
      </w:r>
      <w:r w:rsidRPr="2302A0EF" w:rsidR="00CB3DFB">
        <w:rPr>
          <w:rFonts w:ascii="Arial" w:hAnsi="Arial" w:eastAsia="Arial" w:cs="Arial"/>
          <w:sz w:val="22"/>
          <w:szCs w:val="22"/>
        </w:rPr>
        <w:t xml:space="preserve">included secondary data use, geographic heterogeneity of studies, and </w:t>
      </w:r>
      <w:r w:rsidRPr="2302A0EF" w:rsidR="00CB3DFB">
        <w:rPr>
          <w:rFonts w:ascii="Arial" w:hAnsi="Arial" w:eastAsia="Arial" w:cs="Arial"/>
          <w:sz w:val="22"/>
          <w:szCs w:val="22"/>
        </w:rPr>
        <w:t>possible publication</w:t>
      </w:r>
      <w:r w:rsidRPr="2302A0EF" w:rsidR="00CB3DFB">
        <w:rPr>
          <w:rFonts w:ascii="Arial" w:hAnsi="Arial" w:eastAsia="Arial" w:cs="Arial"/>
          <w:sz w:val="22"/>
          <w:szCs w:val="22"/>
        </w:rPr>
        <w:t xml:space="preserve"> bias; however,</w:t>
      </w:r>
      <w:r w:rsidRPr="2302A0EF" w:rsidR="004906CF">
        <w:rPr>
          <w:rFonts w:ascii="Arial" w:hAnsi="Arial" w:eastAsia="Arial" w:cs="Arial"/>
          <w:sz w:val="22"/>
          <w:szCs w:val="22"/>
        </w:rPr>
        <w:t xml:space="preserve"> the synthesis </w:t>
      </w:r>
      <w:r w:rsidRPr="2302A0EF" w:rsidR="004906CF">
        <w:rPr>
          <w:rFonts w:ascii="Arial" w:hAnsi="Arial" w:eastAsia="Arial" w:cs="Arial"/>
          <w:sz w:val="22"/>
          <w:szCs w:val="22"/>
        </w:rPr>
        <w:t>contains</w:t>
      </w:r>
      <w:r w:rsidRPr="2302A0EF" w:rsidR="004906CF">
        <w:rPr>
          <w:rFonts w:ascii="Arial" w:hAnsi="Arial" w:eastAsia="Arial" w:cs="Arial"/>
          <w:sz w:val="22"/>
          <w:szCs w:val="22"/>
        </w:rPr>
        <w:t xml:space="preserve"> strong information on systemic failures.</w:t>
      </w:r>
    </w:p>
    <w:p w:rsidRPr="006B4354" w:rsidR="001B5900" w:rsidP="2302A0EF" w:rsidRDefault="00234A13" w14:paraId="5043F649" w14:textId="0FDA6EF0" w14:noSpellErr="1">
      <w:pPr>
        <w:rPr>
          <w:rFonts w:ascii="Arial" w:hAnsi="Arial" w:eastAsia="Arial" w:cs="Arial"/>
          <w:sz w:val="22"/>
          <w:szCs w:val="22"/>
        </w:rPr>
      </w:pPr>
      <w:r w:rsidRPr="2302A0EF" w:rsidR="00234A13">
        <w:rPr>
          <w:rFonts w:ascii="Arial" w:hAnsi="Arial" w:eastAsia="Arial" w:cs="Arial"/>
          <w:sz w:val="22"/>
          <w:szCs w:val="22"/>
        </w:rPr>
        <w:t xml:space="preserve">The dissertation offers: (1) a fortification of CAMHS and a minimization of obstacles via financing and neighbourhood partnerships, (2) integrative policy through a prospective vision of Mental Health in All Policies, and (3) urban inequalities by investing in early interventions and neighbourhood revitalization. Such indicators serve </w:t>
      </w:r>
      <w:r w:rsidRPr="2302A0EF" w:rsidR="00234A13">
        <w:rPr>
          <w:rFonts w:ascii="Arial" w:hAnsi="Arial" w:eastAsia="Arial" w:cs="Arial"/>
          <w:sz w:val="22"/>
          <w:szCs w:val="22"/>
        </w:rPr>
        <w:t>an important role</w:t>
      </w:r>
      <w:r w:rsidRPr="2302A0EF" w:rsidR="00234A13">
        <w:rPr>
          <w:rFonts w:ascii="Arial" w:hAnsi="Arial" w:eastAsia="Arial" w:cs="Arial"/>
          <w:sz w:val="22"/>
          <w:szCs w:val="22"/>
        </w:rPr>
        <w:t xml:space="preserve"> in reducing disparities and increasing health and social care practice, policy, and education resilience</w:t>
      </w:r>
      <w:r w:rsidRPr="2302A0EF" w:rsidR="004906CF">
        <w:rPr>
          <w:rFonts w:ascii="Arial" w:hAnsi="Arial" w:eastAsia="Arial" w:cs="Arial"/>
          <w:sz w:val="22"/>
          <w:szCs w:val="22"/>
        </w:rPr>
        <w:t>.</w:t>
      </w:r>
    </w:p>
    <w:p w:rsidR="001B5900" w:rsidP="2302A0EF" w:rsidRDefault="001B5900" w14:paraId="46991CC6" w14:textId="77777777" w14:noSpellErr="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eastAsia="Arial" w:cs="Arial"/>
          <w:b w:val="1"/>
          <w:bCs w:val="1"/>
          <w:sz w:val="22"/>
          <w:szCs w:val="22"/>
        </w:rPr>
      </w:pPr>
    </w:p>
    <w:p w:rsidR="0073280B" w:rsidP="2302A0EF" w:rsidRDefault="0073280B" w14:paraId="019A2C1E" w14:textId="77777777" w14:noSpellErr="1">
      <w:pPr>
        <w:rPr>
          <w:rFonts w:ascii="Arial" w:hAnsi="Arial" w:eastAsia="Arial" w:cs="Arial"/>
          <w:sz w:val="22"/>
          <w:szCs w:val="22"/>
        </w:rPr>
      </w:pPr>
    </w:p>
    <w:p w:rsidR="00730C3C" w:rsidP="2302A0EF" w:rsidRDefault="00730C3C" w14:paraId="4B65C5F3" w14:textId="77777777" w14:noSpellErr="1">
      <w:pPr>
        <w:rPr>
          <w:rFonts w:ascii="Arial" w:hAnsi="Arial" w:eastAsia="Arial" w:cs="Arial"/>
          <w:sz w:val="22"/>
          <w:szCs w:val="22"/>
        </w:rPr>
      </w:pPr>
    </w:p>
    <w:p w:rsidR="2302A0EF" w:rsidP="2302A0EF" w:rsidRDefault="2302A0EF" w14:paraId="3EF636CE" w14:textId="065ADC60">
      <w:pPr>
        <w:rPr>
          <w:rFonts w:ascii="Arial" w:hAnsi="Arial" w:eastAsia="Arial" w:cs="Arial"/>
          <w:sz w:val="22"/>
          <w:szCs w:val="22"/>
        </w:rPr>
      </w:pPr>
    </w:p>
    <w:p w:rsidR="2302A0EF" w:rsidP="2302A0EF" w:rsidRDefault="2302A0EF" w14:paraId="77536387" w14:textId="5DDB629A">
      <w:pPr>
        <w:rPr>
          <w:rFonts w:ascii="Arial" w:hAnsi="Arial" w:eastAsia="Arial" w:cs="Arial"/>
          <w:sz w:val="22"/>
          <w:szCs w:val="22"/>
        </w:rPr>
      </w:pPr>
    </w:p>
    <w:p w:rsidR="2302A0EF" w:rsidP="2302A0EF" w:rsidRDefault="2302A0EF" w14:paraId="238E7FC5" w14:textId="654A9703">
      <w:pPr>
        <w:rPr>
          <w:rFonts w:ascii="Arial" w:hAnsi="Arial" w:eastAsia="Arial" w:cs="Arial"/>
          <w:sz w:val="22"/>
          <w:szCs w:val="22"/>
        </w:rPr>
      </w:pPr>
    </w:p>
    <w:p w:rsidR="2302A0EF" w:rsidP="2302A0EF" w:rsidRDefault="2302A0EF" w14:paraId="24F47156" w14:textId="2329FC8A">
      <w:pPr>
        <w:rPr>
          <w:rFonts w:ascii="Arial" w:hAnsi="Arial" w:eastAsia="Arial" w:cs="Arial"/>
          <w:sz w:val="22"/>
          <w:szCs w:val="22"/>
        </w:rPr>
      </w:pPr>
    </w:p>
    <w:p w:rsidR="2302A0EF" w:rsidP="2302A0EF" w:rsidRDefault="2302A0EF" w14:paraId="17C785EF" w14:textId="4AF2E130">
      <w:pPr>
        <w:rPr>
          <w:rFonts w:ascii="Arial" w:hAnsi="Arial" w:eastAsia="Arial" w:cs="Arial"/>
          <w:sz w:val="22"/>
          <w:szCs w:val="22"/>
        </w:rPr>
      </w:pPr>
    </w:p>
    <w:p w:rsidR="2302A0EF" w:rsidP="2302A0EF" w:rsidRDefault="2302A0EF" w14:paraId="59CDE087" w14:textId="0BC03F8E">
      <w:pPr>
        <w:rPr>
          <w:rFonts w:ascii="Arial" w:hAnsi="Arial" w:eastAsia="Arial" w:cs="Arial"/>
          <w:sz w:val="22"/>
          <w:szCs w:val="22"/>
        </w:rPr>
      </w:pPr>
    </w:p>
    <w:p w:rsidR="2302A0EF" w:rsidP="2302A0EF" w:rsidRDefault="2302A0EF" w14:paraId="5D8E91F8" w14:textId="49C87932">
      <w:pPr>
        <w:rPr>
          <w:rFonts w:ascii="Arial" w:hAnsi="Arial" w:eastAsia="Arial" w:cs="Arial"/>
          <w:sz w:val="22"/>
          <w:szCs w:val="22"/>
        </w:rPr>
      </w:pPr>
    </w:p>
    <w:p w:rsidR="2302A0EF" w:rsidP="2302A0EF" w:rsidRDefault="2302A0EF" w14:paraId="5C9264DC" w14:textId="31AD1AB9">
      <w:pPr>
        <w:rPr>
          <w:rFonts w:ascii="Arial" w:hAnsi="Arial" w:eastAsia="Arial" w:cs="Arial"/>
          <w:sz w:val="22"/>
          <w:szCs w:val="22"/>
        </w:rPr>
      </w:pPr>
    </w:p>
    <w:p w:rsidR="00730C3C" w:rsidP="2302A0EF" w:rsidRDefault="00730C3C" w14:paraId="1EDA5561" w14:textId="77777777" w14:noSpellErr="1">
      <w:pPr>
        <w:rPr>
          <w:rFonts w:ascii="Arial" w:hAnsi="Arial" w:eastAsia="Arial" w:cs="Arial"/>
          <w:sz w:val="22"/>
          <w:szCs w:val="22"/>
        </w:rPr>
      </w:pPr>
    </w:p>
    <w:p w:rsidR="00730C3C" w:rsidP="2302A0EF" w:rsidRDefault="00730C3C" w14:paraId="576A2163" w14:textId="77777777" w14:noSpellErr="1">
      <w:pPr>
        <w:rPr>
          <w:rFonts w:ascii="Arial" w:hAnsi="Arial" w:eastAsia="Arial" w:cs="Arial"/>
          <w:sz w:val="22"/>
          <w:szCs w:val="22"/>
        </w:rPr>
      </w:pPr>
    </w:p>
    <w:p w:rsidR="006B4354" w:rsidP="2302A0EF" w:rsidRDefault="006B4354" w14:paraId="6BD601EA" w14:textId="77777777" w14:noSpellErr="1">
      <w:pPr>
        <w:rPr>
          <w:rFonts w:ascii="Arial" w:hAnsi="Arial" w:eastAsia="Arial" w:cs="Arial"/>
          <w:sz w:val="22"/>
          <w:szCs w:val="22"/>
        </w:rPr>
      </w:pPr>
    </w:p>
    <w:sdt>
      <w:sdtPr>
        <w:id w:val="-2144422486"/>
        <w:docPartObj>
          <w:docPartGallery w:val="Table of Contents"/>
          <w:docPartUnique/>
        </w:docPartObj>
        <w:rPr>
          <w:rFonts w:ascii="Arial" w:hAnsi="Arial" w:eastAsia="Arial" w:cs="Arial"/>
          <w:b w:val="0"/>
          <w:bCs w:val="0"/>
          <w:color w:val="auto"/>
          <w:kern w:val="2"/>
          <w:sz w:val="22"/>
          <w:szCs w:val="22"/>
          <w:lang w:val="en-GB" w:eastAsia="zh-CN"/>
          <w14:ligatures w14:val="standardContextual"/>
        </w:rPr>
      </w:sdtPr>
      <w:sdtEndPr>
        <w:rPr>
          <w:rFonts w:ascii="Aptos" w:hAnsi="Aptos" w:eastAsia="等线" w:cs="Arial" w:eastAsiaTheme="minorEastAsia" w:cstheme="minorBidi"/>
          <w:b w:val="0"/>
          <w:bCs w:val="0"/>
          <w:noProof/>
          <w:color w:val="auto"/>
          <w:sz w:val="22"/>
          <w:szCs w:val="22"/>
          <w:lang w:val="en-GB" w:eastAsia="zh-CN"/>
        </w:rPr>
      </w:sdtEndPr>
      <w:sdtContent>
        <w:p w:rsidRPr="004739A4" w:rsidR="004739A4" w:rsidP="2302A0EF" w:rsidRDefault="004739A4" w14:paraId="4D25369E" w14:textId="1096F1F5" w14:noSpellErr="1">
          <w:pPr>
            <w:pStyle w:val="TOCHeading"/>
            <w:jc w:val="center"/>
            <w:rPr>
              <w:rFonts w:ascii="Arial" w:hAnsi="Arial" w:eastAsia="Arial" w:cs="Arial"/>
              <w:sz w:val="22"/>
              <w:szCs w:val="22"/>
            </w:rPr>
          </w:pPr>
          <w:r w:rsidRPr="2302A0EF" w:rsidR="004739A4">
            <w:rPr>
              <w:rFonts w:ascii="Aptos" w:hAnsi="Aptos"/>
              <w:sz w:val="32"/>
              <w:szCs w:val="32"/>
            </w:rPr>
            <w:t>Table of Contents</w:t>
          </w:r>
        </w:p>
        <w:p w:rsidRPr="004739A4" w:rsidR="004739A4" w:rsidP="2302A0EF" w:rsidRDefault="004739A4" w14:paraId="5C379FEE" w14:textId="5255FA62" w14:noSpellErr="1">
          <w:pPr>
            <w:pStyle w:val="TOC1"/>
            <w:tabs>
              <w:tab w:val="right" w:leader="dot" w:pos="9016"/>
            </w:tabs>
            <w:rPr>
              <w:rFonts w:ascii="Arial" w:hAnsi="Arial" w:eastAsia="Arial" w:cs="Arial"/>
              <w:b w:val="0"/>
              <w:bCs w:val="0"/>
              <w:caps w:val="0"/>
              <w:smallCaps w:val="0"/>
              <w:noProof/>
              <w:sz w:val="22"/>
              <w:szCs w:val="22"/>
              <w:lang w:eastAsia="en-GB"/>
            </w:rPr>
          </w:pPr>
          <w:r w:rsidRPr="004739A4">
            <w:rPr>
              <w:rFonts w:ascii="Aptos" w:hAnsi="Aptos"/>
              <w:b w:val="0"/>
              <w:bCs w:val="0"/>
            </w:rPr>
            <w:fldChar w:fldCharType="begin"/>
          </w:r>
          <w:r w:rsidRPr="004739A4">
            <w:rPr>
              <w:rFonts w:ascii="Aptos" w:hAnsi="Aptos"/>
            </w:rPr>
            <w:instrText xml:space="preserve"> TOC \o "1-3" \h \z \u </w:instrText>
          </w:r>
          <w:r w:rsidRPr="004739A4">
            <w:rPr>
              <w:rFonts w:ascii="Aptos" w:hAnsi="Aptos"/>
              <w:b w:val="0"/>
              <w:bCs w:val="0"/>
            </w:rPr>
            <w:fldChar w:fldCharType="separate"/>
          </w:r>
          <w:hyperlink w:history="1" w:anchor="_Toc208163466">
            <w:r w:rsidRPr="004739A4" w:rsidR="004739A4">
              <w:rPr>
                <w:rStyle w:val="Hyperlink"/>
                <w:rFonts w:ascii="Aptos" w:hAnsi="Aptos"/>
                <w:noProof/>
                <w:lang w:bidi="en-GB"/>
              </w:rPr>
              <w:t>CHAPTER 1: Introduction</w:t>
            </w:r>
            <w:r w:rsidRPr="004739A4">
              <w:rPr>
                <w:rFonts w:ascii="Aptos" w:hAnsi="Aptos"/>
                <w:noProof/>
                <w:webHidden/>
              </w:rPr>
              <w:tab/>
            </w:r>
            <w:r w:rsidRPr="004739A4">
              <w:rPr>
                <w:rFonts w:ascii="Aptos" w:hAnsi="Aptos"/>
                <w:noProof/>
                <w:webHidden/>
              </w:rPr>
              <w:fldChar w:fldCharType="begin"/>
            </w:r>
            <w:r w:rsidRPr="004739A4">
              <w:rPr>
                <w:rFonts w:ascii="Aptos" w:hAnsi="Aptos"/>
                <w:noProof/>
                <w:webHidden/>
              </w:rPr>
              <w:instrText xml:space="preserve"> PAGEREF _Toc208163466 \h </w:instrText>
            </w:r>
            <w:r w:rsidRPr="004739A4">
              <w:rPr>
                <w:rFonts w:ascii="Aptos" w:hAnsi="Aptos"/>
                <w:noProof/>
                <w:webHidden/>
              </w:rPr>
            </w:r>
            <w:r w:rsidRPr="004739A4">
              <w:rPr>
                <w:rFonts w:ascii="Aptos" w:hAnsi="Aptos"/>
                <w:noProof/>
                <w:webHidden/>
              </w:rPr>
              <w:fldChar w:fldCharType="separate"/>
            </w:r>
            <w:r w:rsidR="009A653A">
              <w:rPr>
                <w:rFonts w:ascii="Aptos" w:hAnsi="Aptos"/>
                <w:noProof/>
                <w:webHidden/>
              </w:rPr>
              <w:t>8</w:t>
            </w:r>
            <w:r w:rsidRPr="004739A4">
              <w:rPr>
                <w:rFonts w:ascii="Aptos" w:hAnsi="Aptos"/>
                <w:noProof/>
                <w:webHidden/>
              </w:rPr>
              <w:fldChar w:fldCharType="end"/>
            </w:r>
          </w:hyperlink>
        </w:p>
        <w:p w:rsidRPr="004739A4" w:rsidR="004739A4" w:rsidP="2302A0EF" w:rsidRDefault="004739A4" w14:paraId="5CFF5157" w14:textId="1A0B9DD8" w14:noSpellErr="1">
          <w:pPr>
            <w:pStyle w:val="TOC2"/>
            <w:tabs>
              <w:tab w:val="right" w:leader="dot" w:pos="9016"/>
            </w:tabs>
            <w:rPr>
              <w:rFonts w:ascii="Arial" w:hAnsi="Arial" w:eastAsia="Arial" w:cs="Arial"/>
              <w:caps w:val="0"/>
              <w:smallCaps w:val="0"/>
              <w:noProof/>
              <w:sz w:val="22"/>
              <w:szCs w:val="22"/>
              <w:lang w:eastAsia="en-GB"/>
            </w:rPr>
          </w:pPr>
          <w:hyperlink w:history="1" w:anchor="_Toc208163467">
            <w:r w:rsidRPr="004739A4" w:rsidR="004739A4">
              <w:rPr>
                <w:rStyle w:val="Hyperlink"/>
                <w:rFonts w:ascii="Aptos" w:hAnsi="Aptos"/>
                <w:noProof/>
              </w:rPr>
              <w:t>1.1 Introduction</w:t>
            </w:r>
            <w:r w:rsidRPr="004739A4">
              <w:rPr>
                <w:rFonts w:ascii="Aptos" w:hAnsi="Aptos"/>
                <w:noProof/>
                <w:webHidden/>
              </w:rPr>
              <w:tab/>
            </w:r>
            <w:r w:rsidRPr="004739A4">
              <w:rPr>
                <w:rFonts w:ascii="Aptos" w:hAnsi="Aptos"/>
                <w:noProof/>
                <w:webHidden/>
              </w:rPr>
              <w:fldChar w:fldCharType="begin"/>
            </w:r>
            <w:r w:rsidRPr="004739A4">
              <w:rPr>
                <w:rFonts w:ascii="Aptos" w:hAnsi="Aptos"/>
                <w:noProof/>
                <w:webHidden/>
              </w:rPr>
              <w:instrText xml:space="preserve"> PAGEREF _Toc208163467 \h </w:instrText>
            </w:r>
            <w:r w:rsidRPr="004739A4">
              <w:rPr>
                <w:rFonts w:ascii="Aptos" w:hAnsi="Aptos"/>
                <w:noProof/>
                <w:webHidden/>
              </w:rPr>
            </w:r>
            <w:r w:rsidRPr="004739A4">
              <w:rPr>
                <w:rFonts w:ascii="Aptos" w:hAnsi="Aptos"/>
                <w:noProof/>
                <w:webHidden/>
              </w:rPr>
              <w:fldChar w:fldCharType="separate"/>
            </w:r>
            <w:r w:rsidR="009A653A">
              <w:rPr>
                <w:rFonts w:ascii="Aptos" w:hAnsi="Aptos"/>
                <w:noProof/>
                <w:webHidden/>
              </w:rPr>
              <w:t>8</w:t>
            </w:r>
            <w:r w:rsidRPr="004739A4">
              <w:rPr>
                <w:rFonts w:ascii="Aptos" w:hAnsi="Aptos"/>
                <w:noProof/>
                <w:webHidden/>
              </w:rPr>
              <w:fldChar w:fldCharType="end"/>
            </w:r>
          </w:hyperlink>
        </w:p>
        <w:p w:rsidRPr="004739A4" w:rsidR="004739A4" w:rsidP="2302A0EF" w:rsidRDefault="004739A4" w14:paraId="49E05551" w14:textId="42434A37" w14:noSpellErr="1">
          <w:pPr>
            <w:pStyle w:val="TOC2"/>
            <w:tabs>
              <w:tab w:val="right" w:leader="dot" w:pos="9016"/>
            </w:tabs>
            <w:rPr>
              <w:rFonts w:ascii="Arial" w:hAnsi="Arial" w:eastAsia="Arial" w:cs="Arial"/>
              <w:caps w:val="0"/>
              <w:smallCaps w:val="0"/>
              <w:noProof/>
              <w:sz w:val="22"/>
              <w:szCs w:val="22"/>
              <w:lang w:eastAsia="en-GB"/>
            </w:rPr>
          </w:pPr>
          <w:hyperlink w:history="1" w:anchor="_Toc208163468">
            <w:r w:rsidRPr="004739A4" w:rsidR="004739A4">
              <w:rPr>
                <w:rStyle w:val="Hyperlink"/>
                <w:rFonts w:ascii="Aptos" w:hAnsi="Aptos"/>
                <w:noProof/>
              </w:rPr>
              <w:t>1.2 Definitions and Terminology</w:t>
            </w:r>
            <w:r w:rsidRPr="004739A4">
              <w:rPr>
                <w:rFonts w:ascii="Aptos" w:hAnsi="Aptos"/>
                <w:noProof/>
                <w:webHidden/>
              </w:rPr>
              <w:tab/>
            </w:r>
            <w:r w:rsidRPr="004739A4">
              <w:rPr>
                <w:rFonts w:ascii="Aptos" w:hAnsi="Aptos"/>
                <w:noProof/>
                <w:webHidden/>
              </w:rPr>
              <w:fldChar w:fldCharType="begin"/>
            </w:r>
            <w:r w:rsidRPr="004739A4">
              <w:rPr>
                <w:rFonts w:ascii="Aptos" w:hAnsi="Aptos"/>
                <w:noProof/>
                <w:webHidden/>
              </w:rPr>
              <w:instrText xml:space="preserve"> PAGEREF _Toc208163468 \h </w:instrText>
            </w:r>
            <w:r w:rsidRPr="004739A4">
              <w:rPr>
                <w:rFonts w:ascii="Aptos" w:hAnsi="Aptos"/>
                <w:noProof/>
                <w:webHidden/>
              </w:rPr>
            </w:r>
            <w:r w:rsidRPr="004739A4">
              <w:rPr>
                <w:rFonts w:ascii="Aptos" w:hAnsi="Aptos"/>
                <w:noProof/>
                <w:webHidden/>
              </w:rPr>
              <w:fldChar w:fldCharType="separate"/>
            </w:r>
            <w:r w:rsidR="009A653A">
              <w:rPr>
                <w:rFonts w:ascii="Aptos" w:hAnsi="Aptos"/>
                <w:noProof/>
                <w:webHidden/>
              </w:rPr>
              <w:t>8</w:t>
            </w:r>
            <w:r w:rsidRPr="004739A4">
              <w:rPr>
                <w:rFonts w:ascii="Aptos" w:hAnsi="Aptos"/>
                <w:noProof/>
                <w:webHidden/>
              </w:rPr>
              <w:fldChar w:fldCharType="end"/>
            </w:r>
          </w:hyperlink>
        </w:p>
        <w:p w:rsidRPr="004739A4" w:rsidR="004739A4" w:rsidP="2302A0EF" w:rsidRDefault="004739A4" w14:paraId="3E35CEAE" w14:textId="407F0C69" w14:noSpellErr="1">
          <w:pPr>
            <w:pStyle w:val="TOC2"/>
            <w:tabs>
              <w:tab w:val="right" w:leader="dot" w:pos="9016"/>
            </w:tabs>
            <w:rPr>
              <w:rFonts w:ascii="Arial" w:hAnsi="Arial" w:eastAsia="Arial" w:cs="Arial"/>
              <w:caps w:val="0"/>
              <w:smallCaps w:val="0"/>
              <w:noProof/>
              <w:sz w:val="22"/>
              <w:szCs w:val="22"/>
              <w:lang w:eastAsia="en-GB"/>
            </w:rPr>
          </w:pPr>
          <w:hyperlink w:history="1" w:anchor="_Toc208163469">
            <w:r w:rsidRPr="004739A4" w:rsidR="004739A4">
              <w:rPr>
                <w:rStyle w:val="Hyperlink"/>
                <w:rFonts w:ascii="Aptos" w:hAnsi="Aptos"/>
                <w:noProof/>
              </w:rPr>
              <w:t>1.3 Rationale for Research</w:t>
            </w:r>
            <w:r w:rsidRPr="004739A4">
              <w:rPr>
                <w:rFonts w:ascii="Aptos" w:hAnsi="Aptos"/>
                <w:noProof/>
                <w:webHidden/>
              </w:rPr>
              <w:tab/>
            </w:r>
            <w:r w:rsidRPr="004739A4">
              <w:rPr>
                <w:rFonts w:ascii="Aptos" w:hAnsi="Aptos"/>
                <w:noProof/>
                <w:webHidden/>
              </w:rPr>
              <w:fldChar w:fldCharType="begin"/>
            </w:r>
            <w:r w:rsidRPr="004739A4">
              <w:rPr>
                <w:rFonts w:ascii="Aptos" w:hAnsi="Aptos"/>
                <w:noProof/>
                <w:webHidden/>
              </w:rPr>
              <w:instrText xml:space="preserve"> PAGEREF _Toc208163469 \h </w:instrText>
            </w:r>
            <w:r w:rsidRPr="004739A4">
              <w:rPr>
                <w:rFonts w:ascii="Aptos" w:hAnsi="Aptos"/>
                <w:noProof/>
                <w:webHidden/>
              </w:rPr>
            </w:r>
            <w:r w:rsidRPr="004739A4">
              <w:rPr>
                <w:rFonts w:ascii="Aptos" w:hAnsi="Aptos"/>
                <w:noProof/>
                <w:webHidden/>
              </w:rPr>
              <w:fldChar w:fldCharType="separate"/>
            </w:r>
            <w:r w:rsidR="009A653A">
              <w:rPr>
                <w:rFonts w:ascii="Aptos" w:hAnsi="Aptos"/>
                <w:noProof/>
                <w:webHidden/>
              </w:rPr>
              <w:t>9</w:t>
            </w:r>
            <w:r w:rsidRPr="004739A4">
              <w:rPr>
                <w:rFonts w:ascii="Aptos" w:hAnsi="Aptos"/>
                <w:noProof/>
                <w:webHidden/>
              </w:rPr>
              <w:fldChar w:fldCharType="end"/>
            </w:r>
          </w:hyperlink>
        </w:p>
        <w:p w:rsidRPr="004739A4" w:rsidR="004739A4" w:rsidP="2302A0EF" w:rsidRDefault="004739A4" w14:paraId="3146C347" w14:textId="10F4B102" w14:noSpellErr="1">
          <w:pPr>
            <w:pStyle w:val="TOC2"/>
            <w:tabs>
              <w:tab w:val="right" w:leader="dot" w:pos="9016"/>
            </w:tabs>
            <w:rPr>
              <w:rFonts w:ascii="Arial" w:hAnsi="Arial" w:eastAsia="Arial" w:cs="Arial"/>
              <w:caps w:val="0"/>
              <w:smallCaps w:val="0"/>
              <w:noProof/>
              <w:sz w:val="22"/>
              <w:szCs w:val="22"/>
              <w:lang w:eastAsia="en-GB"/>
            </w:rPr>
          </w:pPr>
          <w:hyperlink w:history="1" w:anchor="_Toc208163470">
            <w:r w:rsidRPr="004739A4" w:rsidR="004739A4">
              <w:rPr>
                <w:rStyle w:val="Hyperlink"/>
                <w:rFonts w:ascii="Aptos" w:hAnsi="Aptos"/>
                <w:noProof/>
              </w:rPr>
              <w:t>1.4 Aim and Objectives</w:t>
            </w:r>
            <w:r w:rsidRPr="004739A4">
              <w:rPr>
                <w:rFonts w:ascii="Aptos" w:hAnsi="Aptos"/>
                <w:noProof/>
                <w:webHidden/>
              </w:rPr>
              <w:tab/>
            </w:r>
            <w:r w:rsidRPr="004739A4">
              <w:rPr>
                <w:rFonts w:ascii="Aptos" w:hAnsi="Aptos"/>
                <w:noProof/>
                <w:webHidden/>
              </w:rPr>
              <w:fldChar w:fldCharType="begin"/>
            </w:r>
            <w:r w:rsidRPr="004739A4">
              <w:rPr>
                <w:rFonts w:ascii="Aptos" w:hAnsi="Aptos"/>
                <w:noProof/>
                <w:webHidden/>
              </w:rPr>
              <w:instrText xml:space="preserve"> PAGEREF _Toc208163470 \h </w:instrText>
            </w:r>
            <w:r w:rsidRPr="004739A4">
              <w:rPr>
                <w:rFonts w:ascii="Aptos" w:hAnsi="Aptos"/>
                <w:noProof/>
                <w:webHidden/>
              </w:rPr>
            </w:r>
            <w:r w:rsidRPr="004739A4">
              <w:rPr>
                <w:rFonts w:ascii="Aptos" w:hAnsi="Aptos"/>
                <w:noProof/>
                <w:webHidden/>
              </w:rPr>
              <w:fldChar w:fldCharType="separate"/>
            </w:r>
            <w:r w:rsidR="009A653A">
              <w:rPr>
                <w:rFonts w:ascii="Aptos" w:hAnsi="Aptos"/>
                <w:noProof/>
                <w:webHidden/>
              </w:rPr>
              <w:t>10</w:t>
            </w:r>
            <w:r w:rsidRPr="004739A4">
              <w:rPr>
                <w:rFonts w:ascii="Aptos" w:hAnsi="Aptos"/>
                <w:noProof/>
                <w:webHidden/>
              </w:rPr>
              <w:fldChar w:fldCharType="end"/>
            </w:r>
          </w:hyperlink>
        </w:p>
        <w:p w:rsidRPr="004739A4" w:rsidR="004739A4" w:rsidP="2302A0EF" w:rsidRDefault="004739A4" w14:paraId="02BE3B03" w14:textId="3CBBD7FF" w14:noSpellErr="1">
          <w:pPr>
            <w:pStyle w:val="TOC2"/>
            <w:tabs>
              <w:tab w:val="right" w:leader="dot" w:pos="9016"/>
            </w:tabs>
            <w:rPr>
              <w:rFonts w:ascii="Arial" w:hAnsi="Arial" w:eastAsia="Arial" w:cs="Arial"/>
              <w:caps w:val="0"/>
              <w:smallCaps w:val="0"/>
              <w:noProof/>
              <w:sz w:val="22"/>
              <w:szCs w:val="22"/>
              <w:lang w:eastAsia="en-GB"/>
            </w:rPr>
          </w:pPr>
          <w:hyperlink w:history="1" w:anchor="_Toc208163471">
            <w:r w:rsidRPr="004739A4" w:rsidR="004739A4">
              <w:rPr>
                <w:rStyle w:val="Hyperlink"/>
                <w:rFonts w:ascii="Aptos" w:hAnsi="Aptos"/>
                <w:noProof/>
              </w:rPr>
              <w:t>1.5 Conclusion</w:t>
            </w:r>
            <w:r w:rsidRPr="004739A4">
              <w:rPr>
                <w:rFonts w:ascii="Aptos" w:hAnsi="Aptos"/>
                <w:noProof/>
                <w:webHidden/>
              </w:rPr>
              <w:tab/>
            </w:r>
            <w:r w:rsidRPr="004739A4">
              <w:rPr>
                <w:rFonts w:ascii="Aptos" w:hAnsi="Aptos"/>
                <w:noProof/>
                <w:webHidden/>
              </w:rPr>
              <w:fldChar w:fldCharType="begin"/>
            </w:r>
            <w:r w:rsidRPr="004739A4">
              <w:rPr>
                <w:rFonts w:ascii="Aptos" w:hAnsi="Aptos"/>
                <w:noProof/>
                <w:webHidden/>
              </w:rPr>
              <w:instrText xml:space="preserve"> PAGEREF _Toc208163471 \h </w:instrText>
            </w:r>
            <w:r w:rsidRPr="004739A4">
              <w:rPr>
                <w:rFonts w:ascii="Aptos" w:hAnsi="Aptos"/>
                <w:noProof/>
                <w:webHidden/>
              </w:rPr>
            </w:r>
            <w:r w:rsidRPr="004739A4">
              <w:rPr>
                <w:rFonts w:ascii="Aptos" w:hAnsi="Aptos"/>
                <w:noProof/>
                <w:webHidden/>
              </w:rPr>
              <w:fldChar w:fldCharType="separate"/>
            </w:r>
            <w:r w:rsidR="009A653A">
              <w:rPr>
                <w:rFonts w:ascii="Aptos" w:hAnsi="Aptos"/>
                <w:noProof/>
                <w:webHidden/>
              </w:rPr>
              <w:t>10</w:t>
            </w:r>
            <w:r w:rsidRPr="004739A4">
              <w:rPr>
                <w:rFonts w:ascii="Aptos" w:hAnsi="Aptos"/>
                <w:noProof/>
                <w:webHidden/>
              </w:rPr>
              <w:fldChar w:fldCharType="end"/>
            </w:r>
          </w:hyperlink>
        </w:p>
        <w:p w:rsidRPr="004739A4" w:rsidR="004739A4" w:rsidP="2302A0EF" w:rsidRDefault="004739A4" w14:paraId="56EA88C0" w14:textId="7318BB99" w14:noSpellErr="1">
          <w:pPr>
            <w:pStyle w:val="TOC1"/>
            <w:tabs>
              <w:tab w:val="right" w:leader="dot" w:pos="9016"/>
            </w:tabs>
            <w:rPr>
              <w:rFonts w:ascii="Arial" w:hAnsi="Arial" w:eastAsia="Arial" w:cs="Arial"/>
              <w:b w:val="0"/>
              <w:bCs w:val="0"/>
              <w:caps w:val="0"/>
              <w:smallCaps w:val="0"/>
              <w:noProof/>
              <w:sz w:val="22"/>
              <w:szCs w:val="22"/>
              <w:lang w:eastAsia="en-GB"/>
            </w:rPr>
          </w:pPr>
          <w:hyperlink w:history="1" w:anchor="_Toc208163472">
            <w:r w:rsidRPr="004739A4" w:rsidR="004739A4">
              <w:rPr>
                <w:rStyle w:val="Hyperlink"/>
                <w:rFonts w:ascii="Aptos" w:hAnsi="Aptos"/>
                <w:noProof/>
                <w:lang w:bidi="en-GB"/>
              </w:rPr>
              <w:t>CHAPTER 2 – Background Information and Analysis</w:t>
            </w:r>
            <w:r w:rsidRPr="004739A4">
              <w:rPr>
                <w:rFonts w:ascii="Aptos" w:hAnsi="Aptos"/>
                <w:noProof/>
                <w:webHidden/>
              </w:rPr>
              <w:tab/>
            </w:r>
            <w:r w:rsidRPr="004739A4">
              <w:rPr>
                <w:rFonts w:ascii="Aptos" w:hAnsi="Aptos"/>
                <w:noProof/>
                <w:webHidden/>
              </w:rPr>
              <w:fldChar w:fldCharType="begin"/>
            </w:r>
            <w:r w:rsidRPr="004739A4">
              <w:rPr>
                <w:rFonts w:ascii="Aptos" w:hAnsi="Aptos"/>
                <w:noProof/>
                <w:webHidden/>
              </w:rPr>
              <w:instrText xml:space="preserve"> PAGEREF _Toc208163472 \h </w:instrText>
            </w:r>
            <w:r w:rsidRPr="004739A4">
              <w:rPr>
                <w:rFonts w:ascii="Aptos" w:hAnsi="Aptos"/>
                <w:noProof/>
                <w:webHidden/>
              </w:rPr>
            </w:r>
            <w:r w:rsidRPr="004739A4">
              <w:rPr>
                <w:rFonts w:ascii="Aptos" w:hAnsi="Aptos"/>
                <w:noProof/>
                <w:webHidden/>
              </w:rPr>
              <w:fldChar w:fldCharType="separate"/>
            </w:r>
            <w:r w:rsidR="009A653A">
              <w:rPr>
                <w:rFonts w:ascii="Aptos" w:hAnsi="Aptos"/>
                <w:noProof/>
                <w:webHidden/>
              </w:rPr>
              <w:t>12</w:t>
            </w:r>
            <w:r w:rsidRPr="004739A4">
              <w:rPr>
                <w:rFonts w:ascii="Aptos" w:hAnsi="Aptos"/>
                <w:noProof/>
                <w:webHidden/>
              </w:rPr>
              <w:fldChar w:fldCharType="end"/>
            </w:r>
          </w:hyperlink>
        </w:p>
        <w:p w:rsidRPr="004739A4" w:rsidR="004739A4" w:rsidP="2302A0EF" w:rsidRDefault="004739A4" w14:paraId="7E8D2376" w14:textId="126C3B2E" w14:noSpellErr="1">
          <w:pPr>
            <w:pStyle w:val="TOC2"/>
            <w:tabs>
              <w:tab w:val="right" w:leader="dot" w:pos="9016"/>
            </w:tabs>
            <w:rPr>
              <w:rFonts w:ascii="Arial" w:hAnsi="Arial" w:eastAsia="Arial" w:cs="Arial"/>
              <w:caps w:val="0"/>
              <w:smallCaps w:val="0"/>
              <w:noProof/>
              <w:sz w:val="22"/>
              <w:szCs w:val="22"/>
              <w:lang w:eastAsia="en-GB"/>
            </w:rPr>
          </w:pPr>
          <w:hyperlink w:history="1" w:anchor="_Toc208163473">
            <w:r w:rsidRPr="004739A4" w:rsidR="004739A4">
              <w:rPr>
                <w:rStyle w:val="Hyperlink"/>
                <w:rFonts w:ascii="Aptos" w:hAnsi="Aptos"/>
                <w:noProof/>
              </w:rPr>
              <w:t>2.1 Introduction</w:t>
            </w:r>
            <w:r w:rsidRPr="004739A4">
              <w:rPr>
                <w:rFonts w:ascii="Aptos" w:hAnsi="Aptos"/>
                <w:noProof/>
                <w:webHidden/>
              </w:rPr>
              <w:tab/>
            </w:r>
            <w:r w:rsidRPr="004739A4">
              <w:rPr>
                <w:rFonts w:ascii="Aptos" w:hAnsi="Aptos"/>
                <w:noProof/>
                <w:webHidden/>
              </w:rPr>
              <w:fldChar w:fldCharType="begin"/>
            </w:r>
            <w:r w:rsidRPr="004739A4">
              <w:rPr>
                <w:rFonts w:ascii="Aptos" w:hAnsi="Aptos"/>
                <w:noProof/>
                <w:webHidden/>
              </w:rPr>
              <w:instrText xml:space="preserve"> PAGEREF _Toc208163473 \h </w:instrText>
            </w:r>
            <w:r w:rsidRPr="004739A4">
              <w:rPr>
                <w:rFonts w:ascii="Aptos" w:hAnsi="Aptos"/>
                <w:noProof/>
                <w:webHidden/>
              </w:rPr>
            </w:r>
            <w:r w:rsidRPr="004739A4">
              <w:rPr>
                <w:rFonts w:ascii="Aptos" w:hAnsi="Aptos"/>
                <w:noProof/>
                <w:webHidden/>
              </w:rPr>
              <w:fldChar w:fldCharType="separate"/>
            </w:r>
            <w:r w:rsidR="009A653A">
              <w:rPr>
                <w:rFonts w:ascii="Aptos" w:hAnsi="Aptos"/>
                <w:noProof/>
                <w:webHidden/>
              </w:rPr>
              <w:t>12</w:t>
            </w:r>
            <w:r w:rsidRPr="004739A4">
              <w:rPr>
                <w:rFonts w:ascii="Aptos" w:hAnsi="Aptos"/>
                <w:noProof/>
                <w:webHidden/>
              </w:rPr>
              <w:fldChar w:fldCharType="end"/>
            </w:r>
          </w:hyperlink>
        </w:p>
        <w:p w:rsidRPr="004739A4" w:rsidR="004739A4" w:rsidP="2302A0EF" w:rsidRDefault="004739A4" w14:paraId="0796646D" w14:textId="2D363567" w14:noSpellErr="1">
          <w:pPr>
            <w:pStyle w:val="TOC2"/>
            <w:tabs>
              <w:tab w:val="right" w:leader="dot" w:pos="9016"/>
            </w:tabs>
            <w:rPr>
              <w:rFonts w:ascii="Arial" w:hAnsi="Arial" w:eastAsia="Arial" w:cs="Arial"/>
              <w:caps w:val="0"/>
              <w:smallCaps w:val="0"/>
              <w:noProof/>
              <w:sz w:val="22"/>
              <w:szCs w:val="22"/>
              <w:lang w:eastAsia="en-GB"/>
            </w:rPr>
          </w:pPr>
          <w:hyperlink w:history="1" w:anchor="_Toc208163474">
            <w:r w:rsidRPr="004739A4" w:rsidR="004739A4">
              <w:rPr>
                <w:rStyle w:val="Hyperlink"/>
                <w:rFonts w:ascii="Aptos" w:hAnsi="Aptos"/>
                <w:noProof/>
              </w:rPr>
              <w:t>2.2 Historical Background</w:t>
            </w:r>
            <w:r w:rsidRPr="004739A4">
              <w:rPr>
                <w:rFonts w:ascii="Aptos" w:hAnsi="Aptos"/>
                <w:noProof/>
                <w:webHidden/>
              </w:rPr>
              <w:tab/>
            </w:r>
            <w:r w:rsidRPr="004739A4">
              <w:rPr>
                <w:rFonts w:ascii="Aptos" w:hAnsi="Aptos"/>
                <w:noProof/>
                <w:webHidden/>
              </w:rPr>
              <w:fldChar w:fldCharType="begin"/>
            </w:r>
            <w:r w:rsidRPr="004739A4">
              <w:rPr>
                <w:rFonts w:ascii="Aptos" w:hAnsi="Aptos"/>
                <w:noProof/>
                <w:webHidden/>
              </w:rPr>
              <w:instrText xml:space="preserve"> PAGEREF _Toc208163474 \h </w:instrText>
            </w:r>
            <w:r w:rsidRPr="004739A4">
              <w:rPr>
                <w:rFonts w:ascii="Aptos" w:hAnsi="Aptos"/>
                <w:noProof/>
                <w:webHidden/>
              </w:rPr>
            </w:r>
            <w:r w:rsidRPr="004739A4">
              <w:rPr>
                <w:rFonts w:ascii="Aptos" w:hAnsi="Aptos"/>
                <w:noProof/>
                <w:webHidden/>
              </w:rPr>
              <w:fldChar w:fldCharType="separate"/>
            </w:r>
            <w:r w:rsidR="009A653A">
              <w:rPr>
                <w:rFonts w:ascii="Aptos" w:hAnsi="Aptos"/>
                <w:noProof/>
                <w:webHidden/>
              </w:rPr>
              <w:t>12</w:t>
            </w:r>
            <w:r w:rsidRPr="004739A4">
              <w:rPr>
                <w:rFonts w:ascii="Aptos" w:hAnsi="Aptos"/>
                <w:noProof/>
                <w:webHidden/>
              </w:rPr>
              <w:fldChar w:fldCharType="end"/>
            </w:r>
          </w:hyperlink>
        </w:p>
        <w:p w:rsidRPr="004739A4" w:rsidR="004739A4" w:rsidP="2302A0EF" w:rsidRDefault="004739A4" w14:paraId="2F975522" w14:textId="284BCE31" w14:noSpellErr="1">
          <w:pPr>
            <w:pStyle w:val="TOC2"/>
            <w:tabs>
              <w:tab w:val="right" w:leader="dot" w:pos="9016"/>
            </w:tabs>
            <w:rPr>
              <w:rFonts w:ascii="Arial" w:hAnsi="Arial" w:eastAsia="Arial" w:cs="Arial"/>
              <w:caps w:val="0"/>
              <w:smallCaps w:val="0"/>
              <w:noProof/>
              <w:sz w:val="22"/>
              <w:szCs w:val="22"/>
              <w:lang w:eastAsia="en-GB"/>
            </w:rPr>
          </w:pPr>
          <w:hyperlink w:history="1" w:anchor="_Toc208163475">
            <w:r w:rsidRPr="004739A4" w:rsidR="004739A4">
              <w:rPr>
                <w:rStyle w:val="Hyperlink"/>
                <w:rFonts w:ascii="Aptos" w:hAnsi="Aptos"/>
                <w:noProof/>
              </w:rPr>
              <w:t>2.3 Theoretical Background</w:t>
            </w:r>
            <w:r w:rsidRPr="004739A4">
              <w:rPr>
                <w:rFonts w:ascii="Aptos" w:hAnsi="Aptos"/>
                <w:noProof/>
                <w:webHidden/>
              </w:rPr>
              <w:tab/>
            </w:r>
            <w:r w:rsidRPr="004739A4">
              <w:rPr>
                <w:rFonts w:ascii="Aptos" w:hAnsi="Aptos"/>
                <w:noProof/>
                <w:webHidden/>
              </w:rPr>
              <w:fldChar w:fldCharType="begin"/>
            </w:r>
            <w:r w:rsidRPr="004739A4">
              <w:rPr>
                <w:rFonts w:ascii="Aptos" w:hAnsi="Aptos"/>
                <w:noProof/>
                <w:webHidden/>
              </w:rPr>
              <w:instrText xml:space="preserve"> PAGEREF _Toc208163475 \h </w:instrText>
            </w:r>
            <w:r w:rsidRPr="004739A4">
              <w:rPr>
                <w:rFonts w:ascii="Aptos" w:hAnsi="Aptos"/>
                <w:noProof/>
                <w:webHidden/>
              </w:rPr>
            </w:r>
            <w:r w:rsidRPr="004739A4">
              <w:rPr>
                <w:rFonts w:ascii="Aptos" w:hAnsi="Aptos"/>
                <w:noProof/>
                <w:webHidden/>
              </w:rPr>
              <w:fldChar w:fldCharType="separate"/>
            </w:r>
            <w:r w:rsidR="009A653A">
              <w:rPr>
                <w:rFonts w:ascii="Aptos" w:hAnsi="Aptos"/>
                <w:noProof/>
                <w:webHidden/>
              </w:rPr>
              <w:t>13</w:t>
            </w:r>
            <w:r w:rsidRPr="004739A4">
              <w:rPr>
                <w:rFonts w:ascii="Aptos" w:hAnsi="Aptos"/>
                <w:noProof/>
                <w:webHidden/>
              </w:rPr>
              <w:fldChar w:fldCharType="end"/>
            </w:r>
          </w:hyperlink>
        </w:p>
        <w:p w:rsidRPr="004739A4" w:rsidR="004739A4" w:rsidP="2302A0EF" w:rsidRDefault="004739A4" w14:paraId="5BA9C148" w14:textId="674E0B6C" w14:noSpellErr="1">
          <w:pPr>
            <w:pStyle w:val="TOC2"/>
            <w:tabs>
              <w:tab w:val="right" w:leader="dot" w:pos="9016"/>
            </w:tabs>
            <w:rPr>
              <w:rFonts w:ascii="Arial" w:hAnsi="Arial" w:eastAsia="Arial" w:cs="Arial"/>
              <w:caps w:val="0"/>
              <w:smallCaps w:val="0"/>
              <w:noProof/>
              <w:sz w:val="22"/>
              <w:szCs w:val="22"/>
              <w:lang w:eastAsia="en-GB"/>
            </w:rPr>
          </w:pPr>
          <w:hyperlink w:history="1" w:anchor="_Toc208163476">
            <w:r w:rsidRPr="004739A4" w:rsidR="004739A4">
              <w:rPr>
                <w:rStyle w:val="Hyperlink"/>
                <w:rFonts w:ascii="Aptos" w:hAnsi="Aptos"/>
                <w:noProof/>
              </w:rPr>
              <w:t>2.4 International Context</w:t>
            </w:r>
            <w:r w:rsidRPr="004739A4">
              <w:rPr>
                <w:rFonts w:ascii="Aptos" w:hAnsi="Aptos"/>
                <w:noProof/>
                <w:webHidden/>
              </w:rPr>
              <w:tab/>
            </w:r>
            <w:r w:rsidRPr="004739A4">
              <w:rPr>
                <w:rFonts w:ascii="Aptos" w:hAnsi="Aptos"/>
                <w:noProof/>
                <w:webHidden/>
              </w:rPr>
              <w:fldChar w:fldCharType="begin"/>
            </w:r>
            <w:r w:rsidRPr="004739A4">
              <w:rPr>
                <w:rFonts w:ascii="Aptos" w:hAnsi="Aptos"/>
                <w:noProof/>
                <w:webHidden/>
              </w:rPr>
              <w:instrText xml:space="preserve"> PAGEREF _Toc208163476 \h </w:instrText>
            </w:r>
            <w:r w:rsidRPr="004739A4">
              <w:rPr>
                <w:rFonts w:ascii="Aptos" w:hAnsi="Aptos"/>
                <w:noProof/>
                <w:webHidden/>
              </w:rPr>
            </w:r>
            <w:r w:rsidRPr="004739A4">
              <w:rPr>
                <w:rFonts w:ascii="Aptos" w:hAnsi="Aptos"/>
                <w:noProof/>
                <w:webHidden/>
              </w:rPr>
              <w:fldChar w:fldCharType="separate"/>
            </w:r>
            <w:r w:rsidR="009A653A">
              <w:rPr>
                <w:rFonts w:ascii="Aptos" w:hAnsi="Aptos"/>
                <w:noProof/>
                <w:webHidden/>
              </w:rPr>
              <w:t>15</w:t>
            </w:r>
            <w:r w:rsidRPr="004739A4">
              <w:rPr>
                <w:rFonts w:ascii="Aptos" w:hAnsi="Aptos"/>
                <w:noProof/>
                <w:webHidden/>
              </w:rPr>
              <w:fldChar w:fldCharType="end"/>
            </w:r>
          </w:hyperlink>
        </w:p>
        <w:p w:rsidRPr="004739A4" w:rsidR="004739A4" w:rsidP="2302A0EF" w:rsidRDefault="004739A4" w14:paraId="1A68CF62" w14:textId="6750A89D" w14:noSpellErr="1">
          <w:pPr>
            <w:pStyle w:val="TOC2"/>
            <w:tabs>
              <w:tab w:val="right" w:leader="dot" w:pos="9016"/>
            </w:tabs>
            <w:rPr>
              <w:rFonts w:ascii="Arial" w:hAnsi="Arial" w:eastAsia="Arial" w:cs="Arial"/>
              <w:caps w:val="0"/>
              <w:smallCaps w:val="0"/>
              <w:noProof/>
              <w:sz w:val="22"/>
              <w:szCs w:val="22"/>
              <w:lang w:eastAsia="en-GB"/>
            </w:rPr>
          </w:pPr>
          <w:hyperlink w:history="1" w:anchor="_Toc208163477">
            <w:r w:rsidRPr="004739A4" w:rsidR="004739A4">
              <w:rPr>
                <w:rStyle w:val="Hyperlink"/>
                <w:rFonts w:ascii="Aptos" w:hAnsi="Aptos"/>
                <w:noProof/>
              </w:rPr>
              <w:t>2.5 National/Local UK Context</w:t>
            </w:r>
            <w:r w:rsidRPr="004739A4">
              <w:rPr>
                <w:rFonts w:ascii="Aptos" w:hAnsi="Aptos"/>
                <w:noProof/>
                <w:webHidden/>
              </w:rPr>
              <w:tab/>
            </w:r>
            <w:r w:rsidRPr="004739A4">
              <w:rPr>
                <w:rFonts w:ascii="Aptos" w:hAnsi="Aptos"/>
                <w:noProof/>
                <w:webHidden/>
              </w:rPr>
              <w:fldChar w:fldCharType="begin"/>
            </w:r>
            <w:r w:rsidRPr="004739A4">
              <w:rPr>
                <w:rFonts w:ascii="Aptos" w:hAnsi="Aptos"/>
                <w:noProof/>
                <w:webHidden/>
              </w:rPr>
              <w:instrText xml:space="preserve"> PAGEREF _Toc208163477 \h </w:instrText>
            </w:r>
            <w:r w:rsidRPr="004739A4">
              <w:rPr>
                <w:rFonts w:ascii="Aptos" w:hAnsi="Aptos"/>
                <w:noProof/>
                <w:webHidden/>
              </w:rPr>
            </w:r>
            <w:r w:rsidRPr="004739A4">
              <w:rPr>
                <w:rFonts w:ascii="Aptos" w:hAnsi="Aptos"/>
                <w:noProof/>
                <w:webHidden/>
              </w:rPr>
              <w:fldChar w:fldCharType="separate"/>
            </w:r>
            <w:r w:rsidR="009A653A">
              <w:rPr>
                <w:rFonts w:ascii="Aptos" w:hAnsi="Aptos"/>
                <w:noProof/>
                <w:webHidden/>
              </w:rPr>
              <w:t>16</w:t>
            </w:r>
            <w:r w:rsidRPr="004739A4">
              <w:rPr>
                <w:rFonts w:ascii="Aptos" w:hAnsi="Aptos"/>
                <w:noProof/>
                <w:webHidden/>
              </w:rPr>
              <w:fldChar w:fldCharType="end"/>
            </w:r>
          </w:hyperlink>
        </w:p>
        <w:p w:rsidRPr="004739A4" w:rsidR="004739A4" w:rsidP="2302A0EF" w:rsidRDefault="004739A4" w14:paraId="41E8AF7A" w14:textId="172108E6" w14:noSpellErr="1">
          <w:pPr>
            <w:pStyle w:val="TOC2"/>
            <w:tabs>
              <w:tab w:val="right" w:leader="dot" w:pos="9016"/>
            </w:tabs>
            <w:rPr>
              <w:rFonts w:ascii="Arial" w:hAnsi="Arial" w:eastAsia="Arial" w:cs="Arial"/>
              <w:caps w:val="0"/>
              <w:smallCaps w:val="0"/>
              <w:noProof/>
              <w:sz w:val="22"/>
              <w:szCs w:val="22"/>
              <w:lang w:eastAsia="en-GB"/>
            </w:rPr>
          </w:pPr>
          <w:hyperlink w:history="1" w:anchor="_Toc208163478">
            <w:r w:rsidRPr="004739A4" w:rsidR="004739A4">
              <w:rPr>
                <w:rStyle w:val="Hyperlink"/>
                <w:rFonts w:ascii="Aptos" w:hAnsi="Aptos"/>
                <w:noProof/>
              </w:rPr>
              <w:t>2.6 Conclusion</w:t>
            </w:r>
            <w:r w:rsidRPr="004739A4">
              <w:rPr>
                <w:rFonts w:ascii="Aptos" w:hAnsi="Aptos"/>
                <w:noProof/>
                <w:webHidden/>
              </w:rPr>
              <w:tab/>
            </w:r>
            <w:r w:rsidRPr="004739A4">
              <w:rPr>
                <w:rFonts w:ascii="Aptos" w:hAnsi="Aptos"/>
                <w:noProof/>
                <w:webHidden/>
              </w:rPr>
              <w:fldChar w:fldCharType="begin"/>
            </w:r>
            <w:r w:rsidRPr="004739A4">
              <w:rPr>
                <w:rFonts w:ascii="Aptos" w:hAnsi="Aptos"/>
                <w:noProof/>
                <w:webHidden/>
              </w:rPr>
              <w:instrText xml:space="preserve"> PAGEREF _Toc208163478 \h </w:instrText>
            </w:r>
            <w:r w:rsidRPr="004739A4">
              <w:rPr>
                <w:rFonts w:ascii="Aptos" w:hAnsi="Aptos"/>
                <w:noProof/>
                <w:webHidden/>
              </w:rPr>
            </w:r>
            <w:r w:rsidRPr="004739A4">
              <w:rPr>
                <w:rFonts w:ascii="Aptos" w:hAnsi="Aptos"/>
                <w:noProof/>
                <w:webHidden/>
              </w:rPr>
              <w:fldChar w:fldCharType="separate"/>
            </w:r>
            <w:r w:rsidR="009A653A">
              <w:rPr>
                <w:rFonts w:ascii="Aptos" w:hAnsi="Aptos"/>
                <w:noProof/>
                <w:webHidden/>
              </w:rPr>
              <w:t>17</w:t>
            </w:r>
            <w:r w:rsidRPr="004739A4">
              <w:rPr>
                <w:rFonts w:ascii="Aptos" w:hAnsi="Aptos"/>
                <w:noProof/>
                <w:webHidden/>
              </w:rPr>
              <w:fldChar w:fldCharType="end"/>
            </w:r>
          </w:hyperlink>
        </w:p>
        <w:p w:rsidRPr="004739A4" w:rsidR="004739A4" w:rsidP="2302A0EF" w:rsidRDefault="004739A4" w14:paraId="16A0C319" w14:textId="348FC906" w14:noSpellErr="1">
          <w:pPr>
            <w:pStyle w:val="TOC1"/>
            <w:tabs>
              <w:tab w:val="right" w:leader="dot" w:pos="9016"/>
            </w:tabs>
            <w:rPr>
              <w:rFonts w:ascii="Arial" w:hAnsi="Arial" w:eastAsia="Arial" w:cs="Arial"/>
              <w:b w:val="0"/>
              <w:bCs w:val="0"/>
              <w:caps w:val="0"/>
              <w:smallCaps w:val="0"/>
              <w:noProof/>
              <w:sz w:val="22"/>
              <w:szCs w:val="22"/>
              <w:lang w:eastAsia="en-GB"/>
            </w:rPr>
          </w:pPr>
          <w:hyperlink w:history="1" w:anchor="_Toc208163479">
            <w:r w:rsidRPr="004739A4" w:rsidR="004739A4">
              <w:rPr>
                <w:rStyle w:val="Hyperlink"/>
                <w:rFonts w:ascii="Aptos" w:hAnsi="Aptos"/>
                <w:noProof/>
                <w:lang w:bidi="en-GB"/>
              </w:rPr>
              <w:t>CHAPTER 3 – Academic Methodology Poster</w:t>
            </w:r>
            <w:r w:rsidRPr="004739A4">
              <w:rPr>
                <w:rFonts w:ascii="Aptos" w:hAnsi="Aptos"/>
                <w:noProof/>
                <w:webHidden/>
              </w:rPr>
              <w:tab/>
            </w:r>
            <w:r w:rsidRPr="004739A4">
              <w:rPr>
                <w:rFonts w:ascii="Aptos" w:hAnsi="Aptos"/>
                <w:noProof/>
                <w:webHidden/>
              </w:rPr>
              <w:fldChar w:fldCharType="begin"/>
            </w:r>
            <w:r w:rsidRPr="004739A4">
              <w:rPr>
                <w:rFonts w:ascii="Aptos" w:hAnsi="Aptos"/>
                <w:noProof/>
                <w:webHidden/>
              </w:rPr>
              <w:instrText xml:space="preserve"> PAGEREF _Toc208163479 \h </w:instrText>
            </w:r>
            <w:r w:rsidRPr="004739A4">
              <w:rPr>
                <w:rFonts w:ascii="Aptos" w:hAnsi="Aptos"/>
                <w:noProof/>
                <w:webHidden/>
              </w:rPr>
            </w:r>
            <w:r w:rsidRPr="004739A4">
              <w:rPr>
                <w:rFonts w:ascii="Aptos" w:hAnsi="Aptos"/>
                <w:noProof/>
                <w:webHidden/>
              </w:rPr>
              <w:fldChar w:fldCharType="separate"/>
            </w:r>
            <w:r w:rsidR="009A653A">
              <w:rPr>
                <w:rFonts w:ascii="Aptos" w:hAnsi="Aptos"/>
                <w:noProof/>
                <w:webHidden/>
              </w:rPr>
              <w:t>18</w:t>
            </w:r>
            <w:r w:rsidRPr="004739A4">
              <w:rPr>
                <w:rFonts w:ascii="Aptos" w:hAnsi="Aptos"/>
                <w:noProof/>
                <w:webHidden/>
              </w:rPr>
              <w:fldChar w:fldCharType="end"/>
            </w:r>
          </w:hyperlink>
        </w:p>
        <w:p w:rsidRPr="004739A4" w:rsidR="004739A4" w:rsidP="2302A0EF" w:rsidRDefault="004739A4" w14:paraId="30695F83" w14:textId="4F3EF161" w14:noSpellErr="1">
          <w:pPr>
            <w:pStyle w:val="TOC2"/>
            <w:tabs>
              <w:tab w:val="right" w:leader="dot" w:pos="9016"/>
            </w:tabs>
            <w:rPr>
              <w:rFonts w:ascii="Arial" w:hAnsi="Arial" w:eastAsia="Arial" w:cs="Arial"/>
              <w:caps w:val="0"/>
              <w:smallCaps w:val="0"/>
              <w:noProof/>
              <w:sz w:val="22"/>
              <w:szCs w:val="22"/>
              <w:lang w:eastAsia="en-GB"/>
            </w:rPr>
          </w:pPr>
          <w:hyperlink w:history="1" w:anchor="_Toc208163480">
            <w:r w:rsidRPr="004739A4" w:rsidR="004739A4">
              <w:rPr>
                <w:rStyle w:val="Hyperlink"/>
                <w:rFonts w:ascii="Aptos" w:hAnsi="Aptos"/>
                <w:noProof/>
              </w:rPr>
              <w:t>3.1 Academic Methodology Poster</w:t>
            </w:r>
            <w:r w:rsidRPr="004739A4">
              <w:rPr>
                <w:rFonts w:ascii="Aptos" w:hAnsi="Aptos"/>
                <w:noProof/>
                <w:webHidden/>
              </w:rPr>
              <w:tab/>
            </w:r>
            <w:r w:rsidRPr="004739A4">
              <w:rPr>
                <w:rFonts w:ascii="Aptos" w:hAnsi="Aptos"/>
                <w:noProof/>
                <w:webHidden/>
              </w:rPr>
              <w:fldChar w:fldCharType="begin"/>
            </w:r>
            <w:r w:rsidRPr="004739A4">
              <w:rPr>
                <w:rFonts w:ascii="Aptos" w:hAnsi="Aptos"/>
                <w:noProof/>
                <w:webHidden/>
              </w:rPr>
              <w:instrText xml:space="preserve"> PAGEREF _Toc208163480 \h </w:instrText>
            </w:r>
            <w:r w:rsidRPr="004739A4">
              <w:rPr>
                <w:rFonts w:ascii="Aptos" w:hAnsi="Aptos"/>
                <w:noProof/>
                <w:webHidden/>
              </w:rPr>
            </w:r>
            <w:r w:rsidRPr="004739A4">
              <w:rPr>
                <w:rFonts w:ascii="Aptos" w:hAnsi="Aptos"/>
                <w:noProof/>
                <w:webHidden/>
              </w:rPr>
              <w:fldChar w:fldCharType="separate"/>
            </w:r>
            <w:r w:rsidR="009A653A">
              <w:rPr>
                <w:rFonts w:ascii="Aptos" w:hAnsi="Aptos"/>
                <w:noProof/>
                <w:webHidden/>
              </w:rPr>
              <w:t>18</w:t>
            </w:r>
            <w:r w:rsidRPr="004739A4">
              <w:rPr>
                <w:rFonts w:ascii="Aptos" w:hAnsi="Aptos"/>
                <w:noProof/>
                <w:webHidden/>
              </w:rPr>
              <w:fldChar w:fldCharType="end"/>
            </w:r>
          </w:hyperlink>
        </w:p>
        <w:p w:rsidRPr="004739A4" w:rsidR="004739A4" w:rsidP="2302A0EF" w:rsidRDefault="004739A4" w14:paraId="5581FEBA" w14:textId="4916C7F9" w14:noSpellErr="1">
          <w:pPr>
            <w:pStyle w:val="TOC2"/>
            <w:tabs>
              <w:tab w:val="right" w:leader="dot" w:pos="9016"/>
            </w:tabs>
            <w:rPr>
              <w:rFonts w:ascii="Arial" w:hAnsi="Arial" w:eastAsia="Arial" w:cs="Arial"/>
              <w:caps w:val="0"/>
              <w:smallCaps w:val="0"/>
              <w:noProof/>
              <w:sz w:val="22"/>
              <w:szCs w:val="22"/>
              <w:lang w:eastAsia="en-GB"/>
            </w:rPr>
          </w:pPr>
          <w:hyperlink w:history="1" w:anchor="_Toc208163481">
            <w:r w:rsidRPr="004739A4" w:rsidR="004739A4">
              <w:rPr>
                <w:rStyle w:val="Hyperlink"/>
                <w:rFonts w:ascii="Aptos" w:hAnsi="Aptos"/>
                <w:noProof/>
              </w:rPr>
              <w:t>3.2 Additional Information</w:t>
            </w:r>
            <w:r w:rsidRPr="004739A4">
              <w:rPr>
                <w:rFonts w:ascii="Aptos" w:hAnsi="Aptos"/>
                <w:noProof/>
                <w:webHidden/>
              </w:rPr>
              <w:tab/>
            </w:r>
            <w:r w:rsidRPr="004739A4">
              <w:rPr>
                <w:rFonts w:ascii="Aptos" w:hAnsi="Aptos"/>
                <w:noProof/>
                <w:webHidden/>
              </w:rPr>
              <w:fldChar w:fldCharType="begin"/>
            </w:r>
            <w:r w:rsidRPr="004739A4">
              <w:rPr>
                <w:rFonts w:ascii="Aptos" w:hAnsi="Aptos"/>
                <w:noProof/>
                <w:webHidden/>
              </w:rPr>
              <w:instrText xml:space="preserve"> PAGEREF _Toc208163481 \h </w:instrText>
            </w:r>
            <w:r w:rsidRPr="004739A4">
              <w:rPr>
                <w:rFonts w:ascii="Aptos" w:hAnsi="Aptos"/>
                <w:noProof/>
                <w:webHidden/>
              </w:rPr>
            </w:r>
            <w:r w:rsidRPr="004739A4">
              <w:rPr>
                <w:rFonts w:ascii="Aptos" w:hAnsi="Aptos"/>
                <w:noProof/>
                <w:webHidden/>
              </w:rPr>
              <w:fldChar w:fldCharType="separate"/>
            </w:r>
            <w:r w:rsidR="009A653A">
              <w:rPr>
                <w:rFonts w:ascii="Aptos" w:hAnsi="Aptos"/>
                <w:noProof/>
                <w:webHidden/>
              </w:rPr>
              <w:t>18</w:t>
            </w:r>
            <w:r w:rsidRPr="004739A4">
              <w:rPr>
                <w:rFonts w:ascii="Aptos" w:hAnsi="Aptos"/>
                <w:noProof/>
                <w:webHidden/>
              </w:rPr>
              <w:fldChar w:fldCharType="end"/>
            </w:r>
          </w:hyperlink>
        </w:p>
        <w:p w:rsidRPr="004739A4" w:rsidR="004739A4" w:rsidP="2302A0EF" w:rsidRDefault="004739A4" w14:paraId="7716131D" w14:textId="7623426F" w14:noSpellErr="1">
          <w:pPr>
            <w:pStyle w:val="TOC3"/>
            <w:tabs>
              <w:tab w:val="right" w:leader="dot" w:pos="9016"/>
            </w:tabs>
            <w:rPr>
              <w:rFonts w:ascii="Arial" w:hAnsi="Arial" w:eastAsia="Arial" w:cs="Arial"/>
              <w:i w:val="0"/>
              <w:iCs w:val="0"/>
              <w:noProof/>
              <w:sz w:val="22"/>
              <w:szCs w:val="22"/>
              <w:lang w:eastAsia="en-GB"/>
            </w:rPr>
          </w:pPr>
          <w:hyperlink w:history="1" w:anchor="_Toc208163482">
            <w:r w:rsidRPr="004739A4" w:rsidR="004739A4">
              <w:rPr>
                <w:rStyle w:val="Hyperlink"/>
                <w:rFonts w:ascii="Aptos" w:hAnsi="Aptos"/>
                <w:noProof/>
              </w:rPr>
              <w:t>3.2.1 – Introduction</w:t>
            </w:r>
            <w:r w:rsidRPr="004739A4">
              <w:rPr>
                <w:rFonts w:ascii="Aptos" w:hAnsi="Aptos"/>
                <w:noProof/>
                <w:webHidden/>
              </w:rPr>
              <w:tab/>
            </w:r>
            <w:r w:rsidRPr="004739A4">
              <w:rPr>
                <w:rFonts w:ascii="Aptos" w:hAnsi="Aptos"/>
                <w:noProof/>
                <w:webHidden/>
              </w:rPr>
              <w:fldChar w:fldCharType="begin"/>
            </w:r>
            <w:r w:rsidRPr="004739A4">
              <w:rPr>
                <w:rFonts w:ascii="Aptos" w:hAnsi="Aptos"/>
                <w:noProof/>
                <w:webHidden/>
              </w:rPr>
              <w:instrText xml:space="preserve"> PAGEREF _Toc208163482 \h </w:instrText>
            </w:r>
            <w:r w:rsidRPr="004739A4">
              <w:rPr>
                <w:rFonts w:ascii="Aptos" w:hAnsi="Aptos"/>
                <w:noProof/>
                <w:webHidden/>
              </w:rPr>
            </w:r>
            <w:r w:rsidRPr="004739A4">
              <w:rPr>
                <w:rFonts w:ascii="Aptos" w:hAnsi="Aptos"/>
                <w:noProof/>
                <w:webHidden/>
              </w:rPr>
              <w:fldChar w:fldCharType="separate"/>
            </w:r>
            <w:r w:rsidR="009A653A">
              <w:rPr>
                <w:rFonts w:ascii="Aptos" w:hAnsi="Aptos"/>
                <w:noProof/>
                <w:webHidden/>
              </w:rPr>
              <w:t>18</w:t>
            </w:r>
            <w:r w:rsidRPr="004739A4">
              <w:rPr>
                <w:rFonts w:ascii="Aptos" w:hAnsi="Aptos"/>
                <w:noProof/>
                <w:webHidden/>
              </w:rPr>
              <w:fldChar w:fldCharType="end"/>
            </w:r>
          </w:hyperlink>
        </w:p>
        <w:p w:rsidRPr="004739A4" w:rsidR="004739A4" w:rsidP="2302A0EF" w:rsidRDefault="004739A4" w14:paraId="24E82ECE" w14:textId="678281EA" w14:noSpellErr="1">
          <w:pPr>
            <w:pStyle w:val="TOC3"/>
            <w:tabs>
              <w:tab w:val="right" w:leader="dot" w:pos="9016"/>
            </w:tabs>
            <w:rPr>
              <w:rFonts w:ascii="Arial" w:hAnsi="Arial" w:eastAsia="Arial" w:cs="Arial"/>
              <w:i w:val="0"/>
              <w:iCs w:val="0"/>
              <w:noProof/>
              <w:sz w:val="22"/>
              <w:szCs w:val="22"/>
              <w:lang w:eastAsia="en-GB"/>
            </w:rPr>
          </w:pPr>
          <w:hyperlink w:history="1" w:anchor="_Toc208163483">
            <w:r w:rsidRPr="004739A4" w:rsidR="004739A4">
              <w:rPr>
                <w:rStyle w:val="Hyperlink"/>
                <w:rFonts w:ascii="Aptos" w:hAnsi="Aptos"/>
                <w:noProof/>
              </w:rPr>
              <w:t>3.2.2 – Search Strategy</w:t>
            </w:r>
            <w:r w:rsidRPr="004739A4">
              <w:rPr>
                <w:rFonts w:ascii="Aptos" w:hAnsi="Aptos"/>
                <w:noProof/>
                <w:webHidden/>
              </w:rPr>
              <w:tab/>
            </w:r>
            <w:r w:rsidRPr="004739A4">
              <w:rPr>
                <w:rFonts w:ascii="Aptos" w:hAnsi="Aptos"/>
                <w:noProof/>
                <w:webHidden/>
              </w:rPr>
              <w:fldChar w:fldCharType="begin"/>
            </w:r>
            <w:r w:rsidRPr="004739A4">
              <w:rPr>
                <w:rFonts w:ascii="Aptos" w:hAnsi="Aptos"/>
                <w:noProof/>
                <w:webHidden/>
              </w:rPr>
              <w:instrText xml:space="preserve"> PAGEREF _Toc208163483 \h </w:instrText>
            </w:r>
            <w:r w:rsidRPr="004739A4">
              <w:rPr>
                <w:rFonts w:ascii="Aptos" w:hAnsi="Aptos"/>
                <w:noProof/>
                <w:webHidden/>
              </w:rPr>
            </w:r>
            <w:r w:rsidRPr="004739A4">
              <w:rPr>
                <w:rFonts w:ascii="Aptos" w:hAnsi="Aptos"/>
                <w:noProof/>
                <w:webHidden/>
              </w:rPr>
              <w:fldChar w:fldCharType="separate"/>
            </w:r>
            <w:r w:rsidR="009A653A">
              <w:rPr>
                <w:rFonts w:ascii="Aptos" w:hAnsi="Aptos"/>
                <w:noProof/>
                <w:webHidden/>
              </w:rPr>
              <w:t>18</w:t>
            </w:r>
            <w:r w:rsidRPr="004739A4">
              <w:rPr>
                <w:rFonts w:ascii="Aptos" w:hAnsi="Aptos"/>
                <w:noProof/>
                <w:webHidden/>
              </w:rPr>
              <w:fldChar w:fldCharType="end"/>
            </w:r>
          </w:hyperlink>
        </w:p>
        <w:p w:rsidRPr="004739A4" w:rsidR="004739A4" w:rsidP="2302A0EF" w:rsidRDefault="004739A4" w14:paraId="7A5864A2" w14:textId="46DA840E" w14:noSpellErr="1">
          <w:pPr>
            <w:pStyle w:val="TOC3"/>
            <w:tabs>
              <w:tab w:val="right" w:leader="dot" w:pos="9016"/>
            </w:tabs>
            <w:rPr>
              <w:rFonts w:ascii="Arial" w:hAnsi="Arial" w:eastAsia="Arial" w:cs="Arial"/>
              <w:i w:val="0"/>
              <w:iCs w:val="0"/>
              <w:noProof/>
              <w:sz w:val="22"/>
              <w:szCs w:val="22"/>
              <w:lang w:eastAsia="en-GB"/>
            </w:rPr>
          </w:pPr>
          <w:hyperlink w:history="1" w:anchor="_Toc208163484">
            <w:r w:rsidRPr="004739A4" w:rsidR="004739A4">
              <w:rPr>
                <w:rStyle w:val="Hyperlink"/>
                <w:rFonts w:ascii="Aptos" w:hAnsi="Aptos"/>
                <w:noProof/>
              </w:rPr>
              <w:t>3.2.3 – Searching for Information</w:t>
            </w:r>
            <w:r w:rsidRPr="004739A4">
              <w:rPr>
                <w:rFonts w:ascii="Aptos" w:hAnsi="Aptos"/>
                <w:noProof/>
                <w:webHidden/>
              </w:rPr>
              <w:tab/>
            </w:r>
            <w:r w:rsidRPr="004739A4">
              <w:rPr>
                <w:rFonts w:ascii="Aptos" w:hAnsi="Aptos"/>
                <w:noProof/>
                <w:webHidden/>
              </w:rPr>
              <w:fldChar w:fldCharType="begin"/>
            </w:r>
            <w:r w:rsidRPr="004739A4">
              <w:rPr>
                <w:rFonts w:ascii="Aptos" w:hAnsi="Aptos"/>
                <w:noProof/>
                <w:webHidden/>
              </w:rPr>
              <w:instrText xml:space="preserve"> PAGEREF _Toc208163484 \h </w:instrText>
            </w:r>
            <w:r w:rsidRPr="004739A4">
              <w:rPr>
                <w:rFonts w:ascii="Aptos" w:hAnsi="Aptos"/>
                <w:noProof/>
                <w:webHidden/>
              </w:rPr>
            </w:r>
            <w:r w:rsidRPr="004739A4">
              <w:rPr>
                <w:rFonts w:ascii="Aptos" w:hAnsi="Aptos"/>
                <w:noProof/>
                <w:webHidden/>
              </w:rPr>
              <w:fldChar w:fldCharType="separate"/>
            </w:r>
            <w:r w:rsidR="009A653A">
              <w:rPr>
                <w:rFonts w:ascii="Aptos" w:hAnsi="Aptos"/>
                <w:noProof/>
                <w:webHidden/>
              </w:rPr>
              <w:t>19</w:t>
            </w:r>
            <w:r w:rsidRPr="004739A4">
              <w:rPr>
                <w:rFonts w:ascii="Aptos" w:hAnsi="Aptos"/>
                <w:noProof/>
                <w:webHidden/>
              </w:rPr>
              <w:fldChar w:fldCharType="end"/>
            </w:r>
          </w:hyperlink>
        </w:p>
        <w:p w:rsidRPr="004739A4" w:rsidR="004739A4" w:rsidP="2302A0EF" w:rsidRDefault="004739A4" w14:paraId="2C1985DA" w14:textId="7CFB2309" w14:noSpellErr="1">
          <w:pPr>
            <w:pStyle w:val="TOC3"/>
            <w:tabs>
              <w:tab w:val="right" w:leader="dot" w:pos="9016"/>
            </w:tabs>
            <w:rPr>
              <w:rFonts w:ascii="Arial" w:hAnsi="Arial" w:eastAsia="Arial" w:cs="Arial"/>
              <w:i w:val="0"/>
              <w:iCs w:val="0"/>
              <w:noProof/>
              <w:sz w:val="22"/>
              <w:szCs w:val="22"/>
              <w:lang w:eastAsia="en-GB"/>
            </w:rPr>
          </w:pPr>
          <w:hyperlink w:history="1" w:anchor="_Toc208163485">
            <w:r w:rsidRPr="004739A4" w:rsidR="004739A4">
              <w:rPr>
                <w:rStyle w:val="Hyperlink"/>
                <w:rFonts w:ascii="Aptos" w:hAnsi="Aptos"/>
                <w:noProof/>
              </w:rPr>
              <w:t>3.2.4 – Research Validation</w:t>
            </w:r>
            <w:r w:rsidRPr="004739A4">
              <w:rPr>
                <w:rFonts w:ascii="Aptos" w:hAnsi="Aptos"/>
                <w:noProof/>
                <w:webHidden/>
              </w:rPr>
              <w:tab/>
            </w:r>
            <w:r w:rsidRPr="004739A4">
              <w:rPr>
                <w:rFonts w:ascii="Aptos" w:hAnsi="Aptos"/>
                <w:noProof/>
                <w:webHidden/>
              </w:rPr>
              <w:fldChar w:fldCharType="begin"/>
            </w:r>
            <w:r w:rsidRPr="004739A4">
              <w:rPr>
                <w:rFonts w:ascii="Aptos" w:hAnsi="Aptos"/>
                <w:noProof/>
                <w:webHidden/>
              </w:rPr>
              <w:instrText xml:space="preserve"> PAGEREF _Toc208163485 \h </w:instrText>
            </w:r>
            <w:r w:rsidRPr="004739A4">
              <w:rPr>
                <w:rFonts w:ascii="Aptos" w:hAnsi="Aptos"/>
                <w:noProof/>
                <w:webHidden/>
              </w:rPr>
            </w:r>
            <w:r w:rsidRPr="004739A4">
              <w:rPr>
                <w:rFonts w:ascii="Aptos" w:hAnsi="Aptos"/>
                <w:noProof/>
                <w:webHidden/>
              </w:rPr>
              <w:fldChar w:fldCharType="separate"/>
            </w:r>
            <w:r w:rsidR="009A653A">
              <w:rPr>
                <w:rFonts w:ascii="Aptos" w:hAnsi="Aptos"/>
                <w:noProof/>
                <w:webHidden/>
              </w:rPr>
              <w:t>20</w:t>
            </w:r>
            <w:r w:rsidRPr="004739A4">
              <w:rPr>
                <w:rFonts w:ascii="Aptos" w:hAnsi="Aptos"/>
                <w:noProof/>
                <w:webHidden/>
              </w:rPr>
              <w:fldChar w:fldCharType="end"/>
            </w:r>
          </w:hyperlink>
        </w:p>
        <w:p w:rsidRPr="004739A4" w:rsidR="004739A4" w:rsidP="2302A0EF" w:rsidRDefault="004739A4" w14:paraId="6A30BE5B" w14:textId="39F689DB" w14:noSpellErr="1">
          <w:pPr>
            <w:pStyle w:val="TOC3"/>
            <w:tabs>
              <w:tab w:val="right" w:leader="dot" w:pos="9016"/>
            </w:tabs>
            <w:rPr>
              <w:rFonts w:ascii="Arial" w:hAnsi="Arial" w:eastAsia="Arial" w:cs="Arial"/>
              <w:i w:val="0"/>
              <w:iCs w:val="0"/>
              <w:noProof/>
              <w:sz w:val="22"/>
              <w:szCs w:val="22"/>
              <w:lang w:eastAsia="en-GB"/>
            </w:rPr>
          </w:pPr>
          <w:hyperlink w:history="1" w:anchor="_Toc208163486">
            <w:r w:rsidRPr="004739A4" w:rsidR="004739A4">
              <w:rPr>
                <w:rStyle w:val="Hyperlink"/>
                <w:rFonts w:ascii="Aptos" w:hAnsi="Aptos"/>
                <w:noProof/>
              </w:rPr>
              <w:t>3.2.5 - Inclusion and Exclusion Criteria</w:t>
            </w:r>
            <w:r w:rsidRPr="004739A4">
              <w:rPr>
                <w:rFonts w:ascii="Aptos" w:hAnsi="Aptos"/>
                <w:noProof/>
                <w:webHidden/>
              </w:rPr>
              <w:tab/>
            </w:r>
            <w:r w:rsidRPr="004739A4">
              <w:rPr>
                <w:rFonts w:ascii="Aptos" w:hAnsi="Aptos"/>
                <w:noProof/>
                <w:webHidden/>
              </w:rPr>
              <w:fldChar w:fldCharType="begin"/>
            </w:r>
            <w:r w:rsidRPr="004739A4">
              <w:rPr>
                <w:rFonts w:ascii="Aptos" w:hAnsi="Aptos"/>
                <w:noProof/>
                <w:webHidden/>
              </w:rPr>
              <w:instrText xml:space="preserve"> PAGEREF _Toc208163486 \h </w:instrText>
            </w:r>
            <w:r w:rsidRPr="004739A4">
              <w:rPr>
                <w:rFonts w:ascii="Aptos" w:hAnsi="Aptos"/>
                <w:noProof/>
                <w:webHidden/>
              </w:rPr>
            </w:r>
            <w:r w:rsidRPr="004739A4">
              <w:rPr>
                <w:rFonts w:ascii="Aptos" w:hAnsi="Aptos"/>
                <w:noProof/>
                <w:webHidden/>
              </w:rPr>
              <w:fldChar w:fldCharType="separate"/>
            </w:r>
            <w:r w:rsidR="009A653A">
              <w:rPr>
                <w:rFonts w:ascii="Aptos" w:hAnsi="Aptos"/>
                <w:noProof/>
                <w:webHidden/>
              </w:rPr>
              <w:t>21</w:t>
            </w:r>
            <w:r w:rsidRPr="004739A4">
              <w:rPr>
                <w:rFonts w:ascii="Aptos" w:hAnsi="Aptos"/>
                <w:noProof/>
                <w:webHidden/>
              </w:rPr>
              <w:fldChar w:fldCharType="end"/>
            </w:r>
          </w:hyperlink>
        </w:p>
        <w:p w:rsidRPr="004739A4" w:rsidR="004739A4" w:rsidP="2302A0EF" w:rsidRDefault="004739A4" w14:paraId="6B0391CE" w14:textId="2D896DB9" w14:noSpellErr="1">
          <w:pPr>
            <w:pStyle w:val="TOC3"/>
            <w:tabs>
              <w:tab w:val="right" w:leader="dot" w:pos="9016"/>
            </w:tabs>
            <w:rPr>
              <w:rFonts w:ascii="Arial" w:hAnsi="Arial" w:eastAsia="Arial" w:cs="Arial"/>
              <w:i w:val="0"/>
              <w:iCs w:val="0"/>
              <w:noProof/>
              <w:sz w:val="22"/>
              <w:szCs w:val="22"/>
              <w:lang w:eastAsia="en-GB"/>
            </w:rPr>
          </w:pPr>
          <w:hyperlink w:history="1" w:anchor="_Toc208163487">
            <w:r w:rsidRPr="004739A4" w:rsidR="004739A4">
              <w:rPr>
                <w:rStyle w:val="Hyperlink"/>
                <w:rFonts w:ascii="Aptos" w:hAnsi="Aptos"/>
                <w:noProof/>
              </w:rPr>
              <w:t>3.2.6 – Analysing Research</w:t>
            </w:r>
            <w:r w:rsidRPr="004739A4">
              <w:rPr>
                <w:rFonts w:ascii="Aptos" w:hAnsi="Aptos"/>
                <w:noProof/>
                <w:webHidden/>
              </w:rPr>
              <w:tab/>
            </w:r>
            <w:r w:rsidRPr="004739A4">
              <w:rPr>
                <w:rFonts w:ascii="Aptos" w:hAnsi="Aptos"/>
                <w:noProof/>
                <w:webHidden/>
              </w:rPr>
              <w:fldChar w:fldCharType="begin"/>
            </w:r>
            <w:r w:rsidRPr="004739A4">
              <w:rPr>
                <w:rFonts w:ascii="Aptos" w:hAnsi="Aptos"/>
                <w:noProof/>
                <w:webHidden/>
              </w:rPr>
              <w:instrText xml:space="preserve"> PAGEREF _Toc208163487 \h </w:instrText>
            </w:r>
            <w:r w:rsidRPr="004739A4">
              <w:rPr>
                <w:rFonts w:ascii="Aptos" w:hAnsi="Aptos"/>
                <w:noProof/>
                <w:webHidden/>
              </w:rPr>
            </w:r>
            <w:r w:rsidRPr="004739A4">
              <w:rPr>
                <w:rFonts w:ascii="Aptos" w:hAnsi="Aptos"/>
                <w:noProof/>
                <w:webHidden/>
              </w:rPr>
              <w:fldChar w:fldCharType="separate"/>
            </w:r>
            <w:r w:rsidR="009A653A">
              <w:rPr>
                <w:rFonts w:ascii="Aptos" w:hAnsi="Aptos"/>
                <w:noProof/>
                <w:webHidden/>
              </w:rPr>
              <w:t>22</w:t>
            </w:r>
            <w:r w:rsidRPr="004739A4">
              <w:rPr>
                <w:rFonts w:ascii="Aptos" w:hAnsi="Aptos"/>
                <w:noProof/>
                <w:webHidden/>
              </w:rPr>
              <w:fldChar w:fldCharType="end"/>
            </w:r>
          </w:hyperlink>
        </w:p>
        <w:p w:rsidRPr="004739A4" w:rsidR="004739A4" w:rsidP="2302A0EF" w:rsidRDefault="004739A4" w14:paraId="02FD897F" w14:textId="71EE18FE" w14:noSpellErr="1">
          <w:pPr>
            <w:pStyle w:val="TOC3"/>
            <w:tabs>
              <w:tab w:val="right" w:leader="dot" w:pos="9016"/>
            </w:tabs>
            <w:rPr>
              <w:rFonts w:ascii="Arial" w:hAnsi="Arial" w:eastAsia="Arial" w:cs="Arial"/>
              <w:i w:val="0"/>
              <w:iCs w:val="0"/>
              <w:noProof/>
              <w:sz w:val="22"/>
              <w:szCs w:val="22"/>
              <w:lang w:eastAsia="en-GB"/>
            </w:rPr>
          </w:pPr>
          <w:hyperlink w:history="1" w:anchor="_Toc208163488">
            <w:r w:rsidRPr="004739A4" w:rsidR="004739A4">
              <w:rPr>
                <w:rStyle w:val="Hyperlink"/>
                <w:rFonts w:ascii="Aptos" w:hAnsi="Aptos"/>
                <w:noProof/>
              </w:rPr>
              <w:t>3.2.7 – Ethical Considerations</w:t>
            </w:r>
            <w:r w:rsidRPr="004739A4">
              <w:rPr>
                <w:rFonts w:ascii="Aptos" w:hAnsi="Aptos"/>
                <w:noProof/>
                <w:webHidden/>
              </w:rPr>
              <w:tab/>
            </w:r>
            <w:r w:rsidRPr="004739A4">
              <w:rPr>
                <w:rFonts w:ascii="Aptos" w:hAnsi="Aptos"/>
                <w:noProof/>
                <w:webHidden/>
              </w:rPr>
              <w:fldChar w:fldCharType="begin"/>
            </w:r>
            <w:r w:rsidRPr="004739A4">
              <w:rPr>
                <w:rFonts w:ascii="Aptos" w:hAnsi="Aptos"/>
                <w:noProof/>
                <w:webHidden/>
              </w:rPr>
              <w:instrText xml:space="preserve"> PAGEREF _Toc208163488 \h </w:instrText>
            </w:r>
            <w:r w:rsidRPr="004739A4">
              <w:rPr>
                <w:rFonts w:ascii="Aptos" w:hAnsi="Aptos"/>
                <w:noProof/>
                <w:webHidden/>
              </w:rPr>
            </w:r>
            <w:r w:rsidRPr="004739A4">
              <w:rPr>
                <w:rFonts w:ascii="Aptos" w:hAnsi="Aptos"/>
                <w:noProof/>
                <w:webHidden/>
              </w:rPr>
              <w:fldChar w:fldCharType="separate"/>
            </w:r>
            <w:r w:rsidR="009A653A">
              <w:rPr>
                <w:rFonts w:ascii="Aptos" w:hAnsi="Aptos"/>
                <w:noProof/>
                <w:webHidden/>
              </w:rPr>
              <w:t>23</w:t>
            </w:r>
            <w:r w:rsidRPr="004739A4">
              <w:rPr>
                <w:rFonts w:ascii="Aptos" w:hAnsi="Aptos"/>
                <w:noProof/>
                <w:webHidden/>
              </w:rPr>
              <w:fldChar w:fldCharType="end"/>
            </w:r>
          </w:hyperlink>
        </w:p>
        <w:p w:rsidRPr="004739A4" w:rsidR="004739A4" w:rsidP="2302A0EF" w:rsidRDefault="004739A4" w14:paraId="539071C7" w14:textId="4CE57527" w14:noSpellErr="1">
          <w:pPr>
            <w:pStyle w:val="TOC3"/>
            <w:tabs>
              <w:tab w:val="right" w:leader="dot" w:pos="9016"/>
            </w:tabs>
            <w:rPr>
              <w:rFonts w:ascii="Arial" w:hAnsi="Arial" w:eastAsia="Arial" w:cs="Arial"/>
              <w:i w:val="0"/>
              <w:iCs w:val="0"/>
              <w:noProof/>
              <w:sz w:val="22"/>
              <w:szCs w:val="22"/>
              <w:lang w:eastAsia="en-GB"/>
            </w:rPr>
          </w:pPr>
          <w:hyperlink w:history="1" w:anchor="_Toc208163489">
            <w:r w:rsidRPr="004739A4" w:rsidR="004739A4">
              <w:rPr>
                <w:rStyle w:val="Hyperlink"/>
                <w:rFonts w:ascii="Aptos" w:hAnsi="Aptos"/>
                <w:noProof/>
              </w:rPr>
              <w:t>3.2.8 – Chapter Conclusion</w:t>
            </w:r>
            <w:r w:rsidRPr="004739A4">
              <w:rPr>
                <w:rFonts w:ascii="Aptos" w:hAnsi="Aptos"/>
                <w:noProof/>
                <w:webHidden/>
              </w:rPr>
              <w:tab/>
            </w:r>
            <w:r w:rsidRPr="004739A4">
              <w:rPr>
                <w:rFonts w:ascii="Aptos" w:hAnsi="Aptos"/>
                <w:noProof/>
                <w:webHidden/>
              </w:rPr>
              <w:fldChar w:fldCharType="begin"/>
            </w:r>
            <w:r w:rsidRPr="004739A4">
              <w:rPr>
                <w:rFonts w:ascii="Aptos" w:hAnsi="Aptos"/>
                <w:noProof/>
                <w:webHidden/>
              </w:rPr>
              <w:instrText xml:space="preserve"> PAGEREF _Toc208163489 \h </w:instrText>
            </w:r>
            <w:r w:rsidRPr="004739A4">
              <w:rPr>
                <w:rFonts w:ascii="Aptos" w:hAnsi="Aptos"/>
                <w:noProof/>
                <w:webHidden/>
              </w:rPr>
            </w:r>
            <w:r w:rsidRPr="004739A4">
              <w:rPr>
                <w:rFonts w:ascii="Aptos" w:hAnsi="Aptos"/>
                <w:noProof/>
                <w:webHidden/>
              </w:rPr>
              <w:fldChar w:fldCharType="separate"/>
            </w:r>
            <w:r w:rsidR="009A653A">
              <w:rPr>
                <w:rFonts w:ascii="Aptos" w:hAnsi="Aptos"/>
                <w:noProof/>
                <w:webHidden/>
              </w:rPr>
              <w:t>24</w:t>
            </w:r>
            <w:r w:rsidRPr="004739A4">
              <w:rPr>
                <w:rFonts w:ascii="Aptos" w:hAnsi="Aptos"/>
                <w:noProof/>
                <w:webHidden/>
              </w:rPr>
              <w:fldChar w:fldCharType="end"/>
            </w:r>
          </w:hyperlink>
        </w:p>
        <w:p w:rsidRPr="004739A4" w:rsidR="004739A4" w:rsidP="2302A0EF" w:rsidRDefault="004739A4" w14:paraId="6769B250" w14:textId="2B1E34CC" w14:noSpellErr="1">
          <w:pPr>
            <w:pStyle w:val="TOC1"/>
            <w:tabs>
              <w:tab w:val="right" w:leader="dot" w:pos="9016"/>
            </w:tabs>
            <w:rPr>
              <w:rFonts w:ascii="Arial" w:hAnsi="Arial" w:eastAsia="Arial" w:cs="Arial"/>
              <w:b w:val="0"/>
              <w:bCs w:val="0"/>
              <w:caps w:val="0"/>
              <w:smallCaps w:val="0"/>
              <w:noProof/>
              <w:sz w:val="22"/>
              <w:szCs w:val="22"/>
              <w:lang w:eastAsia="en-GB"/>
            </w:rPr>
          </w:pPr>
          <w:hyperlink w:history="1" w:anchor="_Toc208163490">
            <w:r w:rsidRPr="004739A4" w:rsidR="004739A4">
              <w:rPr>
                <w:rStyle w:val="Hyperlink"/>
                <w:rFonts w:ascii="Aptos" w:hAnsi="Aptos"/>
                <w:noProof/>
                <w:lang w:bidi="en-GB"/>
              </w:rPr>
              <w:t>CHAPTER 4 – Findings and Discussion</w:t>
            </w:r>
            <w:r w:rsidRPr="004739A4">
              <w:rPr>
                <w:rFonts w:ascii="Aptos" w:hAnsi="Aptos"/>
                <w:noProof/>
                <w:webHidden/>
              </w:rPr>
              <w:tab/>
            </w:r>
            <w:r w:rsidRPr="004739A4">
              <w:rPr>
                <w:rFonts w:ascii="Aptos" w:hAnsi="Aptos"/>
                <w:noProof/>
                <w:webHidden/>
              </w:rPr>
              <w:fldChar w:fldCharType="begin"/>
            </w:r>
            <w:r w:rsidRPr="004739A4">
              <w:rPr>
                <w:rFonts w:ascii="Aptos" w:hAnsi="Aptos"/>
                <w:noProof/>
                <w:webHidden/>
              </w:rPr>
              <w:instrText xml:space="preserve"> PAGEREF _Toc208163490 \h </w:instrText>
            </w:r>
            <w:r w:rsidRPr="004739A4">
              <w:rPr>
                <w:rFonts w:ascii="Aptos" w:hAnsi="Aptos"/>
                <w:noProof/>
                <w:webHidden/>
              </w:rPr>
            </w:r>
            <w:r w:rsidRPr="004739A4">
              <w:rPr>
                <w:rFonts w:ascii="Aptos" w:hAnsi="Aptos"/>
                <w:noProof/>
                <w:webHidden/>
              </w:rPr>
              <w:fldChar w:fldCharType="separate"/>
            </w:r>
            <w:r w:rsidR="009A653A">
              <w:rPr>
                <w:rFonts w:ascii="Aptos" w:hAnsi="Aptos"/>
                <w:noProof/>
                <w:webHidden/>
              </w:rPr>
              <w:t>25</w:t>
            </w:r>
            <w:r w:rsidRPr="004739A4">
              <w:rPr>
                <w:rFonts w:ascii="Aptos" w:hAnsi="Aptos"/>
                <w:noProof/>
                <w:webHidden/>
              </w:rPr>
              <w:fldChar w:fldCharType="end"/>
            </w:r>
          </w:hyperlink>
        </w:p>
        <w:p w:rsidRPr="004739A4" w:rsidR="004739A4" w:rsidP="2302A0EF" w:rsidRDefault="004739A4" w14:paraId="5CEAA1CB" w14:textId="5FC51A15" w14:noSpellErr="1">
          <w:pPr>
            <w:pStyle w:val="TOC2"/>
            <w:tabs>
              <w:tab w:val="right" w:leader="dot" w:pos="9016"/>
            </w:tabs>
            <w:rPr>
              <w:rFonts w:ascii="Arial" w:hAnsi="Arial" w:eastAsia="Arial" w:cs="Arial"/>
              <w:caps w:val="0"/>
              <w:smallCaps w:val="0"/>
              <w:noProof/>
              <w:sz w:val="22"/>
              <w:szCs w:val="22"/>
              <w:lang w:eastAsia="en-GB"/>
            </w:rPr>
          </w:pPr>
          <w:hyperlink w:history="1" w:anchor="_Toc208163491">
            <w:r w:rsidRPr="004739A4" w:rsidR="004739A4">
              <w:rPr>
                <w:rStyle w:val="Hyperlink"/>
                <w:rFonts w:ascii="Aptos" w:hAnsi="Aptos"/>
                <w:noProof/>
              </w:rPr>
              <w:t>4.1 – Introduction</w:t>
            </w:r>
            <w:r w:rsidRPr="004739A4">
              <w:rPr>
                <w:rFonts w:ascii="Aptos" w:hAnsi="Aptos"/>
                <w:noProof/>
                <w:webHidden/>
              </w:rPr>
              <w:tab/>
            </w:r>
            <w:r w:rsidRPr="004739A4">
              <w:rPr>
                <w:rFonts w:ascii="Aptos" w:hAnsi="Aptos"/>
                <w:noProof/>
                <w:webHidden/>
              </w:rPr>
              <w:fldChar w:fldCharType="begin"/>
            </w:r>
            <w:r w:rsidRPr="004739A4">
              <w:rPr>
                <w:rFonts w:ascii="Aptos" w:hAnsi="Aptos"/>
                <w:noProof/>
                <w:webHidden/>
              </w:rPr>
              <w:instrText xml:space="preserve"> PAGEREF _Toc208163491 \h </w:instrText>
            </w:r>
            <w:r w:rsidRPr="004739A4">
              <w:rPr>
                <w:rFonts w:ascii="Aptos" w:hAnsi="Aptos"/>
                <w:noProof/>
                <w:webHidden/>
              </w:rPr>
            </w:r>
            <w:r w:rsidRPr="004739A4">
              <w:rPr>
                <w:rFonts w:ascii="Aptos" w:hAnsi="Aptos"/>
                <w:noProof/>
                <w:webHidden/>
              </w:rPr>
              <w:fldChar w:fldCharType="separate"/>
            </w:r>
            <w:r w:rsidR="009A653A">
              <w:rPr>
                <w:rFonts w:ascii="Aptos" w:hAnsi="Aptos"/>
                <w:noProof/>
                <w:webHidden/>
              </w:rPr>
              <w:t>25</w:t>
            </w:r>
            <w:r w:rsidRPr="004739A4">
              <w:rPr>
                <w:rFonts w:ascii="Aptos" w:hAnsi="Aptos"/>
                <w:noProof/>
                <w:webHidden/>
              </w:rPr>
              <w:fldChar w:fldCharType="end"/>
            </w:r>
          </w:hyperlink>
        </w:p>
        <w:p w:rsidRPr="004739A4" w:rsidR="004739A4" w:rsidP="2302A0EF" w:rsidRDefault="004739A4" w14:paraId="304DD6D1" w14:textId="4783E20F" w14:noSpellErr="1">
          <w:pPr>
            <w:pStyle w:val="TOC2"/>
            <w:tabs>
              <w:tab w:val="right" w:leader="dot" w:pos="9016"/>
            </w:tabs>
            <w:rPr>
              <w:rFonts w:ascii="Arial" w:hAnsi="Arial" w:eastAsia="Arial" w:cs="Arial"/>
              <w:caps w:val="0"/>
              <w:smallCaps w:val="0"/>
              <w:noProof/>
              <w:sz w:val="22"/>
              <w:szCs w:val="22"/>
              <w:lang w:eastAsia="en-GB"/>
            </w:rPr>
          </w:pPr>
          <w:hyperlink w:history="1" w:anchor="_Toc208163492">
            <w:r w:rsidRPr="004739A4" w:rsidR="004739A4">
              <w:rPr>
                <w:rStyle w:val="Hyperlink"/>
                <w:rFonts w:ascii="Aptos" w:hAnsi="Aptos"/>
                <w:noProof/>
              </w:rPr>
              <w:t>4.2 – Thematic Analysis</w:t>
            </w:r>
            <w:r w:rsidRPr="004739A4">
              <w:rPr>
                <w:rFonts w:ascii="Aptos" w:hAnsi="Aptos"/>
                <w:noProof/>
                <w:webHidden/>
              </w:rPr>
              <w:tab/>
            </w:r>
            <w:r w:rsidRPr="004739A4">
              <w:rPr>
                <w:rFonts w:ascii="Aptos" w:hAnsi="Aptos"/>
                <w:noProof/>
                <w:webHidden/>
              </w:rPr>
              <w:fldChar w:fldCharType="begin"/>
            </w:r>
            <w:r w:rsidRPr="004739A4">
              <w:rPr>
                <w:rFonts w:ascii="Aptos" w:hAnsi="Aptos"/>
                <w:noProof/>
                <w:webHidden/>
              </w:rPr>
              <w:instrText xml:space="preserve"> PAGEREF _Toc208163492 \h </w:instrText>
            </w:r>
            <w:r w:rsidRPr="004739A4">
              <w:rPr>
                <w:rFonts w:ascii="Aptos" w:hAnsi="Aptos"/>
                <w:noProof/>
                <w:webHidden/>
              </w:rPr>
            </w:r>
            <w:r w:rsidRPr="004739A4">
              <w:rPr>
                <w:rFonts w:ascii="Aptos" w:hAnsi="Aptos"/>
                <w:noProof/>
                <w:webHidden/>
              </w:rPr>
              <w:fldChar w:fldCharType="separate"/>
            </w:r>
            <w:r w:rsidR="009A653A">
              <w:rPr>
                <w:rFonts w:ascii="Aptos" w:hAnsi="Aptos"/>
                <w:noProof/>
                <w:webHidden/>
              </w:rPr>
              <w:t>25</w:t>
            </w:r>
            <w:r w:rsidRPr="004739A4">
              <w:rPr>
                <w:rFonts w:ascii="Aptos" w:hAnsi="Aptos"/>
                <w:noProof/>
                <w:webHidden/>
              </w:rPr>
              <w:fldChar w:fldCharType="end"/>
            </w:r>
          </w:hyperlink>
        </w:p>
        <w:p w:rsidRPr="004739A4" w:rsidR="004739A4" w:rsidP="2302A0EF" w:rsidRDefault="004739A4" w14:paraId="3536E33F" w14:textId="15D111C8" w14:noSpellErr="1">
          <w:pPr>
            <w:pStyle w:val="TOC2"/>
            <w:tabs>
              <w:tab w:val="right" w:leader="dot" w:pos="9016"/>
            </w:tabs>
            <w:rPr>
              <w:rFonts w:ascii="Arial" w:hAnsi="Arial" w:eastAsia="Arial" w:cs="Arial"/>
              <w:caps w:val="0"/>
              <w:smallCaps w:val="0"/>
              <w:noProof/>
              <w:sz w:val="22"/>
              <w:szCs w:val="22"/>
              <w:lang w:eastAsia="en-GB"/>
            </w:rPr>
          </w:pPr>
          <w:hyperlink w:history="1" w:anchor="_Toc208163493">
            <w:r w:rsidRPr="004739A4" w:rsidR="004739A4">
              <w:rPr>
                <w:rStyle w:val="Hyperlink"/>
                <w:rFonts w:ascii="Aptos" w:hAnsi="Aptos"/>
                <w:noProof/>
              </w:rPr>
              <w:t>4.3 Theme 1 – Barriers to Accessing Mental Health Services</w:t>
            </w:r>
            <w:r w:rsidRPr="004739A4">
              <w:rPr>
                <w:rFonts w:ascii="Aptos" w:hAnsi="Aptos"/>
                <w:noProof/>
                <w:webHidden/>
              </w:rPr>
              <w:tab/>
            </w:r>
            <w:r w:rsidRPr="004739A4">
              <w:rPr>
                <w:rFonts w:ascii="Aptos" w:hAnsi="Aptos"/>
                <w:noProof/>
                <w:webHidden/>
              </w:rPr>
              <w:fldChar w:fldCharType="begin"/>
            </w:r>
            <w:r w:rsidRPr="004739A4">
              <w:rPr>
                <w:rFonts w:ascii="Aptos" w:hAnsi="Aptos"/>
                <w:noProof/>
                <w:webHidden/>
              </w:rPr>
              <w:instrText xml:space="preserve"> PAGEREF _Toc208163493 \h </w:instrText>
            </w:r>
            <w:r w:rsidRPr="004739A4">
              <w:rPr>
                <w:rFonts w:ascii="Aptos" w:hAnsi="Aptos"/>
                <w:noProof/>
                <w:webHidden/>
              </w:rPr>
            </w:r>
            <w:r w:rsidRPr="004739A4">
              <w:rPr>
                <w:rFonts w:ascii="Aptos" w:hAnsi="Aptos"/>
                <w:noProof/>
                <w:webHidden/>
              </w:rPr>
              <w:fldChar w:fldCharType="separate"/>
            </w:r>
            <w:r w:rsidR="009A653A">
              <w:rPr>
                <w:rFonts w:ascii="Aptos" w:hAnsi="Aptos"/>
                <w:noProof/>
                <w:webHidden/>
              </w:rPr>
              <w:t>25</w:t>
            </w:r>
            <w:r w:rsidRPr="004739A4">
              <w:rPr>
                <w:rFonts w:ascii="Aptos" w:hAnsi="Aptos"/>
                <w:noProof/>
                <w:webHidden/>
              </w:rPr>
              <w:fldChar w:fldCharType="end"/>
            </w:r>
          </w:hyperlink>
        </w:p>
        <w:p w:rsidRPr="004739A4" w:rsidR="004739A4" w:rsidP="2302A0EF" w:rsidRDefault="004739A4" w14:paraId="15B8C121" w14:textId="3FD63919" w14:noSpellErr="1">
          <w:pPr>
            <w:pStyle w:val="TOC3"/>
            <w:tabs>
              <w:tab w:val="right" w:leader="dot" w:pos="9016"/>
            </w:tabs>
            <w:rPr>
              <w:rFonts w:ascii="Arial" w:hAnsi="Arial" w:eastAsia="Arial" w:cs="Arial"/>
              <w:i w:val="0"/>
              <w:iCs w:val="0"/>
              <w:noProof/>
              <w:sz w:val="22"/>
              <w:szCs w:val="22"/>
              <w:lang w:eastAsia="en-GB"/>
            </w:rPr>
          </w:pPr>
          <w:hyperlink w:history="1" w:anchor="_Toc208163494">
            <w:r w:rsidRPr="004739A4" w:rsidR="004739A4">
              <w:rPr>
                <w:rStyle w:val="Hyperlink"/>
                <w:rFonts w:ascii="Aptos" w:hAnsi="Aptos"/>
                <w:noProof/>
              </w:rPr>
              <w:t>4.3.1 Definition and Background</w:t>
            </w:r>
            <w:r w:rsidRPr="004739A4">
              <w:rPr>
                <w:rFonts w:ascii="Aptos" w:hAnsi="Aptos"/>
                <w:noProof/>
                <w:webHidden/>
              </w:rPr>
              <w:tab/>
            </w:r>
            <w:r w:rsidRPr="004739A4">
              <w:rPr>
                <w:rFonts w:ascii="Aptos" w:hAnsi="Aptos"/>
                <w:noProof/>
                <w:webHidden/>
              </w:rPr>
              <w:fldChar w:fldCharType="begin"/>
            </w:r>
            <w:r w:rsidRPr="004739A4">
              <w:rPr>
                <w:rFonts w:ascii="Aptos" w:hAnsi="Aptos"/>
                <w:noProof/>
                <w:webHidden/>
              </w:rPr>
              <w:instrText xml:space="preserve"> PAGEREF _Toc208163494 \h </w:instrText>
            </w:r>
            <w:r w:rsidRPr="004739A4">
              <w:rPr>
                <w:rFonts w:ascii="Aptos" w:hAnsi="Aptos"/>
                <w:noProof/>
                <w:webHidden/>
              </w:rPr>
            </w:r>
            <w:r w:rsidRPr="004739A4">
              <w:rPr>
                <w:rFonts w:ascii="Aptos" w:hAnsi="Aptos"/>
                <w:noProof/>
                <w:webHidden/>
              </w:rPr>
              <w:fldChar w:fldCharType="separate"/>
            </w:r>
            <w:r w:rsidR="009A653A">
              <w:rPr>
                <w:rFonts w:ascii="Aptos" w:hAnsi="Aptos"/>
                <w:noProof/>
                <w:webHidden/>
              </w:rPr>
              <w:t>25</w:t>
            </w:r>
            <w:r w:rsidRPr="004739A4">
              <w:rPr>
                <w:rFonts w:ascii="Aptos" w:hAnsi="Aptos"/>
                <w:noProof/>
                <w:webHidden/>
              </w:rPr>
              <w:fldChar w:fldCharType="end"/>
            </w:r>
          </w:hyperlink>
        </w:p>
        <w:p w:rsidRPr="004739A4" w:rsidR="004739A4" w:rsidP="2302A0EF" w:rsidRDefault="004739A4" w14:paraId="6BD5CF46" w14:textId="52FF881F" w14:noSpellErr="1">
          <w:pPr>
            <w:pStyle w:val="TOC3"/>
            <w:tabs>
              <w:tab w:val="right" w:leader="dot" w:pos="9016"/>
            </w:tabs>
            <w:rPr>
              <w:rFonts w:ascii="Arial" w:hAnsi="Arial" w:eastAsia="Arial" w:cs="Arial"/>
              <w:i w:val="0"/>
              <w:iCs w:val="0"/>
              <w:noProof/>
              <w:sz w:val="22"/>
              <w:szCs w:val="22"/>
              <w:lang w:eastAsia="en-GB"/>
            </w:rPr>
          </w:pPr>
          <w:hyperlink w:history="1" w:anchor="_Toc208163495">
            <w:r w:rsidRPr="004739A4" w:rsidR="004739A4">
              <w:rPr>
                <w:rStyle w:val="Hyperlink"/>
                <w:rFonts w:ascii="Aptos" w:hAnsi="Aptos"/>
                <w:noProof/>
              </w:rPr>
              <w:t>4.3.2 Findings and Evidence</w:t>
            </w:r>
            <w:r w:rsidRPr="004739A4">
              <w:rPr>
                <w:rFonts w:ascii="Aptos" w:hAnsi="Aptos"/>
                <w:noProof/>
                <w:webHidden/>
              </w:rPr>
              <w:tab/>
            </w:r>
            <w:r w:rsidRPr="004739A4">
              <w:rPr>
                <w:rFonts w:ascii="Aptos" w:hAnsi="Aptos"/>
                <w:noProof/>
                <w:webHidden/>
              </w:rPr>
              <w:fldChar w:fldCharType="begin"/>
            </w:r>
            <w:r w:rsidRPr="004739A4">
              <w:rPr>
                <w:rFonts w:ascii="Aptos" w:hAnsi="Aptos"/>
                <w:noProof/>
                <w:webHidden/>
              </w:rPr>
              <w:instrText xml:space="preserve"> PAGEREF _Toc208163495 \h </w:instrText>
            </w:r>
            <w:r w:rsidRPr="004739A4">
              <w:rPr>
                <w:rFonts w:ascii="Aptos" w:hAnsi="Aptos"/>
                <w:noProof/>
                <w:webHidden/>
              </w:rPr>
            </w:r>
            <w:r w:rsidRPr="004739A4">
              <w:rPr>
                <w:rFonts w:ascii="Aptos" w:hAnsi="Aptos"/>
                <w:noProof/>
                <w:webHidden/>
              </w:rPr>
              <w:fldChar w:fldCharType="separate"/>
            </w:r>
            <w:r w:rsidR="009A653A">
              <w:rPr>
                <w:rFonts w:ascii="Aptos" w:hAnsi="Aptos"/>
                <w:noProof/>
                <w:webHidden/>
              </w:rPr>
              <w:t>26</w:t>
            </w:r>
            <w:r w:rsidRPr="004739A4">
              <w:rPr>
                <w:rFonts w:ascii="Aptos" w:hAnsi="Aptos"/>
                <w:noProof/>
                <w:webHidden/>
              </w:rPr>
              <w:fldChar w:fldCharType="end"/>
            </w:r>
          </w:hyperlink>
        </w:p>
        <w:p w:rsidRPr="004739A4" w:rsidR="004739A4" w:rsidP="2302A0EF" w:rsidRDefault="004739A4" w14:paraId="047DAACB" w14:textId="4C3ABA13" w14:noSpellErr="1">
          <w:pPr>
            <w:pStyle w:val="TOC3"/>
            <w:tabs>
              <w:tab w:val="right" w:leader="dot" w:pos="9016"/>
            </w:tabs>
            <w:rPr>
              <w:rFonts w:ascii="Arial" w:hAnsi="Arial" w:eastAsia="Arial" w:cs="Arial"/>
              <w:i w:val="0"/>
              <w:iCs w:val="0"/>
              <w:noProof/>
              <w:sz w:val="22"/>
              <w:szCs w:val="22"/>
              <w:lang w:eastAsia="en-GB"/>
            </w:rPr>
          </w:pPr>
          <w:hyperlink w:history="1" w:anchor="_Toc208163496">
            <w:r w:rsidRPr="004739A4" w:rsidR="004739A4">
              <w:rPr>
                <w:rStyle w:val="Hyperlink"/>
                <w:rFonts w:ascii="Aptos" w:hAnsi="Aptos"/>
                <w:noProof/>
              </w:rPr>
              <w:t>4.3.3 Critical Discussion</w:t>
            </w:r>
            <w:r w:rsidRPr="004739A4">
              <w:rPr>
                <w:rFonts w:ascii="Aptos" w:hAnsi="Aptos"/>
                <w:noProof/>
                <w:webHidden/>
              </w:rPr>
              <w:tab/>
            </w:r>
            <w:r w:rsidRPr="004739A4">
              <w:rPr>
                <w:rFonts w:ascii="Aptos" w:hAnsi="Aptos"/>
                <w:noProof/>
                <w:webHidden/>
              </w:rPr>
              <w:fldChar w:fldCharType="begin"/>
            </w:r>
            <w:r w:rsidRPr="004739A4">
              <w:rPr>
                <w:rFonts w:ascii="Aptos" w:hAnsi="Aptos"/>
                <w:noProof/>
                <w:webHidden/>
              </w:rPr>
              <w:instrText xml:space="preserve"> PAGEREF _Toc208163496 \h </w:instrText>
            </w:r>
            <w:r w:rsidRPr="004739A4">
              <w:rPr>
                <w:rFonts w:ascii="Aptos" w:hAnsi="Aptos"/>
                <w:noProof/>
                <w:webHidden/>
              </w:rPr>
            </w:r>
            <w:r w:rsidRPr="004739A4">
              <w:rPr>
                <w:rFonts w:ascii="Aptos" w:hAnsi="Aptos"/>
                <w:noProof/>
                <w:webHidden/>
              </w:rPr>
              <w:fldChar w:fldCharType="separate"/>
            </w:r>
            <w:r w:rsidR="009A653A">
              <w:rPr>
                <w:rFonts w:ascii="Aptos" w:hAnsi="Aptos"/>
                <w:noProof/>
                <w:webHidden/>
              </w:rPr>
              <w:t>27</w:t>
            </w:r>
            <w:r w:rsidRPr="004739A4">
              <w:rPr>
                <w:rFonts w:ascii="Aptos" w:hAnsi="Aptos"/>
                <w:noProof/>
                <w:webHidden/>
              </w:rPr>
              <w:fldChar w:fldCharType="end"/>
            </w:r>
          </w:hyperlink>
        </w:p>
        <w:p w:rsidRPr="004739A4" w:rsidR="004739A4" w:rsidP="2302A0EF" w:rsidRDefault="004739A4" w14:paraId="640DD2AF" w14:textId="477E4F84" w14:noSpellErr="1">
          <w:pPr>
            <w:pStyle w:val="TOC2"/>
            <w:tabs>
              <w:tab w:val="right" w:leader="dot" w:pos="9016"/>
            </w:tabs>
            <w:rPr>
              <w:rFonts w:ascii="Arial" w:hAnsi="Arial" w:eastAsia="Arial" w:cs="Arial"/>
              <w:caps w:val="0"/>
              <w:smallCaps w:val="0"/>
              <w:noProof/>
              <w:sz w:val="22"/>
              <w:szCs w:val="22"/>
              <w:lang w:eastAsia="en-GB"/>
            </w:rPr>
          </w:pPr>
          <w:hyperlink w:history="1" w:anchor="_Toc208163497">
            <w:r w:rsidRPr="004739A4" w:rsidR="004739A4">
              <w:rPr>
                <w:rStyle w:val="Hyperlink"/>
                <w:rFonts w:ascii="Aptos" w:hAnsi="Aptos"/>
                <w:noProof/>
              </w:rPr>
              <w:t>4.4 Theme 2 – Policy and Service Gaps</w:t>
            </w:r>
            <w:r w:rsidRPr="004739A4">
              <w:rPr>
                <w:rFonts w:ascii="Aptos" w:hAnsi="Aptos"/>
                <w:noProof/>
                <w:webHidden/>
              </w:rPr>
              <w:tab/>
            </w:r>
            <w:r w:rsidRPr="004739A4">
              <w:rPr>
                <w:rFonts w:ascii="Aptos" w:hAnsi="Aptos"/>
                <w:noProof/>
                <w:webHidden/>
              </w:rPr>
              <w:fldChar w:fldCharType="begin"/>
            </w:r>
            <w:r w:rsidRPr="004739A4">
              <w:rPr>
                <w:rFonts w:ascii="Aptos" w:hAnsi="Aptos"/>
                <w:noProof/>
                <w:webHidden/>
              </w:rPr>
              <w:instrText xml:space="preserve"> PAGEREF _Toc208163497 \h </w:instrText>
            </w:r>
            <w:r w:rsidRPr="004739A4">
              <w:rPr>
                <w:rFonts w:ascii="Aptos" w:hAnsi="Aptos"/>
                <w:noProof/>
                <w:webHidden/>
              </w:rPr>
            </w:r>
            <w:r w:rsidRPr="004739A4">
              <w:rPr>
                <w:rFonts w:ascii="Aptos" w:hAnsi="Aptos"/>
                <w:noProof/>
                <w:webHidden/>
              </w:rPr>
              <w:fldChar w:fldCharType="separate"/>
            </w:r>
            <w:r w:rsidR="009A653A">
              <w:rPr>
                <w:rFonts w:ascii="Aptos" w:hAnsi="Aptos"/>
                <w:noProof/>
                <w:webHidden/>
              </w:rPr>
              <w:t>28</w:t>
            </w:r>
            <w:r w:rsidRPr="004739A4">
              <w:rPr>
                <w:rFonts w:ascii="Aptos" w:hAnsi="Aptos"/>
                <w:noProof/>
                <w:webHidden/>
              </w:rPr>
              <w:fldChar w:fldCharType="end"/>
            </w:r>
          </w:hyperlink>
        </w:p>
        <w:p w:rsidRPr="004739A4" w:rsidR="004739A4" w:rsidP="2302A0EF" w:rsidRDefault="004739A4" w14:paraId="01587279" w14:textId="4A9AB43A" w14:noSpellErr="1">
          <w:pPr>
            <w:pStyle w:val="TOC3"/>
            <w:tabs>
              <w:tab w:val="right" w:leader="dot" w:pos="9016"/>
            </w:tabs>
            <w:rPr>
              <w:rFonts w:ascii="Arial" w:hAnsi="Arial" w:eastAsia="Arial" w:cs="Arial"/>
              <w:i w:val="0"/>
              <w:iCs w:val="0"/>
              <w:noProof/>
              <w:sz w:val="22"/>
              <w:szCs w:val="22"/>
              <w:lang w:eastAsia="en-GB"/>
            </w:rPr>
          </w:pPr>
          <w:hyperlink w:history="1" w:anchor="_Toc208163498">
            <w:r w:rsidRPr="004739A4" w:rsidR="004739A4">
              <w:rPr>
                <w:rStyle w:val="Hyperlink"/>
                <w:rFonts w:ascii="Aptos" w:hAnsi="Aptos"/>
                <w:noProof/>
              </w:rPr>
              <w:t>4.4.1 Definition and Background</w:t>
            </w:r>
            <w:r w:rsidRPr="004739A4">
              <w:rPr>
                <w:rFonts w:ascii="Aptos" w:hAnsi="Aptos"/>
                <w:noProof/>
                <w:webHidden/>
              </w:rPr>
              <w:tab/>
            </w:r>
            <w:r w:rsidRPr="004739A4">
              <w:rPr>
                <w:rFonts w:ascii="Aptos" w:hAnsi="Aptos"/>
                <w:noProof/>
                <w:webHidden/>
              </w:rPr>
              <w:fldChar w:fldCharType="begin"/>
            </w:r>
            <w:r w:rsidRPr="004739A4">
              <w:rPr>
                <w:rFonts w:ascii="Aptos" w:hAnsi="Aptos"/>
                <w:noProof/>
                <w:webHidden/>
              </w:rPr>
              <w:instrText xml:space="preserve"> PAGEREF _Toc208163498 \h </w:instrText>
            </w:r>
            <w:r w:rsidRPr="004739A4">
              <w:rPr>
                <w:rFonts w:ascii="Aptos" w:hAnsi="Aptos"/>
                <w:noProof/>
                <w:webHidden/>
              </w:rPr>
            </w:r>
            <w:r w:rsidRPr="004739A4">
              <w:rPr>
                <w:rFonts w:ascii="Aptos" w:hAnsi="Aptos"/>
                <w:noProof/>
                <w:webHidden/>
              </w:rPr>
              <w:fldChar w:fldCharType="separate"/>
            </w:r>
            <w:r w:rsidR="009A653A">
              <w:rPr>
                <w:rFonts w:ascii="Aptos" w:hAnsi="Aptos"/>
                <w:noProof/>
                <w:webHidden/>
              </w:rPr>
              <w:t>28</w:t>
            </w:r>
            <w:r w:rsidRPr="004739A4">
              <w:rPr>
                <w:rFonts w:ascii="Aptos" w:hAnsi="Aptos"/>
                <w:noProof/>
                <w:webHidden/>
              </w:rPr>
              <w:fldChar w:fldCharType="end"/>
            </w:r>
          </w:hyperlink>
        </w:p>
        <w:p w:rsidRPr="004739A4" w:rsidR="004739A4" w:rsidP="2302A0EF" w:rsidRDefault="004739A4" w14:paraId="392C38D7" w14:textId="2C41BBFA" w14:noSpellErr="1">
          <w:pPr>
            <w:pStyle w:val="TOC3"/>
            <w:tabs>
              <w:tab w:val="right" w:leader="dot" w:pos="9016"/>
            </w:tabs>
            <w:rPr>
              <w:rFonts w:ascii="Arial" w:hAnsi="Arial" w:eastAsia="Arial" w:cs="Arial"/>
              <w:i w:val="0"/>
              <w:iCs w:val="0"/>
              <w:noProof/>
              <w:sz w:val="22"/>
              <w:szCs w:val="22"/>
              <w:lang w:eastAsia="en-GB"/>
            </w:rPr>
          </w:pPr>
          <w:hyperlink w:history="1" w:anchor="_Toc208163499">
            <w:r w:rsidRPr="004739A4" w:rsidR="004739A4">
              <w:rPr>
                <w:rStyle w:val="Hyperlink"/>
                <w:rFonts w:ascii="Aptos" w:hAnsi="Aptos"/>
                <w:noProof/>
              </w:rPr>
              <w:t>4.4.2 Findings and Evidence</w:t>
            </w:r>
            <w:r w:rsidRPr="004739A4">
              <w:rPr>
                <w:rFonts w:ascii="Aptos" w:hAnsi="Aptos"/>
                <w:noProof/>
                <w:webHidden/>
              </w:rPr>
              <w:tab/>
            </w:r>
            <w:r w:rsidRPr="004739A4">
              <w:rPr>
                <w:rFonts w:ascii="Aptos" w:hAnsi="Aptos"/>
                <w:noProof/>
                <w:webHidden/>
              </w:rPr>
              <w:fldChar w:fldCharType="begin"/>
            </w:r>
            <w:r w:rsidRPr="004739A4">
              <w:rPr>
                <w:rFonts w:ascii="Aptos" w:hAnsi="Aptos"/>
                <w:noProof/>
                <w:webHidden/>
              </w:rPr>
              <w:instrText xml:space="preserve"> PAGEREF _Toc208163499 \h </w:instrText>
            </w:r>
            <w:r w:rsidRPr="004739A4">
              <w:rPr>
                <w:rFonts w:ascii="Aptos" w:hAnsi="Aptos"/>
                <w:noProof/>
                <w:webHidden/>
              </w:rPr>
            </w:r>
            <w:r w:rsidRPr="004739A4">
              <w:rPr>
                <w:rFonts w:ascii="Aptos" w:hAnsi="Aptos"/>
                <w:noProof/>
                <w:webHidden/>
              </w:rPr>
              <w:fldChar w:fldCharType="separate"/>
            </w:r>
            <w:r w:rsidR="009A653A">
              <w:rPr>
                <w:rFonts w:ascii="Aptos" w:hAnsi="Aptos"/>
                <w:noProof/>
                <w:webHidden/>
              </w:rPr>
              <w:t>28</w:t>
            </w:r>
            <w:r w:rsidRPr="004739A4">
              <w:rPr>
                <w:rFonts w:ascii="Aptos" w:hAnsi="Aptos"/>
                <w:noProof/>
                <w:webHidden/>
              </w:rPr>
              <w:fldChar w:fldCharType="end"/>
            </w:r>
          </w:hyperlink>
        </w:p>
        <w:p w:rsidRPr="004739A4" w:rsidR="004739A4" w:rsidP="2302A0EF" w:rsidRDefault="004739A4" w14:paraId="708D6260" w14:textId="49145624" w14:noSpellErr="1">
          <w:pPr>
            <w:pStyle w:val="TOC3"/>
            <w:tabs>
              <w:tab w:val="right" w:leader="dot" w:pos="9016"/>
            </w:tabs>
            <w:rPr>
              <w:rFonts w:ascii="Arial" w:hAnsi="Arial" w:eastAsia="Arial" w:cs="Arial"/>
              <w:i w:val="0"/>
              <w:iCs w:val="0"/>
              <w:noProof/>
              <w:sz w:val="22"/>
              <w:szCs w:val="22"/>
              <w:lang w:eastAsia="en-GB"/>
            </w:rPr>
          </w:pPr>
          <w:hyperlink w:history="1" w:anchor="_Toc208163500">
            <w:r w:rsidRPr="004739A4" w:rsidR="004739A4">
              <w:rPr>
                <w:rStyle w:val="Hyperlink"/>
                <w:rFonts w:ascii="Aptos" w:hAnsi="Aptos"/>
                <w:noProof/>
              </w:rPr>
              <w:t>4.4.3 Critical Discussion</w:t>
            </w:r>
            <w:r w:rsidRPr="004739A4">
              <w:rPr>
                <w:rFonts w:ascii="Aptos" w:hAnsi="Aptos"/>
                <w:noProof/>
                <w:webHidden/>
              </w:rPr>
              <w:tab/>
            </w:r>
            <w:r w:rsidRPr="004739A4">
              <w:rPr>
                <w:rFonts w:ascii="Aptos" w:hAnsi="Aptos"/>
                <w:noProof/>
                <w:webHidden/>
              </w:rPr>
              <w:fldChar w:fldCharType="begin"/>
            </w:r>
            <w:r w:rsidRPr="004739A4">
              <w:rPr>
                <w:rFonts w:ascii="Aptos" w:hAnsi="Aptos"/>
                <w:noProof/>
                <w:webHidden/>
              </w:rPr>
              <w:instrText xml:space="preserve"> PAGEREF _Toc208163500 \h </w:instrText>
            </w:r>
            <w:r w:rsidRPr="004739A4">
              <w:rPr>
                <w:rFonts w:ascii="Aptos" w:hAnsi="Aptos"/>
                <w:noProof/>
                <w:webHidden/>
              </w:rPr>
            </w:r>
            <w:r w:rsidRPr="004739A4">
              <w:rPr>
                <w:rFonts w:ascii="Aptos" w:hAnsi="Aptos"/>
                <w:noProof/>
                <w:webHidden/>
              </w:rPr>
              <w:fldChar w:fldCharType="separate"/>
            </w:r>
            <w:r w:rsidR="009A653A">
              <w:rPr>
                <w:rFonts w:ascii="Aptos" w:hAnsi="Aptos"/>
                <w:noProof/>
                <w:webHidden/>
              </w:rPr>
              <w:t>29</w:t>
            </w:r>
            <w:r w:rsidRPr="004739A4">
              <w:rPr>
                <w:rFonts w:ascii="Aptos" w:hAnsi="Aptos"/>
                <w:noProof/>
                <w:webHidden/>
              </w:rPr>
              <w:fldChar w:fldCharType="end"/>
            </w:r>
          </w:hyperlink>
        </w:p>
        <w:p w:rsidRPr="004739A4" w:rsidR="004739A4" w:rsidP="2302A0EF" w:rsidRDefault="004739A4" w14:paraId="7B03F31C" w14:textId="4E065FBB" w14:noSpellErr="1">
          <w:pPr>
            <w:pStyle w:val="TOC2"/>
            <w:tabs>
              <w:tab w:val="right" w:leader="dot" w:pos="9016"/>
            </w:tabs>
            <w:rPr>
              <w:rFonts w:ascii="Arial" w:hAnsi="Arial" w:eastAsia="Arial" w:cs="Arial"/>
              <w:caps w:val="0"/>
              <w:smallCaps w:val="0"/>
              <w:noProof/>
              <w:sz w:val="22"/>
              <w:szCs w:val="22"/>
              <w:lang w:eastAsia="en-GB"/>
            </w:rPr>
          </w:pPr>
          <w:hyperlink w:history="1" w:anchor="_Toc208163501">
            <w:r w:rsidRPr="004739A4" w:rsidR="004739A4">
              <w:rPr>
                <w:rStyle w:val="Hyperlink"/>
                <w:rFonts w:ascii="Aptos" w:hAnsi="Aptos"/>
                <w:noProof/>
              </w:rPr>
              <w:t>4.5 Theme 3 – Socioeconomic Inequalities in Urban Settings</w:t>
            </w:r>
            <w:r w:rsidRPr="004739A4">
              <w:rPr>
                <w:rFonts w:ascii="Aptos" w:hAnsi="Aptos"/>
                <w:noProof/>
                <w:webHidden/>
              </w:rPr>
              <w:tab/>
            </w:r>
            <w:r w:rsidRPr="004739A4">
              <w:rPr>
                <w:rFonts w:ascii="Aptos" w:hAnsi="Aptos"/>
                <w:noProof/>
                <w:webHidden/>
              </w:rPr>
              <w:fldChar w:fldCharType="begin"/>
            </w:r>
            <w:r w:rsidRPr="004739A4">
              <w:rPr>
                <w:rFonts w:ascii="Aptos" w:hAnsi="Aptos"/>
                <w:noProof/>
                <w:webHidden/>
              </w:rPr>
              <w:instrText xml:space="preserve"> PAGEREF _Toc208163501 \h </w:instrText>
            </w:r>
            <w:r w:rsidRPr="004739A4">
              <w:rPr>
                <w:rFonts w:ascii="Aptos" w:hAnsi="Aptos"/>
                <w:noProof/>
                <w:webHidden/>
              </w:rPr>
            </w:r>
            <w:r w:rsidRPr="004739A4">
              <w:rPr>
                <w:rFonts w:ascii="Aptos" w:hAnsi="Aptos"/>
                <w:noProof/>
                <w:webHidden/>
              </w:rPr>
              <w:fldChar w:fldCharType="separate"/>
            </w:r>
            <w:r w:rsidR="009A653A">
              <w:rPr>
                <w:rFonts w:ascii="Aptos" w:hAnsi="Aptos"/>
                <w:noProof/>
                <w:webHidden/>
              </w:rPr>
              <w:t>30</w:t>
            </w:r>
            <w:r w:rsidRPr="004739A4">
              <w:rPr>
                <w:rFonts w:ascii="Aptos" w:hAnsi="Aptos"/>
                <w:noProof/>
                <w:webHidden/>
              </w:rPr>
              <w:fldChar w:fldCharType="end"/>
            </w:r>
          </w:hyperlink>
        </w:p>
        <w:p w:rsidRPr="004739A4" w:rsidR="004739A4" w:rsidP="2302A0EF" w:rsidRDefault="004739A4" w14:paraId="61926B23" w14:textId="5D5B1560" w14:noSpellErr="1">
          <w:pPr>
            <w:pStyle w:val="TOC3"/>
            <w:tabs>
              <w:tab w:val="right" w:leader="dot" w:pos="9016"/>
            </w:tabs>
            <w:rPr>
              <w:rFonts w:ascii="Arial" w:hAnsi="Arial" w:eastAsia="Arial" w:cs="Arial"/>
              <w:i w:val="0"/>
              <w:iCs w:val="0"/>
              <w:noProof/>
              <w:sz w:val="22"/>
              <w:szCs w:val="22"/>
              <w:lang w:eastAsia="en-GB"/>
            </w:rPr>
          </w:pPr>
          <w:hyperlink w:history="1" w:anchor="_Toc208163502">
            <w:r w:rsidRPr="004739A4" w:rsidR="004739A4">
              <w:rPr>
                <w:rStyle w:val="Hyperlink"/>
                <w:rFonts w:ascii="Aptos" w:hAnsi="Aptos"/>
                <w:noProof/>
              </w:rPr>
              <w:t>4.5.1 Definition and Background</w:t>
            </w:r>
            <w:r w:rsidRPr="004739A4">
              <w:rPr>
                <w:rFonts w:ascii="Aptos" w:hAnsi="Aptos"/>
                <w:noProof/>
                <w:webHidden/>
              </w:rPr>
              <w:tab/>
            </w:r>
            <w:r w:rsidRPr="004739A4">
              <w:rPr>
                <w:rFonts w:ascii="Aptos" w:hAnsi="Aptos"/>
                <w:noProof/>
                <w:webHidden/>
              </w:rPr>
              <w:fldChar w:fldCharType="begin"/>
            </w:r>
            <w:r w:rsidRPr="004739A4">
              <w:rPr>
                <w:rFonts w:ascii="Aptos" w:hAnsi="Aptos"/>
                <w:noProof/>
                <w:webHidden/>
              </w:rPr>
              <w:instrText xml:space="preserve"> PAGEREF _Toc208163502 \h </w:instrText>
            </w:r>
            <w:r w:rsidRPr="004739A4">
              <w:rPr>
                <w:rFonts w:ascii="Aptos" w:hAnsi="Aptos"/>
                <w:noProof/>
                <w:webHidden/>
              </w:rPr>
            </w:r>
            <w:r w:rsidRPr="004739A4">
              <w:rPr>
                <w:rFonts w:ascii="Aptos" w:hAnsi="Aptos"/>
                <w:noProof/>
                <w:webHidden/>
              </w:rPr>
              <w:fldChar w:fldCharType="separate"/>
            </w:r>
            <w:r w:rsidR="009A653A">
              <w:rPr>
                <w:rFonts w:ascii="Aptos" w:hAnsi="Aptos"/>
                <w:noProof/>
                <w:webHidden/>
              </w:rPr>
              <w:t>30</w:t>
            </w:r>
            <w:r w:rsidRPr="004739A4">
              <w:rPr>
                <w:rFonts w:ascii="Aptos" w:hAnsi="Aptos"/>
                <w:noProof/>
                <w:webHidden/>
              </w:rPr>
              <w:fldChar w:fldCharType="end"/>
            </w:r>
          </w:hyperlink>
        </w:p>
        <w:p w:rsidRPr="004739A4" w:rsidR="004739A4" w:rsidP="2302A0EF" w:rsidRDefault="004739A4" w14:paraId="49250232" w14:textId="129C2557" w14:noSpellErr="1">
          <w:pPr>
            <w:pStyle w:val="TOC3"/>
            <w:tabs>
              <w:tab w:val="right" w:leader="dot" w:pos="9016"/>
            </w:tabs>
            <w:rPr>
              <w:rFonts w:ascii="Arial" w:hAnsi="Arial" w:eastAsia="Arial" w:cs="Arial"/>
              <w:i w:val="0"/>
              <w:iCs w:val="0"/>
              <w:noProof/>
              <w:sz w:val="22"/>
              <w:szCs w:val="22"/>
              <w:lang w:eastAsia="en-GB"/>
            </w:rPr>
          </w:pPr>
          <w:hyperlink w:history="1" w:anchor="_Toc208163503">
            <w:r w:rsidRPr="004739A4" w:rsidR="004739A4">
              <w:rPr>
                <w:rStyle w:val="Hyperlink"/>
                <w:rFonts w:ascii="Aptos" w:hAnsi="Aptos"/>
                <w:noProof/>
              </w:rPr>
              <w:t>4.5.2 Findings and Evidence</w:t>
            </w:r>
            <w:r w:rsidRPr="004739A4">
              <w:rPr>
                <w:rFonts w:ascii="Aptos" w:hAnsi="Aptos"/>
                <w:noProof/>
                <w:webHidden/>
              </w:rPr>
              <w:tab/>
            </w:r>
            <w:r w:rsidRPr="004739A4">
              <w:rPr>
                <w:rFonts w:ascii="Aptos" w:hAnsi="Aptos"/>
                <w:noProof/>
                <w:webHidden/>
              </w:rPr>
              <w:fldChar w:fldCharType="begin"/>
            </w:r>
            <w:r w:rsidRPr="004739A4">
              <w:rPr>
                <w:rFonts w:ascii="Aptos" w:hAnsi="Aptos"/>
                <w:noProof/>
                <w:webHidden/>
              </w:rPr>
              <w:instrText xml:space="preserve"> PAGEREF _Toc208163503 \h </w:instrText>
            </w:r>
            <w:r w:rsidRPr="004739A4">
              <w:rPr>
                <w:rFonts w:ascii="Aptos" w:hAnsi="Aptos"/>
                <w:noProof/>
                <w:webHidden/>
              </w:rPr>
            </w:r>
            <w:r w:rsidRPr="004739A4">
              <w:rPr>
                <w:rFonts w:ascii="Aptos" w:hAnsi="Aptos"/>
                <w:noProof/>
                <w:webHidden/>
              </w:rPr>
              <w:fldChar w:fldCharType="separate"/>
            </w:r>
            <w:r w:rsidR="009A653A">
              <w:rPr>
                <w:rFonts w:ascii="Aptos" w:hAnsi="Aptos"/>
                <w:noProof/>
                <w:webHidden/>
              </w:rPr>
              <w:t>30</w:t>
            </w:r>
            <w:r w:rsidRPr="004739A4">
              <w:rPr>
                <w:rFonts w:ascii="Aptos" w:hAnsi="Aptos"/>
                <w:noProof/>
                <w:webHidden/>
              </w:rPr>
              <w:fldChar w:fldCharType="end"/>
            </w:r>
          </w:hyperlink>
        </w:p>
        <w:p w:rsidRPr="004739A4" w:rsidR="004739A4" w:rsidP="2302A0EF" w:rsidRDefault="004739A4" w14:paraId="2BD201E5" w14:textId="678D617E" w14:noSpellErr="1">
          <w:pPr>
            <w:pStyle w:val="TOC3"/>
            <w:tabs>
              <w:tab w:val="right" w:leader="dot" w:pos="9016"/>
            </w:tabs>
            <w:rPr>
              <w:rFonts w:ascii="Arial" w:hAnsi="Arial" w:eastAsia="Arial" w:cs="Arial"/>
              <w:i w:val="0"/>
              <w:iCs w:val="0"/>
              <w:noProof/>
              <w:sz w:val="22"/>
              <w:szCs w:val="22"/>
              <w:lang w:eastAsia="en-GB"/>
            </w:rPr>
          </w:pPr>
          <w:hyperlink w:history="1" w:anchor="_Toc208163504">
            <w:r w:rsidRPr="004739A4" w:rsidR="004739A4">
              <w:rPr>
                <w:rStyle w:val="Hyperlink"/>
                <w:rFonts w:ascii="Aptos" w:hAnsi="Aptos"/>
                <w:noProof/>
              </w:rPr>
              <w:t>4.5.3 Critical Discussion</w:t>
            </w:r>
            <w:r w:rsidRPr="004739A4">
              <w:rPr>
                <w:rFonts w:ascii="Aptos" w:hAnsi="Aptos"/>
                <w:noProof/>
                <w:webHidden/>
              </w:rPr>
              <w:tab/>
            </w:r>
            <w:r w:rsidRPr="004739A4">
              <w:rPr>
                <w:rFonts w:ascii="Aptos" w:hAnsi="Aptos"/>
                <w:noProof/>
                <w:webHidden/>
              </w:rPr>
              <w:fldChar w:fldCharType="begin"/>
            </w:r>
            <w:r w:rsidRPr="004739A4">
              <w:rPr>
                <w:rFonts w:ascii="Aptos" w:hAnsi="Aptos"/>
                <w:noProof/>
                <w:webHidden/>
              </w:rPr>
              <w:instrText xml:space="preserve"> PAGEREF _Toc208163504 \h </w:instrText>
            </w:r>
            <w:r w:rsidRPr="004739A4">
              <w:rPr>
                <w:rFonts w:ascii="Aptos" w:hAnsi="Aptos"/>
                <w:noProof/>
                <w:webHidden/>
              </w:rPr>
            </w:r>
            <w:r w:rsidRPr="004739A4">
              <w:rPr>
                <w:rFonts w:ascii="Aptos" w:hAnsi="Aptos"/>
                <w:noProof/>
                <w:webHidden/>
              </w:rPr>
              <w:fldChar w:fldCharType="separate"/>
            </w:r>
            <w:r w:rsidR="009A653A">
              <w:rPr>
                <w:rFonts w:ascii="Aptos" w:hAnsi="Aptos"/>
                <w:noProof/>
                <w:webHidden/>
              </w:rPr>
              <w:t>31</w:t>
            </w:r>
            <w:r w:rsidRPr="004739A4">
              <w:rPr>
                <w:rFonts w:ascii="Aptos" w:hAnsi="Aptos"/>
                <w:noProof/>
                <w:webHidden/>
              </w:rPr>
              <w:fldChar w:fldCharType="end"/>
            </w:r>
          </w:hyperlink>
        </w:p>
        <w:p w:rsidRPr="004739A4" w:rsidR="004739A4" w:rsidP="2302A0EF" w:rsidRDefault="004739A4" w14:paraId="329F7DD7" w14:textId="6BBF115B" w14:noSpellErr="1">
          <w:pPr>
            <w:pStyle w:val="TOC2"/>
            <w:tabs>
              <w:tab w:val="right" w:leader="dot" w:pos="9016"/>
            </w:tabs>
            <w:rPr>
              <w:rFonts w:ascii="Arial" w:hAnsi="Arial" w:eastAsia="Arial" w:cs="Arial"/>
              <w:caps w:val="0"/>
              <w:smallCaps w:val="0"/>
              <w:noProof/>
              <w:sz w:val="22"/>
              <w:szCs w:val="22"/>
              <w:lang w:eastAsia="en-GB"/>
            </w:rPr>
          </w:pPr>
          <w:hyperlink w:history="1" w:anchor="_Toc208163505">
            <w:r w:rsidRPr="004739A4" w:rsidR="004739A4">
              <w:rPr>
                <w:rStyle w:val="Hyperlink"/>
                <w:rFonts w:ascii="Aptos" w:hAnsi="Aptos"/>
                <w:noProof/>
              </w:rPr>
              <w:t>4.6 Chapter Conclusion</w:t>
            </w:r>
            <w:r w:rsidRPr="004739A4">
              <w:rPr>
                <w:rFonts w:ascii="Aptos" w:hAnsi="Aptos"/>
                <w:noProof/>
                <w:webHidden/>
              </w:rPr>
              <w:tab/>
            </w:r>
            <w:r w:rsidRPr="004739A4">
              <w:rPr>
                <w:rFonts w:ascii="Aptos" w:hAnsi="Aptos"/>
                <w:noProof/>
                <w:webHidden/>
              </w:rPr>
              <w:fldChar w:fldCharType="begin"/>
            </w:r>
            <w:r w:rsidRPr="004739A4">
              <w:rPr>
                <w:rFonts w:ascii="Aptos" w:hAnsi="Aptos"/>
                <w:noProof/>
                <w:webHidden/>
              </w:rPr>
              <w:instrText xml:space="preserve"> PAGEREF _Toc208163505 \h </w:instrText>
            </w:r>
            <w:r w:rsidRPr="004739A4">
              <w:rPr>
                <w:rFonts w:ascii="Aptos" w:hAnsi="Aptos"/>
                <w:noProof/>
                <w:webHidden/>
              </w:rPr>
            </w:r>
            <w:r w:rsidRPr="004739A4">
              <w:rPr>
                <w:rFonts w:ascii="Aptos" w:hAnsi="Aptos"/>
                <w:noProof/>
                <w:webHidden/>
              </w:rPr>
              <w:fldChar w:fldCharType="separate"/>
            </w:r>
            <w:r w:rsidR="009A653A">
              <w:rPr>
                <w:rFonts w:ascii="Aptos" w:hAnsi="Aptos"/>
                <w:noProof/>
                <w:webHidden/>
              </w:rPr>
              <w:t>32</w:t>
            </w:r>
            <w:r w:rsidRPr="004739A4">
              <w:rPr>
                <w:rFonts w:ascii="Aptos" w:hAnsi="Aptos"/>
                <w:noProof/>
                <w:webHidden/>
              </w:rPr>
              <w:fldChar w:fldCharType="end"/>
            </w:r>
          </w:hyperlink>
        </w:p>
        <w:p w:rsidRPr="004739A4" w:rsidR="004739A4" w:rsidP="2302A0EF" w:rsidRDefault="004739A4" w14:paraId="2BAB7E2B" w14:textId="30474DF4" w14:noSpellErr="1">
          <w:pPr>
            <w:pStyle w:val="TOC1"/>
            <w:tabs>
              <w:tab w:val="right" w:leader="dot" w:pos="9016"/>
            </w:tabs>
            <w:rPr>
              <w:rFonts w:ascii="Arial" w:hAnsi="Arial" w:eastAsia="Arial" w:cs="Arial"/>
              <w:b w:val="0"/>
              <w:bCs w:val="0"/>
              <w:caps w:val="0"/>
              <w:smallCaps w:val="0"/>
              <w:noProof/>
              <w:sz w:val="22"/>
              <w:szCs w:val="22"/>
              <w:lang w:eastAsia="en-GB"/>
            </w:rPr>
          </w:pPr>
          <w:hyperlink w:history="1" w:anchor="_Toc208163506">
            <w:r w:rsidRPr="004739A4" w:rsidR="004739A4">
              <w:rPr>
                <w:rStyle w:val="Hyperlink"/>
                <w:rFonts w:ascii="Aptos" w:hAnsi="Aptos"/>
                <w:noProof/>
                <w:lang w:bidi="en-GB"/>
              </w:rPr>
              <w:t>CHAPTER 5 – Conclusion and Recommendations</w:t>
            </w:r>
            <w:r w:rsidRPr="004739A4">
              <w:rPr>
                <w:rFonts w:ascii="Aptos" w:hAnsi="Aptos"/>
                <w:noProof/>
                <w:webHidden/>
              </w:rPr>
              <w:tab/>
            </w:r>
            <w:r w:rsidRPr="004739A4">
              <w:rPr>
                <w:rFonts w:ascii="Aptos" w:hAnsi="Aptos"/>
                <w:noProof/>
                <w:webHidden/>
              </w:rPr>
              <w:fldChar w:fldCharType="begin"/>
            </w:r>
            <w:r w:rsidRPr="004739A4">
              <w:rPr>
                <w:rFonts w:ascii="Aptos" w:hAnsi="Aptos"/>
                <w:noProof/>
                <w:webHidden/>
              </w:rPr>
              <w:instrText xml:space="preserve"> PAGEREF _Toc208163506 \h </w:instrText>
            </w:r>
            <w:r w:rsidRPr="004739A4">
              <w:rPr>
                <w:rFonts w:ascii="Aptos" w:hAnsi="Aptos"/>
                <w:noProof/>
                <w:webHidden/>
              </w:rPr>
            </w:r>
            <w:r w:rsidRPr="004739A4">
              <w:rPr>
                <w:rFonts w:ascii="Aptos" w:hAnsi="Aptos"/>
                <w:noProof/>
                <w:webHidden/>
              </w:rPr>
              <w:fldChar w:fldCharType="separate"/>
            </w:r>
            <w:r w:rsidR="009A653A">
              <w:rPr>
                <w:rFonts w:ascii="Aptos" w:hAnsi="Aptos"/>
                <w:noProof/>
                <w:webHidden/>
              </w:rPr>
              <w:t>33</w:t>
            </w:r>
            <w:r w:rsidRPr="004739A4">
              <w:rPr>
                <w:rFonts w:ascii="Aptos" w:hAnsi="Aptos"/>
                <w:noProof/>
                <w:webHidden/>
              </w:rPr>
              <w:fldChar w:fldCharType="end"/>
            </w:r>
          </w:hyperlink>
        </w:p>
        <w:p w:rsidRPr="004739A4" w:rsidR="004739A4" w:rsidP="2302A0EF" w:rsidRDefault="004739A4" w14:paraId="6D140206" w14:textId="24E630AB" w14:noSpellErr="1">
          <w:pPr>
            <w:pStyle w:val="TOC2"/>
            <w:tabs>
              <w:tab w:val="right" w:leader="dot" w:pos="9016"/>
            </w:tabs>
            <w:rPr>
              <w:rFonts w:ascii="Arial" w:hAnsi="Arial" w:eastAsia="Arial" w:cs="Arial"/>
              <w:caps w:val="0"/>
              <w:smallCaps w:val="0"/>
              <w:noProof/>
              <w:sz w:val="22"/>
              <w:szCs w:val="22"/>
              <w:lang w:eastAsia="en-GB"/>
            </w:rPr>
          </w:pPr>
          <w:hyperlink w:history="1" w:anchor="_Toc208163507">
            <w:r w:rsidRPr="004739A4" w:rsidR="004739A4">
              <w:rPr>
                <w:rStyle w:val="Hyperlink"/>
                <w:rFonts w:ascii="Aptos" w:hAnsi="Aptos"/>
                <w:noProof/>
              </w:rPr>
              <w:t>5.1 – Overall Conclusion</w:t>
            </w:r>
            <w:r w:rsidRPr="004739A4">
              <w:rPr>
                <w:rFonts w:ascii="Aptos" w:hAnsi="Aptos"/>
                <w:noProof/>
                <w:webHidden/>
              </w:rPr>
              <w:tab/>
            </w:r>
            <w:r w:rsidRPr="004739A4">
              <w:rPr>
                <w:rFonts w:ascii="Aptos" w:hAnsi="Aptos"/>
                <w:noProof/>
                <w:webHidden/>
              </w:rPr>
              <w:fldChar w:fldCharType="begin"/>
            </w:r>
            <w:r w:rsidRPr="004739A4">
              <w:rPr>
                <w:rFonts w:ascii="Aptos" w:hAnsi="Aptos"/>
                <w:noProof/>
                <w:webHidden/>
              </w:rPr>
              <w:instrText xml:space="preserve"> PAGEREF _Toc208163507 \h </w:instrText>
            </w:r>
            <w:r w:rsidRPr="004739A4">
              <w:rPr>
                <w:rFonts w:ascii="Aptos" w:hAnsi="Aptos"/>
                <w:noProof/>
                <w:webHidden/>
              </w:rPr>
            </w:r>
            <w:r w:rsidRPr="004739A4">
              <w:rPr>
                <w:rFonts w:ascii="Aptos" w:hAnsi="Aptos"/>
                <w:noProof/>
                <w:webHidden/>
              </w:rPr>
              <w:fldChar w:fldCharType="separate"/>
            </w:r>
            <w:r w:rsidR="009A653A">
              <w:rPr>
                <w:rFonts w:ascii="Aptos" w:hAnsi="Aptos"/>
                <w:noProof/>
                <w:webHidden/>
              </w:rPr>
              <w:t>33</w:t>
            </w:r>
            <w:r w:rsidRPr="004739A4">
              <w:rPr>
                <w:rFonts w:ascii="Aptos" w:hAnsi="Aptos"/>
                <w:noProof/>
                <w:webHidden/>
              </w:rPr>
              <w:fldChar w:fldCharType="end"/>
            </w:r>
          </w:hyperlink>
        </w:p>
        <w:p w:rsidRPr="004739A4" w:rsidR="004739A4" w:rsidP="2302A0EF" w:rsidRDefault="004739A4" w14:paraId="339E882E" w14:textId="7F0E72CD" w14:noSpellErr="1">
          <w:pPr>
            <w:pStyle w:val="TOC2"/>
            <w:tabs>
              <w:tab w:val="right" w:leader="dot" w:pos="9016"/>
            </w:tabs>
            <w:rPr>
              <w:rFonts w:ascii="Arial" w:hAnsi="Arial" w:eastAsia="Arial" w:cs="Arial"/>
              <w:caps w:val="0"/>
              <w:smallCaps w:val="0"/>
              <w:noProof/>
              <w:sz w:val="22"/>
              <w:szCs w:val="22"/>
              <w:lang w:eastAsia="en-GB"/>
            </w:rPr>
          </w:pPr>
          <w:hyperlink w:history="1" w:anchor="_Toc208163508">
            <w:r w:rsidRPr="004739A4" w:rsidR="004739A4">
              <w:rPr>
                <w:rStyle w:val="Hyperlink"/>
                <w:rFonts w:ascii="Aptos" w:hAnsi="Aptos"/>
                <w:noProof/>
              </w:rPr>
              <w:t>5.2 – Recommendations</w:t>
            </w:r>
            <w:r w:rsidRPr="004739A4">
              <w:rPr>
                <w:rFonts w:ascii="Aptos" w:hAnsi="Aptos"/>
                <w:noProof/>
                <w:webHidden/>
              </w:rPr>
              <w:tab/>
            </w:r>
            <w:r w:rsidRPr="004739A4">
              <w:rPr>
                <w:rFonts w:ascii="Aptos" w:hAnsi="Aptos"/>
                <w:noProof/>
                <w:webHidden/>
              </w:rPr>
              <w:fldChar w:fldCharType="begin"/>
            </w:r>
            <w:r w:rsidRPr="004739A4">
              <w:rPr>
                <w:rFonts w:ascii="Aptos" w:hAnsi="Aptos"/>
                <w:noProof/>
                <w:webHidden/>
              </w:rPr>
              <w:instrText xml:space="preserve"> PAGEREF _Toc208163508 \h </w:instrText>
            </w:r>
            <w:r w:rsidRPr="004739A4">
              <w:rPr>
                <w:rFonts w:ascii="Aptos" w:hAnsi="Aptos"/>
                <w:noProof/>
                <w:webHidden/>
              </w:rPr>
            </w:r>
            <w:r w:rsidRPr="004739A4">
              <w:rPr>
                <w:rFonts w:ascii="Aptos" w:hAnsi="Aptos"/>
                <w:noProof/>
                <w:webHidden/>
              </w:rPr>
              <w:fldChar w:fldCharType="separate"/>
            </w:r>
            <w:r w:rsidR="009A653A">
              <w:rPr>
                <w:rFonts w:ascii="Aptos" w:hAnsi="Aptos"/>
                <w:noProof/>
                <w:webHidden/>
              </w:rPr>
              <w:t>33</w:t>
            </w:r>
            <w:r w:rsidRPr="004739A4">
              <w:rPr>
                <w:rFonts w:ascii="Aptos" w:hAnsi="Aptos"/>
                <w:noProof/>
                <w:webHidden/>
              </w:rPr>
              <w:fldChar w:fldCharType="end"/>
            </w:r>
          </w:hyperlink>
        </w:p>
        <w:p w:rsidRPr="004739A4" w:rsidR="004739A4" w:rsidP="2302A0EF" w:rsidRDefault="004739A4" w14:paraId="63DB2B0B" w14:textId="26DFCBE7" w14:noSpellErr="1">
          <w:pPr>
            <w:pStyle w:val="TOC3"/>
            <w:tabs>
              <w:tab w:val="right" w:leader="dot" w:pos="9016"/>
            </w:tabs>
            <w:rPr>
              <w:rFonts w:ascii="Arial" w:hAnsi="Arial" w:eastAsia="Arial" w:cs="Arial"/>
              <w:i w:val="0"/>
              <w:iCs w:val="0"/>
              <w:noProof/>
              <w:sz w:val="22"/>
              <w:szCs w:val="22"/>
              <w:lang w:eastAsia="en-GB"/>
            </w:rPr>
          </w:pPr>
          <w:hyperlink w:history="1" w:anchor="_Toc208163509">
            <w:r w:rsidRPr="004739A4" w:rsidR="004739A4">
              <w:rPr>
                <w:rStyle w:val="Hyperlink"/>
                <w:rFonts w:ascii="Aptos" w:hAnsi="Aptos"/>
                <w:noProof/>
              </w:rPr>
              <w:t>5.2.1 Recommendation 1 – Strengthening CAMHS and Reducing Barriers</w:t>
            </w:r>
            <w:r w:rsidRPr="004739A4">
              <w:rPr>
                <w:rFonts w:ascii="Aptos" w:hAnsi="Aptos"/>
                <w:noProof/>
                <w:webHidden/>
              </w:rPr>
              <w:tab/>
            </w:r>
            <w:r w:rsidRPr="004739A4">
              <w:rPr>
                <w:rFonts w:ascii="Aptos" w:hAnsi="Aptos"/>
                <w:noProof/>
                <w:webHidden/>
              </w:rPr>
              <w:fldChar w:fldCharType="begin"/>
            </w:r>
            <w:r w:rsidRPr="004739A4">
              <w:rPr>
                <w:rFonts w:ascii="Aptos" w:hAnsi="Aptos"/>
                <w:noProof/>
                <w:webHidden/>
              </w:rPr>
              <w:instrText xml:space="preserve"> PAGEREF _Toc208163509 \h </w:instrText>
            </w:r>
            <w:r w:rsidRPr="004739A4">
              <w:rPr>
                <w:rFonts w:ascii="Aptos" w:hAnsi="Aptos"/>
                <w:noProof/>
                <w:webHidden/>
              </w:rPr>
            </w:r>
            <w:r w:rsidRPr="004739A4">
              <w:rPr>
                <w:rFonts w:ascii="Aptos" w:hAnsi="Aptos"/>
                <w:noProof/>
                <w:webHidden/>
              </w:rPr>
              <w:fldChar w:fldCharType="separate"/>
            </w:r>
            <w:r w:rsidR="009A653A">
              <w:rPr>
                <w:rFonts w:ascii="Aptos" w:hAnsi="Aptos"/>
                <w:noProof/>
                <w:webHidden/>
              </w:rPr>
              <w:t>34</w:t>
            </w:r>
            <w:r w:rsidRPr="004739A4">
              <w:rPr>
                <w:rFonts w:ascii="Aptos" w:hAnsi="Aptos"/>
                <w:noProof/>
                <w:webHidden/>
              </w:rPr>
              <w:fldChar w:fldCharType="end"/>
            </w:r>
          </w:hyperlink>
        </w:p>
        <w:p w:rsidRPr="004739A4" w:rsidR="004739A4" w:rsidP="2302A0EF" w:rsidRDefault="004739A4" w14:paraId="6A0F3922" w14:textId="7485C629" w14:noSpellErr="1">
          <w:pPr>
            <w:pStyle w:val="TOC3"/>
            <w:tabs>
              <w:tab w:val="right" w:leader="dot" w:pos="9016"/>
            </w:tabs>
            <w:rPr>
              <w:rFonts w:ascii="Arial" w:hAnsi="Arial" w:eastAsia="Arial" w:cs="Arial"/>
              <w:i w:val="0"/>
              <w:iCs w:val="0"/>
              <w:noProof/>
              <w:sz w:val="22"/>
              <w:szCs w:val="22"/>
              <w:lang w:eastAsia="en-GB"/>
            </w:rPr>
          </w:pPr>
          <w:hyperlink w:history="1" w:anchor="_Toc208163510">
            <w:r w:rsidRPr="004739A4" w:rsidR="004739A4">
              <w:rPr>
                <w:rStyle w:val="Hyperlink"/>
                <w:rFonts w:ascii="Aptos" w:hAnsi="Aptos"/>
                <w:noProof/>
              </w:rPr>
              <w:t>5.2.2 Recommendation 2 – Integrated Policy Approaches to Child Poverty</w:t>
            </w:r>
            <w:r w:rsidRPr="004739A4">
              <w:rPr>
                <w:rFonts w:ascii="Aptos" w:hAnsi="Aptos"/>
                <w:noProof/>
                <w:webHidden/>
              </w:rPr>
              <w:tab/>
            </w:r>
            <w:r w:rsidRPr="004739A4">
              <w:rPr>
                <w:rFonts w:ascii="Aptos" w:hAnsi="Aptos"/>
                <w:noProof/>
                <w:webHidden/>
              </w:rPr>
              <w:fldChar w:fldCharType="begin"/>
            </w:r>
            <w:r w:rsidRPr="004739A4">
              <w:rPr>
                <w:rFonts w:ascii="Aptos" w:hAnsi="Aptos"/>
                <w:noProof/>
                <w:webHidden/>
              </w:rPr>
              <w:instrText xml:space="preserve"> PAGEREF _Toc208163510 \h </w:instrText>
            </w:r>
            <w:r w:rsidRPr="004739A4">
              <w:rPr>
                <w:rFonts w:ascii="Aptos" w:hAnsi="Aptos"/>
                <w:noProof/>
                <w:webHidden/>
              </w:rPr>
            </w:r>
            <w:r w:rsidRPr="004739A4">
              <w:rPr>
                <w:rFonts w:ascii="Aptos" w:hAnsi="Aptos"/>
                <w:noProof/>
                <w:webHidden/>
              </w:rPr>
              <w:fldChar w:fldCharType="separate"/>
            </w:r>
            <w:r w:rsidR="009A653A">
              <w:rPr>
                <w:rFonts w:ascii="Aptos" w:hAnsi="Aptos"/>
                <w:noProof/>
                <w:webHidden/>
              </w:rPr>
              <w:t>34</w:t>
            </w:r>
            <w:r w:rsidRPr="004739A4">
              <w:rPr>
                <w:rFonts w:ascii="Aptos" w:hAnsi="Aptos"/>
                <w:noProof/>
                <w:webHidden/>
              </w:rPr>
              <w:fldChar w:fldCharType="end"/>
            </w:r>
          </w:hyperlink>
        </w:p>
        <w:p w:rsidRPr="004739A4" w:rsidR="004739A4" w:rsidP="2302A0EF" w:rsidRDefault="004739A4" w14:paraId="650FBC05" w14:textId="7A5891CE" w14:noSpellErr="1">
          <w:pPr>
            <w:pStyle w:val="TOC3"/>
            <w:tabs>
              <w:tab w:val="right" w:leader="dot" w:pos="9016"/>
            </w:tabs>
            <w:rPr>
              <w:rFonts w:ascii="Arial" w:hAnsi="Arial" w:eastAsia="Arial" w:cs="Arial"/>
              <w:i w:val="0"/>
              <w:iCs w:val="0"/>
              <w:noProof/>
              <w:sz w:val="22"/>
              <w:szCs w:val="22"/>
              <w:lang w:eastAsia="en-GB"/>
            </w:rPr>
          </w:pPr>
          <w:hyperlink w:history="1" w:anchor="_Toc208163511">
            <w:r w:rsidRPr="004739A4" w:rsidR="004739A4">
              <w:rPr>
                <w:rStyle w:val="Hyperlink"/>
                <w:rFonts w:ascii="Aptos" w:hAnsi="Aptos"/>
                <w:noProof/>
              </w:rPr>
              <w:t>5.2.3 Recommendation 3 – Tackling Urban Inequalities Through Early Intervention</w:t>
            </w:r>
            <w:r w:rsidRPr="004739A4">
              <w:rPr>
                <w:rFonts w:ascii="Aptos" w:hAnsi="Aptos"/>
                <w:noProof/>
                <w:webHidden/>
              </w:rPr>
              <w:tab/>
            </w:r>
            <w:r w:rsidRPr="004739A4">
              <w:rPr>
                <w:rFonts w:ascii="Aptos" w:hAnsi="Aptos"/>
                <w:noProof/>
                <w:webHidden/>
              </w:rPr>
              <w:fldChar w:fldCharType="begin"/>
            </w:r>
            <w:r w:rsidRPr="004739A4">
              <w:rPr>
                <w:rFonts w:ascii="Aptos" w:hAnsi="Aptos"/>
                <w:noProof/>
                <w:webHidden/>
              </w:rPr>
              <w:instrText xml:space="preserve"> PAGEREF _Toc208163511 \h </w:instrText>
            </w:r>
            <w:r w:rsidRPr="004739A4">
              <w:rPr>
                <w:rFonts w:ascii="Aptos" w:hAnsi="Aptos"/>
                <w:noProof/>
                <w:webHidden/>
              </w:rPr>
            </w:r>
            <w:r w:rsidRPr="004739A4">
              <w:rPr>
                <w:rFonts w:ascii="Aptos" w:hAnsi="Aptos"/>
                <w:noProof/>
                <w:webHidden/>
              </w:rPr>
              <w:fldChar w:fldCharType="separate"/>
            </w:r>
            <w:r w:rsidR="009A653A">
              <w:rPr>
                <w:rFonts w:ascii="Aptos" w:hAnsi="Aptos"/>
                <w:noProof/>
                <w:webHidden/>
              </w:rPr>
              <w:t>35</w:t>
            </w:r>
            <w:r w:rsidRPr="004739A4">
              <w:rPr>
                <w:rFonts w:ascii="Aptos" w:hAnsi="Aptos"/>
                <w:noProof/>
                <w:webHidden/>
              </w:rPr>
              <w:fldChar w:fldCharType="end"/>
            </w:r>
          </w:hyperlink>
        </w:p>
        <w:p w:rsidRPr="004739A4" w:rsidR="004739A4" w:rsidP="2302A0EF" w:rsidRDefault="004739A4" w14:paraId="27ACF086" w14:textId="3686B1EB" w14:noSpellErr="1">
          <w:pPr>
            <w:pStyle w:val="TOC1"/>
            <w:tabs>
              <w:tab w:val="right" w:leader="dot" w:pos="9016"/>
            </w:tabs>
            <w:rPr>
              <w:rFonts w:ascii="Arial" w:hAnsi="Arial" w:eastAsia="Arial" w:cs="Arial"/>
              <w:b w:val="0"/>
              <w:bCs w:val="0"/>
              <w:caps w:val="0"/>
              <w:smallCaps w:val="0"/>
              <w:noProof/>
              <w:sz w:val="22"/>
              <w:szCs w:val="22"/>
              <w:lang w:eastAsia="en-GB"/>
            </w:rPr>
          </w:pPr>
          <w:hyperlink w:history="1" w:anchor="_Toc208163512">
            <w:r w:rsidRPr="004739A4" w:rsidR="004739A4">
              <w:rPr>
                <w:rStyle w:val="Hyperlink"/>
                <w:rFonts w:ascii="Aptos" w:hAnsi="Aptos"/>
                <w:noProof/>
                <w:lang w:bidi="en-GB"/>
              </w:rPr>
              <w:t>CHAPTER 6 – References and Appendices</w:t>
            </w:r>
            <w:r w:rsidRPr="004739A4">
              <w:rPr>
                <w:rFonts w:ascii="Aptos" w:hAnsi="Aptos"/>
                <w:noProof/>
                <w:webHidden/>
              </w:rPr>
              <w:tab/>
            </w:r>
            <w:r w:rsidRPr="004739A4">
              <w:rPr>
                <w:rFonts w:ascii="Aptos" w:hAnsi="Aptos"/>
                <w:noProof/>
                <w:webHidden/>
              </w:rPr>
              <w:fldChar w:fldCharType="begin"/>
            </w:r>
            <w:r w:rsidRPr="004739A4">
              <w:rPr>
                <w:rFonts w:ascii="Aptos" w:hAnsi="Aptos"/>
                <w:noProof/>
                <w:webHidden/>
              </w:rPr>
              <w:instrText xml:space="preserve"> PAGEREF _Toc208163512 \h </w:instrText>
            </w:r>
            <w:r w:rsidRPr="004739A4">
              <w:rPr>
                <w:rFonts w:ascii="Aptos" w:hAnsi="Aptos"/>
                <w:noProof/>
                <w:webHidden/>
              </w:rPr>
            </w:r>
            <w:r w:rsidRPr="004739A4">
              <w:rPr>
                <w:rFonts w:ascii="Aptos" w:hAnsi="Aptos"/>
                <w:noProof/>
                <w:webHidden/>
              </w:rPr>
              <w:fldChar w:fldCharType="separate"/>
            </w:r>
            <w:r w:rsidR="009A653A">
              <w:rPr>
                <w:rFonts w:ascii="Aptos" w:hAnsi="Aptos"/>
                <w:noProof/>
                <w:webHidden/>
              </w:rPr>
              <w:t>36</w:t>
            </w:r>
            <w:r w:rsidRPr="004739A4">
              <w:rPr>
                <w:rFonts w:ascii="Aptos" w:hAnsi="Aptos"/>
                <w:noProof/>
                <w:webHidden/>
              </w:rPr>
              <w:fldChar w:fldCharType="end"/>
            </w:r>
          </w:hyperlink>
        </w:p>
        <w:p w:rsidRPr="004739A4" w:rsidR="004739A4" w:rsidP="2302A0EF" w:rsidRDefault="004739A4" w14:paraId="3093FCF4" w14:textId="51A22975" w14:noSpellErr="1">
          <w:pPr>
            <w:pStyle w:val="TOC2"/>
            <w:tabs>
              <w:tab w:val="right" w:leader="dot" w:pos="9016"/>
            </w:tabs>
            <w:rPr>
              <w:rFonts w:ascii="Arial" w:hAnsi="Arial" w:eastAsia="Arial" w:cs="Arial"/>
              <w:caps w:val="0"/>
              <w:smallCaps w:val="0"/>
              <w:noProof/>
              <w:sz w:val="22"/>
              <w:szCs w:val="22"/>
              <w:lang w:eastAsia="en-GB"/>
            </w:rPr>
          </w:pPr>
          <w:hyperlink w:history="1" w:anchor="_Toc208163513">
            <w:r w:rsidRPr="004739A4" w:rsidR="004739A4">
              <w:rPr>
                <w:rStyle w:val="Hyperlink"/>
                <w:rFonts w:ascii="Aptos" w:hAnsi="Aptos"/>
                <w:noProof/>
              </w:rPr>
              <w:t>6.1 – References</w:t>
            </w:r>
            <w:r w:rsidRPr="004739A4">
              <w:rPr>
                <w:rFonts w:ascii="Aptos" w:hAnsi="Aptos"/>
                <w:noProof/>
                <w:webHidden/>
              </w:rPr>
              <w:tab/>
            </w:r>
            <w:r w:rsidRPr="004739A4">
              <w:rPr>
                <w:rFonts w:ascii="Aptos" w:hAnsi="Aptos"/>
                <w:noProof/>
                <w:webHidden/>
              </w:rPr>
              <w:fldChar w:fldCharType="begin"/>
            </w:r>
            <w:r w:rsidRPr="004739A4">
              <w:rPr>
                <w:rFonts w:ascii="Aptos" w:hAnsi="Aptos"/>
                <w:noProof/>
                <w:webHidden/>
              </w:rPr>
              <w:instrText xml:space="preserve"> PAGEREF _Toc208163513 \h </w:instrText>
            </w:r>
            <w:r w:rsidRPr="004739A4">
              <w:rPr>
                <w:rFonts w:ascii="Aptos" w:hAnsi="Aptos"/>
                <w:noProof/>
                <w:webHidden/>
              </w:rPr>
            </w:r>
            <w:r w:rsidRPr="004739A4">
              <w:rPr>
                <w:rFonts w:ascii="Aptos" w:hAnsi="Aptos"/>
                <w:noProof/>
                <w:webHidden/>
              </w:rPr>
              <w:fldChar w:fldCharType="separate"/>
            </w:r>
            <w:r w:rsidR="009A653A">
              <w:rPr>
                <w:rFonts w:ascii="Aptos" w:hAnsi="Aptos"/>
                <w:noProof/>
                <w:webHidden/>
              </w:rPr>
              <w:t>36</w:t>
            </w:r>
            <w:r w:rsidRPr="004739A4">
              <w:rPr>
                <w:rFonts w:ascii="Aptos" w:hAnsi="Aptos"/>
                <w:noProof/>
                <w:webHidden/>
              </w:rPr>
              <w:fldChar w:fldCharType="end"/>
            </w:r>
          </w:hyperlink>
        </w:p>
        <w:p w:rsidRPr="004739A4" w:rsidR="004739A4" w:rsidP="2302A0EF" w:rsidRDefault="004739A4" w14:paraId="385BDFED" w14:textId="4B23B898" w14:noSpellErr="1">
          <w:pPr>
            <w:pStyle w:val="TOC2"/>
            <w:tabs>
              <w:tab w:val="right" w:leader="dot" w:pos="9016"/>
            </w:tabs>
            <w:rPr>
              <w:rFonts w:ascii="Arial" w:hAnsi="Arial" w:eastAsia="Arial" w:cs="Arial"/>
              <w:caps w:val="0"/>
              <w:smallCaps w:val="0"/>
              <w:noProof/>
              <w:sz w:val="22"/>
              <w:szCs w:val="22"/>
              <w:lang w:eastAsia="en-GB"/>
            </w:rPr>
          </w:pPr>
          <w:hyperlink w:history="1" w:anchor="_Toc208163514">
            <w:r w:rsidRPr="004739A4" w:rsidR="004739A4">
              <w:rPr>
                <w:rStyle w:val="Hyperlink"/>
                <w:rFonts w:ascii="Aptos" w:hAnsi="Aptos"/>
                <w:noProof/>
              </w:rPr>
              <w:t>6.2 – Appendices</w:t>
            </w:r>
            <w:r w:rsidRPr="004739A4">
              <w:rPr>
                <w:rFonts w:ascii="Aptos" w:hAnsi="Aptos"/>
                <w:noProof/>
                <w:webHidden/>
              </w:rPr>
              <w:tab/>
            </w:r>
            <w:r w:rsidRPr="004739A4">
              <w:rPr>
                <w:rFonts w:ascii="Aptos" w:hAnsi="Aptos"/>
                <w:noProof/>
                <w:webHidden/>
              </w:rPr>
              <w:fldChar w:fldCharType="begin"/>
            </w:r>
            <w:r w:rsidRPr="004739A4">
              <w:rPr>
                <w:rFonts w:ascii="Aptos" w:hAnsi="Aptos"/>
                <w:noProof/>
                <w:webHidden/>
              </w:rPr>
              <w:instrText xml:space="preserve"> PAGEREF _Toc208163514 \h </w:instrText>
            </w:r>
            <w:r w:rsidRPr="004739A4">
              <w:rPr>
                <w:rFonts w:ascii="Aptos" w:hAnsi="Aptos"/>
                <w:noProof/>
                <w:webHidden/>
              </w:rPr>
            </w:r>
            <w:r w:rsidRPr="004739A4">
              <w:rPr>
                <w:rFonts w:ascii="Aptos" w:hAnsi="Aptos"/>
                <w:noProof/>
                <w:webHidden/>
              </w:rPr>
              <w:fldChar w:fldCharType="separate"/>
            </w:r>
            <w:r w:rsidR="009A653A">
              <w:rPr>
                <w:rFonts w:ascii="Aptos" w:hAnsi="Aptos"/>
                <w:noProof/>
                <w:webHidden/>
              </w:rPr>
              <w:t>43</w:t>
            </w:r>
            <w:r w:rsidRPr="004739A4">
              <w:rPr>
                <w:rFonts w:ascii="Aptos" w:hAnsi="Aptos"/>
                <w:noProof/>
                <w:webHidden/>
              </w:rPr>
              <w:fldChar w:fldCharType="end"/>
            </w:r>
          </w:hyperlink>
        </w:p>
        <w:p w:rsidRPr="004739A4" w:rsidR="004739A4" w:rsidP="2302A0EF" w:rsidRDefault="004739A4" w14:paraId="37AA6549" w14:textId="5431279F" w14:noSpellErr="1">
          <w:pPr>
            <w:pStyle w:val="TOC3"/>
            <w:tabs>
              <w:tab w:val="right" w:leader="dot" w:pos="9016"/>
            </w:tabs>
            <w:rPr>
              <w:rFonts w:ascii="Arial" w:hAnsi="Arial" w:eastAsia="Arial" w:cs="Arial"/>
              <w:i w:val="0"/>
              <w:iCs w:val="0"/>
              <w:noProof/>
              <w:sz w:val="22"/>
              <w:szCs w:val="22"/>
              <w:lang w:eastAsia="en-GB"/>
            </w:rPr>
          </w:pPr>
          <w:hyperlink w:history="1" w:anchor="_Toc208163515">
            <w:r w:rsidRPr="004739A4" w:rsidR="004739A4">
              <w:rPr>
                <w:rStyle w:val="Hyperlink"/>
                <w:rFonts w:ascii="Aptos" w:hAnsi="Aptos"/>
                <w:noProof/>
              </w:rPr>
              <w:t>6.2.1 Appendix A  Academic Methodology Poster</w:t>
            </w:r>
            <w:r w:rsidRPr="004739A4">
              <w:rPr>
                <w:rFonts w:ascii="Aptos" w:hAnsi="Aptos"/>
                <w:noProof/>
                <w:webHidden/>
              </w:rPr>
              <w:tab/>
            </w:r>
            <w:r w:rsidRPr="004739A4">
              <w:rPr>
                <w:rFonts w:ascii="Aptos" w:hAnsi="Aptos"/>
                <w:noProof/>
                <w:webHidden/>
              </w:rPr>
              <w:fldChar w:fldCharType="begin"/>
            </w:r>
            <w:r w:rsidRPr="004739A4">
              <w:rPr>
                <w:rFonts w:ascii="Aptos" w:hAnsi="Aptos"/>
                <w:noProof/>
                <w:webHidden/>
              </w:rPr>
              <w:instrText xml:space="preserve"> PAGEREF _Toc208163515 \h </w:instrText>
            </w:r>
            <w:r w:rsidRPr="004739A4">
              <w:rPr>
                <w:rFonts w:ascii="Aptos" w:hAnsi="Aptos"/>
                <w:noProof/>
                <w:webHidden/>
              </w:rPr>
            </w:r>
            <w:r w:rsidRPr="004739A4">
              <w:rPr>
                <w:rFonts w:ascii="Aptos" w:hAnsi="Aptos"/>
                <w:noProof/>
                <w:webHidden/>
              </w:rPr>
              <w:fldChar w:fldCharType="separate"/>
            </w:r>
            <w:r w:rsidR="009A653A">
              <w:rPr>
                <w:rFonts w:ascii="Aptos" w:hAnsi="Aptos"/>
                <w:noProof/>
                <w:webHidden/>
              </w:rPr>
              <w:t>43</w:t>
            </w:r>
            <w:r w:rsidRPr="004739A4">
              <w:rPr>
                <w:rFonts w:ascii="Aptos" w:hAnsi="Aptos"/>
                <w:noProof/>
                <w:webHidden/>
              </w:rPr>
              <w:fldChar w:fldCharType="end"/>
            </w:r>
          </w:hyperlink>
        </w:p>
        <w:p w:rsidRPr="004739A4" w:rsidR="004739A4" w:rsidP="2302A0EF" w:rsidRDefault="004739A4" w14:paraId="1EFC615C" w14:textId="5E7BA0D1" w14:noSpellErr="1">
          <w:pPr>
            <w:pStyle w:val="TOC3"/>
            <w:tabs>
              <w:tab w:val="right" w:leader="dot" w:pos="9016"/>
            </w:tabs>
            <w:rPr>
              <w:rFonts w:ascii="Arial" w:hAnsi="Arial" w:eastAsia="Arial" w:cs="Arial"/>
              <w:i w:val="0"/>
              <w:iCs w:val="0"/>
              <w:noProof/>
              <w:sz w:val="22"/>
              <w:szCs w:val="22"/>
              <w:lang w:eastAsia="en-GB"/>
            </w:rPr>
          </w:pPr>
          <w:hyperlink w:history="1" w:anchor="_Toc208163516">
            <w:r w:rsidRPr="004739A4" w:rsidR="004739A4">
              <w:rPr>
                <w:rStyle w:val="Hyperlink"/>
                <w:rFonts w:ascii="Aptos" w:hAnsi="Aptos"/>
                <w:noProof/>
              </w:rPr>
              <w:t>6.2.2 Appendix B: Characteristics of selected studies</w:t>
            </w:r>
            <w:r w:rsidRPr="004739A4">
              <w:rPr>
                <w:rFonts w:ascii="Aptos" w:hAnsi="Aptos"/>
                <w:noProof/>
                <w:webHidden/>
              </w:rPr>
              <w:tab/>
            </w:r>
            <w:r w:rsidRPr="004739A4">
              <w:rPr>
                <w:rFonts w:ascii="Aptos" w:hAnsi="Aptos"/>
                <w:noProof/>
                <w:webHidden/>
              </w:rPr>
              <w:fldChar w:fldCharType="begin"/>
            </w:r>
            <w:r w:rsidRPr="004739A4">
              <w:rPr>
                <w:rFonts w:ascii="Aptos" w:hAnsi="Aptos"/>
                <w:noProof/>
                <w:webHidden/>
              </w:rPr>
              <w:instrText xml:space="preserve"> PAGEREF _Toc208163516 \h </w:instrText>
            </w:r>
            <w:r w:rsidRPr="004739A4">
              <w:rPr>
                <w:rFonts w:ascii="Aptos" w:hAnsi="Aptos"/>
                <w:noProof/>
                <w:webHidden/>
              </w:rPr>
            </w:r>
            <w:r w:rsidRPr="004739A4">
              <w:rPr>
                <w:rFonts w:ascii="Aptos" w:hAnsi="Aptos"/>
                <w:noProof/>
                <w:webHidden/>
              </w:rPr>
              <w:fldChar w:fldCharType="separate"/>
            </w:r>
            <w:r w:rsidR="009A653A">
              <w:rPr>
                <w:rFonts w:ascii="Aptos" w:hAnsi="Aptos"/>
                <w:noProof/>
                <w:webHidden/>
              </w:rPr>
              <w:t>46</w:t>
            </w:r>
            <w:r w:rsidRPr="004739A4">
              <w:rPr>
                <w:rFonts w:ascii="Aptos" w:hAnsi="Aptos"/>
                <w:noProof/>
                <w:webHidden/>
              </w:rPr>
              <w:fldChar w:fldCharType="end"/>
            </w:r>
          </w:hyperlink>
        </w:p>
        <w:p w:rsidRPr="004739A4" w:rsidR="004739A4" w:rsidP="2302A0EF" w:rsidRDefault="004739A4" w14:paraId="532FD6F8" w14:textId="13DC2E07" w14:noSpellErr="1">
          <w:pPr>
            <w:pStyle w:val="TOC3"/>
            <w:tabs>
              <w:tab w:val="right" w:leader="dot" w:pos="9016"/>
            </w:tabs>
            <w:rPr>
              <w:rFonts w:ascii="Arial" w:hAnsi="Arial" w:eastAsia="Arial" w:cs="Arial"/>
              <w:i w:val="0"/>
              <w:iCs w:val="0"/>
              <w:noProof/>
              <w:sz w:val="22"/>
              <w:szCs w:val="22"/>
              <w:lang w:eastAsia="en-GB"/>
            </w:rPr>
          </w:pPr>
          <w:hyperlink w:history="1" w:anchor="_Toc208163517">
            <w:r w:rsidRPr="004739A4" w:rsidR="004739A4">
              <w:rPr>
                <w:rStyle w:val="Hyperlink"/>
                <w:rFonts w:ascii="Aptos" w:hAnsi="Aptos"/>
                <w:noProof/>
              </w:rPr>
              <w:t>6.2.3 Appendix C: Thematic Analysis</w:t>
            </w:r>
            <w:r w:rsidRPr="004739A4">
              <w:rPr>
                <w:rFonts w:ascii="Aptos" w:hAnsi="Aptos"/>
                <w:noProof/>
                <w:webHidden/>
              </w:rPr>
              <w:tab/>
            </w:r>
            <w:r w:rsidRPr="004739A4">
              <w:rPr>
                <w:rFonts w:ascii="Aptos" w:hAnsi="Aptos"/>
                <w:noProof/>
                <w:webHidden/>
              </w:rPr>
              <w:fldChar w:fldCharType="begin"/>
            </w:r>
            <w:r w:rsidRPr="004739A4">
              <w:rPr>
                <w:rFonts w:ascii="Aptos" w:hAnsi="Aptos"/>
                <w:noProof/>
                <w:webHidden/>
              </w:rPr>
              <w:instrText xml:space="preserve"> PAGEREF _Toc208163517 \h </w:instrText>
            </w:r>
            <w:r w:rsidRPr="004739A4">
              <w:rPr>
                <w:rFonts w:ascii="Aptos" w:hAnsi="Aptos"/>
                <w:noProof/>
                <w:webHidden/>
              </w:rPr>
            </w:r>
            <w:r w:rsidRPr="004739A4">
              <w:rPr>
                <w:rFonts w:ascii="Aptos" w:hAnsi="Aptos"/>
                <w:noProof/>
                <w:webHidden/>
              </w:rPr>
              <w:fldChar w:fldCharType="separate"/>
            </w:r>
            <w:r w:rsidR="009A653A">
              <w:rPr>
                <w:rFonts w:ascii="Aptos" w:hAnsi="Aptos"/>
                <w:noProof/>
                <w:webHidden/>
              </w:rPr>
              <w:t>53</w:t>
            </w:r>
            <w:r w:rsidRPr="004739A4">
              <w:rPr>
                <w:rFonts w:ascii="Aptos" w:hAnsi="Aptos"/>
                <w:noProof/>
                <w:webHidden/>
              </w:rPr>
              <w:fldChar w:fldCharType="end"/>
            </w:r>
          </w:hyperlink>
        </w:p>
        <w:p w:rsidR="004739A4" w:rsidP="2302A0EF" w:rsidRDefault="004739A4" w14:paraId="27AD1AD3" w14:textId="6D56CC0C" w14:noSpellErr="1">
          <w:pPr>
            <w:rPr>
              <w:rFonts w:ascii="Arial" w:hAnsi="Arial" w:eastAsia="Arial" w:cs="Arial"/>
              <w:sz w:val="22"/>
              <w:szCs w:val="22"/>
            </w:rPr>
          </w:pPr>
          <w:r w:rsidRPr="2302A0EF">
            <w:rPr>
              <w:b w:val="1"/>
              <w:bCs w:val="1"/>
              <w:noProof/>
            </w:rPr>
            <w:fldChar w:fldCharType="end"/>
          </w:r>
        </w:p>
      </w:sdtContent>
    </w:sdt>
    <w:p w:rsidR="00804B94" w:rsidP="2302A0EF" w:rsidRDefault="00804B94" w14:paraId="756C3EE0" w14:textId="77777777" w14:noSpellErr="1">
      <w:pPr>
        <w:rPr>
          <w:rFonts w:ascii="Arial" w:hAnsi="Arial" w:eastAsia="Arial" w:cs="Arial"/>
          <w:sz w:val="22"/>
          <w:szCs w:val="22"/>
        </w:rPr>
      </w:pPr>
    </w:p>
    <w:p w:rsidR="00804B94" w:rsidP="2302A0EF" w:rsidRDefault="00804B94" w14:paraId="3EF52184" w14:textId="77777777" w14:noSpellErr="1">
      <w:pPr>
        <w:rPr>
          <w:rFonts w:ascii="Arial" w:hAnsi="Arial" w:eastAsia="Arial" w:cs="Arial"/>
          <w:sz w:val="22"/>
          <w:szCs w:val="22"/>
        </w:rPr>
      </w:pPr>
    </w:p>
    <w:p w:rsidR="00804B94" w:rsidP="2302A0EF" w:rsidRDefault="00804B94" w14:paraId="52F0D83D" w14:textId="77777777" w14:noSpellErr="1">
      <w:pPr>
        <w:rPr>
          <w:rFonts w:ascii="Arial" w:hAnsi="Arial" w:eastAsia="Arial" w:cs="Arial"/>
          <w:sz w:val="22"/>
          <w:szCs w:val="22"/>
        </w:rPr>
      </w:pPr>
    </w:p>
    <w:p w:rsidR="00804B94" w:rsidP="2302A0EF" w:rsidRDefault="00804B94" w14:paraId="4DF07CEB" w14:textId="77777777" w14:noSpellErr="1">
      <w:pPr>
        <w:rPr>
          <w:rFonts w:ascii="Arial" w:hAnsi="Arial" w:eastAsia="Arial" w:cs="Arial"/>
          <w:sz w:val="22"/>
          <w:szCs w:val="22"/>
        </w:rPr>
      </w:pPr>
    </w:p>
    <w:p w:rsidR="00804B94" w:rsidP="2302A0EF" w:rsidRDefault="00804B94" w14:paraId="61CFD6DF" w14:textId="77777777" w14:noSpellErr="1">
      <w:pPr>
        <w:rPr>
          <w:rFonts w:ascii="Arial" w:hAnsi="Arial" w:eastAsia="Arial" w:cs="Arial"/>
          <w:sz w:val="22"/>
          <w:szCs w:val="22"/>
        </w:rPr>
      </w:pPr>
    </w:p>
    <w:p w:rsidR="00804B94" w:rsidP="2302A0EF" w:rsidRDefault="00804B94" w14:paraId="417D68A4" w14:textId="77777777" w14:noSpellErr="1">
      <w:pPr>
        <w:rPr>
          <w:rFonts w:ascii="Arial" w:hAnsi="Arial" w:eastAsia="Arial" w:cs="Arial"/>
          <w:sz w:val="22"/>
          <w:szCs w:val="22"/>
        </w:rPr>
      </w:pPr>
    </w:p>
    <w:p w:rsidR="00804B94" w:rsidP="2302A0EF" w:rsidRDefault="00804B94" w14:paraId="201F102A" w14:textId="77777777" w14:noSpellErr="1">
      <w:pPr>
        <w:rPr>
          <w:rFonts w:ascii="Arial" w:hAnsi="Arial" w:eastAsia="Arial" w:cs="Arial"/>
          <w:sz w:val="22"/>
          <w:szCs w:val="22"/>
        </w:rPr>
      </w:pPr>
    </w:p>
    <w:p w:rsidR="00804B94" w:rsidP="2302A0EF" w:rsidRDefault="00804B94" w14:paraId="5D0A8789" w14:textId="77777777" w14:noSpellErr="1">
      <w:pPr>
        <w:rPr>
          <w:rFonts w:ascii="Arial" w:hAnsi="Arial" w:eastAsia="Arial" w:cs="Arial"/>
          <w:sz w:val="22"/>
          <w:szCs w:val="22"/>
        </w:rPr>
      </w:pPr>
    </w:p>
    <w:p w:rsidR="00804B94" w:rsidP="2302A0EF" w:rsidRDefault="00804B94" w14:paraId="612C6762" w14:textId="77777777" w14:noSpellErr="1">
      <w:pPr>
        <w:rPr>
          <w:rFonts w:ascii="Arial" w:hAnsi="Arial" w:eastAsia="Arial" w:cs="Arial"/>
          <w:sz w:val="22"/>
          <w:szCs w:val="22"/>
        </w:rPr>
      </w:pPr>
    </w:p>
    <w:p w:rsidR="004739A4" w:rsidP="2302A0EF" w:rsidRDefault="004739A4" w14:paraId="25A7AF43" w14:textId="77777777" w14:noSpellErr="1">
      <w:pPr>
        <w:rPr>
          <w:rFonts w:ascii="Arial" w:hAnsi="Arial" w:eastAsia="Arial" w:cs="Arial"/>
          <w:sz w:val="22"/>
          <w:szCs w:val="22"/>
        </w:rPr>
      </w:pPr>
    </w:p>
    <w:p w:rsidR="00730C3C" w:rsidP="2302A0EF" w:rsidRDefault="00730C3C" w14:paraId="66BE3F66" w14:textId="77777777" w14:noSpellErr="1">
      <w:pPr>
        <w:pStyle w:val="Heading1"/>
        <w:ind w:left="0"/>
        <w:rPr>
          <w:rFonts w:ascii="Arial" w:hAnsi="Arial" w:eastAsia="Arial" w:cs="Arial"/>
          <w:sz w:val="22"/>
          <w:szCs w:val="22"/>
        </w:rPr>
      </w:pPr>
    </w:p>
    <w:p w:rsidRPr="00EF6341" w:rsidR="00730C3C" w:rsidP="2302A0EF" w:rsidRDefault="00730C3C" w14:paraId="58452D18" w14:textId="53CBFDBD" w14:noSpellErr="1">
      <w:pPr>
        <w:pStyle w:val="Heading1"/>
        <w:spacing w:line="360" w:lineRule="auto"/>
        <w:ind w:left="0"/>
        <w:rPr>
          <w:rFonts w:ascii="Arial" w:hAnsi="Arial" w:eastAsia="Arial" w:cs="Arial"/>
          <w:b w:val="0"/>
          <w:bCs w:val="0"/>
          <w:sz w:val="22"/>
          <w:szCs w:val="22"/>
        </w:rPr>
      </w:pPr>
      <w:bookmarkStart w:name="_Toc208163466" w:id="0"/>
      <w:r w:rsidRPr="2302A0EF" w:rsidR="00730C3C">
        <w:rPr>
          <w:rFonts w:ascii="Arial" w:hAnsi="Arial" w:eastAsia="Arial" w:cs="Arial"/>
          <w:sz w:val="22"/>
          <w:szCs w:val="22"/>
        </w:rPr>
        <w:t>CHAPTER 1: Introduction</w:t>
      </w:r>
      <w:bookmarkEnd w:id="0"/>
    </w:p>
    <w:p w:rsidRPr="006B4354" w:rsidR="00EF6341" w:rsidP="2302A0EF" w:rsidRDefault="00EF6341" w14:paraId="69941E5D" w14:textId="77777777" w14:noSpellErr="1">
      <w:pPr>
        <w:rPr>
          <w:rFonts w:ascii="Arial" w:hAnsi="Arial" w:eastAsia="Arial" w:cs="Arial"/>
          <w:sz w:val="22"/>
          <w:szCs w:val="22"/>
        </w:rPr>
      </w:pPr>
    </w:p>
    <w:p w:rsidRPr="006B4354" w:rsidR="006B4354" w:rsidP="2302A0EF" w:rsidRDefault="006B4354" w14:paraId="529356EE" w14:textId="77777777" w14:noSpellErr="1">
      <w:pPr>
        <w:pStyle w:val="Heading2"/>
        <w:rPr>
          <w:rFonts w:ascii="Arial" w:hAnsi="Arial" w:eastAsia="Arial" w:cs="Arial"/>
          <w:sz w:val="22"/>
          <w:szCs w:val="22"/>
        </w:rPr>
      </w:pPr>
      <w:bookmarkStart w:name="_Toc208163467" w:id="1"/>
      <w:r w:rsidRPr="2302A0EF" w:rsidR="006B4354">
        <w:rPr>
          <w:rFonts w:ascii="Arial" w:hAnsi="Arial" w:eastAsia="Arial" w:cs="Arial"/>
          <w:sz w:val="22"/>
          <w:szCs w:val="22"/>
        </w:rPr>
        <w:t>1.1 Introduction</w:t>
      </w:r>
      <w:bookmarkEnd w:id="1"/>
    </w:p>
    <w:p w:rsidR="004906CF" w:rsidP="2302A0EF" w:rsidRDefault="00234A13" w14:paraId="16AA14C3" w14:textId="43ABCC99">
      <w:pPr>
        <w:rPr>
          <w:rFonts w:ascii="Arial" w:hAnsi="Arial" w:eastAsia="Arial" w:cs="Arial"/>
          <w:sz w:val="22"/>
          <w:szCs w:val="22"/>
        </w:rPr>
      </w:pPr>
      <w:r w:rsidRPr="2302A0EF" w:rsidR="00234A13">
        <w:rPr>
          <w:rFonts w:ascii="Arial" w:hAnsi="Arial" w:eastAsia="Arial" w:cs="Arial"/>
          <w:sz w:val="22"/>
          <w:szCs w:val="22"/>
        </w:rPr>
        <w:t xml:space="preserve">One of the long-standing and growing issues in the UK that has been facing 4.2 million children today is child poverty, a living situation under 60 percent of the national median income, with urban centres such as London, Manchester, and Birmingham having the highest rates (Hagger et al., 2023). This socioeconomic disadvantage has a close relationship with the deterioration of mental health outcomes, including anxiety, depression, and behavioural disorders, especially in a freer and more obvious urban setting (Wels &amp; </w:t>
      </w:r>
      <w:r w:rsidRPr="2302A0EF" w:rsidR="00234A13">
        <w:rPr>
          <w:rFonts w:ascii="Arial" w:hAnsi="Arial" w:eastAsia="Arial" w:cs="Arial"/>
          <w:sz w:val="22"/>
          <w:szCs w:val="22"/>
        </w:rPr>
        <w:t>Hamarat</w:t>
      </w:r>
      <w:r w:rsidRPr="2302A0EF" w:rsidR="00234A13">
        <w:rPr>
          <w:rFonts w:ascii="Arial" w:hAnsi="Arial" w:eastAsia="Arial" w:cs="Arial"/>
          <w:sz w:val="22"/>
          <w:szCs w:val="22"/>
        </w:rPr>
        <w:t>, 2024)</w:t>
      </w:r>
      <w:r w:rsidRPr="2302A0EF" w:rsidR="004906CF">
        <w:rPr>
          <w:rFonts w:ascii="Arial" w:hAnsi="Arial" w:eastAsia="Arial" w:cs="Arial"/>
          <w:sz w:val="22"/>
          <w:szCs w:val="22"/>
        </w:rPr>
        <w:t>.</w:t>
      </w:r>
    </w:p>
    <w:p w:rsidR="004906CF" w:rsidP="2302A0EF" w:rsidRDefault="004906CF" w14:paraId="15EB2A53" w14:textId="6A2430BF" w14:noSpellErr="1">
      <w:pPr>
        <w:rPr>
          <w:rFonts w:ascii="Arial" w:hAnsi="Arial" w:eastAsia="Arial" w:cs="Arial"/>
          <w:sz w:val="22"/>
          <w:szCs w:val="22"/>
        </w:rPr>
      </w:pPr>
      <w:r w:rsidRPr="2302A0EF" w:rsidR="004906CF">
        <w:rPr>
          <w:rFonts w:ascii="Arial" w:hAnsi="Arial" w:eastAsia="Arial" w:cs="Arial"/>
          <w:sz w:val="22"/>
          <w:szCs w:val="22"/>
        </w:rPr>
        <w:t>The COVID-19 problem not only worsened already existing mental health issues but also left new stressors. The accessibility of disadvantaged children was also limited by post-pandemic conditions, including long NHS waitlists and diminished in-person school services. The current c</w:t>
      </w:r>
      <w:r w:rsidRPr="2302A0EF" w:rsidR="00CB3DFB">
        <w:rPr>
          <w:rFonts w:ascii="Arial" w:hAnsi="Arial" w:eastAsia="Arial" w:cs="Arial"/>
          <w:sz w:val="22"/>
          <w:szCs w:val="22"/>
        </w:rPr>
        <w:t xml:space="preserve">ost-of-living crisis has </w:t>
      </w:r>
      <w:r w:rsidRPr="2302A0EF" w:rsidR="00CB3DFB">
        <w:rPr>
          <w:rFonts w:ascii="Arial" w:hAnsi="Arial" w:eastAsia="Arial" w:cs="Arial"/>
          <w:sz w:val="22"/>
          <w:szCs w:val="22"/>
        </w:rPr>
        <w:t>exacerbated</w:t>
      </w:r>
      <w:r w:rsidRPr="2302A0EF" w:rsidR="00CB3DFB">
        <w:rPr>
          <w:rFonts w:ascii="Arial" w:hAnsi="Arial" w:eastAsia="Arial" w:cs="Arial"/>
          <w:sz w:val="22"/>
          <w:szCs w:val="22"/>
        </w:rPr>
        <w:t xml:space="preserve"> these problems, as families struggle to afford necessities and are more likely to be unable to access </w:t>
      </w:r>
      <w:r w:rsidRPr="2302A0EF" w:rsidR="00CB3DFB">
        <w:rPr>
          <w:rFonts w:ascii="Arial" w:hAnsi="Arial" w:eastAsia="Arial" w:cs="Arial"/>
          <w:sz w:val="22"/>
          <w:szCs w:val="22"/>
        </w:rPr>
        <w:t>timely</w:t>
      </w:r>
      <w:r w:rsidRPr="2302A0EF" w:rsidR="00CB3DFB">
        <w:rPr>
          <w:rFonts w:ascii="Arial" w:hAnsi="Arial" w:eastAsia="Arial" w:cs="Arial"/>
          <w:sz w:val="22"/>
          <w:szCs w:val="22"/>
        </w:rPr>
        <w:t xml:space="preserve"> psychological support</w:t>
      </w:r>
      <w:r w:rsidRPr="2302A0EF" w:rsidR="004906CF">
        <w:rPr>
          <w:rFonts w:ascii="Arial" w:hAnsi="Arial" w:eastAsia="Arial" w:cs="Arial"/>
          <w:sz w:val="22"/>
          <w:szCs w:val="22"/>
        </w:rPr>
        <w:t xml:space="preserve"> (Benton and Power, 2023). It has been reported that two-thirds of mental health therapists in urban centres cited increasing household costs as a key influence on continuity in care (Bradbury &amp; Vince, 2025).</w:t>
      </w:r>
    </w:p>
    <w:p w:rsidR="004906CF" w:rsidP="2302A0EF" w:rsidRDefault="004906CF" w14:paraId="79C36F71" w14:textId="77777777" w14:noSpellErr="1">
      <w:pPr>
        <w:rPr>
          <w:rFonts w:ascii="Arial" w:hAnsi="Arial" w:eastAsia="Arial" w:cs="Arial"/>
          <w:sz w:val="22"/>
          <w:szCs w:val="22"/>
        </w:rPr>
      </w:pPr>
      <w:r w:rsidRPr="2302A0EF" w:rsidR="004906CF">
        <w:rPr>
          <w:rFonts w:ascii="Arial" w:hAnsi="Arial" w:eastAsia="Arial" w:cs="Arial"/>
          <w:sz w:val="22"/>
          <w:szCs w:val="22"/>
        </w:rPr>
        <w:t>Such limitations not only lead to unmet clinical needs but also to underachievement in the long term in education and social exclusion, trapping them in the poverty cycle. The case of early psychological trauma and marginalisation in adulthood is well-documented (Etherington et al., 2022).</w:t>
      </w:r>
    </w:p>
    <w:p w:rsidRPr="006B4354" w:rsidR="006B4354" w:rsidP="2302A0EF" w:rsidRDefault="004906CF" w14:paraId="3EB4B72E" w14:textId="1C03CE03" w14:noSpellErr="1">
      <w:pPr>
        <w:rPr>
          <w:rFonts w:ascii="Arial" w:hAnsi="Arial" w:eastAsia="Arial" w:cs="Arial"/>
          <w:sz w:val="22"/>
          <w:szCs w:val="22"/>
        </w:rPr>
      </w:pPr>
      <w:r w:rsidRPr="2302A0EF" w:rsidR="004906CF">
        <w:rPr>
          <w:rFonts w:ascii="Arial" w:hAnsi="Arial" w:eastAsia="Arial" w:cs="Arial"/>
          <w:sz w:val="22"/>
          <w:szCs w:val="22"/>
        </w:rPr>
        <w:t xml:space="preserve">The dissertation will explore how poverty among children will affect access to mental health services in </w:t>
      </w:r>
      <w:r w:rsidRPr="2302A0EF" w:rsidR="00CB3DFB">
        <w:rPr>
          <w:rFonts w:ascii="Arial" w:hAnsi="Arial" w:eastAsia="Arial" w:cs="Arial"/>
          <w:sz w:val="22"/>
          <w:szCs w:val="22"/>
        </w:rPr>
        <w:t>the</w:t>
      </w:r>
      <w:r w:rsidRPr="2302A0EF" w:rsidR="004906CF">
        <w:rPr>
          <w:rFonts w:ascii="Arial" w:hAnsi="Arial" w:eastAsia="Arial" w:cs="Arial"/>
          <w:sz w:val="22"/>
          <w:szCs w:val="22"/>
        </w:rPr>
        <w:t xml:space="preserve"> UK. </w:t>
      </w:r>
      <w:r w:rsidRPr="2302A0EF" w:rsidR="00234A13">
        <w:rPr>
          <w:rFonts w:ascii="Arial" w:hAnsi="Arial" w:eastAsia="Arial" w:cs="Arial"/>
          <w:sz w:val="22"/>
          <w:szCs w:val="22"/>
        </w:rPr>
        <w:t>When analysing this relationship it will inform the public health policy, equity in service delivery, and reduce intergenerational health disparities</w:t>
      </w:r>
      <w:r w:rsidRPr="2302A0EF" w:rsidR="004906CF">
        <w:rPr>
          <w:rFonts w:ascii="Arial" w:hAnsi="Arial" w:eastAsia="Arial" w:cs="Arial"/>
          <w:sz w:val="22"/>
          <w:szCs w:val="22"/>
        </w:rPr>
        <w:t>.</w:t>
      </w:r>
    </w:p>
    <w:p w:rsidRPr="006B4354" w:rsidR="006B4354" w:rsidP="2302A0EF" w:rsidRDefault="006B4354" w14:paraId="35E441A5" w14:textId="77777777" w14:noSpellErr="1">
      <w:pPr>
        <w:pStyle w:val="Heading2"/>
        <w:rPr>
          <w:rFonts w:ascii="Arial" w:hAnsi="Arial" w:eastAsia="Arial" w:cs="Arial"/>
          <w:sz w:val="22"/>
          <w:szCs w:val="22"/>
        </w:rPr>
      </w:pPr>
      <w:bookmarkStart w:name="_Toc208163468" w:id="2"/>
      <w:r w:rsidRPr="2302A0EF" w:rsidR="006B4354">
        <w:rPr>
          <w:rFonts w:ascii="Arial" w:hAnsi="Arial" w:eastAsia="Arial" w:cs="Arial"/>
          <w:sz w:val="22"/>
          <w:szCs w:val="22"/>
        </w:rPr>
        <w:t>1.2 Definitions and Terminology</w:t>
      </w:r>
      <w:bookmarkEnd w:id="2"/>
    </w:p>
    <w:p w:rsidR="00234A13" w:rsidP="2302A0EF" w:rsidRDefault="00234A13" w14:paraId="304B6D69" w14:textId="77777777" w14:noSpellErr="1">
      <w:pPr>
        <w:rPr>
          <w:rFonts w:ascii="Arial" w:hAnsi="Arial" w:eastAsia="Arial" w:cs="Arial"/>
          <w:sz w:val="22"/>
          <w:szCs w:val="22"/>
        </w:rPr>
      </w:pPr>
      <w:r w:rsidRPr="2302A0EF" w:rsidR="00234A13">
        <w:rPr>
          <w:rFonts w:ascii="Arial" w:hAnsi="Arial" w:eastAsia="Arial" w:cs="Arial"/>
          <w:sz w:val="22"/>
          <w:szCs w:val="22"/>
        </w:rPr>
        <w:t xml:space="preserve">The definition of poverty among children in the UK is </w:t>
      </w:r>
      <w:r w:rsidRPr="2302A0EF" w:rsidR="00234A13">
        <w:rPr>
          <w:rFonts w:ascii="Arial" w:hAnsi="Arial" w:eastAsia="Arial" w:cs="Arial"/>
          <w:sz w:val="22"/>
          <w:szCs w:val="22"/>
        </w:rPr>
        <w:t>generally based</w:t>
      </w:r>
      <w:r w:rsidRPr="2302A0EF" w:rsidR="00234A13">
        <w:rPr>
          <w:rFonts w:ascii="Arial" w:hAnsi="Arial" w:eastAsia="Arial" w:cs="Arial"/>
          <w:sz w:val="22"/>
          <w:szCs w:val="22"/>
        </w:rPr>
        <w:t xml:space="preserve"> on the family income; a household that is earning below 60 per cent of the average national income is defined as poor. This measure though </w:t>
      </w:r>
      <w:r w:rsidRPr="2302A0EF" w:rsidR="00234A13">
        <w:rPr>
          <w:rFonts w:ascii="Arial" w:hAnsi="Arial" w:eastAsia="Arial" w:cs="Arial"/>
          <w:sz w:val="22"/>
          <w:szCs w:val="22"/>
        </w:rPr>
        <w:t>a very popular</w:t>
      </w:r>
      <w:r w:rsidRPr="2302A0EF" w:rsidR="00234A13">
        <w:rPr>
          <w:rFonts w:ascii="Arial" w:hAnsi="Arial" w:eastAsia="Arial" w:cs="Arial"/>
          <w:sz w:val="22"/>
          <w:szCs w:val="22"/>
        </w:rPr>
        <w:t xml:space="preserve"> one is now being openly criticized </w:t>
      </w:r>
      <w:r w:rsidRPr="2302A0EF" w:rsidR="00234A13">
        <w:rPr>
          <w:rFonts w:ascii="Arial" w:hAnsi="Arial" w:eastAsia="Arial" w:cs="Arial"/>
          <w:sz w:val="22"/>
          <w:szCs w:val="22"/>
        </w:rPr>
        <w:t>due to the fact that</w:t>
      </w:r>
      <w:r w:rsidRPr="2302A0EF" w:rsidR="00234A13">
        <w:rPr>
          <w:rFonts w:ascii="Arial" w:hAnsi="Arial" w:eastAsia="Arial" w:cs="Arial"/>
          <w:sz w:val="22"/>
          <w:szCs w:val="22"/>
        </w:rPr>
        <w:t xml:space="preserve"> it </w:t>
      </w:r>
      <w:r w:rsidRPr="2302A0EF" w:rsidR="00234A13">
        <w:rPr>
          <w:rFonts w:ascii="Arial" w:hAnsi="Arial" w:eastAsia="Arial" w:cs="Arial"/>
          <w:sz w:val="22"/>
          <w:szCs w:val="22"/>
        </w:rPr>
        <w:t>fails to</w:t>
      </w:r>
      <w:r w:rsidRPr="2302A0EF" w:rsidR="00234A13">
        <w:rPr>
          <w:rFonts w:ascii="Arial" w:hAnsi="Arial" w:eastAsia="Arial" w:cs="Arial"/>
          <w:sz w:val="22"/>
          <w:szCs w:val="22"/>
        </w:rPr>
        <w:t xml:space="preserve"> capture the multidimensional deprivation, encompassing housing insecurity, unhealthy diet, and inadequate access to services (Bradshaw and Main, 2016). The highest levels of child poverty are </w:t>
      </w:r>
      <w:r w:rsidRPr="2302A0EF" w:rsidR="00234A13">
        <w:rPr>
          <w:rFonts w:ascii="Arial" w:hAnsi="Arial" w:eastAsia="Arial" w:cs="Arial"/>
          <w:sz w:val="22"/>
          <w:szCs w:val="22"/>
        </w:rPr>
        <w:t>observed</w:t>
      </w:r>
      <w:r w:rsidRPr="2302A0EF" w:rsidR="00234A13">
        <w:rPr>
          <w:rFonts w:ascii="Arial" w:hAnsi="Arial" w:eastAsia="Arial" w:cs="Arial"/>
          <w:sz w:val="22"/>
          <w:szCs w:val="22"/>
        </w:rPr>
        <w:t xml:space="preserve"> in such cities as Birmingham and London, and this issue is worsened by the spatial inequality and disaggregation of the policies (Fitzsimons et al., 2017).</w:t>
      </w:r>
    </w:p>
    <w:p w:rsidR="004906CF" w:rsidP="2302A0EF" w:rsidRDefault="00234A13" w14:paraId="6A417ACD" w14:textId="1F9DF425" w14:noSpellErr="1">
      <w:pPr>
        <w:rPr>
          <w:rFonts w:ascii="Arial" w:hAnsi="Arial" w:eastAsia="Arial" w:cs="Arial"/>
          <w:sz w:val="22"/>
          <w:szCs w:val="22"/>
        </w:rPr>
      </w:pPr>
      <w:r w:rsidRPr="2302A0EF" w:rsidR="00234A13">
        <w:rPr>
          <w:rFonts w:ascii="Arial" w:hAnsi="Arial" w:eastAsia="Arial" w:cs="Arial"/>
          <w:sz w:val="22"/>
          <w:szCs w:val="22"/>
        </w:rPr>
        <w:t>Urban deprivation is the agglomeration of economic deprivation, unemployment, poor housing, and poor social amenities at the densely populated places. These systemic inefficiencies are cumulative disadvantage points of exposure to the risk factors of mental health (Zacharia, 2020)</w:t>
      </w:r>
      <w:r w:rsidRPr="2302A0EF" w:rsidR="004906CF">
        <w:rPr>
          <w:rFonts w:ascii="Arial" w:hAnsi="Arial" w:eastAsia="Arial" w:cs="Arial"/>
          <w:sz w:val="22"/>
          <w:szCs w:val="22"/>
        </w:rPr>
        <w:t>. Importantly, these environments tend to form “service deserts</w:t>
      </w:r>
      <w:r w:rsidRPr="2302A0EF" w:rsidR="00CB3DFB">
        <w:rPr>
          <w:rFonts w:ascii="Arial" w:hAnsi="Arial" w:eastAsia="Arial" w:cs="Arial"/>
          <w:sz w:val="22"/>
          <w:szCs w:val="22"/>
        </w:rPr>
        <w:t>,” in which even statutory services such</w:t>
      </w:r>
      <w:r w:rsidRPr="2302A0EF" w:rsidR="004906CF">
        <w:rPr>
          <w:rFonts w:ascii="Arial" w:hAnsi="Arial" w:eastAsia="Arial" w:cs="Arial"/>
          <w:sz w:val="22"/>
          <w:szCs w:val="22"/>
        </w:rPr>
        <w:t xml:space="preserve"> as Child and Adolescent Mental Health Services (CAMHS) are either unavailable or overwhelmed (Callaghan et al., 2017).</w:t>
      </w:r>
    </w:p>
    <w:p w:rsidRPr="006B4354" w:rsidR="006B4354" w:rsidP="2302A0EF" w:rsidRDefault="004906CF" w14:paraId="20015941" w14:textId="6D10EBBA" w14:noSpellErr="1">
      <w:pPr>
        <w:rPr>
          <w:rFonts w:ascii="Arial" w:hAnsi="Arial" w:eastAsia="Arial" w:cs="Arial"/>
          <w:sz w:val="22"/>
          <w:szCs w:val="22"/>
        </w:rPr>
      </w:pPr>
      <w:r w:rsidRPr="2302A0EF" w:rsidR="004906CF">
        <w:rPr>
          <w:rFonts w:ascii="Arial" w:hAnsi="Arial" w:eastAsia="Arial" w:cs="Arial"/>
          <w:sz w:val="22"/>
          <w:szCs w:val="22"/>
        </w:rPr>
        <w:t xml:space="preserve">Formal support structures included in </w:t>
      </w:r>
      <w:r w:rsidRPr="2302A0EF" w:rsidR="004906CF">
        <w:rPr>
          <w:rFonts w:ascii="Arial" w:hAnsi="Arial" w:eastAsia="Arial" w:cs="Arial"/>
          <w:b w:val="1"/>
          <w:bCs w:val="1"/>
          <w:sz w:val="22"/>
          <w:szCs w:val="22"/>
        </w:rPr>
        <w:t>mental health services</w:t>
      </w:r>
      <w:r w:rsidRPr="2302A0EF" w:rsidR="004906CF">
        <w:rPr>
          <w:rFonts w:ascii="Arial" w:hAnsi="Arial" w:eastAsia="Arial" w:cs="Arial"/>
          <w:sz w:val="22"/>
          <w:szCs w:val="22"/>
        </w:rPr>
        <w:t xml:space="preserve"> are CAMHS, school-based counselling, and community psychological therapies. Access to the NHS is still not equal across the lines of income, and it has been found that some children with the highest levels of deprivation endure longer wait times and lower referral rates (Morris et al., 2021).</w:t>
      </w:r>
    </w:p>
    <w:p w:rsidRPr="006B4354" w:rsidR="006B4354" w:rsidP="2302A0EF" w:rsidRDefault="006B4354" w14:paraId="6EC9E1A9" w14:textId="77777777" w14:noSpellErr="1">
      <w:pPr>
        <w:rPr>
          <w:rFonts w:ascii="Arial" w:hAnsi="Arial" w:eastAsia="Arial" w:cs="Arial"/>
          <w:b w:val="1"/>
          <w:bCs w:val="1"/>
          <w:sz w:val="22"/>
          <w:szCs w:val="22"/>
        </w:rPr>
      </w:pPr>
      <w:r w:rsidRPr="2302A0EF" w:rsidR="006B4354">
        <w:rPr>
          <w:rFonts w:ascii="Arial" w:hAnsi="Arial" w:eastAsia="Arial" w:cs="Arial"/>
          <w:b w:val="1"/>
          <w:bCs w:val="1"/>
          <w:sz w:val="22"/>
          <w:szCs w:val="22"/>
        </w:rPr>
        <w:t>Acronyms and Abbreviations:</w:t>
      </w:r>
    </w:p>
    <w:p w:rsidRPr="006B4354" w:rsidR="006B4354" w:rsidP="2302A0EF" w:rsidRDefault="006B4354" w14:paraId="51E3026F" w14:textId="77777777" w14:noSpellErr="1">
      <w:pPr>
        <w:pStyle w:val="ListParagraph"/>
        <w:numPr>
          <w:ilvl w:val="0"/>
          <w:numId w:val="88"/>
        </w:numPr>
        <w:spacing w:line="360" w:lineRule="auto"/>
        <w:rPr>
          <w:rFonts w:ascii="Arial" w:hAnsi="Arial" w:eastAsia="Arial" w:cs="Arial"/>
          <w:sz w:val="22"/>
          <w:szCs w:val="22"/>
        </w:rPr>
      </w:pPr>
      <w:r w:rsidRPr="2302A0EF" w:rsidR="006B4354">
        <w:rPr>
          <w:rFonts w:ascii="Arial" w:hAnsi="Arial" w:eastAsia="Arial" w:cs="Arial"/>
          <w:sz w:val="22"/>
          <w:szCs w:val="22"/>
        </w:rPr>
        <w:t>CAMHS: Child and Adolescent Mental Health Services</w:t>
      </w:r>
    </w:p>
    <w:p w:rsidRPr="006B4354" w:rsidR="006B4354" w:rsidP="2302A0EF" w:rsidRDefault="006B4354" w14:paraId="0CE147B3" w14:textId="77777777" w14:noSpellErr="1">
      <w:pPr>
        <w:pStyle w:val="ListParagraph"/>
        <w:numPr>
          <w:ilvl w:val="0"/>
          <w:numId w:val="88"/>
        </w:numPr>
        <w:spacing w:line="360" w:lineRule="auto"/>
        <w:rPr>
          <w:rFonts w:ascii="Arial" w:hAnsi="Arial" w:eastAsia="Arial" w:cs="Arial"/>
          <w:sz w:val="22"/>
          <w:szCs w:val="22"/>
        </w:rPr>
      </w:pPr>
      <w:r w:rsidRPr="2302A0EF" w:rsidR="006B4354">
        <w:rPr>
          <w:rFonts w:ascii="Arial" w:hAnsi="Arial" w:eastAsia="Arial" w:cs="Arial"/>
          <w:sz w:val="22"/>
          <w:szCs w:val="22"/>
        </w:rPr>
        <w:t>NHS: National Health Service</w:t>
      </w:r>
    </w:p>
    <w:p w:rsidRPr="006B4354" w:rsidR="006B4354" w:rsidP="2302A0EF" w:rsidRDefault="006B4354" w14:paraId="39885CAB" w14:textId="77777777" w14:noSpellErr="1">
      <w:pPr>
        <w:pStyle w:val="ListParagraph"/>
        <w:numPr>
          <w:ilvl w:val="0"/>
          <w:numId w:val="88"/>
        </w:numPr>
        <w:spacing w:line="360" w:lineRule="auto"/>
        <w:rPr>
          <w:rFonts w:ascii="Arial" w:hAnsi="Arial" w:eastAsia="Arial" w:cs="Arial"/>
          <w:sz w:val="22"/>
          <w:szCs w:val="22"/>
        </w:rPr>
      </w:pPr>
      <w:r w:rsidRPr="2302A0EF" w:rsidR="006B4354">
        <w:rPr>
          <w:rFonts w:ascii="Arial" w:hAnsi="Arial" w:eastAsia="Arial" w:cs="Arial"/>
          <w:sz w:val="22"/>
          <w:szCs w:val="22"/>
        </w:rPr>
        <w:t>HSC: Health and Social Care</w:t>
      </w:r>
    </w:p>
    <w:p w:rsidRPr="006B4354" w:rsidR="006B4354" w:rsidP="2302A0EF" w:rsidRDefault="006B4354" w14:paraId="3F57E044" w14:textId="77777777" w14:noSpellErr="1">
      <w:pPr>
        <w:pStyle w:val="ListParagraph"/>
        <w:numPr>
          <w:ilvl w:val="0"/>
          <w:numId w:val="88"/>
        </w:numPr>
        <w:spacing w:line="360" w:lineRule="auto"/>
        <w:rPr>
          <w:rFonts w:ascii="Arial" w:hAnsi="Arial" w:eastAsia="Arial" w:cs="Arial"/>
          <w:sz w:val="22"/>
          <w:szCs w:val="22"/>
        </w:rPr>
      </w:pPr>
      <w:r w:rsidRPr="2302A0EF" w:rsidR="006B4354">
        <w:rPr>
          <w:rFonts w:ascii="Arial" w:hAnsi="Arial" w:eastAsia="Arial" w:cs="Arial"/>
          <w:sz w:val="22"/>
          <w:szCs w:val="22"/>
        </w:rPr>
        <w:t>SED: Socioeconomic Deprivation</w:t>
      </w:r>
    </w:p>
    <w:p w:rsidRPr="006B4354" w:rsidR="006B4354" w:rsidP="2302A0EF" w:rsidRDefault="006B4354" w14:paraId="294369DF" w14:textId="73D3C4A7" w14:noSpellErr="1">
      <w:pPr>
        <w:pStyle w:val="ListParagraph"/>
        <w:numPr>
          <w:ilvl w:val="0"/>
          <w:numId w:val="88"/>
        </w:numPr>
        <w:spacing w:line="360" w:lineRule="auto"/>
        <w:rPr>
          <w:rFonts w:ascii="Arial" w:hAnsi="Arial" w:eastAsia="Arial" w:cs="Arial"/>
          <w:sz w:val="22"/>
          <w:szCs w:val="22"/>
        </w:rPr>
      </w:pPr>
      <w:r w:rsidRPr="2302A0EF" w:rsidR="006B4354">
        <w:rPr>
          <w:rFonts w:ascii="Arial" w:hAnsi="Arial" w:eastAsia="Arial" w:cs="Arial"/>
          <w:sz w:val="22"/>
          <w:szCs w:val="22"/>
        </w:rPr>
        <w:t>WHO: World Health Organi</w:t>
      </w:r>
      <w:r w:rsidRPr="2302A0EF" w:rsidR="00CB3DFB">
        <w:rPr>
          <w:rFonts w:ascii="Arial" w:hAnsi="Arial" w:eastAsia="Arial" w:cs="Arial"/>
          <w:sz w:val="22"/>
          <w:szCs w:val="22"/>
        </w:rPr>
        <w:t>s</w:t>
      </w:r>
      <w:r w:rsidRPr="2302A0EF" w:rsidR="006B4354">
        <w:rPr>
          <w:rFonts w:ascii="Arial" w:hAnsi="Arial" w:eastAsia="Arial" w:cs="Arial"/>
          <w:sz w:val="22"/>
          <w:szCs w:val="22"/>
        </w:rPr>
        <w:t>ation</w:t>
      </w:r>
    </w:p>
    <w:p w:rsidRPr="006B4354" w:rsidR="006B4354" w:rsidP="2302A0EF" w:rsidRDefault="004906CF" w14:paraId="55A719FE" w14:textId="56186606" w14:noSpellErr="1">
      <w:pPr>
        <w:rPr>
          <w:rFonts w:ascii="Arial" w:hAnsi="Arial" w:eastAsia="Arial" w:cs="Arial"/>
          <w:sz w:val="22"/>
          <w:szCs w:val="22"/>
        </w:rPr>
      </w:pPr>
      <w:r w:rsidRPr="2302A0EF" w:rsidR="004906CF">
        <w:rPr>
          <w:rFonts w:ascii="Arial" w:hAnsi="Arial" w:eastAsia="Arial" w:cs="Arial"/>
          <w:sz w:val="22"/>
          <w:szCs w:val="22"/>
        </w:rPr>
        <w:t>These will be used throughout to sustain conceptual clarity throughout this dissertation.</w:t>
      </w:r>
    </w:p>
    <w:p w:rsidRPr="006B4354" w:rsidR="006B4354" w:rsidP="2302A0EF" w:rsidRDefault="006B4354" w14:paraId="069D167E" w14:textId="77777777" w14:noSpellErr="1">
      <w:pPr>
        <w:pStyle w:val="Heading2"/>
        <w:rPr>
          <w:rFonts w:ascii="Arial" w:hAnsi="Arial" w:eastAsia="Arial" w:cs="Arial"/>
          <w:sz w:val="22"/>
          <w:szCs w:val="22"/>
        </w:rPr>
      </w:pPr>
      <w:bookmarkStart w:name="_Toc208163469" w:id="3"/>
      <w:r w:rsidRPr="2302A0EF" w:rsidR="006B4354">
        <w:rPr>
          <w:rFonts w:ascii="Arial" w:hAnsi="Arial" w:eastAsia="Arial" w:cs="Arial"/>
          <w:sz w:val="22"/>
          <w:szCs w:val="22"/>
        </w:rPr>
        <w:t>1.3 Rationale for Research</w:t>
      </w:r>
      <w:bookmarkEnd w:id="3"/>
    </w:p>
    <w:p w:rsidR="00AA1B1C" w:rsidP="2302A0EF" w:rsidRDefault="00AA1B1C" w14:paraId="657D3B08" w14:textId="1EC1F274" w14:noSpellErr="1">
      <w:pPr>
        <w:rPr>
          <w:rFonts w:ascii="Arial" w:hAnsi="Arial" w:eastAsia="Arial" w:cs="Arial"/>
          <w:sz w:val="22"/>
          <w:szCs w:val="22"/>
        </w:rPr>
      </w:pPr>
      <w:r w:rsidRPr="2302A0EF" w:rsidR="00AA1B1C">
        <w:rPr>
          <w:rFonts w:ascii="Arial" w:hAnsi="Arial" w:eastAsia="Arial" w:cs="Arial"/>
          <w:sz w:val="22"/>
          <w:szCs w:val="22"/>
        </w:rPr>
        <w:t>Child mental health and child poverty are two related and growing societal health issues in the UK. It is a well-known correlation between socio-economic deprivation and higher rates of emotional, behavioural, and psychological disorders, and disadvantaged urban populations suffer the most (Mowat, 2019). The pressures of poverty and demographics in urban areas such as London and Manchester disorgani</w:t>
      </w:r>
      <w:r w:rsidRPr="2302A0EF" w:rsidR="00CB3DFB">
        <w:rPr>
          <w:rFonts w:ascii="Arial" w:hAnsi="Arial" w:eastAsia="Arial" w:cs="Arial"/>
          <w:sz w:val="22"/>
          <w:szCs w:val="22"/>
        </w:rPr>
        <w:t>s</w:t>
      </w:r>
      <w:r w:rsidRPr="2302A0EF" w:rsidR="00AA1B1C">
        <w:rPr>
          <w:rFonts w:ascii="Arial" w:hAnsi="Arial" w:eastAsia="Arial" w:cs="Arial"/>
          <w:sz w:val="22"/>
          <w:szCs w:val="22"/>
        </w:rPr>
        <w:t>e the already weakened local services, making children in poverty more susceptible to anxiety, depression, and ADHD (Ball et al., 2023).</w:t>
      </w:r>
    </w:p>
    <w:p w:rsidR="00AA1B1C" w:rsidP="2302A0EF" w:rsidRDefault="00AA1B1C" w14:paraId="104E9766" w14:textId="33242D85" w14:noSpellErr="1">
      <w:pPr>
        <w:rPr>
          <w:rFonts w:ascii="Arial" w:hAnsi="Arial" w:eastAsia="Arial" w:cs="Arial"/>
          <w:sz w:val="22"/>
          <w:szCs w:val="22"/>
        </w:rPr>
      </w:pPr>
      <w:r w:rsidRPr="2302A0EF" w:rsidR="00AA1B1C">
        <w:rPr>
          <w:rFonts w:ascii="Arial" w:hAnsi="Arial" w:eastAsia="Arial" w:cs="Arial"/>
          <w:sz w:val="22"/>
          <w:szCs w:val="22"/>
        </w:rPr>
        <w:t>Child mental health services are in high demand, and the NHS is limited by funding limits, workforce shifts, and strict prioritisation practi</w:t>
      </w:r>
      <w:r w:rsidRPr="2302A0EF" w:rsidR="00CB3DFB">
        <w:rPr>
          <w:rFonts w:ascii="Arial" w:hAnsi="Arial" w:eastAsia="Arial" w:cs="Arial"/>
          <w:sz w:val="22"/>
          <w:szCs w:val="22"/>
        </w:rPr>
        <w:t>c</w:t>
      </w:r>
      <w:r w:rsidRPr="2302A0EF" w:rsidR="00AA1B1C">
        <w:rPr>
          <w:rFonts w:ascii="Arial" w:hAnsi="Arial" w:eastAsia="Arial" w:cs="Arial"/>
          <w:sz w:val="22"/>
          <w:szCs w:val="22"/>
        </w:rPr>
        <w:t xml:space="preserve">es. Even with measures such as the NHS Long Term Plan (2019), access disparities </w:t>
      </w:r>
      <w:r w:rsidRPr="2302A0EF" w:rsidR="00CB3DFB">
        <w:rPr>
          <w:rFonts w:ascii="Arial" w:hAnsi="Arial" w:eastAsia="Arial" w:cs="Arial"/>
          <w:sz w:val="22"/>
          <w:szCs w:val="22"/>
        </w:rPr>
        <w:t>persist regionally, with some areas experiencing waits of up to 12 months for</w:t>
      </w:r>
      <w:r w:rsidRPr="2302A0EF" w:rsidR="00AA1B1C">
        <w:rPr>
          <w:rFonts w:ascii="Arial" w:hAnsi="Arial" w:eastAsia="Arial" w:cs="Arial"/>
          <w:sz w:val="22"/>
          <w:szCs w:val="22"/>
        </w:rPr>
        <w:t xml:space="preserve"> CAMHS interventions (Lazzarino et al., 2024). The existing statistics do not </w:t>
      </w:r>
      <w:r w:rsidRPr="2302A0EF" w:rsidR="00CB3DFB">
        <w:rPr>
          <w:rFonts w:ascii="Arial" w:hAnsi="Arial" w:eastAsia="Arial" w:cs="Arial"/>
          <w:sz w:val="22"/>
          <w:szCs w:val="22"/>
        </w:rPr>
        <w:t>accurately reflect the extent of access inequality between urban boroughs, thereby limiting the</w:t>
      </w:r>
      <w:r w:rsidRPr="2302A0EF" w:rsidR="00AA1B1C">
        <w:rPr>
          <w:rFonts w:ascii="Arial" w:hAnsi="Arial" w:eastAsia="Arial" w:cs="Arial"/>
          <w:sz w:val="22"/>
          <w:szCs w:val="22"/>
        </w:rPr>
        <w:t xml:space="preserve"> evidence-based responses.</w:t>
      </w:r>
    </w:p>
    <w:p w:rsidR="006B4354" w:rsidP="2302A0EF" w:rsidRDefault="00AA1B1C" w14:paraId="4764F9A9" w14:textId="7DB000DB" w14:noSpellErr="1">
      <w:pPr>
        <w:rPr>
          <w:rFonts w:ascii="Arial" w:hAnsi="Arial" w:eastAsia="Arial" w:cs="Arial"/>
          <w:sz w:val="22"/>
          <w:szCs w:val="22"/>
        </w:rPr>
      </w:pPr>
      <w:r w:rsidRPr="2302A0EF" w:rsidR="00AA1B1C">
        <w:rPr>
          <w:rFonts w:ascii="Arial" w:hAnsi="Arial" w:eastAsia="Arial" w:cs="Arial"/>
          <w:sz w:val="22"/>
          <w:szCs w:val="22"/>
        </w:rPr>
        <w:t xml:space="preserve">Importantly, the literature is more likely to generalise national-level results without considering the more detailed dynamics of high-deprivation urban areas (Bennett et al., 2024). </w:t>
      </w:r>
      <w:r w:rsidRPr="2302A0EF" w:rsidR="00234A13">
        <w:rPr>
          <w:rFonts w:ascii="Arial" w:hAnsi="Arial" w:eastAsia="Arial" w:cs="Arial"/>
          <w:sz w:val="22"/>
          <w:szCs w:val="22"/>
        </w:rPr>
        <w:t xml:space="preserve">Moreover, the </w:t>
      </w:r>
      <w:r w:rsidRPr="2302A0EF" w:rsidR="00234A13">
        <w:rPr>
          <w:rFonts w:ascii="Arial" w:hAnsi="Arial" w:eastAsia="Arial" w:cs="Arial"/>
          <w:sz w:val="22"/>
          <w:szCs w:val="22"/>
        </w:rPr>
        <w:t>efficacy of interventions is limited or obsolete, especially those that measure multi-agency and community-based models</w:t>
      </w:r>
      <w:r w:rsidRPr="2302A0EF" w:rsidR="00AA1B1C">
        <w:rPr>
          <w:rFonts w:ascii="Arial" w:hAnsi="Arial" w:eastAsia="Arial" w:cs="Arial"/>
          <w:sz w:val="22"/>
          <w:szCs w:val="22"/>
        </w:rPr>
        <w:t>.</w:t>
      </w:r>
      <w:r w:rsidRPr="2302A0EF" w:rsidR="005D3F8B">
        <w:rPr>
          <w:rFonts w:ascii="Arial" w:hAnsi="Arial" w:eastAsia="Arial" w:cs="Arial"/>
          <w:sz w:val="22"/>
          <w:szCs w:val="22"/>
        </w:rPr>
        <w:t xml:space="preserve"> </w:t>
      </w:r>
      <w:r w:rsidRPr="2302A0EF" w:rsidR="00AA1B1C">
        <w:rPr>
          <w:rFonts w:ascii="Arial" w:hAnsi="Arial" w:eastAsia="Arial" w:cs="Arial"/>
          <w:sz w:val="22"/>
          <w:szCs w:val="22"/>
        </w:rPr>
        <w:t>The study aims to fill these gaps by examining urban-specific obstacles to child mental health care in relation to poverty</w:t>
      </w:r>
      <w:r w:rsidRPr="2302A0EF" w:rsidR="00CB3DFB">
        <w:rPr>
          <w:rFonts w:ascii="Arial" w:hAnsi="Arial" w:eastAsia="Arial" w:cs="Arial"/>
          <w:sz w:val="22"/>
          <w:szCs w:val="22"/>
        </w:rPr>
        <w:t>, thereby inform</w:t>
      </w:r>
      <w:r w:rsidRPr="2302A0EF" w:rsidR="00AA1B1C">
        <w:rPr>
          <w:rFonts w:ascii="Arial" w:hAnsi="Arial" w:eastAsia="Arial" w:cs="Arial"/>
          <w:sz w:val="22"/>
          <w:szCs w:val="22"/>
        </w:rPr>
        <w:t xml:space="preserve">ing more </w:t>
      </w:r>
      <w:r w:rsidRPr="2302A0EF" w:rsidR="00AA1B1C">
        <w:rPr>
          <w:rFonts w:ascii="Arial" w:hAnsi="Arial" w:eastAsia="Arial" w:cs="Arial"/>
          <w:sz w:val="22"/>
          <w:szCs w:val="22"/>
        </w:rPr>
        <w:t>equitable</w:t>
      </w:r>
      <w:r w:rsidRPr="2302A0EF" w:rsidR="00AA1B1C">
        <w:rPr>
          <w:rFonts w:ascii="Arial" w:hAnsi="Arial" w:eastAsia="Arial" w:cs="Arial"/>
          <w:sz w:val="22"/>
          <w:szCs w:val="22"/>
        </w:rPr>
        <w:t xml:space="preserve"> and localised policy responses.</w:t>
      </w:r>
    </w:p>
    <w:p w:rsidRPr="006B4354" w:rsidR="005D3F8B" w:rsidP="2302A0EF" w:rsidRDefault="005D3F8B" w14:paraId="6530A1BF" w14:textId="0FB55003" w14:noSpellErr="1">
      <w:pPr>
        <w:rPr>
          <w:rFonts w:ascii="Arial" w:hAnsi="Arial" w:eastAsia="Arial" w:cs="Arial"/>
          <w:sz w:val="22"/>
          <w:szCs w:val="22"/>
        </w:rPr>
      </w:pPr>
      <w:r w:rsidRPr="2302A0EF" w:rsidR="005D3F8B">
        <w:rPr>
          <w:rFonts w:ascii="Arial" w:hAnsi="Arial" w:eastAsia="Arial" w:cs="Arial"/>
          <w:sz w:val="22"/>
          <w:szCs w:val="22"/>
        </w:rPr>
        <w:t>Lastly, the present dissertation will be done in a secondary qualitative fashion</w:t>
      </w:r>
      <w:r w:rsidRPr="2302A0EF" w:rsidR="005D3F8B">
        <w:rPr>
          <w:rFonts w:ascii="Arial" w:hAnsi="Arial" w:eastAsia="Arial" w:cs="Arial"/>
          <w:sz w:val="22"/>
          <w:szCs w:val="22"/>
        </w:rPr>
        <w:t>,</w:t>
      </w:r>
      <w:r w:rsidRPr="2302A0EF" w:rsidR="005D3F8B">
        <w:rPr>
          <w:rFonts w:ascii="Arial" w:hAnsi="Arial" w:eastAsia="Arial" w:cs="Arial"/>
          <w:sz w:val="22"/>
          <w:szCs w:val="22"/>
        </w:rPr>
        <w:t xml:space="preserve"> utili</w:t>
      </w:r>
      <w:r w:rsidRPr="2302A0EF" w:rsidR="005D3F8B">
        <w:rPr>
          <w:rFonts w:ascii="Arial" w:hAnsi="Arial" w:eastAsia="Arial" w:cs="Arial"/>
          <w:sz w:val="22"/>
          <w:szCs w:val="22"/>
        </w:rPr>
        <w:t>s</w:t>
      </w:r>
      <w:r w:rsidRPr="2302A0EF" w:rsidR="005D3F8B">
        <w:rPr>
          <w:rFonts w:ascii="Arial" w:hAnsi="Arial" w:eastAsia="Arial" w:cs="Arial"/>
          <w:sz w:val="22"/>
          <w:szCs w:val="22"/>
        </w:rPr>
        <w:t xml:space="preserve">ing thematic analysis as presented by Braun and Clarke (2006). This </w:t>
      </w:r>
      <w:r w:rsidRPr="2302A0EF" w:rsidR="005D3F8B">
        <w:rPr>
          <w:rFonts w:ascii="Arial" w:hAnsi="Arial" w:eastAsia="Arial" w:cs="Arial"/>
          <w:sz w:val="22"/>
          <w:szCs w:val="22"/>
        </w:rPr>
        <w:t xml:space="preserve">methodology</w:t>
      </w:r>
      <w:r w:rsidRPr="2302A0EF" w:rsidR="005D3F8B">
        <w:rPr>
          <w:rFonts w:ascii="Arial" w:hAnsi="Arial" w:eastAsia="Arial" w:cs="Arial"/>
          <w:sz w:val="22"/>
          <w:szCs w:val="22"/>
        </w:rPr>
        <w:t xml:space="preserve"> will </w:t>
      </w:r>
      <w:r w:rsidRPr="2302A0EF" w:rsidR="005D3F8B">
        <w:rPr>
          <w:rFonts w:ascii="Arial" w:hAnsi="Arial" w:eastAsia="Arial" w:cs="Arial"/>
          <w:kern w:val="0"/>
          <w:sz w:val="22"/>
          <w:szCs w:val="22"/>
          <w14:ligatures w14:val="none"/>
        </w:rPr>
        <w:t>enable the systematic synthesis of existing knowledge from publications, allowing for the identification of major themes, trends, and gaps related to child poverty and access to mental health services.</w:t>
      </w:r>
      <w:r w:rsidRPr="2302A0EF" w:rsidR="005D3F8B">
        <w:rPr>
          <w:rFonts w:ascii="Arial" w:hAnsi="Arial" w:eastAsia="Arial" w:cs="Arial"/>
          <w:sz w:val="22"/>
          <w:szCs w:val="22"/>
        </w:rPr>
        <w:t xml:space="preserve"> The analysis of secondary </w:t>
      </w:r>
      <w:r w:rsidRPr="2302A0EF" w:rsidR="005D3F8B">
        <w:rPr>
          <w:rFonts w:ascii="Arial" w:hAnsi="Arial" w:eastAsia="Arial" w:cs="Arial"/>
          <w:kern w:val="0"/>
          <w:sz w:val="22"/>
          <w:szCs w:val="22"/>
          <w14:ligatures w14:val="none"/>
        </w:rPr>
        <w:t>data, based on a qualitative interpretive approach, will enable the research to be comprehensive and address current issues faced by the Health and Social Care sector.</w:t>
      </w:r>
    </w:p>
    <w:p w:rsidRPr="006B4354" w:rsidR="006B4354" w:rsidP="2302A0EF" w:rsidRDefault="006B4354" w14:paraId="07CAB246" w14:textId="77777777" w14:noSpellErr="1">
      <w:pPr>
        <w:pStyle w:val="Heading2"/>
        <w:rPr>
          <w:rFonts w:ascii="Arial" w:hAnsi="Arial" w:eastAsia="Arial" w:cs="Arial"/>
          <w:sz w:val="22"/>
          <w:szCs w:val="22"/>
        </w:rPr>
      </w:pPr>
      <w:bookmarkStart w:name="_Toc208163470" w:id="4"/>
      <w:r w:rsidRPr="2302A0EF" w:rsidR="006B4354">
        <w:rPr>
          <w:rFonts w:ascii="Arial" w:hAnsi="Arial" w:eastAsia="Arial" w:cs="Arial"/>
          <w:sz w:val="22"/>
          <w:szCs w:val="22"/>
        </w:rPr>
        <w:t>1.4 Aim and Objectives</w:t>
      </w:r>
      <w:bookmarkEnd w:id="4"/>
    </w:p>
    <w:p w:rsidRPr="006B4354" w:rsidR="006B4354" w:rsidP="2302A0EF" w:rsidRDefault="006B4354" w14:paraId="0625CDCC" w14:textId="77777777" w14:noSpellErr="1">
      <w:pPr>
        <w:pStyle w:val="ListParagraph"/>
        <w:numPr>
          <w:ilvl w:val="0"/>
          <w:numId w:val="89"/>
        </w:numPr>
        <w:spacing w:line="360" w:lineRule="auto"/>
        <w:rPr>
          <w:rFonts w:ascii="Arial" w:hAnsi="Arial" w:eastAsia="Arial" w:cs="Arial"/>
          <w:sz w:val="22"/>
          <w:szCs w:val="22"/>
        </w:rPr>
      </w:pPr>
      <w:r w:rsidRPr="2302A0EF" w:rsidR="006B4354">
        <w:rPr>
          <w:rFonts w:ascii="Arial" w:hAnsi="Arial" w:eastAsia="Arial" w:cs="Arial"/>
          <w:sz w:val="22"/>
          <w:szCs w:val="22"/>
        </w:rPr>
        <w:t>Research Aim:</w:t>
      </w:r>
    </w:p>
    <w:p w:rsidRPr="006B4354" w:rsidR="006B4354" w:rsidP="2302A0EF" w:rsidRDefault="006B4354" w14:paraId="7354BE95" w14:textId="5465F6A5" w14:noSpellErr="1">
      <w:pPr>
        <w:pStyle w:val="ListParagraph"/>
        <w:numPr>
          <w:ilvl w:val="1"/>
          <w:numId w:val="89"/>
        </w:numPr>
        <w:spacing w:line="360" w:lineRule="auto"/>
        <w:rPr>
          <w:rFonts w:ascii="Arial" w:hAnsi="Arial" w:eastAsia="Arial" w:cs="Arial"/>
          <w:sz w:val="22"/>
          <w:szCs w:val="22"/>
        </w:rPr>
      </w:pPr>
      <w:r w:rsidRPr="2302A0EF" w:rsidR="006B4354">
        <w:rPr>
          <w:rFonts w:ascii="Arial" w:hAnsi="Arial" w:eastAsia="Arial" w:cs="Arial"/>
          <w:sz w:val="22"/>
          <w:szCs w:val="22"/>
        </w:rPr>
        <w:t xml:space="preserve">This research aims to </w:t>
      </w:r>
      <w:r w:rsidRPr="2302A0EF" w:rsidR="00CB3DFB">
        <w:rPr>
          <w:rFonts w:ascii="Arial" w:hAnsi="Arial" w:eastAsia="Arial" w:cs="Arial"/>
          <w:sz w:val="22"/>
          <w:szCs w:val="22"/>
        </w:rPr>
        <w:t>investigate the impact of child poverty on</w:t>
      </w:r>
      <w:r w:rsidRPr="2302A0EF" w:rsidR="006B4354">
        <w:rPr>
          <w:rFonts w:ascii="Arial" w:hAnsi="Arial" w:eastAsia="Arial" w:cs="Arial"/>
          <w:sz w:val="22"/>
          <w:szCs w:val="22"/>
        </w:rPr>
        <w:t xml:space="preserve"> access to mental health services in urban areas of the UK and assess the effectiveness of policies addressing this issue.</w:t>
      </w:r>
    </w:p>
    <w:p w:rsidRPr="006B4354" w:rsidR="006B4354" w:rsidP="2302A0EF" w:rsidRDefault="006B4354" w14:paraId="1520522B" w14:textId="77777777" w14:noSpellErr="1">
      <w:pPr>
        <w:pStyle w:val="ListParagraph"/>
        <w:numPr>
          <w:ilvl w:val="0"/>
          <w:numId w:val="89"/>
        </w:numPr>
        <w:spacing w:line="360" w:lineRule="auto"/>
        <w:rPr>
          <w:rFonts w:ascii="Arial" w:hAnsi="Arial" w:eastAsia="Arial" w:cs="Arial"/>
          <w:sz w:val="22"/>
          <w:szCs w:val="22"/>
        </w:rPr>
      </w:pPr>
      <w:r w:rsidRPr="2302A0EF" w:rsidR="006B4354">
        <w:rPr>
          <w:rFonts w:ascii="Arial" w:hAnsi="Arial" w:eastAsia="Arial" w:cs="Arial"/>
          <w:sz w:val="22"/>
          <w:szCs w:val="22"/>
        </w:rPr>
        <w:t>Research Objectives:</w:t>
      </w:r>
    </w:p>
    <w:p w:rsidRPr="006B4354" w:rsidR="006B4354" w:rsidP="2302A0EF" w:rsidRDefault="006B4354" w14:paraId="13FCEEA6" w14:textId="77777777" w14:noSpellErr="1">
      <w:pPr>
        <w:pStyle w:val="ListParagraph"/>
        <w:numPr>
          <w:ilvl w:val="1"/>
          <w:numId w:val="89"/>
        </w:numPr>
        <w:spacing w:line="360" w:lineRule="auto"/>
        <w:rPr>
          <w:rFonts w:ascii="Arial" w:hAnsi="Arial" w:eastAsia="Arial" w:cs="Arial"/>
          <w:sz w:val="22"/>
          <w:szCs w:val="22"/>
        </w:rPr>
      </w:pPr>
      <w:r w:rsidRPr="2302A0EF" w:rsidR="006B4354">
        <w:rPr>
          <w:rFonts w:ascii="Arial" w:hAnsi="Arial" w:eastAsia="Arial" w:cs="Arial"/>
          <w:sz w:val="22"/>
          <w:szCs w:val="22"/>
        </w:rPr>
        <w:t>Objective 1: To assess the prevalence of mental health problems amongst children living in poverty in urban UK settings.</w:t>
      </w:r>
    </w:p>
    <w:p w:rsidRPr="006B4354" w:rsidR="006B4354" w:rsidP="2302A0EF" w:rsidRDefault="006B4354" w14:paraId="695C2487" w14:textId="77777777" w14:noSpellErr="1">
      <w:pPr>
        <w:pStyle w:val="ListParagraph"/>
        <w:numPr>
          <w:ilvl w:val="1"/>
          <w:numId w:val="89"/>
        </w:numPr>
        <w:spacing w:line="360" w:lineRule="auto"/>
        <w:rPr>
          <w:rFonts w:ascii="Arial" w:hAnsi="Arial" w:eastAsia="Arial" w:cs="Arial"/>
          <w:sz w:val="22"/>
          <w:szCs w:val="22"/>
        </w:rPr>
      </w:pPr>
      <w:r w:rsidRPr="2302A0EF" w:rsidR="006B4354">
        <w:rPr>
          <w:rFonts w:ascii="Arial" w:hAnsi="Arial" w:eastAsia="Arial" w:cs="Arial"/>
          <w:sz w:val="22"/>
          <w:szCs w:val="22"/>
        </w:rPr>
        <w:t>Objective 2: To analyse the barriers that children from low-income families face in accessing mental health services, such as cost, availability, and stigma.</w:t>
      </w:r>
    </w:p>
    <w:p w:rsidRPr="006B4354" w:rsidR="006B4354" w:rsidP="2302A0EF" w:rsidRDefault="006B4354" w14:paraId="0EF24129" w14:textId="77777777" w14:noSpellErr="1">
      <w:pPr>
        <w:pStyle w:val="ListParagraph"/>
        <w:numPr>
          <w:ilvl w:val="1"/>
          <w:numId w:val="89"/>
        </w:numPr>
        <w:spacing w:line="360" w:lineRule="auto"/>
        <w:rPr>
          <w:rFonts w:ascii="Arial" w:hAnsi="Arial" w:eastAsia="Arial" w:cs="Arial"/>
          <w:sz w:val="22"/>
          <w:szCs w:val="22"/>
        </w:rPr>
      </w:pPr>
      <w:r w:rsidRPr="2302A0EF" w:rsidR="006B4354">
        <w:rPr>
          <w:rFonts w:ascii="Arial" w:hAnsi="Arial" w:eastAsia="Arial" w:cs="Arial"/>
          <w:sz w:val="22"/>
          <w:szCs w:val="22"/>
        </w:rPr>
        <w:t>Objective 3: To evaluate the effectiveness of current public health policies and programs aimed at increasing mental health service accessibility for children in poverty.</w:t>
      </w:r>
    </w:p>
    <w:p w:rsidRPr="006B4354" w:rsidR="006B4354" w:rsidP="2302A0EF" w:rsidRDefault="006B4354" w14:paraId="55E184E5" w14:textId="02A8A6D5" w14:noSpellErr="1">
      <w:pPr>
        <w:pStyle w:val="ListParagraph"/>
        <w:numPr>
          <w:ilvl w:val="1"/>
          <w:numId w:val="89"/>
        </w:numPr>
        <w:spacing w:line="360" w:lineRule="auto"/>
        <w:rPr>
          <w:rFonts w:ascii="Arial" w:hAnsi="Arial" w:eastAsia="Arial" w:cs="Arial"/>
          <w:sz w:val="22"/>
          <w:szCs w:val="22"/>
        </w:rPr>
      </w:pPr>
      <w:r w:rsidRPr="2302A0EF" w:rsidR="006B4354">
        <w:rPr>
          <w:rFonts w:ascii="Arial" w:hAnsi="Arial" w:eastAsia="Arial" w:cs="Arial"/>
          <w:sz w:val="22"/>
          <w:szCs w:val="22"/>
        </w:rPr>
        <w:t xml:space="preserve">Objective 4: To provide policy recommendations to </w:t>
      </w:r>
      <w:r w:rsidRPr="2302A0EF" w:rsidR="006B4354">
        <w:rPr>
          <w:rFonts w:ascii="Arial" w:hAnsi="Arial" w:eastAsia="Arial" w:cs="Arial"/>
          <w:sz w:val="22"/>
          <w:szCs w:val="22"/>
        </w:rPr>
        <w:t>facilitate</w:t>
      </w:r>
      <w:r w:rsidRPr="2302A0EF" w:rsidR="006B4354">
        <w:rPr>
          <w:rFonts w:ascii="Arial" w:hAnsi="Arial" w:eastAsia="Arial" w:cs="Arial"/>
          <w:sz w:val="22"/>
          <w:szCs w:val="22"/>
        </w:rPr>
        <w:t xml:space="preserve"> access to mental health services for children living in urban areas of deprivation in the UK.</w:t>
      </w:r>
    </w:p>
    <w:p w:rsidRPr="006B4354" w:rsidR="006B4354" w:rsidP="2302A0EF" w:rsidRDefault="006B4354" w14:paraId="47B419C9" w14:textId="77777777" w14:noSpellErr="1">
      <w:pPr>
        <w:pStyle w:val="Heading2"/>
        <w:rPr>
          <w:rFonts w:ascii="Arial" w:hAnsi="Arial" w:eastAsia="Arial" w:cs="Arial"/>
          <w:sz w:val="22"/>
          <w:szCs w:val="22"/>
        </w:rPr>
      </w:pPr>
      <w:bookmarkStart w:name="_Toc208163471" w:id="5"/>
      <w:r w:rsidRPr="2302A0EF" w:rsidR="006B4354">
        <w:rPr>
          <w:rFonts w:ascii="Arial" w:hAnsi="Arial" w:eastAsia="Arial" w:cs="Arial"/>
          <w:sz w:val="22"/>
          <w:szCs w:val="22"/>
        </w:rPr>
        <w:t>1.5 Conclusion</w:t>
      </w:r>
      <w:bookmarkEnd w:id="5"/>
    </w:p>
    <w:p w:rsidR="005D3F8B" w:rsidP="2302A0EF" w:rsidRDefault="005D3F8B" w14:paraId="2D5B880A" w14:textId="6B17DFC8" w14:noSpellErr="1">
      <w:pPr>
        <w:rPr>
          <w:rFonts w:ascii="Arial" w:hAnsi="Arial" w:eastAsia="Arial" w:cs="Arial"/>
          <w:sz w:val="22"/>
          <w:szCs w:val="22"/>
        </w:rPr>
      </w:pPr>
      <w:r w:rsidRPr="2302A0EF" w:rsidR="005D3F8B">
        <w:rPr>
          <w:rFonts w:ascii="Arial" w:hAnsi="Arial" w:eastAsia="Arial" w:cs="Arial"/>
          <w:sz w:val="22"/>
          <w:szCs w:val="22"/>
        </w:rPr>
        <w:t>This chapter has asserted that the issue of evaluating the role of child poverty in accessing mental health services is critical in the UK urban setting. The worrying levels of increasing child poverty, combined with the increasing levels of mental health problems, converge with the growth rates in the levels of child poverty, which is highest in the case of the deprived urban areas, where there is greater disparity in health. The obstacles to service access, including excessive NHS queues, interregional, and policy-based inefficiencies, require proper scholarly and practical focus.</w:t>
      </w:r>
    </w:p>
    <w:p w:rsidR="005D3F8B" w:rsidP="2302A0EF" w:rsidRDefault="005D3F8B" w14:paraId="2B7EB8DB" w14:textId="77777777" w14:noSpellErr="1">
      <w:pPr>
        <w:rPr>
          <w:rFonts w:ascii="Arial" w:hAnsi="Arial" w:eastAsia="Arial" w:cs="Arial"/>
          <w:sz w:val="22"/>
          <w:szCs w:val="22"/>
        </w:rPr>
      </w:pPr>
    </w:p>
    <w:p w:rsidR="005D3F8B" w:rsidP="2302A0EF" w:rsidRDefault="005D3F8B" w14:paraId="24B9FE47" w14:textId="35F1FA17" w14:noSpellErr="1">
      <w:pPr>
        <w:rPr>
          <w:rFonts w:ascii="Arial" w:hAnsi="Arial" w:eastAsia="Arial" w:cs="Arial"/>
          <w:sz w:val="22"/>
          <w:szCs w:val="22"/>
        </w:rPr>
      </w:pPr>
      <w:r w:rsidRPr="2302A0EF" w:rsidR="005D3F8B">
        <w:rPr>
          <w:rFonts w:ascii="Arial" w:hAnsi="Arial" w:eastAsia="Arial" w:cs="Arial"/>
          <w:sz w:val="22"/>
          <w:szCs w:val="22"/>
        </w:rPr>
        <w:lastRenderedPageBreak/>
        <w:t xml:space="preserve">These gaps are intended to be filled by the </w:t>
      </w:r>
      <w:r w:rsidRPr="2302A0EF" w:rsidR="005D3F8B">
        <w:rPr>
          <w:rFonts w:ascii="Arial" w:hAnsi="Arial" w:eastAsia="Arial" w:cs="Arial"/>
          <w:kern w:val="0"/>
          <w:sz w:val="22"/>
          <w:szCs w:val="22"/>
          <w14:ligatures w14:val="none"/>
        </w:rPr>
        <w:t>dissertation, which critically examines urban-specific issues and highlights</w:t>
      </w:r>
      <w:r w:rsidRPr="2302A0EF" w:rsidR="005D3F8B">
        <w:rPr>
          <w:rFonts w:ascii="Arial" w:hAnsi="Arial" w:eastAsia="Arial" w:cs="Arial"/>
          <w:sz w:val="22"/>
          <w:szCs w:val="22"/>
        </w:rPr>
        <w:t xml:space="preserve"> the intersection of socioeconomic deprivation and mental health service provision. By </w:t>
      </w:r>
      <w:r w:rsidRPr="2302A0EF" w:rsidR="005D3F8B">
        <w:rPr>
          <w:rFonts w:ascii="Arial" w:hAnsi="Arial" w:eastAsia="Arial" w:cs="Arial"/>
          <w:kern w:val="0"/>
          <w:sz w:val="22"/>
          <w:szCs w:val="22"/>
          <w14:ligatures w14:val="none"/>
        </w:rPr>
        <w:t xml:space="preserve">doing so, it contributes to the broader discussion within Health and Social Care (HSC), </w:t>
      </w:r>
      <w:r w:rsidRPr="2302A0EF" w:rsidR="005D3F8B">
        <w:rPr>
          <w:rFonts w:ascii="Arial" w:hAnsi="Arial" w:eastAsia="Arial" w:cs="Arial"/>
          <w:kern w:val="0"/>
          <w:sz w:val="22"/>
          <w:szCs w:val="22"/>
          <w14:ligatures w14:val="none"/>
        </w:rPr>
        <w:t>providing</w:t>
      </w:r>
      <w:r w:rsidRPr="2302A0EF" w:rsidR="005D3F8B">
        <w:rPr>
          <w:rFonts w:ascii="Arial" w:hAnsi="Arial" w:eastAsia="Arial" w:cs="Arial"/>
          <w:kern w:val="0"/>
          <w:sz w:val="22"/>
          <w:szCs w:val="22"/>
          <w14:ligatures w14:val="none"/>
        </w:rPr>
        <w:t xml:space="preserve"> evidence-based insights into policy and practice.</w:t>
      </w:r>
      <w:r w:rsidRPr="2302A0EF" w:rsidR="005D3F8B">
        <w:rPr>
          <w:rFonts w:ascii="Arial" w:hAnsi="Arial" w:eastAsia="Arial" w:cs="Arial"/>
          <w:sz w:val="22"/>
          <w:szCs w:val="22"/>
        </w:rPr>
        <w:t xml:space="preserve"> </w:t>
      </w:r>
      <w:r w:rsidRPr="2302A0EF" w:rsidR="005D3F8B">
        <w:rPr>
          <w:rFonts w:ascii="Arial" w:hAnsi="Arial" w:eastAsia="Arial" w:cs="Arial"/>
          <w:sz w:val="22"/>
          <w:szCs w:val="22"/>
        </w:rPr>
        <w:t>In particular, this</w:t>
      </w:r>
      <w:r w:rsidRPr="2302A0EF" w:rsidR="005D3F8B">
        <w:rPr>
          <w:rFonts w:ascii="Arial" w:hAnsi="Arial" w:eastAsia="Arial" w:cs="Arial"/>
          <w:sz w:val="22"/>
          <w:szCs w:val="22"/>
        </w:rPr>
        <w:t xml:space="preserve"> research paper aims to </w:t>
      </w:r>
      <w:r w:rsidRPr="2302A0EF" w:rsidR="005D3F8B">
        <w:rPr>
          <w:rFonts w:ascii="Arial" w:hAnsi="Arial" w:eastAsia="Arial" w:cs="Arial"/>
          <w:kern w:val="0"/>
          <w:sz w:val="22"/>
          <w:szCs w:val="22"/>
          <w14:ligatures w14:val="none"/>
        </w:rPr>
        <w:t>inform policy interventions in future service design by defining how combined, equity-based interventions have the potential to enhance CAMHS provision and resilience among children living in impoverished</w:t>
      </w:r>
      <w:r w:rsidRPr="2302A0EF" w:rsidR="005D3F8B">
        <w:rPr>
          <w:rFonts w:ascii="Arial" w:hAnsi="Arial" w:eastAsia="Arial" w:cs="Arial"/>
          <w:sz w:val="22"/>
          <w:szCs w:val="22"/>
        </w:rPr>
        <w:t xml:space="preserve"> urban areas. The implications of the findings will also be practical </w:t>
      </w:r>
      <w:r w:rsidRPr="2302A0EF" w:rsidR="005D3F8B">
        <w:rPr>
          <w:rFonts w:ascii="Arial" w:hAnsi="Arial" w:eastAsia="Arial" w:cs="Arial"/>
          <w:kern w:val="0"/>
          <w:sz w:val="22"/>
          <w:szCs w:val="22"/>
          <w14:ligatures w14:val="none"/>
        </w:rPr>
        <w:t>for practitioners and policymakers who aim to reduce inequalities and improve</w:t>
      </w:r>
      <w:r w:rsidRPr="2302A0EF" w:rsidR="005D3F8B">
        <w:rPr>
          <w:rFonts w:ascii="Arial" w:hAnsi="Arial" w:eastAsia="Arial" w:cs="Arial"/>
          <w:sz w:val="22"/>
          <w:szCs w:val="22"/>
        </w:rPr>
        <w:t xml:space="preserve"> access to mental health services.</w:t>
      </w:r>
    </w:p>
    <w:p w:rsidR="00730C3C" w:rsidP="2302A0EF" w:rsidRDefault="00730C3C" w14:paraId="4A886E55" w14:textId="77777777" w14:noSpellErr="1">
      <w:pPr>
        <w:rPr>
          <w:rFonts w:ascii="Arial" w:hAnsi="Arial" w:eastAsia="Arial" w:cs="Arial"/>
          <w:sz w:val="22"/>
          <w:szCs w:val="22"/>
        </w:rPr>
      </w:pPr>
    </w:p>
    <w:p w:rsidR="00730C3C" w:rsidP="2302A0EF" w:rsidRDefault="00730C3C" w14:paraId="115C9163" w14:textId="77777777" w14:noSpellErr="1">
      <w:pPr>
        <w:rPr>
          <w:rFonts w:ascii="Arial" w:hAnsi="Arial" w:eastAsia="Arial" w:cs="Arial"/>
          <w:sz w:val="22"/>
          <w:szCs w:val="22"/>
        </w:rPr>
      </w:pPr>
    </w:p>
    <w:p w:rsidR="00730C3C" w:rsidP="2302A0EF" w:rsidRDefault="00730C3C" w14:paraId="47D34B52" w14:textId="77777777" w14:noSpellErr="1">
      <w:pPr>
        <w:rPr>
          <w:rFonts w:ascii="Arial" w:hAnsi="Arial" w:eastAsia="Arial" w:cs="Arial"/>
          <w:sz w:val="22"/>
          <w:szCs w:val="22"/>
        </w:rPr>
      </w:pPr>
    </w:p>
    <w:p w:rsidR="00730C3C" w:rsidP="2302A0EF" w:rsidRDefault="00730C3C" w14:paraId="093E8F53" w14:textId="77777777" w14:noSpellErr="1">
      <w:pPr>
        <w:rPr>
          <w:rFonts w:ascii="Arial" w:hAnsi="Arial" w:eastAsia="Arial" w:cs="Arial"/>
          <w:sz w:val="22"/>
          <w:szCs w:val="22"/>
        </w:rPr>
      </w:pPr>
    </w:p>
    <w:p w:rsidR="003135AD" w:rsidP="2302A0EF" w:rsidRDefault="003135AD" w14:paraId="0DBC5AAB" w14:textId="77777777" w14:noSpellErr="1">
      <w:pPr>
        <w:rPr>
          <w:rFonts w:ascii="Arial" w:hAnsi="Arial" w:eastAsia="Arial" w:cs="Arial"/>
          <w:sz w:val="22"/>
          <w:szCs w:val="22"/>
        </w:rPr>
      </w:pPr>
    </w:p>
    <w:p w:rsidR="006A4515" w:rsidP="2302A0EF" w:rsidRDefault="006A4515" w14:paraId="69C79371" w14:textId="77777777" w14:noSpellErr="1">
      <w:pPr>
        <w:rPr>
          <w:rFonts w:ascii="Arial" w:hAnsi="Arial" w:eastAsia="Arial" w:cs="Arial"/>
          <w:sz w:val="22"/>
          <w:szCs w:val="22"/>
        </w:rPr>
      </w:pPr>
    </w:p>
    <w:p w:rsidR="006B4354" w:rsidP="2302A0EF" w:rsidRDefault="006B4354" w14:paraId="3615DE71" w14:textId="77777777" w14:noSpellErr="1">
      <w:pPr>
        <w:rPr>
          <w:rFonts w:ascii="Arial" w:hAnsi="Arial" w:eastAsia="Arial" w:cs="Arial"/>
          <w:sz w:val="22"/>
          <w:szCs w:val="22"/>
        </w:rPr>
      </w:pPr>
    </w:p>
    <w:p w:rsidR="006B4354" w:rsidP="2302A0EF" w:rsidRDefault="006B4354" w14:paraId="1C8BABFB" w14:textId="77777777" w14:noSpellErr="1">
      <w:pPr>
        <w:rPr>
          <w:rFonts w:ascii="Arial" w:hAnsi="Arial" w:eastAsia="Arial" w:cs="Arial"/>
          <w:sz w:val="22"/>
          <w:szCs w:val="22"/>
        </w:rPr>
      </w:pPr>
    </w:p>
    <w:p w:rsidR="006B4354" w:rsidP="2302A0EF" w:rsidRDefault="006B4354" w14:paraId="1112DBF0" w14:textId="77777777" w14:noSpellErr="1">
      <w:pPr>
        <w:rPr>
          <w:rFonts w:ascii="Arial" w:hAnsi="Arial" w:eastAsia="Arial" w:cs="Arial"/>
          <w:sz w:val="22"/>
          <w:szCs w:val="22"/>
        </w:rPr>
      </w:pPr>
    </w:p>
    <w:p w:rsidR="006B4354" w:rsidP="2302A0EF" w:rsidRDefault="006B4354" w14:paraId="6BFEE257" w14:textId="77777777" w14:noSpellErr="1">
      <w:pPr>
        <w:rPr>
          <w:rFonts w:ascii="Arial" w:hAnsi="Arial" w:eastAsia="Arial" w:cs="Arial"/>
          <w:sz w:val="22"/>
          <w:szCs w:val="22"/>
        </w:rPr>
      </w:pPr>
    </w:p>
    <w:p w:rsidR="006B4354" w:rsidP="2302A0EF" w:rsidRDefault="006B4354" w14:paraId="634BC7CC" w14:textId="77777777" w14:noSpellErr="1">
      <w:pPr>
        <w:rPr>
          <w:rFonts w:ascii="Arial" w:hAnsi="Arial" w:eastAsia="Arial" w:cs="Arial"/>
          <w:sz w:val="22"/>
          <w:szCs w:val="22"/>
        </w:rPr>
      </w:pPr>
    </w:p>
    <w:p w:rsidR="006B4354" w:rsidP="2302A0EF" w:rsidRDefault="006B4354" w14:paraId="519BC7E6" w14:textId="77777777" w14:noSpellErr="1">
      <w:pPr>
        <w:rPr>
          <w:rFonts w:ascii="Arial" w:hAnsi="Arial" w:eastAsia="Arial" w:cs="Arial"/>
          <w:sz w:val="22"/>
          <w:szCs w:val="22"/>
        </w:rPr>
      </w:pPr>
    </w:p>
    <w:p w:rsidR="006B4354" w:rsidP="2302A0EF" w:rsidRDefault="006B4354" w14:paraId="11F3C4B1" w14:textId="77777777" w14:noSpellErr="1">
      <w:pPr>
        <w:rPr>
          <w:rFonts w:ascii="Arial" w:hAnsi="Arial" w:eastAsia="Arial" w:cs="Arial"/>
          <w:sz w:val="22"/>
          <w:szCs w:val="22"/>
        </w:rPr>
      </w:pPr>
    </w:p>
    <w:p w:rsidR="006B4354" w:rsidP="2302A0EF" w:rsidRDefault="006B4354" w14:paraId="16F93CF8" w14:textId="77777777" w14:noSpellErr="1">
      <w:pPr>
        <w:rPr>
          <w:rFonts w:ascii="Arial" w:hAnsi="Arial" w:eastAsia="Arial" w:cs="Arial"/>
          <w:sz w:val="22"/>
          <w:szCs w:val="22"/>
        </w:rPr>
      </w:pPr>
    </w:p>
    <w:p w:rsidR="006B4354" w:rsidP="2302A0EF" w:rsidRDefault="006B4354" w14:paraId="31F8D87D" w14:textId="77777777" w14:noSpellErr="1">
      <w:pPr>
        <w:rPr>
          <w:rFonts w:ascii="Arial" w:hAnsi="Arial" w:eastAsia="Arial" w:cs="Arial"/>
          <w:sz w:val="22"/>
          <w:szCs w:val="22"/>
        </w:rPr>
      </w:pPr>
    </w:p>
    <w:p w:rsidR="006B4354" w:rsidP="2302A0EF" w:rsidRDefault="006B4354" w14:paraId="3F6ABA3C" w14:textId="77777777" w14:noSpellErr="1">
      <w:pPr>
        <w:rPr>
          <w:rFonts w:ascii="Arial" w:hAnsi="Arial" w:eastAsia="Arial" w:cs="Arial"/>
          <w:sz w:val="22"/>
          <w:szCs w:val="22"/>
        </w:rPr>
      </w:pPr>
    </w:p>
    <w:p w:rsidR="006B4354" w:rsidP="2302A0EF" w:rsidRDefault="006B4354" w14:paraId="0D2A97BC" w14:textId="77777777" w14:noSpellErr="1">
      <w:pPr>
        <w:rPr>
          <w:rFonts w:ascii="Arial" w:hAnsi="Arial" w:eastAsia="Arial" w:cs="Arial"/>
          <w:sz w:val="22"/>
          <w:szCs w:val="22"/>
        </w:rPr>
      </w:pPr>
    </w:p>
    <w:p w:rsidR="00804B94" w:rsidP="2302A0EF" w:rsidRDefault="00804B94" w14:paraId="1E1A58B1" w14:textId="77777777" w14:noSpellErr="1">
      <w:pPr>
        <w:rPr>
          <w:rFonts w:ascii="Arial" w:hAnsi="Arial" w:eastAsia="Arial" w:cs="Arial"/>
          <w:sz w:val="22"/>
          <w:szCs w:val="22"/>
        </w:rPr>
      </w:pPr>
    </w:p>
    <w:p w:rsidRPr="000D0641" w:rsidR="000D0641" w:rsidP="2302A0EF" w:rsidRDefault="000D0641" w14:paraId="33D4B98F" w14:textId="0AA65765" w14:noSpellErr="1">
      <w:pPr>
        <w:pStyle w:val="Heading1"/>
        <w:ind w:left="0"/>
        <w:rPr>
          <w:rFonts w:ascii="Arial" w:hAnsi="Arial" w:eastAsia="Arial" w:cs="Arial"/>
          <w:sz w:val="22"/>
          <w:szCs w:val="22"/>
        </w:rPr>
      </w:pPr>
      <w:bookmarkStart w:name="_Toc208163472" w:id="6"/>
      <w:r w:rsidRPr="2302A0EF" w:rsidR="000D0641">
        <w:rPr>
          <w:rFonts w:ascii="Arial" w:hAnsi="Arial" w:eastAsia="Arial" w:cs="Arial"/>
          <w:sz w:val="22"/>
          <w:szCs w:val="22"/>
        </w:rPr>
        <w:t xml:space="preserve">CHAPTER 2 – </w:t>
      </w:r>
      <w:r w:rsidRPr="2302A0EF" w:rsidR="00BD2909">
        <w:rPr>
          <w:rFonts w:ascii="Arial" w:hAnsi="Arial" w:eastAsia="Arial" w:cs="Arial"/>
          <w:sz w:val="22"/>
          <w:szCs w:val="22"/>
        </w:rPr>
        <w:t xml:space="preserve">Background </w:t>
      </w:r>
      <w:r w:rsidRPr="2302A0EF" w:rsidR="00F44833">
        <w:rPr>
          <w:rFonts w:ascii="Arial" w:hAnsi="Arial" w:eastAsia="Arial" w:cs="Arial"/>
          <w:sz w:val="22"/>
          <w:szCs w:val="22"/>
        </w:rPr>
        <w:t xml:space="preserve">Information and </w:t>
      </w:r>
      <w:r w:rsidRPr="2302A0EF" w:rsidR="00BD2909">
        <w:rPr>
          <w:rFonts w:ascii="Arial" w:hAnsi="Arial" w:eastAsia="Arial" w:cs="Arial"/>
          <w:sz w:val="22"/>
          <w:szCs w:val="22"/>
        </w:rPr>
        <w:t>Analysis</w:t>
      </w:r>
      <w:bookmarkEnd w:id="6"/>
    </w:p>
    <w:p w:rsidRPr="006B4354" w:rsidR="000D0641" w:rsidP="2302A0EF" w:rsidRDefault="000D0641" w14:paraId="3A28157F" w14:textId="77777777" w14:noSpellErr="1">
      <w:pPr>
        <w:rPr>
          <w:rFonts w:ascii="Arial" w:hAnsi="Arial" w:eastAsia="Arial" w:cs="Arial"/>
          <w:sz w:val="22"/>
          <w:szCs w:val="22"/>
        </w:rPr>
      </w:pPr>
    </w:p>
    <w:p w:rsidRPr="006B4354" w:rsidR="006B4354" w:rsidP="2302A0EF" w:rsidRDefault="006B4354" w14:paraId="2D4314C1" w14:textId="77777777" w14:noSpellErr="1">
      <w:pPr>
        <w:pStyle w:val="Heading2"/>
        <w:rPr>
          <w:rFonts w:ascii="Arial" w:hAnsi="Arial" w:eastAsia="Arial" w:cs="Arial"/>
          <w:sz w:val="22"/>
          <w:szCs w:val="22"/>
        </w:rPr>
      </w:pPr>
      <w:bookmarkStart w:name="_Toc208163473" w:id="7"/>
      <w:r w:rsidRPr="2302A0EF" w:rsidR="006B4354">
        <w:rPr>
          <w:rFonts w:ascii="Arial" w:hAnsi="Arial" w:eastAsia="Arial" w:cs="Arial"/>
          <w:sz w:val="22"/>
          <w:szCs w:val="22"/>
        </w:rPr>
        <w:t>2.1 Introduction</w:t>
      </w:r>
      <w:bookmarkEnd w:id="7"/>
    </w:p>
    <w:p w:rsidR="00E0039E" w:rsidP="2302A0EF" w:rsidRDefault="00234A13" w14:paraId="6DC9A93E" w14:textId="06960EDD" w14:noSpellErr="1">
      <w:pPr>
        <w:rPr>
          <w:rFonts w:ascii="Arial" w:hAnsi="Arial" w:eastAsia="Arial" w:cs="Arial"/>
          <w:sz w:val="22"/>
          <w:szCs w:val="22"/>
        </w:rPr>
      </w:pPr>
      <w:r w:rsidRPr="2302A0EF" w:rsidR="00234A13">
        <w:rPr>
          <w:rFonts w:ascii="Arial" w:hAnsi="Arial" w:eastAsia="Arial" w:cs="Arial"/>
          <w:sz w:val="22"/>
          <w:szCs w:val="22"/>
        </w:rPr>
        <w:t>Such nuanced perspective of the systemic agents of child poverty and access to mental health services is what is critical towards development of robust and functional research</w:t>
      </w:r>
      <w:r w:rsidRPr="2302A0EF" w:rsidR="00E0039E">
        <w:rPr>
          <w:rFonts w:ascii="Arial" w:hAnsi="Arial" w:eastAsia="Arial" w:cs="Arial"/>
          <w:sz w:val="22"/>
          <w:szCs w:val="22"/>
        </w:rPr>
        <w:t>. This chapter provides the foundation of such cogni</w:t>
      </w:r>
      <w:r w:rsidRPr="2302A0EF" w:rsidR="00CB3DFB">
        <w:rPr>
          <w:rFonts w:ascii="Arial" w:hAnsi="Arial" w:eastAsia="Arial" w:cs="Arial"/>
          <w:sz w:val="22"/>
          <w:szCs w:val="22"/>
        </w:rPr>
        <w:t>s</w:t>
      </w:r>
      <w:r w:rsidRPr="2302A0EF" w:rsidR="00E0039E">
        <w:rPr>
          <w:rFonts w:ascii="Arial" w:hAnsi="Arial" w:eastAsia="Arial" w:cs="Arial"/>
          <w:sz w:val="22"/>
          <w:szCs w:val="22"/>
        </w:rPr>
        <w:t xml:space="preserve">ance through an analysis of historical, theoretical and policy contexts in which child poverty and mental health inequalities have developed, especially in cities in the UK. Since deprivation is a multifaceted issue, it is </w:t>
      </w:r>
      <w:r w:rsidRPr="2302A0EF" w:rsidR="00CB3DFB">
        <w:rPr>
          <w:rFonts w:ascii="Arial" w:hAnsi="Arial" w:eastAsia="Arial" w:cs="Arial"/>
          <w:sz w:val="22"/>
          <w:szCs w:val="22"/>
        </w:rPr>
        <w:t>essential to frame the problem within both national and international contexts, wher</w:t>
      </w:r>
      <w:r w:rsidRPr="2302A0EF" w:rsidR="00E0039E">
        <w:rPr>
          <w:rFonts w:ascii="Arial" w:hAnsi="Arial" w:eastAsia="Arial" w:cs="Arial"/>
          <w:sz w:val="22"/>
          <w:szCs w:val="22"/>
        </w:rPr>
        <w:t>e best practi</w:t>
      </w:r>
      <w:r w:rsidRPr="2302A0EF" w:rsidR="00CB3DFB">
        <w:rPr>
          <w:rFonts w:ascii="Arial" w:hAnsi="Arial" w:eastAsia="Arial" w:cs="Arial"/>
          <w:sz w:val="22"/>
          <w:szCs w:val="22"/>
        </w:rPr>
        <w:t>c</w:t>
      </w:r>
      <w:r w:rsidRPr="2302A0EF" w:rsidR="00E0039E">
        <w:rPr>
          <w:rFonts w:ascii="Arial" w:hAnsi="Arial" w:eastAsia="Arial" w:cs="Arial"/>
          <w:sz w:val="22"/>
          <w:szCs w:val="22"/>
        </w:rPr>
        <w:t>es and failures can be compared and critically analysed.</w:t>
      </w:r>
    </w:p>
    <w:p w:rsidRPr="006B4354" w:rsidR="006B4354" w:rsidP="2302A0EF" w:rsidRDefault="00E0039E" w14:paraId="232B1F71" w14:textId="3475BD41" w14:noSpellErr="1">
      <w:pPr>
        <w:rPr>
          <w:rFonts w:ascii="Arial" w:hAnsi="Arial" w:eastAsia="Arial" w:cs="Arial"/>
          <w:sz w:val="22"/>
          <w:szCs w:val="22"/>
        </w:rPr>
      </w:pPr>
      <w:r w:rsidRPr="2302A0EF" w:rsidR="00E0039E">
        <w:rPr>
          <w:rFonts w:ascii="Arial" w:hAnsi="Arial" w:eastAsia="Arial" w:cs="Arial"/>
          <w:sz w:val="22"/>
          <w:szCs w:val="22"/>
        </w:rPr>
        <w:t xml:space="preserve">Although Chapter 1 presented the research </w:t>
      </w:r>
      <w:r w:rsidRPr="2302A0EF" w:rsidR="00E0039E">
        <w:rPr>
          <w:rFonts w:ascii="Arial" w:hAnsi="Arial" w:eastAsia="Arial" w:cs="Arial"/>
          <w:sz w:val="22"/>
          <w:szCs w:val="22"/>
        </w:rPr>
        <w:t>objectives</w:t>
      </w:r>
      <w:r w:rsidRPr="2302A0EF" w:rsidR="00E0039E">
        <w:rPr>
          <w:rFonts w:ascii="Arial" w:hAnsi="Arial" w:eastAsia="Arial" w:cs="Arial"/>
          <w:sz w:val="22"/>
          <w:szCs w:val="22"/>
        </w:rPr>
        <w:t xml:space="preserve">, this section </w:t>
      </w:r>
      <w:r w:rsidRPr="2302A0EF" w:rsidR="00E0039E">
        <w:rPr>
          <w:rFonts w:ascii="Arial" w:hAnsi="Arial" w:eastAsia="Arial" w:cs="Arial"/>
          <w:sz w:val="22"/>
          <w:szCs w:val="22"/>
        </w:rPr>
        <w:t>proceeds</w:t>
      </w:r>
      <w:r w:rsidRPr="2302A0EF" w:rsidR="00E0039E">
        <w:rPr>
          <w:rFonts w:ascii="Arial" w:hAnsi="Arial" w:eastAsia="Arial" w:cs="Arial"/>
          <w:sz w:val="22"/>
          <w:szCs w:val="22"/>
        </w:rPr>
        <w:t xml:space="preserve"> to go beyond the general statements to deconstruct the social, political, and institutional conditions that sustain health inequalities among children. Critically, this chapter does not </w:t>
      </w:r>
      <w:r w:rsidRPr="2302A0EF" w:rsidR="00E0039E">
        <w:rPr>
          <w:rFonts w:ascii="Arial" w:hAnsi="Arial" w:eastAsia="Arial" w:cs="Arial"/>
          <w:sz w:val="22"/>
          <w:szCs w:val="22"/>
        </w:rPr>
        <w:t>attempt</w:t>
      </w:r>
      <w:r w:rsidRPr="2302A0EF" w:rsidR="00E0039E">
        <w:rPr>
          <w:rFonts w:ascii="Arial" w:hAnsi="Arial" w:eastAsia="Arial" w:cs="Arial"/>
          <w:sz w:val="22"/>
          <w:szCs w:val="22"/>
        </w:rPr>
        <w:t xml:space="preserve"> </w:t>
      </w:r>
      <w:r w:rsidRPr="2302A0EF" w:rsidR="00CB3DFB">
        <w:rPr>
          <w:rFonts w:ascii="Arial" w:hAnsi="Arial" w:eastAsia="Arial" w:cs="Arial"/>
          <w:sz w:val="22"/>
          <w:szCs w:val="22"/>
        </w:rPr>
        <w:t xml:space="preserve">a thematic analysis — that occurs in Chapter 4 — but </w:t>
      </w:r>
      <w:r w:rsidRPr="2302A0EF" w:rsidR="00CB3DFB">
        <w:rPr>
          <w:rFonts w:ascii="Arial" w:hAnsi="Arial" w:eastAsia="Arial" w:cs="Arial"/>
          <w:sz w:val="22"/>
          <w:szCs w:val="22"/>
        </w:rPr>
        <w:t>rather contextualises</w:t>
      </w:r>
      <w:r w:rsidRPr="2302A0EF" w:rsidR="00CB3DFB">
        <w:rPr>
          <w:rFonts w:ascii="Arial" w:hAnsi="Arial" w:eastAsia="Arial" w:cs="Arial"/>
          <w:sz w:val="22"/>
          <w:szCs w:val="22"/>
        </w:rPr>
        <w:t xml:space="preserve"> the oncoming results by tracing underlying discourses and systemic patterns that</w:t>
      </w:r>
      <w:r w:rsidRPr="2302A0EF" w:rsidR="00E0039E">
        <w:rPr>
          <w:rFonts w:ascii="Arial" w:hAnsi="Arial" w:eastAsia="Arial" w:cs="Arial"/>
          <w:sz w:val="22"/>
          <w:szCs w:val="22"/>
        </w:rPr>
        <w:t xml:space="preserve"> will serve to inform the interpretive paradigm of this research.</w:t>
      </w:r>
    </w:p>
    <w:p w:rsidRPr="006B4354" w:rsidR="006B4354" w:rsidP="2302A0EF" w:rsidRDefault="006B4354" w14:paraId="4861FCE8" w14:textId="77777777" w14:noSpellErr="1">
      <w:pPr>
        <w:pStyle w:val="Heading2"/>
        <w:rPr>
          <w:rFonts w:ascii="Arial" w:hAnsi="Arial" w:eastAsia="Arial" w:cs="Arial"/>
          <w:sz w:val="22"/>
          <w:szCs w:val="22"/>
        </w:rPr>
      </w:pPr>
      <w:bookmarkStart w:name="_Toc208163474" w:id="8"/>
      <w:r w:rsidRPr="2302A0EF" w:rsidR="006B4354">
        <w:rPr>
          <w:rFonts w:ascii="Arial" w:hAnsi="Arial" w:eastAsia="Arial" w:cs="Arial"/>
          <w:sz w:val="22"/>
          <w:szCs w:val="22"/>
        </w:rPr>
        <w:t>2.2 Historical Background</w:t>
      </w:r>
      <w:bookmarkEnd w:id="8"/>
    </w:p>
    <w:p w:rsidR="00E0039E" w:rsidP="2302A0EF" w:rsidRDefault="00E0039E" w14:paraId="70CCD465" w14:textId="218CF120" w14:noSpellErr="1">
      <w:pPr>
        <w:rPr>
          <w:rFonts w:ascii="Arial" w:hAnsi="Arial" w:eastAsia="Arial" w:cs="Arial"/>
          <w:sz w:val="22"/>
          <w:szCs w:val="22"/>
        </w:rPr>
      </w:pPr>
      <w:r w:rsidRPr="2302A0EF" w:rsidR="00E0039E">
        <w:rPr>
          <w:rFonts w:ascii="Arial" w:hAnsi="Arial" w:eastAsia="Arial" w:cs="Arial"/>
          <w:sz w:val="22"/>
          <w:szCs w:val="22"/>
        </w:rPr>
        <w:t xml:space="preserve">The idea that frames child poverty in the UK has co-evolved between post-war economic assumptions and multifaceted socio-political categories. The Beveridge Report of 1942 </w:t>
      </w:r>
      <w:r w:rsidRPr="2302A0EF" w:rsidR="00CB3DFB">
        <w:rPr>
          <w:rFonts w:ascii="Arial" w:hAnsi="Arial" w:eastAsia="Arial" w:cs="Arial"/>
          <w:sz w:val="22"/>
          <w:szCs w:val="22"/>
        </w:rPr>
        <w:t>served as the foundation for the modern welfare state, which led to the introduction of universal benefits and the elimination of employment-based</w:t>
      </w:r>
      <w:r w:rsidRPr="2302A0EF" w:rsidR="00E0039E">
        <w:rPr>
          <w:rFonts w:ascii="Arial" w:hAnsi="Arial" w:eastAsia="Arial" w:cs="Arial"/>
          <w:sz w:val="22"/>
          <w:szCs w:val="22"/>
        </w:rPr>
        <w:t xml:space="preserve"> benefits. </w:t>
      </w:r>
      <w:r w:rsidRPr="2302A0EF" w:rsidR="00CB3DFB">
        <w:rPr>
          <w:rFonts w:ascii="Arial" w:hAnsi="Arial" w:eastAsia="Arial" w:cs="Arial"/>
          <w:sz w:val="22"/>
          <w:szCs w:val="22"/>
        </w:rPr>
        <w:t xml:space="preserve">However, later in the 1970s, Peter Townsend criticised this </w:t>
      </w:r>
      <w:r w:rsidRPr="2302A0EF" w:rsidR="00CB3DFB">
        <w:rPr>
          <w:rFonts w:ascii="Arial" w:hAnsi="Arial" w:eastAsia="Arial" w:cs="Arial"/>
          <w:sz w:val="22"/>
          <w:szCs w:val="22"/>
        </w:rPr>
        <w:t>perception</w:t>
      </w:r>
      <w:r w:rsidRPr="2302A0EF" w:rsidR="00CB3DFB">
        <w:rPr>
          <w:rFonts w:ascii="Arial" w:hAnsi="Arial" w:eastAsia="Arial" w:cs="Arial"/>
          <w:sz w:val="22"/>
          <w:szCs w:val="22"/>
        </w:rPr>
        <w:t xml:space="preserve"> and introduced the concept of relative poverty, which refers to the inability to fully </w:t>
      </w:r>
      <w:r w:rsidRPr="2302A0EF" w:rsidR="00CB3DFB">
        <w:rPr>
          <w:rFonts w:ascii="Arial" w:hAnsi="Arial" w:eastAsia="Arial" w:cs="Arial"/>
          <w:sz w:val="22"/>
          <w:szCs w:val="22"/>
        </w:rPr>
        <w:t>participate</w:t>
      </w:r>
      <w:r w:rsidRPr="2302A0EF" w:rsidR="00CB3DFB">
        <w:rPr>
          <w:rFonts w:ascii="Arial" w:hAnsi="Arial" w:eastAsia="Arial" w:cs="Arial"/>
          <w:sz w:val="22"/>
          <w:szCs w:val="22"/>
        </w:rPr>
        <w:t xml:space="preserve"> in society due to</w:t>
      </w:r>
      <w:r w:rsidRPr="2302A0EF" w:rsidR="00E0039E">
        <w:rPr>
          <w:rFonts w:ascii="Arial" w:hAnsi="Arial" w:eastAsia="Arial" w:cs="Arial"/>
          <w:sz w:val="22"/>
          <w:szCs w:val="22"/>
        </w:rPr>
        <w:t xml:space="preserve"> material deprivation (Townsend, 1979). This </w:t>
      </w:r>
      <w:r w:rsidRPr="2302A0EF" w:rsidR="00CB3DFB">
        <w:rPr>
          <w:rFonts w:ascii="Arial" w:hAnsi="Arial" w:eastAsia="Arial" w:cs="Arial"/>
          <w:sz w:val="22"/>
          <w:szCs w:val="22"/>
        </w:rPr>
        <w:t>represented</w:t>
      </w:r>
      <w:r w:rsidRPr="2302A0EF" w:rsidR="00CB3DFB">
        <w:rPr>
          <w:rFonts w:ascii="Arial" w:hAnsi="Arial" w:eastAsia="Arial" w:cs="Arial"/>
          <w:sz w:val="22"/>
          <w:szCs w:val="22"/>
        </w:rPr>
        <w:t xml:space="preserve"> </w:t>
      </w:r>
      <w:r w:rsidRPr="2302A0EF" w:rsidR="00CB3DFB">
        <w:rPr>
          <w:rFonts w:ascii="Arial" w:hAnsi="Arial" w:eastAsia="Arial" w:cs="Arial"/>
          <w:sz w:val="22"/>
          <w:szCs w:val="22"/>
        </w:rPr>
        <w:t>a paradigm shift</w:t>
      </w:r>
      <w:r w:rsidRPr="2302A0EF" w:rsidR="00CB3DFB">
        <w:rPr>
          <w:rFonts w:ascii="Arial" w:hAnsi="Arial" w:eastAsia="Arial" w:cs="Arial"/>
          <w:sz w:val="22"/>
          <w:szCs w:val="22"/>
        </w:rPr>
        <w:t xml:space="preserve"> from the former definitions of absolute poverty, which had only considered</w:t>
      </w:r>
      <w:r w:rsidRPr="2302A0EF" w:rsidR="00E0039E">
        <w:rPr>
          <w:rFonts w:ascii="Arial" w:hAnsi="Arial" w:eastAsia="Arial" w:cs="Arial"/>
          <w:sz w:val="22"/>
          <w:szCs w:val="22"/>
        </w:rPr>
        <w:t xml:space="preserve"> survival needs.</w:t>
      </w:r>
    </w:p>
    <w:p w:rsidR="00E0039E" w:rsidP="2302A0EF" w:rsidRDefault="00E0039E" w14:paraId="7CFD09AB" w14:textId="7868C40B" w14:noSpellErr="1">
      <w:pPr>
        <w:rPr>
          <w:rFonts w:ascii="Arial" w:hAnsi="Arial" w:eastAsia="Arial" w:cs="Arial"/>
          <w:sz w:val="22"/>
          <w:szCs w:val="22"/>
        </w:rPr>
      </w:pPr>
      <w:r w:rsidRPr="2302A0EF" w:rsidR="00E0039E">
        <w:rPr>
          <w:rFonts w:ascii="Arial" w:hAnsi="Arial" w:eastAsia="Arial" w:cs="Arial"/>
          <w:sz w:val="22"/>
          <w:szCs w:val="22"/>
        </w:rPr>
        <w:t xml:space="preserve">The government pledged to </w:t>
      </w:r>
      <w:r w:rsidRPr="2302A0EF" w:rsidR="00E0039E">
        <w:rPr>
          <w:rFonts w:ascii="Arial" w:hAnsi="Arial" w:eastAsia="Arial" w:cs="Arial"/>
          <w:sz w:val="22"/>
          <w:szCs w:val="22"/>
        </w:rPr>
        <w:t>eliminate</w:t>
      </w:r>
      <w:r w:rsidRPr="2302A0EF" w:rsidR="00E0039E">
        <w:rPr>
          <w:rFonts w:ascii="Arial" w:hAnsi="Arial" w:eastAsia="Arial" w:cs="Arial"/>
          <w:sz w:val="22"/>
          <w:szCs w:val="22"/>
        </w:rPr>
        <w:t xml:space="preserve"> child poverty by the year 2020 through the legislative pillar, the Child Poverty Act 2010. But it was undercut by the austerity period. Recent statistics </w:t>
      </w:r>
      <w:r w:rsidRPr="2302A0EF" w:rsidR="00E0039E">
        <w:rPr>
          <w:rFonts w:ascii="Arial" w:hAnsi="Arial" w:eastAsia="Arial" w:cs="Arial"/>
          <w:sz w:val="22"/>
          <w:szCs w:val="22"/>
        </w:rPr>
        <w:t>indicate</w:t>
      </w:r>
      <w:r w:rsidRPr="2302A0EF" w:rsidR="00E0039E">
        <w:rPr>
          <w:rFonts w:ascii="Arial" w:hAnsi="Arial" w:eastAsia="Arial" w:cs="Arial"/>
          <w:sz w:val="22"/>
          <w:szCs w:val="22"/>
        </w:rPr>
        <w:t xml:space="preserve"> that there are more than 4.3 million children in poverty in the UK today, and urban centres like London and Birmingham are disproportionately represented (Joseph Rowntree Foundation, 2023).</w:t>
      </w:r>
    </w:p>
    <w:p w:rsidR="00E0039E" w:rsidP="2302A0EF" w:rsidRDefault="00E0039E" w14:paraId="1268E361" w14:textId="42348111" w14:noSpellErr="1">
      <w:pPr>
        <w:rPr>
          <w:rFonts w:ascii="Arial" w:hAnsi="Arial" w:eastAsia="Arial" w:cs="Arial"/>
          <w:sz w:val="22"/>
          <w:szCs w:val="22"/>
        </w:rPr>
      </w:pPr>
      <w:r w:rsidRPr="2302A0EF" w:rsidR="00E0039E">
        <w:rPr>
          <w:rFonts w:ascii="Arial" w:hAnsi="Arial" w:eastAsia="Arial" w:cs="Arial"/>
          <w:sz w:val="22"/>
          <w:szCs w:val="22"/>
        </w:rPr>
        <w:t xml:space="preserve">Mental health as a child welfare concern began to gain </w:t>
      </w:r>
      <w:r w:rsidRPr="2302A0EF" w:rsidR="00CB3DFB">
        <w:rPr>
          <w:rFonts w:ascii="Arial" w:hAnsi="Arial" w:eastAsia="Arial" w:cs="Arial"/>
          <w:sz w:val="22"/>
          <w:szCs w:val="22"/>
        </w:rPr>
        <w:t xml:space="preserve">momentum in the 1990s, and in 1999, Child and Adolescent Mental Health Services (CAMHS) were </w:t>
      </w:r>
      <w:r w:rsidRPr="2302A0EF" w:rsidR="00CB3DFB">
        <w:rPr>
          <w:rFonts w:ascii="Arial" w:hAnsi="Arial" w:eastAsia="Arial" w:cs="Arial"/>
          <w:sz w:val="22"/>
          <w:szCs w:val="22"/>
        </w:rPr>
        <w:t>establish</w:t>
      </w:r>
      <w:r w:rsidRPr="2302A0EF" w:rsidR="00E0039E">
        <w:rPr>
          <w:rFonts w:ascii="Arial" w:hAnsi="Arial" w:eastAsia="Arial" w:cs="Arial"/>
          <w:sz w:val="22"/>
          <w:szCs w:val="22"/>
        </w:rPr>
        <w:t>ed</w:t>
      </w:r>
      <w:r w:rsidRPr="2302A0EF" w:rsidR="00E0039E">
        <w:rPr>
          <w:rFonts w:ascii="Arial" w:hAnsi="Arial" w:eastAsia="Arial" w:cs="Arial"/>
          <w:sz w:val="22"/>
          <w:szCs w:val="22"/>
        </w:rPr>
        <w:t xml:space="preserve"> under the NHS. These </w:t>
      </w:r>
      <w:r w:rsidRPr="2302A0EF" w:rsidR="00E0039E">
        <w:rPr>
          <w:rFonts w:ascii="Arial" w:hAnsi="Arial" w:eastAsia="Arial" w:cs="Arial"/>
          <w:sz w:val="22"/>
          <w:szCs w:val="22"/>
        </w:rPr>
        <w:t>services were to provide fair psychological support. However, underfunding and an increase in demand, especially in deprived urban populations, have resulted in excessive wait times and unfulfilled demand (Callaghan et al., 2017).</w:t>
      </w:r>
    </w:p>
    <w:p w:rsidR="00E0039E" w:rsidP="2302A0EF" w:rsidRDefault="00E0039E" w14:paraId="5CE7B643" w14:textId="35BF45BD" w14:noSpellErr="1">
      <w:pPr>
        <w:rPr>
          <w:rFonts w:ascii="Arial" w:hAnsi="Arial" w:eastAsia="Arial" w:cs="Arial"/>
          <w:sz w:val="22"/>
          <w:szCs w:val="22"/>
        </w:rPr>
      </w:pPr>
      <w:r w:rsidRPr="2302A0EF" w:rsidR="00E0039E">
        <w:rPr>
          <w:rFonts w:ascii="Arial" w:hAnsi="Arial" w:eastAsia="Arial" w:cs="Arial"/>
          <w:sz w:val="22"/>
          <w:szCs w:val="22"/>
        </w:rPr>
        <w:t xml:space="preserve">The </w:t>
      </w:r>
      <w:r w:rsidRPr="2302A0EF" w:rsidR="00CB3DFB">
        <w:rPr>
          <w:rFonts w:ascii="Arial" w:hAnsi="Arial" w:eastAsia="Arial" w:cs="Arial"/>
          <w:sz w:val="22"/>
          <w:szCs w:val="22"/>
        </w:rPr>
        <w:t>government's policies, particularly under Tony Blair's Labour Party, aimed to address the issue of child poverty comprehensive</w:t>
      </w:r>
      <w:r w:rsidRPr="2302A0EF" w:rsidR="00E0039E">
        <w:rPr>
          <w:rFonts w:ascii="Arial" w:hAnsi="Arial" w:eastAsia="Arial" w:cs="Arial"/>
          <w:sz w:val="22"/>
          <w:szCs w:val="22"/>
        </w:rPr>
        <w:t xml:space="preserve">ly. Income supports were merged with social investments in education and early years in the 1999 strategy, “End Child Poverty”. Although the policy reduced the rate of poverty among children in the short term, critics </w:t>
      </w:r>
      <w:r w:rsidRPr="2302A0EF" w:rsidR="00CB3DFB">
        <w:rPr>
          <w:rFonts w:ascii="Arial" w:hAnsi="Arial" w:eastAsia="Arial" w:cs="Arial"/>
          <w:sz w:val="22"/>
          <w:szCs w:val="22"/>
        </w:rPr>
        <w:t xml:space="preserve">argue that it did not provide sustainability and </w:t>
      </w:r>
      <w:r w:rsidRPr="2302A0EF" w:rsidR="00CB3DFB">
        <w:rPr>
          <w:rFonts w:ascii="Arial" w:hAnsi="Arial" w:eastAsia="Arial" w:cs="Arial"/>
          <w:sz w:val="22"/>
          <w:szCs w:val="22"/>
        </w:rPr>
        <w:t>failed to</w:t>
      </w:r>
      <w:r w:rsidRPr="2302A0EF" w:rsidR="00CB3DFB">
        <w:rPr>
          <w:rFonts w:ascii="Arial" w:hAnsi="Arial" w:eastAsia="Arial" w:cs="Arial"/>
          <w:sz w:val="22"/>
          <w:szCs w:val="22"/>
        </w:rPr>
        <w:t xml:space="preserve"> address</w:t>
      </w:r>
      <w:r w:rsidRPr="2302A0EF" w:rsidR="00E0039E">
        <w:rPr>
          <w:rFonts w:ascii="Arial" w:hAnsi="Arial" w:eastAsia="Arial" w:cs="Arial"/>
          <w:sz w:val="22"/>
          <w:szCs w:val="22"/>
        </w:rPr>
        <w:t xml:space="preserve"> economic inequalities (Lister, 2015).</w:t>
      </w:r>
    </w:p>
    <w:p w:rsidR="00234A13" w:rsidP="2302A0EF" w:rsidRDefault="00234A13" w14:paraId="0AD217E3" w14:textId="77777777" w14:noSpellErr="1">
      <w:pPr>
        <w:rPr>
          <w:rFonts w:ascii="Arial" w:hAnsi="Arial" w:eastAsia="Arial" w:cs="Arial"/>
          <w:sz w:val="22"/>
          <w:szCs w:val="22"/>
        </w:rPr>
      </w:pPr>
      <w:r w:rsidRPr="2302A0EF" w:rsidR="00234A13">
        <w:rPr>
          <w:rFonts w:ascii="Arial" w:hAnsi="Arial" w:eastAsia="Arial" w:cs="Arial"/>
          <w:sz w:val="22"/>
          <w:szCs w:val="22"/>
        </w:rPr>
        <w:t xml:space="preserve">Other researchers, including Jonathan Bradshaw, batted on with the argument that when compared with other nations in the OECD, England had a low score when it comes to child well-being indicators and that mental health </w:t>
      </w:r>
      <w:r w:rsidRPr="2302A0EF" w:rsidR="00234A13">
        <w:rPr>
          <w:rFonts w:ascii="Arial" w:hAnsi="Arial" w:eastAsia="Arial" w:cs="Arial"/>
          <w:sz w:val="22"/>
          <w:szCs w:val="22"/>
        </w:rPr>
        <w:t>is connected with</w:t>
      </w:r>
      <w:r w:rsidRPr="2302A0EF" w:rsidR="00234A13">
        <w:rPr>
          <w:rFonts w:ascii="Arial" w:hAnsi="Arial" w:eastAsia="Arial" w:cs="Arial"/>
          <w:sz w:val="22"/>
          <w:szCs w:val="22"/>
        </w:rPr>
        <w:t xml:space="preserve"> poverty (Bradshaw, 2000). The Marmot Review (2010) offered a historical view of the subject of public health by equating deprivation with both physical and mental ill health and prescribing young interventions in the societal structures to reduce inequalities in health.</w:t>
      </w:r>
    </w:p>
    <w:p w:rsidRPr="006B4354" w:rsidR="006B4354" w:rsidP="2302A0EF" w:rsidRDefault="00234A13" w14:paraId="0C3B2CA6" w14:textId="2D87761F" w14:noSpellErr="1">
      <w:pPr>
        <w:rPr>
          <w:rFonts w:ascii="Arial" w:hAnsi="Arial" w:eastAsia="Arial" w:cs="Arial"/>
          <w:sz w:val="22"/>
          <w:szCs w:val="22"/>
        </w:rPr>
      </w:pPr>
      <w:r w:rsidRPr="2302A0EF" w:rsidR="00234A13">
        <w:rPr>
          <w:rFonts w:ascii="Arial" w:hAnsi="Arial" w:eastAsia="Arial" w:cs="Arial"/>
          <w:sz w:val="22"/>
          <w:szCs w:val="22"/>
        </w:rPr>
        <w:t>In general, historical development of events shows that the emphasis on the structural basis was consistent</w:t>
      </w:r>
      <w:r w:rsidRPr="2302A0EF" w:rsidR="00E0039E">
        <w:rPr>
          <w:rFonts w:ascii="Arial" w:hAnsi="Arial" w:eastAsia="Arial" w:cs="Arial"/>
          <w:sz w:val="22"/>
          <w:szCs w:val="22"/>
        </w:rPr>
        <w:t>. Although structures and services such as CAMHS are available, access gaps have long existed, especially since 2010, due to partial underinvestment and reversal of policies</w:t>
      </w:r>
      <w:r w:rsidRPr="2302A0EF" w:rsidR="00CB3DFB">
        <w:rPr>
          <w:rFonts w:ascii="Arial" w:hAnsi="Arial" w:eastAsia="Arial" w:cs="Arial"/>
          <w:sz w:val="22"/>
          <w:szCs w:val="22"/>
        </w:rPr>
        <w:t>,</w:t>
      </w:r>
      <w:r w:rsidRPr="2302A0EF" w:rsidR="00E0039E">
        <w:rPr>
          <w:rFonts w:ascii="Arial" w:hAnsi="Arial" w:eastAsia="Arial" w:cs="Arial"/>
          <w:sz w:val="22"/>
          <w:szCs w:val="22"/>
        </w:rPr>
        <w:t xml:space="preserve"> especially in urban areas.</w:t>
      </w:r>
    </w:p>
    <w:p w:rsidRPr="006B4354" w:rsidR="006B4354" w:rsidP="2302A0EF" w:rsidRDefault="006B4354" w14:paraId="552C9B05" w14:textId="77777777" w14:noSpellErr="1">
      <w:pPr>
        <w:pStyle w:val="Heading2"/>
        <w:rPr>
          <w:rFonts w:ascii="Arial" w:hAnsi="Arial" w:eastAsia="Arial" w:cs="Arial"/>
          <w:sz w:val="22"/>
          <w:szCs w:val="22"/>
        </w:rPr>
      </w:pPr>
      <w:bookmarkStart w:name="_Toc208163475" w:id="9"/>
      <w:r w:rsidRPr="2302A0EF" w:rsidR="006B4354">
        <w:rPr>
          <w:rFonts w:ascii="Arial" w:hAnsi="Arial" w:eastAsia="Arial" w:cs="Arial"/>
          <w:sz w:val="22"/>
          <w:szCs w:val="22"/>
        </w:rPr>
        <w:t>2.3 Theoretical Background</w:t>
      </w:r>
      <w:bookmarkEnd w:id="9"/>
    </w:p>
    <w:p w:rsidR="00E0039E" w:rsidP="2302A0EF" w:rsidRDefault="00E0039E" w14:paraId="005C6B28" w14:textId="7DE3CF13" w14:noSpellErr="1">
      <w:pPr>
        <w:rPr>
          <w:rFonts w:ascii="Arial" w:hAnsi="Arial" w:eastAsia="Arial" w:cs="Arial"/>
          <w:sz w:val="22"/>
          <w:szCs w:val="22"/>
        </w:rPr>
      </w:pPr>
      <w:r w:rsidRPr="2302A0EF" w:rsidR="00E0039E">
        <w:rPr>
          <w:rFonts w:ascii="Arial" w:hAnsi="Arial" w:eastAsia="Arial" w:cs="Arial"/>
          <w:sz w:val="22"/>
          <w:szCs w:val="22"/>
        </w:rPr>
        <w:t>Child poverty and its effects on mental health service access cannot be addressed without a multi-theoretical approach. Three key theories</w:t>
      </w:r>
      <w:r w:rsidRPr="2302A0EF" w:rsidR="00CB3DFB">
        <w:rPr>
          <w:rFonts w:ascii="Arial" w:hAnsi="Arial" w:eastAsia="Arial" w:cs="Arial"/>
          <w:sz w:val="22"/>
          <w:szCs w:val="22"/>
        </w:rPr>
        <w:t xml:space="preserve"> —Social Determinants of Health, Ecological Systems Theory, and Cumulative Risk Theory —</w:t>
      </w:r>
      <w:r w:rsidRPr="2302A0EF" w:rsidR="00E0039E">
        <w:rPr>
          <w:rFonts w:ascii="Arial" w:hAnsi="Arial" w:eastAsia="Arial" w:cs="Arial"/>
          <w:sz w:val="22"/>
          <w:szCs w:val="22"/>
        </w:rPr>
        <w:t>provide</w:t>
      </w:r>
      <w:r w:rsidRPr="2302A0EF" w:rsidR="00E0039E">
        <w:rPr>
          <w:rFonts w:ascii="Arial" w:hAnsi="Arial" w:eastAsia="Arial" w:cs="Arial"/>
          <w:sz w:val="22"/>
          <w:szCs w:val="22"/>
        </w:rPr>
        <w:t xml:space="preserve"> background views on the structural, relational, and compounded impacts of deprivation.</w:t>
      </w:r>
    </w:p>
    <w:p w:rsidR="00E0039E" w:rsidP="2302A0EF" w:rsidRDefault="00E0039E" w14:paraId="74879E1E" w14:textId="42FB56A8" w14:noSpellErr="1">
      <w:pPr>
        <w:rPr>
          <w:rFonts w:ascii="Arial" w:hAnsi="Arial" w:eastAsia="Arial" w:cs="Arial"/>
          <w:sz w:val="22"/>
          <w:szCs w:val="22"/>
        </w:rPr>
      </w:pPr>
      <w:r w:rsidRPr="2302A0EF" w:rsidR="00E0039E">
        <w:rPr>
          <w:rFonts w:ascii="Arial" w:hAnsi="Arial" w:eastAsia="Arial" w:cs="Arial"/>
          <w:sz w:val="22"/>
          <w:szCs w:val="22"/>
        </w:rPr>
        <w:t>Social Determinants of Health (SDH), popularised by Marmot (2010)</w:t>
      </w:r>
      <w:r w:rsidRPr="2302A0EF" w:rsidR="00CB3DFB">
        <w:rPr>
          <w:rFonts w:ascii="Arial" w:hAnsi="Arial" w:eastAsia="Arial" w:cs="Arial"/>
          <w:sz w:val="22"/>
          <w:szCs w:val="22"/>
        </w:rPr>
        <w:t>,</w:t>
      </w:r>
      <w:r w:rsidRPr="2302A0EF" w:rsidR="00E0039E">
        <w:rPr>
          <w:rFonts w:ascii="Arial" w:hAnsi="Arial" w:eastAsia="Arial" w:cs="Arial"/>
          <w:sz w:val="22"/>
          <w:szCs w:val="22"/>
        </w:rPr>
        <w:t xml:space="preserve"> assumes that healthcare access has less to do with health outcomes than socio-economic factors such as income, housing, and education. The Marmot Review connects very clearly child poverty with lower life opportunities and increased rates of mental illness. The poor urban children in the UK, especially </w:t>
      </w:r>
      <w:r w:rsidRPr="2302A0EF" w:rsidR="00CB3DFB">
        <w:rPr>
          <w:rFonts w:ascii="Arial" w:hAnsi="Arial" w:eastAsia="Arial" w:cs="Arial"/>
          <w:sz w:val="22"/>
          <w:szCs w:val="22"/>
        </w:rPr>
        <w:t>in</w:t>
      </w:r>
      <w:r w:rsidRPr="2302A0EF" w:rsidR="00E0039E">
        <w:rPr>
          <w:rFonts w:ascii="Arial" w:hAnsi="Arial" w:eastAsia="Arial" w:cs="Arial"/>
          <w:sz w:val="22"/>
          <w:szCs w:val="22"/>
        </w:rPr>
        <w:t xml:space="preserve"> areas such as Birmingham and Tower Hamlets, experience stratified disadvantages affecting early intervention and systematic mental health treatment (Marmot, 2010). The theory has underpinned NHS frameworks</w:t>
      </w:r>
      <w:r w:rsidRPr="2302A0EF" w:rsidR="00CB3DFB">
        <w:rPr>
          <w:rFonts w:ascii="Arial" w:hAnsi="Arial" w:eastAsia="Arial" w:cs="Arial"/>
          <w:sz w:val="22"/>
          <w:szCs w:val="22"/>
        </w:rPr>
        <w:t>,</w:t>
      </w:r>
      <w:r w:rsidRPr="2302A0EF" w:rsidR="00E0039E">
        <w:rPr>
          <w:rFonts w:ascii="Arial" w:hAnsi="Arial" w:eastAsia="Arial" w:cs="Arial"/>
          <w:sz w:val="22"/>
          <w:szCs w:val="22"/>
        </w:rPr>
        <w:t xml:space="preserve"> including Health Equity Audits and place-based planning, but is </w:t>
      </w:r>
      <w:r w:rsidRPr="2302A0EF" w:rsidR="00CB3DFB">
        <w:rPr>
          <w:rFonts w:ascii="Arial" w:hAnsi="Arial" w:eastAsia="Arial" w:cs="Arial"/>
          <w:sz w:val="22"/>
          <w:szCs w:val="22"/>
        </w:rPr>
        <w:t>often at odds with</w:t>
      </w:r>
      <w:r w:rsidRPr="2302A0EF" w:rsidR="00E0039E">
        <w:rPr>
          <w:rFonts w:ascii="Arial" w:hAnsi="Arial" w:eastAsia="Arial" w:cs="Arial"/>
          <w:sz w:val="22"/>
          <w:szCs w:val="22"/>
        </w:rPr>
        <w:t xml:space="preserve"> policy rhetoric (McKenna, 2023).</w:t>
      </w:r>
    </w:p>
    <w:p w:rsidR="00E0039E" w:rsidP="2302A0EF" w:rsidRDefault="00E0039E" w14:paraId="11C9D4C5" w14:textId="76B2AF95">
      <w:pPr>
        <w:rPr>
          <w:rFonts w:ascii="Arial" w:hAnsi="Arial" w:eastAsia="Arial" w:cs="Arial"/>
          <w:sz w:val="22"/>
          <w:szCs w:val="22"/>
        </w:rPr>
      </w:pPr>
      <w:r w:rsidRPr="2302A0EF" w:rsidR="00E0039E">
        <w:rPr>
          <w:rFonts w:ascii="Arial" w:hAnsi="Arial" w:eastAsia="Arial" w:cs="Arial"/>
          <w:sz w:val="22"/>
          <w:szCs w:val="22"/>
        </w:rPr>
        <w:t>In his Ecological Systems Theory, Bronfenbrenner (1979) theorises the construction of child development through the interaction of different systems</w:t>
      </w:r>
      <w:r w:rsidRPr="2302A0EF" w:rsidR="00CB3DFB">
        <w:rPr>
          <w:rFonts w:ascii="Arial" w:hAnsi="Arial" w:eastAsia="Arial" w:cs="Arial"/>
          <w:sz w:val="22"/>
          <w:szCs w:val="22"/>
        </w:rPr>
        <w:t>—</w:t>
      </w:r>
      <w:r w:rsidRPr="2302A0EF" w:rsidR="00E0039E">
        <w:rPr>
          <w:rFonts w:ascii="Arial" w:hAnsi="Arial" w:eastAsia="Arial" w:cs="Arial"/>
          <w:sz w:val="22"/>
          <w:szCs w:val="22"/>
        </w:rPr>
        <w:t xml:space="preserve">family, school, community, and societal structures. This model </w:t>
      </w:r>
      <w:r w:rsidRPr="2302A0EF" w:rsidR="00CB3DFB">
        <w:rPr>
          <w:rFonts w:ascii="Arial" w:hAnsi="Arial" w:eastAsia="Arial" w:cs="Arial"/>
          <w:sz w:val="22"/>
          <w:szCs w:val="22"/>
        </w:rPr>
        <w:t>is increasingly finding applications in CAMHS and early-years services that incorporate school-based programmes and family therapy with</w:t>
      </w:r>
      <w:r w:rsidRPr="2302A0EF" w:rsidR="00E0039E">
        <w:rPr>
          <w:rFonts w:ascii="Arial" w:hAnsi="Arial" w:eastAsia="Arial" w:cs="Arial"/>
          <w:sz w:val="22"/>
          <w:szCs w:val="22"/>
        </w:rPr>
        <w:t xml:space="preserve">in a community context (Darlington et al., 2005; </w:t>
      </w:r>
      <w:r w:rsidRPr="2302A0EF" w:rsidR="00E0039E">
        <w:rPr>
          <w:rFonts w:ascii="Arial" w:hAnsi="Arial" w:eastAsia="Arial" w:cs="Arial"/>
          <w:sz w:val="22"/>
          <w:szCs w:val="22"/>
        </w:rPr>
        <w:t>Pavlopoulou</w:t>
      </w:r>
      <w:r w:rsidRPr="2302A0EF" w:rsidR="00E0039E">
        <w:rPr>
          <w:rFonts w:ascii="Arial" w:hAnsi="Arial" w:eastAsia="Arial" w:cs="Arial"/>
          <w:sz w:val="22"/>
          <w:szCs w:val="22"/>
        </w:rPr>
        <w:t xml:space="preserve"> et al., 2022). Nonetheless, it is still criticised that UK policy focuses on the microsystem (family) and does not cover macrosystemic determinants such as policy-level deprivation and inadequately funded urban infrastructure.</w:t>
      </w:r>
    </w:p>
    <w:p w:rsidR="00E0039E" w:rsidP="2302A0EF" w:rsidRDefault="00E0039E" w14:paraId="06F452C6" w14:textId="022669AA" w14:noSpellErr="1">
      <w:pPr>
        <w:rPr>
          <w:rFonts w:ascii="Arial" w:hAnsi="Arial" w:eastAsia="Arial" w:cs="Arial"/>
          <w:sz w:val="22"/>
          <w:szCs w:val="22"/>
        </w:rPr>
      </w:pPr>
      <w:r w:rsidRPr="2302A0EF" w:rsidR="00E0039E">
        <w:rPr>
          <w:rFonts w:ascii="Arial" w:hAnsi="Arial" w:eastAsia="Arial" w:cs="Arial"/>
          <w:sz w:val="22"/>
          <w:szCs w:val="22"/>
        </w:rPr>
        <w:t xml:space="preserve">Cumulative Risk Theory is the emphasis of the accumulating effect of various adversities- poverty, neglect, mental illness of parents - on the psychological outcomes of children. Studies </w:t>
      </w:r>
      <w:r w:rsidRPr="2302A0EF" w:rsidR="00E0039E">
        <w:rPr>
          <w:rFonts w:ascii="Arial" w:hAnsi="Arial" w:eastAsia="Arial" w:cs="Arial"/>
          <w:sz w:val="22"/>
          <w:szCs w:val="22"/>
        </w:rPr>
        <w:t>indicate</w:t>
      </w:r>
      <w:r w:rsidRPr="2302A0EF" w:rsidR="00E0039E">
        <w:rPr>
          <w:rFonts w:ascii="Arial" w:hAnsi="Arial" w:eastAsia="Arial" w:cs="Arial"/>
          <w:sz w:val="22"/>
          <w:szCs w:val="22"/>
        </w:rPr>
        <w:t xml:space="preserve"> that children with three or more risk factors have high chances of depressi</w:t>
      </w:r>
      <w:r w:rsidRPr="2302A0EF" w:rsidR="00CB3DFB">
        <w:rPr>
          <w:rFonts w:ascii="Arial" w:hAnsi="Arial" w:eastAsia="Arial" w:cs="Arial"/>
          <w:sz w:val="22"/>
          <w:szCs w:val="22"/>
        </w:rPr>
        <w:t>on</w:t>
      </w:r>
      <w:r w:rsidRPr="2302A0EF" w:rsidR="00E0039E">
        <w:rPr>
          <w:rFonts w:ascii="Arial" w:hAnsi="Arial" w:eastAsia="Arial" w:cs="Arial"/>
          <w:sz w:val="22"/>
          <w:szCs w:val="22"/>
        </w:rPr>
        <w:t xml:space="preserve"> and developing behavioural issues at the adolescent stage (Evans et al., 2013; Evans and De France, 2022). Although this is </w:t>
      </w:r>
      <w:r w:rsidRPr="2302A0EF" w:rsidR="00E0039E">
        <w:rPr>
          <w:rFonts w:ascii="Arial" w:hAnsi="Arial" w:eastAsia="Arial" w:cs="Arial"/>
          <w:sz w:val="22"/>
          <w:szCs w:val="22"/>
        </w:rPr>
        <w:t>evidenced</w:t>
      </w:r>
      <w:r w:rsidRPr="2302A0EF" w:rsidR="00E0039E">
        <w:rPr>
          <w:rFonts w:ascii="Arial" w:hAnsi="Arial" w:eastAsia="Arial" w:cs="Arial"/>
          <w:sz w:val="22"/>
          <w:szCs w:val="22"/>
        </w:rPr>
        <w:t>, current UK policies in child mental health tend to address risks in isolation</w:t>
      </w:r>
      <w:r w:rsidRPr="2302A0EF" w:rsidR="00CB3DFB">
        <w:rPr>
          <w:rFonts w:ascii="Arial" w:hAnsi="Arial" w:eastAsia="Arial" w:cs="Arial"/>
          <w:sz w:val="22"/>
          <w:szCs w:val="22"/>
        </w:rPr>
        <w:t>,</w:t>
      </w:r>
      <w:r w:rsidRPr="2302A0EF" w:rsidR="00E0039E">
        <w:rPr>
          <w:rFonts w:ascii="Arial" w:hAnsi="Arial" w:eastAsia="Arial" w:cs="Arial"/>
          <w:sz w:val="22"/>
          <w:szCs w:val="22"/>
        </w:rPr>
        <w:t xml:space="preserve"> hence poor responses in service delivery.</w:t>
      </w:r>
    </w:p>
    <w:p w:rsidR="00E0039E" w:rsidP="2302A0EF" w:rsidRDefault="00E0039E" w14:paraId="66183B29" w14:textId="71681C3C">
      <w:pPr>
        <w:rPr>
          <w:rFonts w:ascii="Arial" w:hAnsi="Arial" w:eastAsia="Arial" w:cs="Arial"/>
          <w:sz w:val="22"/>
          <w:szCs w:val="22"/>
        </w:rPr>
      </w:pPr>
      <w:r w:rsidRPr="2302A0EF" w:rsidR="00E0039E">
        <w:rPr>
          <w:rFonts w:ascii="Arial" w:hAnsi="Arial" w:eastAsia="Arial" w:cs="Arial"/>
          <w:sz w:val="22"/>
          <w:szCs w:val="22"/>
        </w:rPr>
        <w:t xml:space="preserve">The theories present strong points on the intersection of child poverty </w:t>
      </w:r>
      <w:r w:rsidRPr="2302A0EF" w:rsidR="00CB3DFB">
        <w:rPr>
          <w:rFonts w:ascii="Arial" w:hAnsi="Arial" w:eastAsia="Arial" w:cs="Arial"/>
          <w:sz w:val="22"/>
          <w:szCs w:val="22"/>
        </w:rPr>
        <w:t>and</w:t>
      </w:r>
      <w:r w:rsidRPr="2302A0EF" w:rsidR="00E0039E">
        <w:rPr>
          <w:rFonts w:ascii="Arial" w:hAnsi="Arial" w:eastAsia="Arial" w:cs="Arial"/>
          <w:sz w:val="22"/>
          <w:szCs w:val="22"/>
        </w:rPr>
        <w:t xml:space="preserve"> mental health issues. Together</w:t>
      </w:r>
      <w:r w:rsidRPr="2302A0EF" w:rsidR="00CB3DFB">
        <w:rPr>
          <w:rFonts w:ascii="Arial" w:hAnsi="Arial" w:eastAsia="Arial" w:cs="Arial"/>
          <w:sz w:val="22"/>
          <w:szCs w:val="22"/>
        </w:rPr>
        <w:t>,</w:t>
      </w:r>
      <w:r w:rsidRPr="2302A0EF" w:rsidR="00E0039E">
        <w:rPr>
          <w:rFonts w:ascii="Arial" w:hAnsi="Arial" w:eastAsia="Arial" w:cs="Arial"/>
          <w:sz w:val="22"/>
          <w:szCs w:val="22"/>
        </w:rPr>
        <w:t xml:space="preserve"> they support holistic and preventive methods. But </w:t>
      </w:r>
      <w:r w:rsidRPr="2302A0EF" w:rsidR="00E0039E">
        <w:rPr>
          <w:rFonts w:ascii="Arial" w:hAnsi="Arial" w:eastAsia="Arial" w:cs="Arial"/>
          <w:sz w:val="22"/>
          <w:szCs w:val="22"/>
        </w:rPr>
        <w:t>both of them</w:t>
      </w:r>
      <w:r w:rsidRPr="2302A0EF" w:rsidR="00E0039E">
        <w:rPr>
          <w:rFonts w:ascii="Arial" w:hAnsi="Arial" w:eastAsia="Arial" w:cs="Arial"/>
          <w:sz w:val="22"/>
          <w:szCs w:val="22"/>
        </w:rPr>
        <w:t xml:space="preserve"> are not without limitations (Uddin, 2024). </w:t>
      </w:r>
      <w:r w:rsidRPr="2302A0EF" w:rsidR="00CB3DFB">
        <w:rPr>
          <w:rFonts w:ascii="Arial" w:hAnsi="Arial" w:eastAsia="Arial" w:cs="Arial"/>
          <w:sz w:val="22"/>
          <w:szCs w:val="22"/>
        </w:rPr>
        <w:t>At the same time, systemic SDH frameworks can also lose individual accountability or overlook</w:t>
      </w:r>
      <w:r w:rsidRPr="2302A0EF" w:rsidR="00E0039E">
        <w:rPr>
          <w:rFonts w:ascii="Arial" w:hAnsi="Arial" w:eastAsia="Arial" w:cs="Arial"/>
          <w:sz w:val="22"/>
          <w:szCs w:val="22"/>
        </w:rPr>
        <w:t xml:space="preserve"> micro-level resilience. Ecological models may be too complex, so their application in practi</w:t>
      </w:r>
      <w:r w:rsidRPr="2302A0EF" w:rsidR="00CB3DFB">
        <w:rPr>
          <w:rFonts w:ascii="Arial" w:hAnsi="Arial" w:eastAsia="Arial" w:cs="Arial"/>
          <w:sz w:val="22"/>
          <w:szCs w:val="22"/>
        </w:rPr>
        <w:t>c</w:t>
      </w:r>
      <w:r w:rsidRPr="2302A0EF" w:rsidR="00E0039E">
        <w:rPr>
          <w:rFonts w:ascii="Arial" w:hAnsi="Arial" w:eastAsia="Arial" w:cs="Arial"/>
          <w:sz w:val="22"/>
          <w:szCs w:val="22"/>
        </w:rPr>
        <w:t xml:space="preserve">e becomes uneven. It has been argued that cumulative risk analysis is deficit-framed and can </w:t>
      </w:r>
      <w:r w:rsidRPr="2302A0EF" w:rsidR="00E0039E">
        <w:rPr>
          <w:rFonts w:ascii="Arial" w:hAnsi="Arial" w:eastAsia="Arial" w:cs="Arial"/>
          <w:sz w:val="22"/>
          <w:szCs w:val="22"/>
        </w:rPr>
        <w:t>pathologise</w:t>
      </w:r>
      <w:r w:rsidRPr="2302A0EF" w:rsidR="00E0039E">
        <w:rPr>
          <w:rFonts w:ascii="Arial" w:hAnsi="Arial" w:eastAsia="Arial" w:cs="Arial"/>
          <w:sz w:val="22"/>
          <w:szCs w:val="22"/>
        </w:rPr>
        <w:t xml:space="preserve"> the low-income families without acknowledging the coping strategies (Whipple and Evans, 2022).</w:t>
      </w:r>
    </w:p>
    <w:p w:rsidR="005D3F8B" w:rsidP="2302A0EF" w:rsidRDefault="005D3F8B" w14:paraId="44102950" w14:textId="52D5C30C" w14:noSpellErr="1">
      <w:pPr>
        <w:rPr>
          <w:rFonts w:ascii="Arial" w:hAnsi="Arial" w:eastAsia="Arial" w:cs="Arial"/>
          <w:sz w:val="22"/>
          <w:szCs w:val="22"/>
        </w:rPr>
      </w:pPr>
      <w:r w:rsidRPr="2302A0EF" w:rsidR="005D3F8B">
        <w:rPr>
          <w:rFonts w:ascii="Arial" w:hAnsi="Arial" w:eastAsia="Arial" w:cs="Arial"/>
          <w:sz w:val="22"/>
          <w:szCs w:val="22"/>
        </w:rPr>
        <w:t xml:space="preserve">Although SDH offers a solid macro-level explanation of structural inequality, it might lack the depth of individual relationships that </w:t>
      </w:r>
      <w:r w:rsidRPr="2302A0EF" w:rsidR="005D3F8B">
        <w:rPr>
          <w:rFonts w:ascii="Arial" w:hAnsi="Arial" w:eastAsia="Arial" w:cs="Arial"/>
          <w:sz w:val="22"/>
          <w:szCs w:val="22"/>
        </w:rPr>
        <w:t>determine</w:t>
      </w:r>
      <w:r w:rsidRPr="2302A0EF" w:rsidR="005D3F8B">
        <w:rPr>
          <w:rFonts w:ascii="Arial" w:hAnsi="Arial" w:eastAsia="Arial" w:cs="Arial"/>
          <w:sz w:val="22"/>
          <w:szCs w:val="22"/>
        </w:rPr>
        <w:t xml:space="preserve"> the development of children. Ecological Systems Theory is proficient in describing such dynamics, but i</w:t>
      </w:r>
      <w:r w:rsidRPr="2302A0EF" w:rsidR="005D3F8B">
        <w:rPr>
          <w:rFonts w:ascii="Arial" w:hAnsi="Arial" w:eastAsia="Arial" w:cs="Arial"/>
          <w:sz w:val="22"/>
          <w:szCs w:val="22"/>
        </w:rPr>
        <w:t>t</w:t>
      </w:r>
      <w:r w:rsidRPr="2302A0EF" w:rsidR="005D3F8B">
        <w:rPr>
          <w:rFonts w:ascii="Arial" w:hAnsi="Arial" w:eastAsia="Arial" w:cs="Arial"/>
          <w:sz w:val="22"/>
          <w:szCs w:val="22"/>
        </w:rPr>
        <w:t xml:space="preserve"> </w:t>
      </w:r>
      <w:r w:rsidRPr="2302A0EF" w:rsidR="005D3F8B">
        <w:rPr>
          <w:rFonts w:ascii="Arial" w:hAnsi="Arial" w:eastAsia="Arial" w:cs="Arial"/>
          <w:sz w:val="22"/>
          <w:szCs w:val="22"/>
        </w:rPr>
        <w:t>can</w:t>
      </w:r>
      <w:r w:rsidRPr="2302A0EF" w:rsidR="005D3F8B">
        <w:rPr>
          <w:rFonts w:ascii="Arial" w:hAnsi="Arial" w:eastAsia="Arial" w:cs="Arial"/>
          <w:sz w:val="22"/>
          <w:szCs w:val="22"/>
        </w:rPr>
        <w:t xml:space="preserve"> </w:t>
      </w:r>
      <w:r w:rsidRPr="2302A0EF" w:rsidR="005D3F8B">
        <w:rPr>
          <w:rFonts w:ascii="Arial" w:hAnsi="Arial" w:eastAsia="Arial" w:cs="Arial"/>
          <w:sz w:val="22"/>
          <w:szCs w:val="22"/>
        </w:rPr>
        <w:t>be challenging</w:t>
      </w:r>
      <w:r w:rsidRPr="2302A0EF" w:rsidR="005D3F8B">
        <w:rPr>
          <w:rFonts w:ascii="Arial" w:hAnsi="Arial" w:eastAsia="Arial" w:cs="Arial"/>
          <w:sz w:val="22"/>
          <w:szCs w:val="22"/>
        </w:rPr>
        <w:t xml:space="preserve"> to implement in policy settings </w:t>
      </w:r>
      <w:r w:rsidRPr="2302A0EF" w:rsidR="005D3F8B">
        <w:rPr>
          <w:rFonts w:ascii="Arial" w:hAnsi="Arial" w:eastAsia="Arial" w:cs="Arial"/>
          <w:sz w:val="22"/>
          <w:szCs w:val="22"/>
        </w:rPr>
        <w:t>due</w:t>
      </w:r>
      <w:r w:rsidRPr="2302A0EF" w:rsidR="005D3F8B">
        <w:rPr>
          <w:rFonts w:ascii="Arial" w:hAnsi="Arial" w:eastAsia="Arial" w:cs="Arial"/>
          <w:sz w:val="22"/>
          <w:szCs w:val="22"/>
        </w:rPr>
        <w:t xml:space="preserve"> </w:t>
      </w:r>
      <w:r w:rsidRPr="2302A0EF" w:rsidR="005D3F8B">
        <w:rPr>
          <w:rFonts w:ascii="Arial" w:hAnsi="Arial" w:eastAsia="Arial" w:cs="Arial"/>
          <w:sz w:val="22"/>
          <w:szCs w:val="22"/>
        </w:rPr>
        <w:t>to</w:t>
      </w:r>
      <w:r w:rsidRPr="2302A0EF" w:rsidR="005D3F8B">
        <w:rPr>
          <w:rFonts w:ascii="Arial" w:hAnsi="Arial" w:eastAsia="Arial" w:cs="Arial"/>
          <w:sz w:val="22"/>
          <w:szCs w:val="22"/>
        </w:rPr>
        <w:t xml:space="preserve"> </w:t>
      </w:r>
      <w:r w:rsidRPr="2302A0EF" w:rsidR="005D3F8B">
        <w:rPr>
          <w:rFonts w:ascii="Arial" w:hAnsi="Arial" w:eastAsia="Arial" w:cs="Arial"/>
          <w:sz w:val="22"/>
          <w:szCs w:val="22"/>
        </w:rPr>
        <w:t>its</w:t>
      </w:r>
      <w:r w:rsidRPr="2302A0EF" w:rsidR="005D3F8B">
        <w:rPr>
          <w:rFonts w:ascii="Arial" w:hAnsi="Arial" w:eastAsia="Arial" w:cs="Arial"/>
          <w:sz w:val="22"/>
          <w:szCs w:val="22"/>
        </w:rPr>
        <w:t xml:space="preserve"> </w:t>
      </w:r>
      <w:r w:rsidRPr="2302A0EF" w:rsidR="005D3F8B">
        <w:rPr>
          <w:rFonts w:ascii="Arial" w:hAnsi="Arial" w:eastAsia="Arial" w:cs="Arial"/>
          <w:sz w:val="22"/>
          <w:szCs w:val="22"/>
        </w:rPr>
        <w:t>broad</w:t>
      </w:r>
      <w:r w:rsidRPr="2302A0EF" w:rsidR="005D3F8B">
        <w:rPr>
          <w:rFonts w:ascii="Arial" w:hAnsi="Arial" w:eastAsia="Arial" w:cs="Arial"/>
          <w:sz w:val="22"/>
          <w:szCs w:val="22"/>
        </w:rPr>
        <w:t xml:space="preserve"> </w:t>
      </w:r>
      <w:r w:rsidRPr="2302A0EF" w:rsidR="005D3F8B">
        <w:rPr>
          <w:rFonts w:ascii="Arial" w:hAnsi="Arial" w:eastAsia="Arial" w:cs="Arial"/>
          <w:sz w:val="22"/>
          <w:szCs w:val="22"/>
        </w:rPr>
        <w:t>scope</w:t>
      </w:r>
      <w:r w:rsidRPr="2302A0EF" w:rsidR="005D3F8B">
        <w:rPr>
          <w:rFonts w:ascii="Arial" w:hAnsi="Arial" w:eastAsia="Arial" w:cs="Arial"/>
          <w:sz w:val="22"/>
          <w:szCs w:val="22"/>
        </w:rPr>
        <w:t xml:space="preserve">. Cumulative Risk Theory, conversely, measures the compound effects of disadvantage but can have the </w:t>
      </w:r>
      <w:r w:rsidRPr="2302A0EF" w:rsidR="005D3F8B">
        <w:rPr>
          <w:rFonts w:ascii="Arial" w:hAnsi="Arial" w:eastAsia="Arial" w:cs="Arial"/>
          <w:sz w:val="22"/>
          <w:szCs w:val="22"/>
        </w:rPr>
        <w:t>advers</w:t>
      </w:r>
      <w:r w:rsidRPr="2302A0EF" w:rsidR="005D3F8B">
        <w:rPr>
          <w:rFonts w:ascii="Arial" w:hAnsi="Arial" w:eastAsia="Arial" w:cs="Arial"/>
          <w:sz w:val="22"/>
          <w:szCs w:val="22"/>
        </w:rPr>
        <w:t xml:space="preserve">e </w:t>
      </w:r>
      <w:r w:rsidRPr="2302A0EF" w:rsidR="005D3F8B">
        <w:rPr>
          <w:rFonts w:ascii="Arial" w:hAnsi="Arial" w:eastAsia="Arial" w:cs="Arial"/>
          <w:sz w:val="22"/>
          <w:szCs w:val="22"/>
        </w:rPr>
        <w:t>impa</w:t>
      </w:r>
      <w:r w:rsidRPr="2302A0EF" w:rsidR="005D3F8B">
        <w:rPr>
          <w:rFonts w:ascii="Arial" w:hAnsi="Arial" w:eastAsia="Arial" w:cs="Arial"/>
          <w:sz w:val="22"/>
          <w:szCs w:val="22"/>
        </w:rPr>
        <w:t xml:space="preserve">ct of describing low-income families as </w:t>
      </w:r>
      <w:r w:rsidRPr="2302A0EF" w:rsidR="005D3F8B">
        <w:rPr>
          <w:rFonts w:ascii="Arial" w:hAnsi="Arial" w:eastAsia="Arial" w:cs="Arial"/>
          <w:sz w:val="22"/>
          <w:szCs w:val="22"/>
        </w:rPr>
        <w:t>deficit-oriented</w:t>
      </w:r>
      <w:r w:rsidRPr="2302A0EF" w:rsidR="005D3F8B">
        <w:rPr>
          <w:rFonts w:ascii="Arial" w:hAnsi="Arial" w:eastAsia="Arial" w:cs="Arial"/>
          <w:sz w:val="22"/>
          <w:szCs w:val="22"/>
        </w:rPr>
        <w:t xml:space="preserve">. Combined, these frameworks </w:t>
      </w:r>
      <w:r w:rsidRPr="2302A0EF" w:rsidR="005D3F8B">
        <w:rPr>
          <w:rFonts w:ascii="Arial" w:hAnsi="Arial" w:eastAsia="Arial" w:cs="Arial"/>
          <w:kern w:val="0"/>
          <w:sz w:val="22"/>
          <w:szCs w:val="22"/>
          <w14:ligatures w14:val="none"/>
        </w:rPr>
        <w:t>provide an incomplete yet comprehensive overview of how child poverty interacts with mental health outcomes, as well as offer insights into the necessity of context-specific, combined</w:t>
      </w:r>
      <w:r w:rsidRPr="2302A0EF" w:rsidR="005D3F8B">
        <w:rPr>
          <w:rFonts w:ascii="Arial" w:hAnsi="Arial" w:eastAsia="Arial" w:cs="Arial"/>
          <w:sz w:val="22"/>
          <w:szCs w:val="22"/>
        </w:rPr>
        <w:t xml:space="preserve"> policy solutions.</w:t>
      </w:r>
    </w:p>
    <w:p w:rsidRPr="006B4354" w:rsidR="006B4354" w:rsidP="2302A0EF" w:rsidRDefault="00E0039E" w14:paraId="631029F2" w14:textId="1C252A7C" w14:noSpellErr="1">
      <w:pPr>
        <w:rPr>
          <w:rFonts w:ascii="Arial" w:hAnsi="Arial" w:eastAsia="Arial" w:cs="Arial"/>
          <w:sz w:val="22"/>
          <w:szCs w:val="22"/>
        </w:rPr>
      </w:pPr>
      <w:r w:rsidRPr="2302A0EF" w:rsidR="00E0039E">
        <w:rPr>
          <w:rFonts w:ascii="Arial" w:hAnsi="Arial" w:eastAsia="Arial" w:cs="Arial"/>
          <w:sz w:val="22"/>
          <w:szCs w:val="22"/>
        </w:rPr>
        <w:t>One of the most striking controversies in these frameworks is the subject of intervention strategy: universalist models promote broad-based early intervention</w:t>
      </w:r>
      <w:r w:rsidRPr="2302A0EF" w:rsidR="00CB3DFB">
        <w:rPr>
          <w:rFonts w:ascii="Arial" w:hAnsi="Arial" w:eastAsia="Arial" w:cs="Arial"/>
          <w:sz w:val="22"/>
          <w:szCs w:val="22"/>
        </w:rPr>
        <w:t>, while targeted models focus on high-risk populations</w:t>
      </w:r>
      <w:r w:rsidRPr="2302A0EF" w:rsidR="00E0039E">
        <w:rPr>
          <w:rFonts w:ascii="Arial" w:hAnsi="Arial" w:eastAsia="Arial" w:cs="Arial"/>
          <w:sz w:val="22"/>
          <w:szCs w:val="22"/>
        </w:rPr>
        <w:t>. Critics believe that the former can ignore vulnerable subgroups, and the latter can stigmatise and under-serve complex needs (Ashworth et al., 2018; Axford and Morpeth, 2013).</w:t>
      </w:r>
    </w:p>
    <w:p w:rsidRPr="006B4354" w:rsidR="006B4354" w:rsidP="2302A0EF" w:rsidRDefault="006B4354" w14:paraId="7E260346" w14:textId="77777777" w14:noSpellErr="1">
      <w:pPr>
        <w:pStyle w:val="Heading2"/>
        <w:rPr>
          <w:rFonts w:ascii="Arial" w:hAnsi="Arial" w:eastAsia="Arial" w:cs="Arial"/>
          <w:sz w:val="22"/>
          <w:szCs w:val="22"/>
        </w:rPr>
      </w:pPr>
      <w:bookmarkStart w:name="_Toc208163476" w:id="10"/>
      <w:r w:rsidRPr="2302A0EF" w:rsidR="006B4354">
        <w:rPr>
          <w:rFonts w:ascii="Arial" w:hAnsi="Arial" w:eastAsia="Arial" w:cs="Arial"/>
          <w:sz w:val="22"/>
          <w:szCs w:val="22"/>
        </w:rPr>
        <w:t>2.4 International Context</w:t>
      </w:r>
      <w:bookmarkEnd w:id="10"/>
    </w:p>
    <w:p w:rsidR="00234A13" w:rsidP="2302A0EF" w:rsidRDefault="00F373B5" w14:paraId="2C3C78FE" w14:textId="77777777" w14:noSpellErr="1">
      <w:pPr>
        <w:rPr>
          <w:rFonts w:ascii="Arial" w:hAnsi="Arial" w:eastAsia="Arial" w:cs="Arial"/>
          <w:sz w:val="22"/>
          <w:szCs w:val="22"/>
        </w:rPr>
      </w:pPr>
      <w:r w:rsidRPr="2302A0EF" w:rsidR="00F373B5">
        <w:rPr>
          <w:rFonts w:ascii="Arial" w:hAnsi="Arial" w:eastAsia="Arial" w:cs="Arial"/>
          <w:sz w:val="22"/>
          <w:szCs w:val="22"/>
        </w:rPr>
        <w:t xml:space="preserve">Child poverty and access to mental health services vary </w:t>
      </w:r>
      <w:r w:rsidRPr="2302A0EF" w:rsidR="00F373B5">
        <w:rPr>
          <w:rFonts w:ascii="Arial" w:hAnsi="Arial" w:eastAsia="Arial" w:cs="Arial"/>
          <w:sz w:val="22"/>
          <w:szCs w:val="22"/>
        </w:rPr>
        <w:t>substantially across</w:t>
      </w:r>
      <w:r w:rsidRPr="2302A0EF" w:rsidR="00F373B5">
        <w:rPr>
          <w:rFonts w:ascii="Arial" w:hAnsi="Arial" w:eastAsia="Arial" w:cs="Arial"/>
          <w:sz w:val="22"/>
          <w:szCs w:val="22"/>
        </w:rPr>
        <w:t xml:space="preserve"> global high-income nations. According to OECD data, child poverty rates range from under 4% in Finland to over 20% in the United States, with the UK falling in the mid-range (Fernandez &amp; Ramia, 2015). </w:t>
      </w:r>
      <w:r w:rsidRPr="2302A0EF" w:rsidR="00234A13">
        <w:rPr>
          <w:rFonts w:ascii="Arial" w:hAnsi="Arial" w:eastAsia="Arial" w:cs="Arial"/>
          <w:sz w:val="22"/>
          <w:szCs w:val="22"/>
        </w:rPr>
        <w:t xml:space="preserve">This difference is also </w:t>
      </w:r>
      <w:r w:rsidRPr="2302A0EF" w:rsidR="00234A13">
        <w:rPr>
          <w:rFonts w:ascii="Arial" w:hAnsi="Arial" w:eastAsia="Arial" w:cs="Arial"/>
          <w:sz w:val="22"/>
          <w:szCs w:val="22"/>
        </w:rPr>
        <w:t>evident</w:t>
      </w:r>
      <w:r w:rsidRPr="2302A0EF" w:rsidR="00234A13">
        <w:rPr>
          <w:rFonts w:ascii="Arial" w:hAnsi="Arial" w:eastAsia="Arial" w:cs="Arial"/>
          <w:sz w:val="22"/>
          <w:szCs w:val="22"/>
        </w:rPr>
        <w:t xml:space="preserve"> in mental health spending; Nordic style investments like Finland and Sweden are much greater spending on preventive services compared to the </w:t>
      </w:r>
      <w:r w:rsidRPr="2302A0EF" w:rsidR="00234A13">
        <w:rPr>
          <w:rFonts w:ascii="Arial" w:hAnsi="Arial" w:eastAsia="Arial" w:cs="Arial"/>
          <w:sz w:val="22"/>
          <w:szCs w:val="22"/>
        </w:rPr>
        <w:t>Anglo American</w:t>
      </w:r>
      <w:r w:rsidRPr="2302A0EF" w:rsidR="00234A13">
        <w:rPr>
          <w:rFonts w:ascii="Arial" w:hAnsi="Arial" w:eastAsia="Arial" w:cs="Arial"/>
          <w:sz w:val="22"/>
          <w:szCs w:val="22"/>
        </w:rPr>
        <w:t xml:space="preserve"> style, which is crisis-based (Adamson, 2013).</w:t>
      </w:r>
    </w:p>
    <w:p w:rsidR="00234A13" w:rsidP="2302A0EF" w:rsidRDefault="00234A13" w14:paraId="26FA7C6B" w14:textId="77777777" w14:noSpellErr="1">
      <w:pPr>
        <w:rPr>
          <w:rFonts w:ascii="Arial" w:hAnsi="Arial" w:eastAsia="Arial" w:cs="Arial"/>
          <w:sz w:val="22"/>
          <w:szCs w:val="22"/>
        </w:rPr>
      </w:pPr>
      <w:r w:rsidRPr="2302A0EF" w:rsidR="00234A13">
        <w:rPr>
          <w:rFonts w:ascii="Arial" w:hAnsi="Arial" w:eastAsia="Arial" w:cs="Arial"/>
          <w:sz w:val="22"/>
          <w:szCs w:val="22"/>
        </w:rPr>
        <w:t xml:space="preserve">The comparative well-being reports provided by UNICEF </w:t>
      </w:r>
      <w:r w:rsidRPr="2302A0EF" w:rsidR="00234A13">
        <w:rPr>
          <w:rFonts w:ascii="Arial" w:hAnsi="Arial" w:eastAsia="Arial" w:cs="Arial"/>
          <w:sz w:val="22"/>
          <w:szCs w:val="22"/>
        </w:rPr>
        <w:t>demonstrate</w:t>
      </w:r>
      <w:r w:rsidRPr="2302A0EF" w:rsidR="00234A13">
        <w:rPr>
          <w:rFonts w:ascii="Arial" w:hAnsi="Arial" w:eastAsia="Arial" w:cs="Arial"/>
          <w:sz w:val="22"/>
          <w:szCs w:val="22"/>
        </w:rPr>
        <w:t xml:space="preserve"> that even countries with better social safety nets, like the Nordic countries, have a higher child mental health </w:t>
      </w:r>
      <w:r w:rsidRPr="2302A0EF" w:rsidR="00234A13">
        <w:rPr>
          <w:rFonts w:ascii="Arial" w:hAnsi="Arial" w:eastAsia="Arial" w:cs="Arial"/>
          <w:sz w:val="22"/>
          <w:szCs w:val="22"/>
        </w:rPr>
        <w:t>outcomes (Richardson et al., 2017)</w:t>
      </w:r>
      <w:r w:rsidRPr="2302A0EF" w:rsidR="00234A13">
        <w:rPr>
          <w:rFonts w:ascii="Arial" w:hAnsi="Arial" w:eastAsia="Arial" w:cs="Arial"/>
          <w:sz w:val="22"/>
          <w:szCs w:val="22"/>
        </w:rPr>
        <w:t xml:space="preserve">. Such results </w:t>
      </w:r>
      <w:r w:rsidRPr="2302A0EF" w:rsidR="00234A13">
        <w:rPr>
          <w:rFonts w:ascii="Arial" w:hAnsi="Arial" w:eastAsia="Arial" w:cs="Arial"/>
          <w:sz w:val="22"/>
          <w:szCs w:val="22"/>
        </w:rPr>
        <w:t>indicate</w:t>
      </w:r>
      <w:r w:rsidRPr="2302A0EF" w:rsidR="00234A13">
        <w:rPr>
          <w:rFonts w:ascii="Arial" w:hAnsi="Arial" w:eastAsia="Arial" w:cs="Arial"/>
          <w:sz w:val="22"/>
          <w:szCs w:val="22"/>
        </w:rPr>
        <w:t xml:space="preserve"> that the structural investment in early intervention and the social protection directly correlates well with better psychological outcomes.</w:t>
      </w:r>
    </w:p>
    <w:p w:rsidR="00234A13" w:rsidP="2302A0EF" w:rsidRDefault="00234A13" w14:paraId="7283EE08" w14:textId="77777777">
      <w:pPr>
        <w:rPr>
          <w:rFonts w:ascii="Arial" w:hAnsi="Arial" w:eastAsia="Arial" w:cs="Arial"/>
          <w:sz w:val="22"/>
          <w:szCs w:val="22"/>
        </w:rPr>
      </w:pPr>
      <w:r w:rsidRPr="2302A0EF" w:rsidR="00234A13">
        <w:rPr>
          <w:rFonts w:ascii="Arial" w:hAnsi="Arial" w:eastAsia="Arial" w:cs="Arial"/>
          <w:sz w:val="22"/>
          <w:szCs w:val="22"/>
        </w:rPr>
        <w:t>In the US, child mental health services were found to be disconnected and highly state-specific with the expansions of Medicaid under the Affordable Care Act. In the low-income families, children tend to lack health insurance and services are usually reactive and not preventive (</w:t>
      </w:r>
      <w:r w:rsidRPr="2302A0EF" w:rsidR="00234A13">
        <w:rPr>
          <w:rFonts w:ascii="Arial" w:hAnsi="Arial" w:eastAsia="Arial" w:cs="Arial"/>
          <w:sz w:val="22"/>
          <w:szCs w:val="22"/>
        </w:rPr>
        <w:t>Smeiding</w:t>
      </w:r>
      <w:r w:rsidRPr="2302A0EF" w:rsidR="00234A13">
        <w:rPr>
          <w:rFonts w:ascii="Arial" w:hAnsi="Arial" w:eastAsia="Arial" w:cs="Arial"/>
          <w:sz w:val="22"/>
          <w:szCs w:val="22"/>
        </w:rPr>
        <w:t xml:space="preserve"> &amp; </w:t>
      </w:r>
      <w:r w:rsidRPr="2302A0EF" w:rsidR="00234A13">
        <w:rPr>
          <w:rFonts w:ascii="Arial" w:hAnsi="Arial" w:eastAsia="Arial" w:cs="Arial"/>
          <w:sz w:val="22"/>
          <w:szCs w:val="22"/>
        </w:rPr>
        <w:t>Thévenot</w:t>
      </w:r>
      <w:r w:rsidRPr="2302A0EF" w:rsidR="00234A13">
        <w:rPr>
          <w:rFonts w:ascii="Arial" w:hAnsi="Arial" w:eastAsia="Arial" w:cs="Arial"/>
          <w:sz w:val="22"/>
          <w:szCs w:val="22"/>
        </w:rPr>
        <w:t xml:space="preserve">, 2016). In contrast, the model used in Norway, called Family Centre, provides prenatal and postnatal care, which integrates mental health into standard developmental practice, </w:t>
      </w:r>
      <w:r w:rsidRPr="2302A0EF" w:rsidR="00234A13">
        <w:rPr>
          <w:rFonts w:ascii="Arial" w:hAnsi="Arial" w:eastAsia="Arial" w:cs="Arial"/>
          <w:sz w:val="22"/>
          <w:szCs w:val="22"/>
        </w:rPr>
        <w:t>demonstrated</w:t>
      </w:r>
      <w:r w:rsidRPr="2302A0EF" w:rsidR="00234A13">
        <w:rPr>
          <w:rFonts w:ascii="Arial" w:hAnsi="Arial" w:eastAsia="Arial" w:cs="Arial"/>
          <w:sz w:val="22"/>
          <w:szCs w:val="22"/>
        </w:rPr>
        <w:t xml:space="preserve"> to make less people turn to specialist care in the long term (</w:t>
      </w:r>
      <w:r w:rsidRPr="2302A0EF" w:rsidR="00234A13">
        <w:rPr>
          <w:rFonts w:ascii="Arial" w:hAnsi="Arial" w:eastAsia="Arial" w:cs="Arial"/>
          <w:sz w:val="22"/>
          <w:szCs w:val="22"/>
        </w:rPr>
        <w:t>Fusarelli</w:t>
      </w:r>
      <w:r w:rsidRPr="2302A0EF" w:rsidR="00234A13">
        <w:rPr>
          <w:rFonts w:ascii="Arial" w:hAnsi="Arial" w:eastAsia="Arial" w:cs="Arial"/>
          <w:sz w:val="22"/>
          <w:szCs w:val="22"/>
        </w:rPr>
        <w:t>, 2015).</w:t>
      </w:r>
    </w:p>
    <w:p w:rsidR="00234A13" w:rsidP="2302A0EF" w:rsidRDefault="00234A13" w14:paraId="4A4FAEF4" w14:textId="77777777">
      <w:pPr>
        <w:rPr>
          <w:rFonts w:ascii="Arial" w:hAnsi="Arial" w:eastAsia="Arial" w:cs="Arial"/>
          <w:sz w:val="22"/>
          <w:szCs w:val="22"/>
        </w:rPr>
      </w:pPr>
      <w:r w:rsidRPr="2302A0EF" w:rsidR="00234A13">
        <w:rPr>
          <w:rFonts w:ascii="Arial" w:hAnsi="Arial" w:eastAsia="Arial" w:cs="Arial"/>
          <w:sz w:val="22"/>
          <w:szCs w:val="22"/>
        </w:rPr>
        <w:t xml:space="preserve">The model used in Australia is also worth considering: the population of call </w:t>
      </w:r>
      <w:r w:rsidRPr="2302A0EF" w:rsidR="00234A13">
        <w:rPr>
          <w:rFonts w:ascii="Arial" w:hAnsi="Arial" w:eastAsia="Arial" w:cs="Arial"/>
          <w:sz w:val="22"/>
          <w:szCs w:val="22"/>
        </w:rPr>
        <w:t>centers</w:t>
      </w:r>
      <w:r w:rsidRPr="2302A0EF" w:rsidR="00234A13">
        <w:rPr>
          <w:rFonts w:ascii="Arial" w:hAnsi="Arial" w:eastAsia="Arial" w:cs="Arial"/>
          <w:sz w:val="22"/>
          <w:szCs w:val="22"/>
        </w:rPr>
        <w:t xml:space="preserve"> called headspace is a combination of psychological services and education and social services, especially among the youth at risk. It has been assessed that there are better accesses and results in children in low-income and Aboriginal communities, although coverage is uneven (Kamerman et al., 2003; Olczyk et al., 2021).</w:t>
      </w:r>
    </w:p>
    <w:p w:rsidR="00234A13" w:rsidP="2302A0EF" w:rsidRDefault="00234A13" w14:paraId="6DF79ED4" w14:textId="77777777">
      <w:pPr>
        <w:rPr>
          <w:rFonts w:ascii="Arial" w:hAnsi="Arial" w:eastAsia="Arial" w:cs="Arial"/>
          <w:sz w:val="22"/>
          <w:szCs w:val="22"/>
        </w:rPr>
      </w:pPr>
      <w:r w:rsidRPr="2302A0EF" w:rsidR="00234A13">
        <w:rPr>
          <w:rFonts w:ascii="Arial" w:hAnsi="Arial" w:eastAsia="Arial" w:cs="Arial"/>
          <w:sz w:val="22"/>
          <w:szCs w:val="22"/>
        </w:rPr>
        <w:t>Finland is one of the countries in the OECD with universal access to free mental health services and the lowest rate of child poverty. The economic support and investment in mental health seem to be synergistic in preserving youth wellbeing (</w:t>
      </w:r>
      <w:r w:rsidRPr="2302A0EF" w:rsidR="00234A13">
        <w:rPr>
          <w:rFonts w:ascii="Arial" w:hAnsi="Arial" w:eastAsia="Arial" w:cs="Arial"/>
          <w:sz w:val="22"/>
          <w:szCs w:val="22"/>
        </w:rPr>
        <w:t>Bucelli</w:t>
      </w:r>
      <w:r w:rsidRPr="2302A0EF" w:rsidR="00234A13">
        <w:rPr>
          <w:rFonts w:ascii="Arial" w:hAnsi="Arial" w:eastAsia="Arial" w:cs="Arial"/>
          <w:sz w:val="22"/>
          <w:szCs w:val="22"/>
        </w:rPr>
        <w:t xml:space="preserve"> &amp; McKnight, 2024). On the other hand, even with the universal healthcare system, Canada is still facing rural-urban inequality and long queues in CAMHS-equivalent services, especially in Indigenous populations (</w:t>
      </w:r>
      <w:r w:rsidRPr="2302A0EF" w:rsidR="00234A13">
        <w:rPr>
          <w:rFonts w:ascii="Arial" w:hAnsi="Arial" w:eastAsia="Arial" w:cs="Arial"/>
          <w:sz w:val="22"/>
          <w:szCs w:val="22"/>
        </w:rPr>
        <w:t>Smeiding</w:t>
      </w:r>
      <w:r w:rsidRPr="2302A0EF" w:rsidR="00234A13">
        <w:rPr>
          <w:rFonts w:ascii="Arial" w:hAnsi="Arial" w:eastAsia="Arial" w:cs="Arial"/>
          <w:sz w:val="22"/>
          <w:szCs w:val="22"/>
        </w:rPr>
        <w:t xml:space="preserve"> &amp; </w:t>
      </w:r>
      <w:r w:rsidRPr="2302A0EF" w:rsidR="00234A13">
        <w:rPr>
          <w:rFonts w:ascii="Arial" w:hAnsi="Arial" w:eastAsia="Arial" w:cs="Arial"/>
          <w:sz w:val="22"/>
          <w:szCs w:val="22"/>
        </w:rPr>
        <w:t>Thévenot</w:t>
      </w:r>
      <w:r w:rsidRPr="2302A0EF" w:rsidR="00234A13">
        <w:rPr>
          <w:rFonts w:ascii="Arial" w:hAnsi="Arial" w:eastAsia="Arial" w:cs="Arial"/>
          <w:sz w:val="22"/>
          <w:szCs w:val="22"/>
        </w:rPr>
        <w:t>, 2016).</w:t>
      </w:r>
    </w:p>
    <w:p w:rsidR="00234A13" w:rsidP="2302A0EF" w:rsidRDefault="00234A13" w14:paraId="4F952333" w14:textId="77777777">
      <w:pPr>
        <w:rPr>
          <w:rFonts w:ascii="Arial" w:hAnsi="Arial" w:eastAsia="Arial" w:cs="Arial"/>
          <w:sz w:val="22"/>
          <w:szCs w:val="22"/>
        </w:rPr>
      </w:pPr>
      <w:r w:rsidRPr="2302A0EF" w:rsidR="00234A13">
        <w:rPr>
          <w:rFonts w:ascii="Arial" w:hAnsi="Arial" w:eastAsia="Arial" w:cs="Arial"/>
          <w:sz w:val="22"/>
          <w:szCs w:val="22"/>
        </w:rPr>
        <w:t xml:space="preserve">These comparisons </w:t>
      </w:r>
      <w:r w:rsidRPr="2302A0EF" w:rsidR="00234A13">
        <w:rPr>
          <w:rFonts w:ascii="Arial" w:hAnsi="Arial" w:eastAsia="Arial" w:cs="Arial"/>
          <w:sz w:val="22"/>
          <w:szCs w:val="22"/>
        </w:rPr>
        <w:t>demonstrate</w:t>
      </w:r>
      <w:r w:rsidRPr="2302A0EF" w:rsidR="00234A13">
        <w:rPr>
          <w:rFonts w:ascii="Arial" w:hAnsi="Arial" w:eastAsia="Arial" w:cs="Arial"/>
          <w:sz w:val="22"/>
          <w:szCs w:val="22"/>
        </w:rPr>
        <w:t xml:space="preserve"> that </w:t>
      </w:r>
      <w:r w:rsidRPr="2302A0EF" w:rsidR="00234A13">
        <w:rPr>
          <w:rFonts w:ascii="Arial" w:hAnsi="Arial" w:eastAsia="Arial" w:cs="Arial"/>
          <w:sz w:val="22"/>
          <w:szCs w:val="22"/>
        </w:rPr>
        <w:t>equitable</w:t>
      </w:r>
      <w:r w:rsidRPr="2302A0EF" w:rsidR="00234A13">
        <w:rPr>
          <w:rFonts w:ascii="Arial" w:hAnsi="Arial" w:eastAsia="Arial" w:cs="Arial"/>
          <w:sz w:val="22"/>
          <w:szCs w:val="22"/>
        </w:rPr>
        <w:t xml:space="preserve"> access is not only dependent on the presence of services but also on how services are </w:t>
      </w:r>
      <w:r w:rsidRPr="2302A0EF" w:rsidR="00234A13">
        <w:rPr>
          <w:rFonts w:ascii="Arial" w:hAnsi="Arial" w:eastAsia="Arial" w:cs="Arial"/>
          <w:sz w:val="22"/>
          <w:szCs w:val="22"/>
        </w:rPr>
        <w:t>get</w:t>
      </w:r>
      <w:r w:rsidRPr="2302A0EF" w:rsidR="00234A13">
        <w:rPr>
          <w:rFonts w:ascii="Arial" w:hAnsi="Arial" w:eastAsia="Arial" w:cs="Arial"/>
          <w:sz w:val="22"/>
          <w:szCs w:val="22"/>
        </w:rPr>
        <w:t xml:space="preserve"> integrated, </w:t>
      </w:r>
      <w:r w:rsidRPr="2302A0EF" w:rsidR="00234A13">
        <w:rPr>
          <w:rFonts w:ascii="Arial" w:hAnsi="Arial" w:eastAsia="Arial" w:cs="Arial"/>
          <w:sz w:val="22"/>
          <w:szCs w:val="22"/>
        </w:rPr>
        <w:t>universal</w:t>
      </w:r>
      <w:r w:rsidRPr="2302A0EF" w:rsidR="00234A13">
        <w:rPr>
          <w:rFonts w:ascii="Arial" w:hAnsi="Arial" w:eastAsia="Arial" w:cs="Arial"/>
          <w:sz w:val="22"/>
          <w:szCs w:val="22"/>
        </w:rPr>
        <w:t xml:space="preserve"> and culturally responsive. The UK, despite its attainment of a national infrastructure in health has been unable to transfer that into </w:t>
      </w:r>
      <w:r w:rsidRPr="2302A0EF" w:rsidR="00234A13">
        <w:rPr>
          <w:rFonts w:ascii="Arial" w:hAnsi="Arial" w:eastAsia="Arial" w:cs="Arial"/>
          <w:sz w:val="22"/>
          <w:szCs w:val="22"/>
        </w:rPr>
        <w:t>equitable</w:t>
      </w:r>
      <w:r w:rsidRPr="2302A0EF" w:rsidR="00234A13">
        <w:rPr>
          <w:rFonts w:ascii="Arial" w:hAnsi="Arial" w:eastAsia="Arial" w:cs="Arial"/>
          <w:sz w:val="22"/>
          <w:szCs w:val="22"/>
        </w:rPr>
        <w:t xml:space="preserve"> access especially in urban deprived </w:t>
      </w:r>
      <w:r w:rsidRPr="2302A0EF" w:rsidR="00234A13">
        <w:rPr>
          <w:rFonts w:ascii="Arial" w:hAnsi="Arial" w:eastAsia="Arial" w:cs="Arial"/>
          <w:sz w:val="22"/>
          <w:szCs w:val="22"/>
        </w:rPr>
        <w:t>neighborhoods</w:t>
      </w:r>
      <w:r w:rsidRPr="2302A0EF" w:rsidR="00234A13">
        <w:rPr>
          <w:rFonts w:ascii="Arial" w:hAnsi="Arial" w:eastAsia="Arial" w:cs="Arial"/>
          <w:sz w:val="22"/>
          <w:szCs w:val="22"/>
        </w:rPr>
        <w:t>- an area where Finland or Norway could provide the guiding hand.</w:t>
      </w:r>
    </w:p>
    <w:p w:rsidRPr="006B4354" w:rsidR="005D3F8B" w:rsidP="2302A0EF" w:rsidRDefault="00234A13" w14:paraId="7CEE0D58" w14:textId="3235918B" w14:noSpellErr="1">
      <w:pPr>
        <w:rPr>
          <w:rFonts w:ascii="Arial" w:hAnsi="Arial" w:eastAsia="Arial" w:cs="Arial"/>
          <w:sz w:val="22"/>
          <w:szCs w:val="22"/>
        </w:rPr>
      </w:pPr>
      <w:r w:rsidRPr="2302A0EF" w:rsidR="00234A13">
        <w:rPr>
          <w:rFonts w:ascii="Arial" w:hAnsi="Arial" w:eastAsia="Arial" w:cs="Arial"/>
          <w:sz w:val="22"/>
          <w:szCs w:val="22"/>
        </w:rPr>
        <w:t xml:space="preserve">The UK is lagging in its Nordic companions because of the absence of central investment and decentralized delivery even though they </w:t>
      </w:r>
      <w:r w:rsidRPr="2302A0EF" w:rsidR="00234A13">
        <w:rPr>
          <w:rFonts w:ascii="Arial" w:hAnsi="Arial" w:eastAsia="Arial" w:cs="Arial"/>
          <w:sz w:val="22"/>
          <w:szCs w:val="22"/>
        </w:rPr>
        <w:t>appear to have</w:t>
      </w:r>
      <w:r w:rsidRPr="2302A0EF" w:rsidR="00234A13">
        <w:rPr>
          <w:rFonts w:ascii="Arial" w:hAnsi="Arial" w:eastAsia="Arial" w:cs="Arial"/>
          <w:sz w:val="22"/>
          <w:szCs w:val="22"/>
        </w:rPr>
        <w:t xml:space="preserve"> the same welfare network. Unless the policies of different sectors are aligned and long-term investments are taken, the UK will be persisting with the problem of cyclical inequalities that other countries have succeeded in eradicating unless the policies of different sectors are aligned and long-term investments are made, as it is highlighted by organisations such as Barnardo (2023)</w:t>
      </w:r>
      <w:r w:rsidRPr="2302A0EF" w:rsidR="005D3F8B">
        <w:rPr>
          <w:rFonts w:ascii="Arial" w:hAnsi="Arial" w:eastAsia="Arial" w:cs="Arial"/>
          <w:sz w:val="22"/>
          <w:szCs w:val="22"/>
        </w:rPr>
        <w:t>.</w:t>
      </w:r>
    </w:p>
    <w:p w:rsidRPr="006B4354" w:rsidR="006B4354" w:rsidP="2302A0EF" w:rsidRDefault="006B4354" w14:paraId="0D3BF3AF" w14:textId="77777777" w14:noSpellErr="1">
      <w:pPr>
        <w:pStyle w:val="Heading2"/>
        <w:rPr>
          <w:rFonts w:ascii="Arial" w:hAnsi="Arial" w:eastAsia="Arial" w:cs="Arial"/>
          <w:sz w:val="22"/>
          <w:szCs w:val="22"/>
        </w:rPr>
      </w:pPr>
      <w:bookmarkStart w:name="_Toc208163477" w:id="11"/>
      <w:r w:rsidRPr="2302A0EF" w:rsidR="006B4354">
        <w:rPr>
          <w:rFonts w:ascii="Arial" w:hAnsi="Arial" w:eastAsia="Arial" w:cs="Arial"/>
          <w:sz w:val="22"/>
          <w:szCs w:val="22"/>
        </w:rPr>
        <w:t>2.5 National/Local UK Context</w:t>
      </w:r>
      <w:bookmarkEnd w:id="11"/>
    </w:p>
    <w:p w:rsidR="00234A13" w:rsidP="2302A0EF" w:rsidRDefault="00234A13" w14:paraId="7F717D28" w14:textId="77777777" w14:noSpellErr="1">
      <w:pPr>
        <w:rPr>
          <w:rFonts w:ascii="Arial" w:hAnsi="Arial" w:eastAsia="Arial" w:cs="Arial"/>
          <w:sz w:val="22"/>
          <w:szCs w:val="22"/>
        </w:rPr>
      </w:pPr>
      <w:r w:rsidRPr="2302A0EF" w:rsidR="00234A13">
        <w:rPr>
          <w:rFonts w:ascii="Arial" w:hAnsi="Arial" w:eastAsia="Arial" w:cs="Arial"/>
          <w:sz w:val="22"/>
          <w:szCs w:val="22"/>
        </w:rPr>
        <w:t>There is deep-rooted child poverty in the UK, especially in the urban parts of the country, such as Tower Hamlets, Birmingham, and Liverpool, where over 40 percent of the children live below the poverty threshold (Clark et al., 2017). These geographical inequalities are not accidental- but a consequence of system under-investment and a fragmented social policy, which have affected urban, multi-ethnic groups who are already disadvantaged by austerity disproportionately.</w:t>
      </w:r>
    </w:p>
    <w:p w:rsidR="00234A13" w:rsidP="2302A0EF" w:rsidRDefault="00234A13" w14:paraId="3FDB75BF" w14:textId="77777777">
      <w:pPr>
        <w:rPr>
          <w:rFonts w:ascii="Arial" w:hAnsi="Arial" w:eastAsia="Arial" w:cs="Arial"/>
          <w:sz w:val="22"/>
          <w:szCs w:val="22"/>
        </w:rPr>
      </w:pPr>
      <w:r w:rsidRPr="2302A0EF" w:rsidR="00234A13">
        <w:rPr>
          <w:rFonts w:ascii="Arial" w:hAnsi="Arial" w:eastAsia="Arial" w:cs="Arial"/>
          <w:sz w:val="22"/>
          <w:szCs w:val="22"/>
        </w:rPr>
        <w:t xml:space="preserve">The </w:t>
      </w:r>
      <w:r w:rsidRPr="2302A0EF" w:rsidR="00234A13">
        <w:rPr>
          <w:rFonts w:ascii="Arial" w:hAnsi="Arial" w:eastAsia="Arial" w:cs="Arial"/>
          <w:sz w:val="22"/>
          <w:szCs w:val="22"/>
        </w:rPr>
        <w:t>objective</w:t>
      </w:r>
      <w:r w:rsidRPr="2302A0EF" w:rsidR="00234A13">
        <w:rPr>
          <w:rFonts w:ascii="Arial" w:hAnsi="Arial" w:eastAsia="Arial" w:cs="Arial"/>
          <w:sz w:val="22"/>
          <w:szCs w:val="22"/>
        </w:rPr>
        <w:t xml:space="preserve"> of the NHS Long Term Plan (2019) was to provide mental health services on a parity basis especially among children and adolescents. Nonetheless, the aspiration has not been accompanied with the results. The number of referrals to CAMHS has been increasing since 2020 - doubling in some locations, and the system has not been able to keep up with the surge, its capacity </w:t>
      </w:r>
      <w:r w:rsidRPr="2302A0EF" w:rsidR="00234A13">
        <w:rPr>
          <w:rFonts w:ascii="Arial" w:hAnsi="Arial" w:eastAsia="Arial" w:cs="Arial"/>
          <w:sz w:val="22"/>
          <w:szCs w:val="22"/>
        </w:rPr>
        <w:t>leveling</w:t>
      </w:r>
      <w:r w:rsidRPr="2302A0EF" w:rsidR="00234A13">
        <w:rPr>
          <w:rFonts w:ascii="Arial" w:hAnsi="Arial" w:eastAsia="Arial" w:cs="Arial"/>
          <w:sz w:val="22"/>
          <w:szCs w:val="22"/>
        </w:rPr>
        <w:t xml:space="preserve"> off or decreasing </w:t>
      </w:r>
      <w:r w:rsidRPr="2302A0EF" w:rsidR="00234A13">
        <w:rPr>
          <w:rFonts w:ascii="Arial" w:hAnsi="Arial" w:eastAsia="Arial" w:cs="Arial"/>
          <w:sz w:val="22"/>
          <w:szCs w:val="22"/>
        </w:rPr>
        <w:t>as a result of</w:t>
      </w:r>
      <w:r w:rsidRPr="2302A0EF" w:rsidR="00234A13">
        <w:rPr>
          <w:rFonts w:ascii="Arial" w:hAnsi="Arial" w:eastAsia="Arial" w:cs="Arial"/>
          <w:sz w:val="22"/>
          <w:szCs w:val="22"/>
        </w:rPr>
        <w:t xml:space="preserve"> staff shortages and funding limitations (Callaghan et al., 2017; Cantrell et al., 2024). This disparity portrays a systemic weakness of not taking into consideration social determinants to design services, especially the compound needs of children who experience both economic and mental health strains.</w:t>
      </w:r>
    </w:p>
    <w:p w:rsidR="00234A13" w:rsidP="2302A0EF" w:rsidRDefault="00234A13" w14:paraId="6140F0C8" w14:textId="77777777" w14:noSpellErr="1">
      <w:pPr>
        <w:rPr>
          <w:rFonts w:ascii="Arial" w:hAnsi="Arial" w:eastAsia="Arial" w:cs="Arial"/>
          <w:sz w:val="22"/>
          <w:szCs w:val="22"/>
        </w:rPr>
      </w:pPr>
      <w:r w:rsidRPr="2302A0EF" w:rsidR="00234A13">
        <w:rPr>
          <w:rFonts w:ascii="Arial" w:hAnsi="Arial" w:eastAsia="Arial" w:cs="Arial"/>
          <w:sz w:val="22"/>
          <w:szCs w:val="22"/>
        </w:rPr>
        <w:t xml:space="preserve">In law, the Child Poverty Act 2010 was a step forward in </w:t>
      </w:r>
      <w:r w:rsidRPr="2302A0EF" w:rsidR="00234A13">
        <w:rPr>
          <w:rFonts w:ascii="Arial" w:hAnsi="Arial" w:eastAsia="Arial" w:cs="Arial"/>
          <w:sz w:val="22"/>
          <w:szCs w:val="22"/>
        </w:rPr>
        <w:t>establishing</w:t>
      </w:r>
      <w:r w:rsidRPr="2302A0EF" w:rsidR="00234A13">
        <w:rPr>
          <w:rFonts w:ascii="Arial" w:hAnsi="Arial" w:eastAsia="Arial" w:cs="Arial"/>
          <w:sz w:val="22"/>
          <w:szCs w:val="22"/>
        </w:rPr>
        <w:t xml:space="preserve"> child poverty as a policy agenda with challenging goals of its eradication. The effect of this was, however, undermined by 2016 welfare reforms, which </w:t>
      </w:r>
      <w:r w:rsidRPr="2302A0EF" w:rsidR="00234A13">
        <w:rPr>
          <w:rFonts w:ascii="Arial" w:hAnsi="Arial" w:eastAsia="Arial" w:cs="Arial"/>
          <w:sz w:val="22"/>
          <w:szCs w:val="22"/>
        </w:rPr>
        <w:t>eliminated</w:t>
      </w:r>
      <w:r w:rsidRPr="2302A0EF" w:rsidR="00234A13">
        <w:rPr>
          <w:rFonts w:ascii="Arial" w:hAnsi="Arial" w:eastAsia="Arial" w:cs="Arial"/>
          <w:sz w:val="22"/>
          <w:szCs w:val="22"/>
        </w:rPr>
        <w:t xml:space="preserve"> the binding obligations and deteriorated the measurement requirements (Bennett et al., 2024). The 2017 Green Paper, Transforming the Mental Health Provisions of Children and Young People, provided an idea of earlier intervention in schools and community hubs by having mental health leads, but again there has been slow and uneven action.</w:t>
      </w:r>
    </w:p>
    <w:p w:rsidR="00F373B5" w:rsidP="2302A0EF" w:rsidRDefault="00234A13" w14:paraId="2E397C62" w14:textId="3733B831" w14:noSpellErr="1">
      <w:pPr>
        <w:rPr>
          <w:rFonts w:ascii="Arial" w:hAnsi="Arial" w:eastAsia="Arial" w:cs="Arial"/>
          <w:sz w:val="22"/>
          <w:szCs w:val="22"/>
        </w:rPr>
      </w:pPr>
      <w:r w:rsidRPr="2302A0EF" w:rsidR="00234A13">
        <w:rPr>
          <w:rFonts w:ascii="Arial" w:hAnsi="Arial" w:eastAsia="Arial" w:cs="Arial"/>
          <w:sz w:val="22"/>
          <w:szCs w:val="22"/>
        </w:rPr>
        <w:t>The biggest challenge is the postcode lottery in CAMHS funding</w:t>
      </w:r>
      <w:r w:rsidRPr="2302A0EF" w:rsidR="00F373B5">
        <w:rPr>
          <w:rFonts w:ascii="Arial" w:hAnsi="Arial" w:eastAsia="Arial" w:cs="Arial"/>
          <w:sz w:val="22"/>
          <w:szCs w:val="22"/>
        </w:rPr>
        <w:t>. Disparities between London boroughs and regions</w:t>
      </w:r>
      <w:r w:rsidRPr="2302A0EF" w:rsidR="00CB3DFB">
        <w:rPr>
          <w:rFonts w:ascii="Arial" w:hAnsi="Arial" w:eastAsia="Arial" w:cs="Arial"/>
          <w:sz w:val="22"/>
          <w:szCs w:val="22"/>
        </w:rPr>
        <w:t xml:space="preserve">, such as the </w:t>
      </w:r>
      <w:r w:rsidRPr="2302A0EF" w:rsidR="00CB3DFB">
        <w:rPr>
          <w:rFonts w:ascii="Arial" w:hAnsi="Arial" w:eastAsia="Arial" w:cs="Arial"/>
          <w:sz w:val="22"/>
          <w:szCs w:val="22"/>
        </w:rPr>
        <w:t>North East</w:t>
      </w:r>
      <w:r w:rsidRPr="2302A0EF" w:rsidR="00CB3DFB">
        <w:rPr>
          <w:rFonts w:ascii="Arial" w:hAnsi="Arial" w:eastAsia="Arial" w:cs="Arial"/>
          <w:sz w:val="22"/>
          <w:szCs w:val="22"/>
        </w:rPr>
        <w:t>,</w:t>
      </w:r>
      <w:r w:rsidRPr="2302A0EF" w:rsidR="00F373B5">
        <w:rPr>
          <w:rFonts w:ascii="Arial" w:hAnsi="Arial" w:eastAsia="Arial" w:cs="Arial"/>
          <w:sz w:val="22"/>
          <w:szCs w:val="22"/>
        </w:rPr>
        <w:t xml:space="preserve"> remain stark. Some boroughs spend three times more per child on mental health services than others, reflecting </w:t>
      </w:r>
      <w:r w:rsidRPr="2302A0EF" w:rsidR="00CB3DFB">
        <w:rPr>
          <w:rFonts w:ascii="Arial" w:hAnsi="Arial" w:eastAsia="Arial" w:cs="Arial"/>
          <w:sz w:val="22"/>
          <w:szCs w:val="22"/>
        </w:rPr>
        <w:t xml:space="preserve">the local authority's resource </w:t>
      </w:r>
      <w:r w:rsidRPr="2302A0EF" w:rsidR="00CB3DFB">
        <w:rPr>
          <w:rFonts w:ascii="Arial" w:hAnsi="Arial" w:eastAsia="Arial" w:cs="Arial"/>
          <w:sz w:val="22"/>
          <w:szCs w:val="22"/>
        </w:rPr>
        <w:t>capacities rather than population needs</w:t>
      </w:r>
      <w:r w:rsidRPr="2302A0EF" w:rsidR="00F373B5">
        <w:rPr>
          <w:rFonts w:ascii="Arial" w:hAnsi="Arial" w:eastAsia="Arial" w:cs="Arial"/>
          <w:sz w:val="22"/>
          <w:szCs w:val="22"/>
        </w:rPr>
        <w:t xml:space="preserve"> (Griffin et al., 2021). These inequities directly contradict NHS equality goals and perpetuate </w:t>
      </w:r>
      <w:r w:rsidRPr="2302A0EF" w:rsidR="00CB3DFB">
        <w:rPr>
          <w:rFonts w:ascii="Arial" w:hAnsi="Arial" w:eastAsia="Arial" w:cs="Arial"/>
          <w:sz w:val="22"/>
          <w:szCs w:val="22"/>
        </w:rPr>
        <w:t>barriers to service acces</w:t>
      </w:r>
      <w:r w:rsidRPr="2302A0EF" w:rsidR="00F373B5">
        <w:rPr>
          <w:rFonts w:ascii="Arial" w:hAnsi="Arial" w:eastAsia="Arial" w:cs="Arial"/>
          <w:sz w:val="22"/>
          <w:szCs w:val="22"/>
        </w:rPr>
        <w:t>s.</w:t>
      </w:r>
    </w:p>
    <w:p w:rsidR="00F373B5" w:rsidP="2302A0EF" w:rsidRDefault="00F373B5" w14:paraId="6E6590F1" w14:textId="6C700C4F" w14:noSpellErr="1">
      <w:pPr>
        <w:rPr>
          <w:rFonts w:ascii="Arial" w:hAnsi="Arial" w:eastAsia="Arial" w:cs="Arial"/>
          <w:sz w:val="22"/>
          <w:szCs w:val="22"/>
        </w:rPr>
      </w:pPr>
      <w:r w:rsidRPr="2302A0EF" w:rsidR="00F373B5">
        <w:rPr>
          <w:rFonts w:ascii="Arial" w:hAnsi="Arial" w:eastAsia="Arial" w:cs="Arial"/>
          <w:sz w:val="22"/>
          <w:szCs w:val="22"/>
        </w:rPr>
        <w:t xml:space="preserve">Nevertheless, local councils have shown innovation. Manchester’s Thrive model, which emphasises integrated care and resilience-building, has improved </w:t>
      </w:r>
      <w:r w:rsidRPr="2302A0EF" w:rsidR="00CB3DFB">
        <w:rPr>
          <w:rFonts w:ascii="Arial" w:hAnsi="Arial" w:eastAsia="Arial" w:cs="Arial"/>
          <w:sz w:val="22"/>
          <w:szCs w:val="22"/>
        </w:rPr>
        <w:t>access to early support</w:t>
      </w:r>
      <w:r w:rsidRPr="2302A0EF" w:rsidR="00F373B5">
        <w:rPr>
          <w:rFonts w:ascii="Arial" w:hAnsi="Arial" w:eastAsia="Arial" w:cs="Arial"/>
          <w:sz w:val="22"/>
          <w:szCs w:val="22"/>
        </w:rPr>
        <w:t xml:space="preserve"> and reduced pressure on specialist services. Similarly, London’s Healthy Schools initiative has embedded mental well</w:t>
      </w:r>
      <w:r w:rsidRPr="2302A0EF" w:rsidR="00CB3DFB">
        <w:rPr>
          <w:rFonts w:ascii="Arial" w:hAnsi="Arial" w:eastAsia="Arial" w:cs="Arial"/>
          <w:sz w:val="22"/>
          <w:szCs w:val="22"/>
        </w:rPr>
        <w:t>-</w:t>
      </w:r>
      <w:r w:rsidRPr="2302A0EF" w:rsidR="00F373B5">
        <w:rPr>
          <w:rFonts w:ascii="Arial" w:hAnsi="Arial" w:eastAsia="Arial" w:cs="Arial"/>
          <w:sz w:val="22"/>
          <w:szCs w:val="22"/>
        </w:rPr>
        <w:t xml:space="preserve">being into educational priorities, although its reach </w:t>
      </w:r>
      <w:r w:rsidRPr="2302A0EF" w:rsidR="00F373B5">
        <w:rPr>
          <w:rFonts w:ascii="Arial" w:hAnsi="Arial" w:eastAsia="Arial" w:cs="Arial"/>
          <w:sz w:val="22"/>
          <w:szCs w:val="22"/>
        </w:rPr>
        <w:t>remains</w:t>
      </w:r>
      <w:r w:rsidRPr="2302A0EF" w:rsidR="00F373B5">
        <w:rPr>
          <w:rFonts w:ascii="Arial" w:hAnsi="Arial" w:eastAsia="Arial" w:cs="Arial"/>
          <w:sz w:val="22"/>
          <w:szCs w:val="22"/>
        </w:rPr>
        <w:t xml:space="preserve"> variable and highly dependent on school leadership buy-in (Zacharia, 2020).</w:t>
      </w:r>
    </w:p>
    <w:p w:rsidRPr="006B4354" w:rsidR="006B4354" w:rsidP="2302A0EF" w:rsidRDefault="00225E2E" w14:paraId="5C584727" w14:textId="75B32C62" w14:noSpellErr="1">
      <w:pPr>
        <w:rPr>
          <w:rFonts w:ascii="Arial" w:hAnsi="Arial" w:eastAsia="Arial" w:cs="Arial"/>
          <w:sz w:val="22"/>
          <w:szCs w:val="22"/>
        </w:rPr>
      </w:pPr>
      <w:r w:rsidRPr="2302A0EF" w:rsidR="00225E2E">
        <w:rPr>
          <w:rFonts w:ascii="Arial" w:hAnsi="Arial" w:eastAsia="Arial" w:cs="Arial"/>
          <w:sz w:val="22"/>
          <w:szCs w:val="22"/>
        </w:rPr>
        <w:t>The national image shows how systemically the picture is fragmented as opposed to ignorance. Until we apply a redistributive approach of welfare reform, local government investment and integration of the health service, inequalities in urban child mental health will only increase. Restated evidence suggests that the UK child mental health issues are not primarily caused by the lack of services but are the outcomes of the political half-heartedness and the lack of policy coherence</w:t>
      </w:r>
      <w:r w:rsidRPr="2302A0EF" w:rsidR="00F373B5">
        <w:rPr>
          <w:rFonts w:ascii="Arial" w:hAnsi="Arial" w:eastAsia="Arial" w:cs="Arial"/>
          <w:sz w:val="22"/>
          <w:szCs w:val="22"/>
        </w:rPr>
        <w:t>.</w:t>
      </w:r>
    </w:p>
    <w:p w:rsidRPr="006B4354" w:rsidR="006B4354" w:rsidP="2302A0EF" w:rsidRDefault="006B4354" w14:paraId="41AE96B5" w14:textId="77777777" w14:noSpellErr="1">
      <w:pPr>
        <w:pStyle w:val="Heading2"/>
        <w:rPr>
          <w:rFonts w:ascii="Arial" w:hAnsi="Arial" w:eastAsia="Arial" w:cs="Arial"/>
          <w:sz w:val="22"/>
          <w:szCs w:val="22"/>
        </w:rPr>
      </w:pPr>
      <w:bookmarkStart w:name="_Toc208163478" w:id="12"/>
      <w:r w:rsidRPr="2302A0EF" w:rsidR="006B4354">
        <w:rPr>
          <w:rFonts w:ascii="Arial" w:hAnsi="Arial" w:eastAsia="Arial" w:cs="Arial"/>
          <w:sz w:val="22"/>
          <w:szCs w:val="22"/>
        </w:rPr>
        <w:t>2.6 Conclusion</w:t>
      </w:r>
      <w:bookmarkEnd w:id="12"/>
    </w:p>
    <w:p w:rsidR="002B0DB0" w:rsidP="2302A0EF" w:rsidRDefault="00F373B5" w14:paraId="07D12726" w14:textId="77777777" w14:noSpellErr="1">
      <w:pPr>
        <w:rPr>
          <w:rFonts w:ascii="Arial" w:hAnsi="Arial" w:eastAsia="Arial" w:cs="Arial"/>
          <w:sz w:val="22"/>
          <w:szCs w:val="22"/>
        </w:rPr>
      </w:pPr>
      <w:r w:rsidRPr="2302A0EF" w:rsidR="00F373B5">
        <w:rPr>
          <w:rFonts w:ascii="Arial" w:hAnsi="Arial" w:eastAsia="Arial" w:cs="Arial"/>
          <w:sz w:val="22"/>
          <w:szCs w:val="22"/>
        </w:rPr>
        <w:t xml:space="preserve">This chapter has mapped the complex historical, theoretical, and geopolitical terrain surrounding child poverty and access to mental health services. From the evolution of welfare thinking in the UK and the </w:t>
      </w:r>
      <w:r w:rsidRPr="2302A0EF" w:rsidR="00CB3DFB">
        <w:rPr>
          <w:rFonts w:ascii="Arial" w:hAnsi="Arial" w:eastAsia="Arial" w:cs="Arial"/>
          <w:sz w:val="22"/>
          <w:szCs w:val="22"/>
        </w:rPr>
        <w:t xml:space="preserve">erosion of progressive legislation, to the integration of child mental health within frameworks such as the Social Determinants of Health and Cumulative Risk Theory, the chapter </w:t>
      </w:r>
      <w:r w:rsidRPr="2302A0EF" w:rsidR="00CB3DFB">
        <w:rPr>
          <w:rFonts w:ascii="Arial" w:hAnsi="Arial" w:eastAsia="Arial" w:cs="Arial"/>
          <w:sz w:val="22"/>
          <w:szCs w:val="22"/>
        </w:rPr>
        <w:t>demonstrates</w:t>
      </w:r>
      <w:r w:rsidRPr="2302A0EF" w:rsidR="00CB3DFB">
        <w:rPr>
          <w:rFonts w:ascii="Arial" w:hAnsi="Arial" w:eastAsia="Arial" w:cs="Arial"/>
          <w:sz w:val="22"/>
          <w:szCs w:val="22"/>
        </w:rPr>
        <w:t xml:space="preserve"> that deprivation is both a cause and a</w:t>
      </w:r>
      <w:r w:rsidRPr="2302A0EF" w:rsidR="00F373B5">
        <w:rPr>
          <w:rFonts w:ascii="Arial" w:hAnsi="Arial" w:eastAsia="Arial" w:cs="Arial"/>
          <w:sz w:val="22"/>
          <w:szCs w:val="22"/>
        </w:rPr>
        <w:t xml:space="preserve"> consequence of systemic inequality. International comparisons have further highlighted </w:t>
      </w:r>
      <w:r w:rsidRPr="2302A0EF" w:rsidR="00CB3DFB">
        <w:rPr>
          <w:rFonts w:ascii="Arial" w:hAnsi="Arial" w:eastAsia="Arial" w:cs="Arial"/>
          <w:sz w:val="22"/>
          <w:szCs w:val="22"/>
        </w:rPr>
        <w:t>the contrast between coordinated, universal early intervention, as seen in Finland or Norway, and</w:t>
      </w:r>
      <w:r w:rsidRPr="2302A0EF" w:rsidR="00F373B5">
        <w:rPr>
          <w:rFonts w:ascii="Arial" w:hAnsi="Arial" w:eastAsia="Arial" w:cs="Arial"/>
          <w:sz w:val="22"/>
          <w:szCs w:val="22"/>
        </w:rPr>
        <w:t xml:space="preserve"> the UK’s postcode-dependent service models. </w:t>
      </w:r>
      <w:r w:rsidRPr="2302A0EF" w:rsidR="002B0DB0">
        <w:rPr>
          <w:rFonts w:ascii="Arial" w:hAnsi="Arial" w:eastAsia="Arial" w:cs="Arial"/>
          <w:sz w:val="22"/>
          <w:szCs w:val="22"/>
        </w:rPr>
        <w:t>At the local level, though there is hope with such innovative approaches to be applied as Manchester with the Thrive model, it is limited by the disjointed funding and implementation of policies.</w:t>
      </w:r>
    </w:p>
    <w:p w:rsidRPr="006B4354" w:rsidR="006B4354" w:rsidP="2302A0EF" w:rsidRDefault="002B0DB0" w14:paraId="48F50DF1" w14:textId="53EED2FF">
      <w:pPr>
        <w:rPr>
          <w:rFonts w:ascii="Arial" w:hAnsi="Arial" w:eastAsia="Arial" w:cs="Arial"/>
          <w:sz w:val="22"/>
          <w:szCs w:val="22"/>
        </w:rPr>
      </w:pPr>
      <w:r w:rsidRPr="2302A0EF" w:rsidR="002B0DB0">
        <w:rPr>
          <w:rFonts w:ascii="Arial" w:hAnsi="Arial" w:eastAsia="Arial" w:cs="Arial"/>
          <w:sz w:val="22"/>
          <w:szCs w:val="22"/>
        </w:rPr>
        <w:t xml:space="preserve">These are contextual backgrounds that are vital in the analysis of the research lens. The thematic </w:t>
      </w:r>
      <w:r w:rsidRPr="2302A0EF" w:rsidR="002B0DB0">
        <w:rPr>
          <w:rFonts w:ascii="Arial" w:hAnsi="Arial" w:eastAsia="Arial" w:cs="Arial"/>
          <w:sz w:val="22"/>
          <w:szCs w:val="22"/>
        </w:rPr>
        <w:t>methodology</w:t>
      </w:r>
      <w:r w:rsidRPr="2302A0EF" w:rsidR="002B0DB0">
        <w:rPr>
          <w:rFonts w:ascii="Arial" w:hAnsi="Arial" w:eastAsia="Arial" w:cs="Arial"/>
          <w:sz w:val="22"/>
          <w:szCs w:val="22"/>
        </w:rPr>
        <w:t xml:space="preserve"> </w:t>
      </w:r>
      <w:r w:rsidRPr="2302A0EF" w:rsidR="002B0DB0">
        <w:rPr>
          <w:rFonts w:ascii="Arial" w:hAnsi="Arial" w:eastAsia="Arial" w:cs="Arial"/>
          <w:sz w:val="22"/>
          <w:szCs w:val="22"/>
        </w:rPr>
        <w:t>utilized</w:t>
      </w:r>
      <w:r w:rsidRPr="2302A0EF" w:rsidR="002B0DB0">
        <w:rPr>
          <w:rFonts w:ascii="Arial" w:hAnsi="Arial" w:eastAsia="Arial" w:cs="Arial"/>
          <w:sz w:val="22"/>
          <w:szCs w:val="22"/>
        </w:rPr>
        <w:t xml:space="preserve"> in Chapter 3 to </w:t>
      </w:r>
      <w:r w:rsidRPr="2302A0EF" w:rsidR="002B0DB0">
        <w:rPr>
          <w:rFonts w:ascii="Arial" w:hAnsi="Arial" w:eastAsia="Arial" w:cs="Arial"/>
          <w:sz w:val="22"/>
          <w:szCs w:val="22"/>
        </w:rPr>
        <w:t>analyze</w:t>
      </w:r>
      <w:r w:rsidRPr="2302A0EF" w:rsidR="002B0DB0">
        <w:rPr>
          <w:rFonts w:ascii="Arial" w:hAnsi="Arial" w:eastAsia="Arial" w:cs="Arial"/>
          <w:sz w:val="22"/>
          <w:szCs w:val="22"/>
        </w:rPr>
        <w:t xml:space="preserve"> the lack of literature available on the issue of children living in city poverty offers a reflection of information on the existing gaps in policy and service provision in relation to the issues and their solutions</w:t>
      </w:r>
      <w:r w:rsidRPr="2302A0EF" w:rsidR="00F373B5">
        <w:rPr>
          <w:rFonts w:ascii="Arial" w:hAnsi="Arial" w:eastAsia="Arial" w:cs="Arial"/>
          <w:sz w:val="22"/>
          <w:szCs w:val="22"/>
        </w:rPr>
        <w:t>.</w:t>
      </w:r>
    </w:p>
    <w:p w:rsidRPr="006B4354" w:rsidR="000D0641" w:rsidP="2302A0EF" w:rsidRDefault="000D0641" w14:paraId="466B0331" w14:textId="77777777" w14:noSpellErr="1">
      <w:pPr>
        <w:rPr>
          <w:rFonts w:ascii="Arial" w:hAnsi="Arial" w:eastAsia="Arial" w:cs="Arial"/>
          <w:sz w:val="22"/>
          <w:szCs w:val="22"/>
        </w:rPr>
      </w:pPr>
    </w:p>
    <w:p w:rsidR="000D0641" w:rsidP="2302A0EF" w:rsidRDefault="000D0641" w14:paraId="5DDAF423" w14:textId="77777777" w14:noSpellErr="1">
      <w:pPr>
        <w:rPr>
          <w:rFonts w:ascii="Arial" w:hAnsi="Arial" w:eastAsia="Arial" w:cs="Arial"/>
          <w:sz w:val="22"/>
          <w:szCs w:val="22"/>
        </w:rPr>
      </w:pPr>
    </w:p>
    <w:p w:rsidR="00880B2D" w:rsidP="2302A0EF" w:rsidRDefault="00880B2D" w14:paraId="407ABDAE" w14:textId="4F32BB8B" w14:noSpellErr="1">
      <w:pPr>
        <w:rPr>
          <w:rFonts w:ascii="Arial" w:hAnsi="Arial" w:eastAsia="Arial" w:cs="Arial"/>
        </w:rPr>
        <w:sectPr w:rsidR="00880B2D">
          <w:footerReference w:type="default" r:id="rId9"/>
          <w:pgSz w:w="11906" w:h="16838" w:orient="portrait"/>
          <w:pgMar w:top="1440" w:right="1440" w:bottom="1440" w:left="1440" w:header="708" w:footer="708" w:gutter="0"/>
          <w:cols w:space="708"/>
          <w:docGrid w:linePitch="360"/>
        </w:sectPr>
      </w:pPr>
    </w:p>
    <w:p w:rsidRPr="00292A36" w:rsidR="00292A36" w:rsidP="0021364B" w:rsidRDefault="00292A36" w14:paraId="398427E3" w14:textId="0C899605">
      <w:pPr>
        <w:pStyle w:val="Heading1"/>
        <w:ind w:left="0"/>
        <w:rPr>
          <w:rFonts w:ascii="Aptos" w:hAnsi="Aptos"/>
        </w:rPr>
      </w:pPr>
      <w:bookmarkStart w:name="_Toc208163479" w:id="13"/>
      <w:r w:rsidRPr="00292A36">
        <w:rPr>
          <w:rFonts w:ascii="Aptos" w:hAnsi="Aptos"/>
        </w:rPr>
        <w:lastRenderedPageBreak/>
        <w:t>C</w:t>
      </w:r>
      <w:r>
        <w:rPr>
          <w:rFonts w:ascii="Aptos" w:hAnsi="Aptos"/>
        </w:rPr>
        <w:t>HAPTER</w:t>
      </w:r>
      <w:r w:rsidRPr="00292A36">
        <w:rPr>
          <w:rFonts w:ascii="Aptos" w:hAnsi="Aptos"/>
        </w:rPr>
        <w:t xml:space="preserve"> 3 – </w:t>
      </w:r>
      <w:r w:rsidR="007A712E">
        <w:rPr>
          <w:rFonts w:ascii="Aptos" w:hAnsi="Aptos"/>
        </w:rPr>
        <w:t>Academic Methodology Poster</w:t>
      </w:r>
      <w:bookmarkEnd w:id="13"/>
    </w:p>
    <w:p w:rsidRPr="004813CB" w:rsidR="00292A36" w:rsidP="004813CB" w:rsidRDefault="00292A36" w14:paraId="1DFAFBD2" w14:textId="77777777"/>
    <w:p w:rsidRPr="004813CB" w:rsidR="007C246B" w:rsidP="004813CB" w:rsidRDefault="001D1485" w14:paraId="7FFED2C4" w14:textId="012F9843">
      <w:pPr>
        <w:pStyle w:val="Heading2"/>
      </w:pPr>
      <w:bookmarkStart w:name="_Toc208163480" w:id="14"/>
      <w:r w:rsidRPr="004813CB">
        <w:t>3.1 Academic</w:t>
      </w:r>
      <w:r w:rsidRPr="004813CB" w:rsidR="00AB78F0">
        <w:t xml:space="preserve"> Methodology Poster</w:t>
      </w:r>
      <w:bookmarkEnd w:id="14"/>
      <w:r w:rsidRPr="004813CB" w:rsidR="00AB78F0">
        <w:t xml:space="preserve"> </w:t>
      </w:r>
    </w:p>
    <w:p w:rsidR="007A78FA" w:rsidP="007A78FA" w:rsidRDefault="002B0DB0" w14:paraId="071BFA45" w14:textId="0CA054FC">
      <w:proofErr w:type="gramStart"/>
      <w:r w:rsidRPr="002B0DB0">
        <w:t>In order to</w:t>
      </w:r>
      <w:proofErr w:type="gramEnd"/>
      <w:r w:rsidRPr="002B0DB0">
        <w:t xml:space="preserve"> give a clear picture of the methodology used, Academic Methodology Poster that summarizes the research process of this dissertation has been provided in the appendices. The poster highlights the aim of the study, search strategy, inclusion/exclusion criteria, validation procedures and thematic analysis process</w:t>
      </w:r>
      <w:r w:rsidR="007A78FA">
        <w:t>.</w:t>
      </w:r>
    </w:p>
    <w:p w:rsidRPr="004813CB" w:rsidR="007C246B" w:rsidP="007A78FA" w:rsidRDefault="007A78FA" w14:paraId="2D68804A" w14:textId="0147198C">
      <w:r>
        <w:t xml:space="preserve">The entire poster </w:t>
      </w:r>
      <w:r w:rsidR="00CB3DFB">
        <w:t>is presented</w:t>
      </w:r>
      <w:r>
        <w:t xml:space="preserve"> </w:t>
      </w:r>
      <w:r w:rsidR="00CB3DFB">
        <w:t>i</w:t>
      </w:r>
      <w:r>
        <w:t>n Appendix A.</w:t>
      </w:r>
      <w:r w:rsidRPr="004813CB" w:rsidR="007C246B">
        <w:t xml:space="preserve"> </w:t>
      </w:r>
    </w:p>
    <w:p w:rsidRPr="004813CB" w:rsidR="00FD7C22" w:rsidP="004813CB" w:rsidRDefault="007C246B" w14:paraId="32D2EE93" w14:textId="1FE9556E">
      <w:pPr>
        <w:pStyle w:val="Heading2"/>
      </w:pPr>
      <w:bookmarkStart w:name="_Toc208163481" w:id="15"/>
      <w:r w:rsidRPr="004813CB">
        <w:t xml:space="preserve">3.2 </w:t>
      </w:r>
      <w:r w:rsidRPr="004813CB" w:rsidR="00807B11">
        <w:t>Additional Information</w:t>
      </w:r>
      <w:bookmarkEnd w:id="15"/>
      <w:r w:rsidRPr="004813CB" w:rsidR="004D4021">
        <w:t xml:space="preserve"> </w:t>
      </w:r>
    </w:p>
    <w:p w:rsidRPr="004813CB" w:rsidR="003A66FD" w:rsidP="004813CB" w:rsidRDefault="00292A36" w14:paraId="5A7AB555" w14:textId="5506A55E">
      <w:pPr>
        <w:pStyle w:val="Heading3"/>
      </w:pPr>
      <w:bookmarkStart w:name="_Toc208163482" w:id="16"/>
      <w:r w:rsidRPr="004813CB">
        <w:t>3.</w:t>
      </w:r>
      <w:r w:rsidRPr="004813CB" w:rsidR="005D7A1E">
        <w:t>2.1</w:t>
      </w:r>
      <w:r w:rsidRPr="004813CB">
        <w:t xml:space="preserve"> –</w:t>
      </w:r>
      <w:r w:rsidRPr="004813CB" w:rsidR="0021364B">
        <w:t xml:space="preserve"> </w:t>
      </w:r>
      <w:r w:rsidRPr="004813CB">
        <w:t>Introduction</w:t>
      </w:r>
      <w:bookmarkEnd w:id="16"/>
    </w:p>
    <w:p w:rsidRPr="004813CB" w:rsidR="003A66FD" w:rsidP="004813CB" w:rsidRDefault="007A78FA" w14:paraId="6CBC7EFF" w14:textId="1B09E000">
      <w:pPr>
        <w:rPr>
          <w:lang w:eastAsia="en-GB"/>
        </w:rPr>
      </w:pPr>
      <w:r w:rsidRPr="007A78FA">
        <w:t xml:space="preserve">In this chapter, the methodological framework used to explore the impact of child poverty on access to mental health services in urban </w:t>
      </w:r>
      <w:r w:rsidR="00CB3DFB">
        <w:t>areas of the UK</w:t>
      </w:r>
      <w:r w:rsidRPr="007A78FA">
        <w:t xml:space="preserve"> is outlined. Research credibility re</w:t>
      </w:r>
      <w:r w:rsidR="00CB3DFB">
        <w:t>lies on well-justified and transparent methodological decisions that yield</w:t>
      </w:r>
      <w:r w:rsidRPr="007A78FA">
        <w:t xml:space="preserve"> findings that are sound and replicable (Saunders et al., 2009; Bell et al., 2022). Since this research is a secondary </w:t>
      </w:r>
      <w:r w:rsidR="00CB3DFB">
        <w:t>study, the emphasis is on critical analysis of the literature, rather than</w:t>
      </w:r>
      <w:r w:rsidRPr="007A78FA">
        <w:t xml:space="preserve"> the collection of primary data (Thomas, 2022). The chapter describes the search strategy, databases used, inclusion and exclusion criteria, research validation, thematic analysis, and ethical considerations behind this dissertation.</w:t>
      </w:r>
      <w:r w:rsidRPr="004813CB" w:rsidR="004813CB">
        <w:t xml:space="preserve">  </w:t>
      </w:r>
    </w:p>
    <w:p w:rsidRPr="004813CB" w:rsidR="009E5B14" w:rsidP="004813CB" w:rsidRDefault="00292A36" w14:paraId="644CE1D2" w14:textId="6C6E5CF9">
      <w:pPr>
        <w:pStyle w:val="Heading3"/>
      </w:pPr>
      <w:bookmarkStart w:name="_Toc208163483" w:id="17"/>
      <w:r w:rsidRPr="004813CB">
        <w:t>3.2</w:t>
      </w:r>
      <w:r w:rsidRPr="004813CB" w:rsidR="00E40B0D">
        <w:t>.2</w:t>
      </w:r>
      <w:r w:rsidRPr="004813CB">
        <w:t xml:space="preserve"> – Search Strategy</w:t>
      </w:r>
      <w:bookmarkEnd w:id="17"/>
    </w:p>
    <w:p w:rsidR="004813CB" w:rsidP="004813CB" w:rsidRDefault="00CB3DFB" w14:paraId="2E251EE2" w14:textId="16CE2083">
      <w:r>
        <w:t>A search strategy in secondary research is a rational procedure of planning, identifying, and locating literature that comprehensively and relevantly covers a subject matter (Hart, 2001; Saunders, Lewis,</w:t>
      </w:r>
      <w:r w:rsidRPr="007A78FA" w:rsidR="007A78FA">
        <w:t xml:space="preserve"> and Thornhill, 2009). </w:t>
      </w:r>
      <w:r w:rsidRPr="000C7190" w:rsidR="000C7190">
        <w:t>Google Scholar, PubMed, PsycINFO, JSTOR, NHS Digital and gov.uk were the databases and search engines used in this dissertation. The searches were also restricted with the help of AND, OR, and NOTE operators and geography (UK focus), publication date (2013-2024), and peer-reviewed filters. Key words were employed like child poverty, mental health services, and UK urban areas in the provision of results that would be relevant to the research objectives</w:t>
      </w:r>
      <w:r w:rsidRPr="007A78FA" w:rsidR="007A78FA">
        <w:t>.</w:t>
      </w:r>
    </w:p>
    <w:tbl>
      <w:tblPr>
        <w:tblW w:w="0" w:type="auto"/>
        <w:tblCellMar>
          <w:left w:w="0" w:type="dxa"/>
          <w:right w:w="0" w:type="dxa"/>
        </w:tblCellMar>
        <w:tblLook w:val="04A0" w:firstRow="1" w:lastRow="0" w:firstColumn="1" w:lastColumn="0" w:noHBand="0" w:noVBand="1"/>
      </w:tblPr>
      <w:tblGrid>
        <w:gridCol w:w="1082"/>
        <w:gridCol w:w="4211"/>
        <w:gridCol w:w="2676"/>
        <w:gridCol w:w="1041"/>
      </w:tblGrid>
      <w:tr w:rsidR="004813CB" w:rsidTr="00CC02C5" w14:paraId="0AF2E2BA" w14:textId="77777777">
        <w:trPr>
          <w:trHeight w:val="165"/>
        </w:trPr>
        <w:tc>
          <w:tcPr>
            <w:tcW w:w="1110" w:type="dxa"/>
            <w:tcBorders>
              <w:top w:val="single" w:color="000000" w:sz="6" w:space="0"/>
              <w:left w:val="single" w:color="000000" w:sz="6" w:space="0"/>
              <w:bottom w:val="single" w:color="000000" w:sz="6" w:space="0"/>
              <w:right w:val="single" w:color="000000" w:sz="6" w:space="0"/>
            </w:tcBorders>
            <w:shd w:val="clear" w:color="auto" w:fill="B0B3B2"/>
            <w:tcMar>
              <w:top w:w="60" w:type="dxa"/>
              <w:left w:w="60" w:type="dxa"/>
              <w:bottom w:w="60" w:type="dxa"/>
              <w:right w:w="60" w:type="dxa"/>
            </w:tcMar>
            <w:hideMark/>
          </w:tcPr>
          <w:p w:rsidR="004813CB" w:rsidP="00CC02C5" w:rsidRDefault="004813CB" w14:paraId="611EA249" w14:textId="77777777">
            <w:pPr>
              <w:pStyle w:val="NormalWeb"/>
              <w:spacing w:before="0" w:beforeAutospacing="0" w:after="0" w:afterAutospacing="0"/>
            </w:pPr>
            <w:r>
              <w:rPr>
                <w:rFonts w:ascii="Helvetica Neue" w:hAnsi="Helvetica Neue"/>
                <w:b/>
                <w:bCs/>
                <w:color w:val="000000"/>
                <w:sz w:val="15"/>
                <w:szCs w:val="15"/>
              </w:rPr>
              <w:t>Database</w:t>
            </w:r>
          </w:p>
        </w:tc>
        <w:tc>
          <w:tcPr>
            <w:tcW w:w="4575" w:type="dxa"/>
            <w:tcBorders>
              <w:top w:val="single" w:color="000000" w:sz="6" w:space="0"/>
              <w:left w:val="single" w:color="000000" w:sz="6" w:space="0"/>
              <w:bottom w:val="single" w:color="000000" w:sz="6" w:space="0"/>
              <w:right w:val="single" w:color="000000" w:sz="6" w:space="0"/>
            </w:tcBorders>
            <w:shd w:val="clear" w:color="auto" w:fill="B0B3B2"/>
            <w:tcMar>
              <w:top w:w="60" w:type="dxa"/>
              <w:left w:w="60" w:type="dxa"/>
              <w:bottom w:w="60" w:type="dxa"/>
              <w:right w:w="60" w:type="dxa"/>
            </w:tcMar>
            <w:hideMark/>
          </w:tcPr>
          <w:p w:rsidR="004813CB" w:rsidP="00CC02C5" w:rsidRDefault="004813CB" w14:paraId="6F44B0B8" w14:textId="77777777">
            <w:pPr>
              <w:pStyle w:val="NormalWeb"/>
              <w:spacing w:before="0" w:beforeAutospacing="0" w:after="0" w:afterAutospacing="0"/>
            </w:pPr>
            <w:r>
              <w:rPr>
                <w:rFonts w:ascii="Helvetica Neue" w:hAnsi="Helvetica Neue"/>
                <w:b/>
                <w:bCs/>
                <w:color w:val="000000"/>
                <w:sz w:val="15"/>
                <w:szCs w:val="15"/>
              </w:rPr>
              <w:t>Keywords</w:t>
            </w:r>
          </w:p>
        </w:tc>
        <w:tc>
          <w:tcPr>
            <w:tcW w:w="2835" w:type="dxa"/>
            <w:tcBorders>
              <w:top w:val="single" w:color="000000" w:sz="6" w:space="0"/>
              <w:left w:val="single" w:color="000000" w:sz="6" w:space="0"/>
              <w:bottom w:val="single" w:color="000000" w:sz="6" w:space="0"/>
              <w:right w:val="single" w:color="000000" w:sz="6" w:space="0"/>
            </w:tcBorders>
            <w:shd w:val="clear" w:color="auto" w:fill="B0B3B2"/>
            <w:tcMar>
              <w:top w:w="60" w:type="dxa"/>
              <w:left w:w="60" w:type="dxa"/>
              <w:bottom w:w="60" w:type="dxa"/>
              <w:right w:w="60" w:type="dxa"/>
            </w:tcMar>
            <w:hideMark/>
          </w:tcPr>
          <w:p w:rsidR="004813CB" w:rsidP="00CC02C5" w:rsidRDefault="004813CB" w14:paraId="393C79C1" w14:textId="77777777">
            <w:pPr>
              <w:pStyle w:val="NormalWeb"/>
              <w:spacing w:before="0" w:beforeAutospacing="0" w:after="0" w:afterAutospacing="0"/>
            </w:pPr>
            <w:r>
              <w:rPr>
                <w:rFonts w:ascii="Helvetica Neue" w:hAnsi="Helvetica Neue"/>
                <w:b/>
                <w:bCs/>
                <w:color w:val="000000"/>
                <w:sz w:val="15"/>
                <w:szCs w:val="15"/>
              </w:rPr>
              <w:t>Filters Applied</w:t>
            </w:r>
          </w:p>
        </w:tc>
        <w:tc>
          <w:tcPr>
            <w:tcW w:w="1080" w:type="dxa"/>
            <w:tcBorders>
              <w:top w:val="single" w:color="000000" w:sz="6" w:space="0"/>
              <w:left w:val="single" w:color="000000" w:sz="6" w:space="0"/>
              <w:bottom w:val="single" w:color="000000" w:sz="6" w:space="0"/>
              <w:right w:val="single" w:color="000000" w:sz="6" w:space="0"/>
            </w:tcBorders>
            <w:shd w:val="clear" w:color="auto" w:fill="B0B3B2"/>
            <w:tcMar>
              <w:top w:w="60" w:type="dxa"/>
              <w:left w:w="60" w:type="dxa"/>
              <w:bottom w:w="60" w:type="dxa"/>
              <w:right w:w="60" w:type="dxa"/>
            </w:tcMar>
            <w:hideMark/>
          </w:tcPr>
          <w:p w:rsidR="004813CB" w:rsidP="00CC02C5" w:rsidRDefault="004813CB" w14:paraId="6017C524" w14:textId="77777777">
            <w:pPr>
              <w:pStyle w:val="NormalWeb"/>
              <w:spacing w:before="0" w:beforeAutospacing="0" w:after="0" w:afterAutospacing="0"/>
            </w:pPr>
            <w:r>
              <w:rPr>
                <w:rFonts w:ascii="Helvetica Neue" w:hAnsi="Helvetica Neue"/>
                <w:b/>
                <w:bCs/>
                <w:color w:val="000000"/>
                <w:sz w:val="15"/>
                <w:szCs w:val="15"/>
              </w:rPr>
              <w:t>Number of Hits</w:t>
            </w:r>
          </w:p>
        </w:tc>
      </w:tr>
      <w:tr w:rsidR="004813CB" w:rsidTr="00CC02C5" w14:paraId="49D49F14" w14:textId="77777777">
        <w:trPr>
          <w:trHeight w:val="180"/>
        </w:trPr>
        <w:tc>
          <w:tcPr>
            <w:tcW w:w="1110" w:type="dxa"/>
            <w:tcBorders>
              <w:top w:val="single" w:color="000000" w:sz="6" w:space="0"/>
              <w:left w:val="single" w:color="000000" w:sz="6" w:space="0"/>
              <w:bottom w:val="single" w:color="000000" w:sz="6" w:space="0"/>
              <w:right w:val="single" w:color="000000" w:sz="6" w:space="0"/>
            </w:tcBorders>
            <w:shd w:val="clear" w:color="auto" w:fill="D4D4D4"/>
            <w:tcMar>
              <w:top w:w="60" w:type="dxa"/>
              <w:left w:w="60" w:type="dxa"/>
              <w:bottom w:w="60" w:type="dxa"/>
              <w:right w:w="60" w:type="dxa"/>
            </w:tcMar>
            <w:hideMark/>
          </w:tcPr>
          <w:p w:rsidR="004813CB" w:rsidP="00CC02C5" w:rsidRDefault="004813CB" w14:paraId="22F0BB96" w14:textId="77777777">
            <w:pPr>
              <w:pStyle w:val="NormalWeb"/>
              <w:spacing w:before="0" w:beforeAutospacing="0" w:after="0" w:afterAutospacing="0"/>
            </w:pPr>
            <w:r>
              <w:rPr>
                <w:rFonts w:ascii="Helvetica Neue" w:hAnsi="Helvetica Neue"/>
                <w:b/>
                <w:bCs/>
                <w:color w:val="000000"/>
                <w:sz w:val="15"/>
                <w:szCs w:val="15"/>
              </w:rPr>
              <w:t>Google Scholar</w:t>
            </w:r>
          </w:p>
        </w:tc>
        <w:tc>
          <w:tcPr>
            <w:tcW w:w="4575" w:type="dxa"/>
            <w:tcBorders>
              <w:top w:val="single" w:color="000000" w:sz="6" w:space="0"/>
              <w:left w:val="single" w:color="000000" w:sz="6" w:space="0"/>
              <w:bottom w:val="single" w:color="000000" w:sz="6" w:space="0"/>
              <w:right w:val="single" w:color="000000" w:sz="6" w:space="0"/>
            </w:tcBorders>
            <w:tcMar>
              <w:top w:w="60" w:type="dxa"/>
              <w:left w:w="60" w:type="dxa"/>
              <w:bottom w:w="60" w:type="dxa"/>
              <w:right w:w="60" w:type="dxa"/>
            </w:tcMar>
            <w:hideMark/>
          </w:tcPr>
          <w:p w:rsidR="004813CB" w:rsidP="00CC02C5" w:rsidRDefault="004813CB" w14:paraId="08591DF2" w14:textId="77777777">
            <w:pPr>
              <w:pStyle w:val="NormalWeb"/>
              <w:spacing w:before="0" w:beforeAutospacing="0" w:after="0" w:afterAutospacing="0"/>
            </w:pPr>
            <w:r>
              <w:rPr>
                <w:rFonts w:ascii="Helvetica Neue" w:hAnsi="Helvetica Neue"/>
                <w:color w:val="000000"/>
                <w:sz w:val="15"/>
                <w:szCs w:val="15"/>
              </w:rPr>
              <w:t>"</w:t>
            </w:r>
            <w:proofErr w:type="gramStart"/>
            <w:r>
              <w:rPr>
                <w:rFonts w:ascii="Helvetica Neue" w:hAnsi="Helvetica Neue"/>
                <w:color w:val="000000"/>
                <w:sz w:val="15"/>
                <w:szCs w:val="15"/>
              </w:rPr>
              <w:t>child</w:t>
            </w:r>
            <w:proofErr w:type="gramEnd"/>
            <w:r>
              <w:rPr>
                <w:rFonts w:ascii="Helvetica Neue" w:hAnsi="Helvetica Neue"/>
                <w:color w:val="000000"/>
                <w:sz w:val="15"/>
                <w:szCs w:val="15"/>
              </w:rPr>
              <w:t xml:space="preserve"> poverty" AND "mental health services" AND "UK urban areas"</w:t>
            </w:r>
          </w:p>
        </w:tc>
        <w:tc>
          <w:tcPr>
            <w:tcW w:w="2835" w:type="dxa"/>
            <w:tcBorders>
              <w:top w:val="single" w:color="000000" w:sz="6" w:space="0"/>
              <w:left w:val="single" w:color="000000" w:sz="6" w:space="0"/>
              <w:bottom w:val="single" w:color="000000" w:sz="6" w:space="0"/>
              <w:right w:val="single" w:color="000000" w:sz="6" w:space="0"/>
            </w:tcBorders>
            <w:tcMar>
              <w:top w:w="60" w:type="dxa"/>
              <w:left w:w="60" w:type="dxa"/>
              <w:bottom w:w="60" w:type="dxa"/>
              <w:right w:w="60" w:type="dxa"/>
            </w:tcMar>
            <w:hideMark/>
          </w:tcPr>
          <w:p w:rsidR="004813CB" w:rsidP="00CC02C5" w:rsidRDefault="004813CB" w14:paraId="5DDE8615" w14:textId="77777777">
            <w:pPr>
              <w:pStyle w:val="NormalWeb"/>
              <w:spacing w:before="0" w:beforeAutospacing="0" w:after="0" w:afterAutospacing="0"/>
            </w:pPr>
            <w:r>
              <w:rPr>
                <w:rFonts w:ascii="Helvetica Neue" w:hAnsi="Helvetica Neue"/>
                <w:color w:val="000000"/>
                <w:sz w:val="15"/>
                <w:szCs w:val="15"/>
              </w:rPr>
              <w:t>2013–2024, peer-reviewed, English</w:t>
            </w:r>
          </w:p>
        </w:tc>
        <w:tc>
          <w:tcPr>
            <w:tcW w:w="1080" w:type="dxa"/>
            <w:tcBorders>
              <w:top w:val="single" w:color="000000" w:sz="6" w:space="0"/>
              <w:left w:val="single" w:color="000000" w:sz="6" w:space="0"/>
              <w:bottom w:val="single" w:color="000000" w:sz="6" w:space="0"/>
              <w:right w:val="single" w:color="000000" w:sz="6" w:space="0"/>
            </w:tcBorders>
            <w:tcMar>
              <w:top w:w="60" w:type="dxa"/>
              <w:left w:w="60" w:type="dxa"/>
              <w:bottom w:w="60" w:type="dxa"/>
              <w:right w:w="60" w:type="dxa"/>
            </w:tcMar>
            <w:hideMark/>
          </w:tcPr>
          <w:p w:rsidR="004813CB" w:rsidP="00CC02C5" w:rsidRDefault="004813CB" w14:paraId="3CCAC42C" w14:textId="77777777">
            <w:pPr>
              <w:pStyle w:val="NormalWeb"/>
              <w:spacing w:before="0" w:beforeAutospacing="0" w:after="0" w:afterAutospacing="0"/>
            </w:pPr>
            <w:r>
              <w:rPr>
                <w:rFonts w:ascii="Helvetica Neue" w:hAnsi="Helvetica Neue"/>
                <w:color w:val="000000"/>
                <w:sz w:val="15"/>
                <w:szCs w:val="15"/>
              </w:rPr>
              <w:t>250</w:t>
            </w:r>
          </w:p>
        </w:tc>
      </w:tr>
      <w:tr w:rsidR="004813CB" w:rsidTr="00CC02C5" w14:paraId="23BD51A8" w14:textId="77777777">
        <w:trPr>
          <w:trHeight w:val="165"/>
        </w:trPr>
        <w:tc>
          <w:tcPr>
            <w:tcW w:w="1110" w:type="dxa"/>
            <w:tcBorders>
              <w:top w:val="single" w:color="000000" w:sz="6" w:space="0"/>
              <w:left w:val="single" w:color="000000" w:sz="6" w:space="0"/>
              <w:bottom w:val="single" w:color="000000" w:sz="6" w:space="0"/>
              <w:right w:val="single" w:color="000000" w:sz="6" w:space="0"/>
            </w:tcBorders>
            <w:shd w:val="clear" w:color="auto" w:fill="D4D4D4"/>
            <w:tcMar>
              <w:top w:w="60" w:type="dxa"/>
              <w:left w:w="60" w:type="dxa"/>
              <w:bottom w:w="60" w:type="dxa"/>
              <w:right w:w="60" w:type="dxa"/>
            </w:tcMar>
            <w:hideMark/>
          </w:tcPr>
          <w:p w:rsidR="004813CB" w:rsidP="00CC02C5" w:rsidRDefault="004813CB" w14:paraId="7CE7ACF6" w14:textId="77777777">
            <w:pPr>
              <w:pStyle w:val="NormalWeb"/>
              <w:spacing w:before="0" w:beforeAutospacing="0" w:after="0" w:afterAutospacing="0"/>
            </w:pPr>
            <w:r>
              <w:rPr>
                <w:rFonts w:ascii="Helvetica Neue" w:hAnsi="Helvetica Neue"/>
                <w:b/>
                <w:bCs/>
                <w:color w:val="000000"/>
                <w:sz w:val="15"/>
                <w:szCs w:val="15"/>
              </w:rPr>
              <w:t>PubMed</w:t>
            </w:r>
          </w:p>
        </w:tc>
        <w:tc>
          <w:tcPr>
            <w:tcW w:w="4575" w:type="dxa"/>
            <w:tcBorders>
              <w:top w:val="single" w:color="000000" w:sz="6" w:space="0"/>
              <w:left w:val="single" w:color="000000" w:sz="6" w:space="0"/>
              <w:bottom w:val="single" w:color="000000" w:sz="6" w:space="0"/>
              <w:right w:val="single" w:color="000000" w:sz="6" w:space="0"/>
            </w:tcBorders>
            <w:tcMar>
              <w:top w:w="60" w:type="dxa"/>
              <w:left w:w="60" w:type="dxa"/>
              <w:bottom w:w="60" w:type="dxa"/>
              <w:right w:w="60" w:type="dxa"/>
            </w:tcMar>
            <w:hideMark/>
          </w:tcPr>
          <w:p w:rsidR="004813CB" w:rsidP="00CC02C5" w:rsidRDefault="004813CB" w14:paraId="5EE34C61" w14:textId="77777777">
            <w:pPr>
              <w:pStyle w:val="NormalWeb"/>
              <w:spacing w:before="0" w:beforeAutospacing="0" w:after="0" w:afterAutospacing="0"/>
            </w:pPr>
            <w:r>
              <w:rPr>
                <w:rFonts w:ascii="Helvetica Neue" w:hAnsi="Helvetica Neue"/>
                <w:color w:val="000000"/>
                <w:sz w:val="15"/>
                <w:szCs w:val="15"/>
              </w:rPr>
              <w:t>"</w:t>
            </w:r>
            <w:proofErr w:type="gramStart"/>
            <w:r>
              <w:rPr>
                <w:rFonts w:ascii="Helvetica Neue" w:hAnsi="Helvetica Neue"/>
                <w:color w:val="000000"/>
                <w:sz w:val="15"/>
                <w:szCs w:val="15"/>
              </w:rPr>
              <w:t>child</w:t>
            </w:r>
            <w:proofErr w:type="gramEnd"/>
            <w:r>
              <w:rPr>
                <w:rFonts w:ascii="Helvetica Neue" w:hAnsi="Helvetica Neue"/>
                <w:color w:val="000000"/>
                <w:sz w:val="15"/>
                <w:szCs w:val="15"/>
              </w:rPr>
              <w:t xml:space="preserve"> poverty" AND CAMHS AND UK</w:t>
            </w:r>
          </w:p>
        </w:tc>
        <w:tc>
          <w:tcPr>
            <w:tcW w:w="2835" w:type="dxa"/>
            <w:tcBorders>
              <w:top w:val="single" w:color="000000" w:sz="6" w:space="0"/>
              <w:left w:val="single" w:color="000000" w:sz="6" w:space="0"/>
              <w:bottom w:val="single" w:color="000000" w:sz="6" w:space="0"/>
              <w:right w:val="single" w:color="000000" w:sz="6" w:space="0"/>
            </w:tcBorders>
            <w:tcMar>
              <w:top w:w="60" w:type="dxa"/>
              <w:left w:w="60" w:type="dxa"/>
              <w:bottom w:w="60" w:type="dxa"/>
              <w:right w:w="60" w:type="dxa"/>
            </w:tcMar>
            <w:hideMark/>
          </w:tcPr>
          <w:p w:rsidR="004813CB" w:rsidP="00CC02C5" w:rsidRDefault="004813CB" w14:paraId="50F61E8C" w14:textId="77777777">
            <w:pPr>
              <w:pStyle w:val="NormalWeb"/>
              <w:spacing w:before="0" w:beforeAutospacing="0" w:after="0" w:afterAutospacing="0"/>
            </w:pPr>
            <w:r>
              <w:rPr>
                <w:rFonts w:ascii="Helvetica Neue" w:hAnsi="Helvetica Neue"/>
                <w:color w:val="000000"/>
                <w:sz w:val="15"/>
                <w:szCs w:val="15"/>
              </w:rPr>
              <w:t>2013–2024, UK-based, English</w:t>
            </w:r>
          </w:p>
        </w:tc>
        <w:tc>
          <w:tcPr>
            <w:tcW w:w="1080" w:type="dxa"/>
            <w:tcBorders>
              <w:top w:val="single" w:color="000000" w:sz="6" w:space="0"/>
              <w:left w:val="single" w:color="000000" w:sz="6" w:space="0"/>
              <w:bottom w:val="single" w:color="000000" w:sz="6" w:space="0"/>
              <w:right w:val="single" w:color="000000" w:sz="6" w:space="0"/>
            </w:tcBorders>
            <w:tcMar>
              <w:top w:w="60" w:type="dxa"/>
              <w:left w:w="60" w:type="dxa"/>
              <w:bottom w:w="60" w:type="dxa"/>
              <w:right w:w="60" w:type="dxa"/>
            </w:tcMar>
            <w:hideMark/>
          </w:tcPr>
          <w:p w:rsidR="004813CB" w:rsidP="00CC02C5" w:rsidRDefault="004813CB" w14:paraId="0CFEBDA0" w14:textId="77777777">
            <w:pPr>
              <w:pStyle w:val="NormalWeb"/>
              <w:spacing w:before="0" w:beforeAutospacing="0" w:after="0" w:afterAutospacing="0"/>
            </w:pPr>
            <w:r>
              <w:rPr>
                <w:rFonts w:ascii="Helvetica Neue" w:hAnsi="Helvetica Neue"/>
                <w:color w:val="000000"/>
                <w:sz w:val="15"/>
                <w:szCs w:val="15"/>
              </w:rPr>
              <w:t>120</w:t>
            </w:r>
          </w:p>
        </w:tc>
      </w:tr>
      <w:tr w:rsidR="004813CB" w:rsidTr="00CC02C5" w14:paraId="4B8CF9C0" w14:textId="77777777">
        <w:trPr>
          <w:trHeight w:val="165"/>
        </w:trPr>
        <w:tc>
          <w:tcPr>
            <w:tcW w:w="1110" w:type="dxa"/>
            <w:tcBorders>
              <w:top w:val="single" w:color="000000" w:sz="6" w:space="0"/>
              <w:left w:val="single" w:color="000000" w:sz="6" w:space="0"/>
              <w:bottom w:val="single" w:color="000000" w:sz="6" w:space="0"/>
              <w:right w:val="single" w:color="000000" w:sz="6" w:space="0"/>
            </w:tcBorders>
            <w:shd w:val="clear" w:color="auto" w:fill="D4D4D4"/>
            <w:tcMar>
              <w:top w:w="60" w:type="dxa"/>
              <w:left w:w="60" w:type="dxa"/>
              <w:bottom w:w="60" w:type="dxa"/>
              <w:right w:w="60" w:type="dxa"/>
            </w:tcMar>
            <w:hideMark/>
          </w:tcPr>
          <w:p w:rsidR="004813CB" w:rsidP="00CC02C5" w:rsidRDefault="004813CB" w14:paraId="30F26C27" w14:textId="77777777">
            <w:pPr>
              <w:pStyle w:val="NormalWeb"/>
              <w:spacing w:before="0" w:beforeAutospacing="0" w:after="0" w:afterAutospacing="0"/>
            </w:pPr>
            <w:r>
              <w:rPr>
                <w:rFonts w:ascii="Helvetica Neue" w:hAnsi="Helvetica Neue"/>
                <w:b/>
                <w:bCs/>
                <w:color w:val="000000"/>
                <w:sz w:val="15"/>
                <w:szCs w:val="15"/>
              </w:rPr>
              <w:t>PsycINFO</w:t>
            </w:r>
          </w:p>
        </w:tc>
        <w:tc>
          <w:tcPr>
            <w:tcW w:w="4575" w:type="dxa"/>
            <w:tcBorders>
              <w:top w:val="single" w:color="000000" w:sz="6" w:space="0"/>
              <w:left w:val="single" w:color="000000" w:sz="6" w:space="0"/>
              <w:bottom w:val="single" w:color="000000" w:sz="6" w:space="0"/>
              <w:right w:val="single" w:color="000000" w:sz="6" w:space="0"/>
            </w:tcBorders>
            <w:tcMar>
              <w:top w:w="60" w:type="dxa"/>
              <w:left w:w="60" w:type="dxa"/>
              <w:bottom w:w="60" w:type="dxa"/>
              <w:right w:w="60" w:type="dxa"/>
            </w:tcMar>
            <w:hideMark/>
          </w:tcPr>
          <w:p w:rsidR="004813CB" w:rsidP="00CC02C5" w:rsidRDefault="004813CB" w14:paraId="5F2BF101" w14:textId="77777777">
            <w:pPr>
              <w:pStyle w:val="NormalWeb"/>
              <w:spacing w:before="0" w:beforeAutospacing="0" w:after="0" w:afterAutospacing="0"/>
            </w:pPr>
            <w:r>
              <w:rPr>
                <w:rFonts w:ascii="Helvetica Neue" w:hAnsi="Helvetica Neue"/>
                <w:color w:val="000000"/>
                <w:sz w:val="15"/>
                <w:szCs w:val="15"/>
              </w:rPr>
              <w:t>"</w:t>
            </w:r>
            <w:proofErr w:type="gramStart"/>
            <w:r>
              <w:rPr>
                <w:rFonts w:ascii="Helvetica Neue" w:hAnsi="Helvetica Neue"/>
                <w:color w:val="000000"/>
                <w:sz w:val="15"/>
                <w:szCs w:val="15"/>
              </w:rPr>
              <w:t>urban</w:t>
            </w:r>
            <w:proofErr w:type="gramEnd"/>
            <w:r>
              <w:rPr>
                <w:rFonts w:ascii="Helvetica Neue" w:hAnsi="Helvetica Neue"/>
                <w:color w:val="000000"/>
                <w:sz w:val="15"/>
                <w:szCs w:val="15"/>
              </w:rPr>
              <w:t xml:space="preserve"> deprivation" AND children AND mental health</w:t>
            </w:r>
          </w:p>
        </w:tc>
        <w:tc>
          <w:tcPr>
            <w:tcW w:w="2835" w:type="dxa"/>
            <w:tcBorders>
              <w:top w:val="single" w:color="000000" w:sz="6" w:space="0"/>
              <w:left w:val="single" w:color="000000" w:sz="6" w:space="0"/>
              <w:bottom w:val="single" w:color="000000" w:sz="6" w:space="0"/>
              <w:right w:val="single" w:color="000000" w:sz="6" w:space="0"/>
            </w:tcBorders>
            <w:tcMar>
              <w:top w:w="60" w:type="dxa"/>
              <w:left w:w="60" w:type="dxa"/>
              <w:bottom w:w="60" w:type="dxa"/>
              <w:right w:w="60" w:type="dxa"/>
            </w:tcMar>
            <w:hideMark/>
          </w:tcPr>
          <w:p w:rsidR="004813CB" w:rsidP="00CC02C5" w:rsidRDefault="004813CB" w14:paraId="33C98F3A" w14:textId="77777777">
            <w:pPr>
              <w:pStyle w:val="NormalWeb"/>
              <w:spacing w:before="0" w:beforeAutospacing="0" w:after="0" w:afterAutospacing="0"/>
            </w:pPr>
            <w:r>
              <w:rPr>
                <w:rFonts w:ascii="Helvetica Neue" w:hAnsi="Helvetica Neue"/>
                <w:color w:val="000000"/>
                <w:sz w:val="15"/>
                <w:szCs w:val="15"/>
              </w:rPr>
              <w:t>2013–2024, peer-reviewed, children (0–18)</w:t>
            </w:r>
          </w:p>
        </w:tc>
        <w:tc>
          <w:tcPr>
            <w:tcW w:w="1080" w:type="dxa"/>
            <w:tcBorders>
              <w:top w:val="single" w:color="000000" w:sz="6" w:space="0"/>
              <w:left w:val="single" w:color="000000" w:sz="6" w:space="0"/>
              <w:bottom w:val="single" w:color="000000" w:sz="6" w:space="0"/>
              <w:right w:val="single" w:color="000000" w:sz="6" w:space="0"/>
            </w:tcBorders>
            <w:tcMar>
              <w:top w:w="60" w:type="dxa"/>
              <w:left w:w="60" w:type="dxa"/>
              <w:bottom w:w="60" w:type="dxa"/>
              <w:right w:w="60" w:type="dxa"/>
            </w:tcMar>
            <w:hideMark/>
          </w:tcPr>
          <w:p w:rsidR="004813CB" w:rsidP="00CC02C5" w:rsidRDefault="004813CB" w14:paraId="56887212" w14:textId="77777777">
            <w:pPr>
              <w:pStyle w:val="NormalWeb"/>
              <w:spacing w:before="0" w:beforeAutospacing="0" w:after="0" w:afterAutospacing="0"/>
            </w:pPr>
            <w:r>
              <w:rPr>
                <w:rFonts w:ascii="Helvetica Neue" w:hAnsi="Helvetica Neue"/>
                <w:color w:val="000000"/>
                <w:sz w:val="15"/>
                <w:szCs w:val="15"/>
              </w:rPr>
              <w:t>90</w:t>
            </w:r>
          </w:p>
        </w:tc>
      </w:tr>
      <w:tr w:rsidR="004813CB" w:rsidTr="00CC02C5" w14:paraId="24B30B99" w14:textId="77777777">
        <w:trPr>
          <w:trHeight w:val="165"/>
        </w:trPr>
        <w:tc>
          <w:tcPr>
            <w:tcW w:w="1110" w:type="dxa"/>
            <w:tcBorders>
              <w:top w:val="single" w:color="000000" w:sz="6" w:space="0"/>
              <w:left w:val="single" w:color="000000" w:sz="6" w:space="0"/>
              <w:bottom w:val="single" w:color="000000" w:sz="6" w:space="0"/>
              <w:right w:val="single" w:color="000000" w:sz="6" w:space="0"/>
            </w:tcBorders>
            <w:shd w:val="clear" w:color="auto" w:fill="D4D4D4"/>
            <w:tcMar>
              <w:top w:w="60" w:type="dxa"/>
              <w:left w:w="60" w:type="dxa"/>
              <w:bottom w:w="60" w:type="dxa"/>
              <w:right w:w="60" w:type="dxa"/>
            </w:tcMar>
            <w:hideMark/>
          </w:tcPr>
          <w:p w:rsidR="004813CB" w:rsidP="00CC02C5" w:rsidRDefault="004813CB" w14:paraId="7A561316" w14:textId="77777777">
            <w:pPr>
              <w:pStyle w:val="NormalWeb"/>
              <w:spacing w:before="0" w:beforeAutospacing="0" w:after="0" w:afterAutospacing="0"/>
            </w:pPr>
            <w:r>
              <w:rPr>
                <w:rFonts w:ascii="Helvetica Neue" w:hAnsi="Helvetica Neue"/>
                <w:b/>
                <w:bCs/>
                <w:color w:val="000000"/>
                <w:sz w:val="15"/>
                <w:szCs w:val="15"/>
              </w:rPr>
              <w:lastRenderedPageBreak/>
              <w:t>JSTOR</w:t>
            </w:r>
          </w:p>
        </w:tc>
        <w:tc>
          <w:tcPr>
            <w:tcW w:w="4575" w:type="dxa"/>
            <w:tcBorders>
              <w:top w:val="single" w:color="000000" w:sz="6" w:space="0"/>
              <w:left w:val="single" w:color="000000" w:sz="6" w:space="0"/>
              <w:bottom w:val="single" w:color="000000" w:sz="6" w:space="0"/>
              <w:right w:val="single" w:color="000000" w:sz="6" w:space="0"/>
            </w:tcBorders>
            <w:tcMar>
              <w:top w:w="60" w:type="dxa"/>
              <w:left w:w="60" w:type="dxa"/>
              <w:bottom w:w="60" w:type="dxa"/>
              <w:right w:w="60" w:type="dxa"/>
            </w:tcMar>
            <w:hideMark/>
          </w:tcPr>
          <w:p w:rsidR="004813CB" w:rsidP="00CC02C5" w:rsidRDefault="004813CB" w14:paraId="5327391D" w14:textId="77777777">
            <w:pPr>
              <w:pStyle w:val="NormalWeb"/>
              <w:spacing w:before="0" w:beforeAutospacing="0" w:after="0" w:afterAutospacing="0"/>
            </w:pPr>
            <w:r>
              <w:rPr>
                <w:rFonts w:ascii="Helvetica Neue" w:hAnsi="Helvetica Neue"/>
                <w:color w:val="000000"/>
                <w:sz w:val="15"/>
                <w:szCs w:val="15"/>
              </w:rPr>
              <w:t>"poverty" AND "mental health access" AND "United Kingdom"</w:t>
            </w:r>
          </w:p>
        </w:tc>
        <w:tc>
          <w:tcPr>
            <w:tcW w:w="2835" w:type="dxa"/>
            <w:tcBorders>
              <w:top w:val="single" w:color="000000" w:sz="6" w:space="0"/>
              <w:left w:val="single" w:color="000000" w:sz="6" w:space="0"/>
              <w:bottom w:val="single" w:color="000000" w:sz="6" w:space="0"/>
              <w:right w:val="single" w:color="000000" w:sz="6" w:space="0"/>
            </w:tcBorders>
            <w:tcMar>
              <w:top w:w="60" w:type="dxa"/>
              <w:left w:w="60" w:type="dxa"/>
              <w:bottom w:w="60" w:type="dxa"/>
              <w:right w:w="60" w:type="dxa"/>
            </w:tcMar>
            <w:hideMark/>
          </w:tcPr>
          <w:p w:rsidR="004813CB" w:rsidP="00CC02C5" w:rsidRDefault="004813CB" w14:paraId="22C6EC9F" w14:textId="77777777">
            <w:pPr>
              <w:pStyle w:val="NormalWeb"/>
              <w:spacing w:before="0" w:beforeAutospacing="0" w:after="0" w:afterAutospacing="0"/>
            </w:pPr>
            <w:r>
              <w:rPr>
                <w:rFonts w:ascii="Helvetica Neue" w:hAnsi="Helvetica Neue"/>
                <w:color w:val="000000"/>
                <w:sz w:val="15"/>
                <w:szCs w:val="15"/>
              </w:rPr>
              <w:t>2013–2024, English, social sciences</w:t>
            </w:r>
          </w:p>
        </w:tc>
        <w:tc>
          <w:tcPr>
            <w:tcW w:w="1080" w:type="dxa"/>
            <w:tcBorders>
              <w:top w:val="single" w:color="000000" w:sz="6" w:space="0"/>
              <w:left w:val="single" w:color="000000" w:sz="6" w:space="0"/>
              <w:bottom w:val="single" w:color="000000" w:sz="6" w:space="0"/>
              <w:right w:val="single" w:color="000000" w:sz="6" w:space="0"/>
            </w:tcBorders>
            <w:tcMar>
              <w:top w:w="60" w:type="dxa"/>
              <w:left w:w="60" w:type="dxa"/>
              <w:bottom w:w="60" w:type="dxa"/>
              <w:right w:w="60" w:type="dxa"/>
            </w:tcMar>
            <w:hideMark/>
          </w:tcPr>
          <w:p w:rsidR="004813CB" w:rsidP="00CC02C5" w:rsidRDefault="004813CB" w14:paraId="4470567E" w14:textId="77777777">
            <w:pPr>
              <w:pStyle w:val="NormalWeb"/>
              <w:spacing w:before="0" w:beforeAutospacing="0" w:after="0" w:afterAutospacing="0"/>
            </w:pPr>
            <w:r>
              <w:rPr>
                <w:rFonts w:ascii="Helvetica Neue" w:hAnsi="Helvetica Neue"/>
                <w:color w:val="000000"/>
                <w:sz w:val="15"/>
                <w:szCs w:val="15"/>
              </w:rPr>
              <w:t>80</w:t>
            </w:r>
          </w:p>
        </w:tc>
      </w:tr>
      <w:tr w:rsidR="004813CB" w:rsidTr="00CC02C5" w14:paraId="2BF110E6" w14:textId="77777777">
        <w:trPr>
          <w:trHeight w:val="165"/>
        </w:trPr>
        <w:tc>
          <w:tcPr>
            <w:tcW w:w="1110" w:type="dxa"/>
            <w:tcBorders>
              <w:top w:val="single" w:color="000000" w:sz="6" w:space="0"/>
              <w:left w:val="single" w:color="000000" w:sz="6" w:space="0"/>
              <w:bottom w:val="single" w:color="000000" w:sz="6" w:space="0"/>
              <w:right w:val="single" w:color="000000" w:sz="6" w:space="0"/>
            </w:tcBorders>
            <w:shd w:val="clear" w:color="auto" w:fill="D4D4D4"/>
            <w:tcMar>
              <w:top w:w="60" w:type="dxa"/>
              <w:left w:w="60" w:type="dxa"/>
              <w:bottom w:w="60" w:type="dxa"/>
              <w:right w:w="60" w:type="dxa"/>
            </w:tcMar>
            <w:hideMark/>
          </w:tcPr>
          <w:p w:rsidR="004813CB" w:rsidP="00CC02C5" w:rsidRDefault="004813CB" w14:paraId="03D0AEAC" w14:textId="77777777">
            <w:pPr>
              <w:pStyle w:val="NormalWeb"/>
              <w:spacing w:before="0" w:beforeAutospacing="0" w:after="0" w:afterAutospacing="0"/>
            </w:pPr>
            <w:r>
              <w:rPr>
                <w:rFonts w:ascii="Helvetica Neue" w:hAnsi="Helvetica Neue"/>
                <w:b/>
                <w:bCs/>
                <w:color w:val="000000"/>
                <w:sz w:val="15"/>
                <w:szCs w:val="15"/>
              </w:rPr>
              <w:t>NHS Digital</w:t>
            </w:r>
          </w:p>
        </w:tc>
        <w:tc>
          <w:tcPr>
            <w:tcW w:w="4575" w:type="dxa"/>
            <w:tcBorders>
              <w:top w:val="single" w:color="000000" w:sz="6" w:space="0"/>
              <w:left w:val="single" w:color="000000" w:sz="6" w:space="0"/>
              <w:bottom w:val="single" w:color="000000" w:sz="6" w:space="0"/>
              <w:right w:val="single" w:color="000000" w:sz="6" w:space="0"/>
            </w:tcBorders>
            <w:tcMar>
              <w:top w:w="60" w:type="dxa"/>
              <w:left w:w="60" w:type="dxa"/>
              <w:bottom w:w="60" w:type="dxa"/>
              <w:right w:w="60" w:type="dxa"/>
            </w:tcMar>
            <w:hideMark/>
          </w:tcPr>
          <w:p w:rsidR="004813CB" w:rsidP="00CC02C5" w:rsidRDefault="004813CB" w14:paraId="77C9B7E6" w14:textId="77777777">
            <w:pPr>
              <w:pStyle w:val="NormalWeb"/>
              <w:spacing w:before="0" w:beforeAutospacing="0" w:after="0" w:afterAutospacing="0"/>
            </w:pPr>
            <w:r>
              <w:rPr>
                <w:rFonts w:ascii="Helvetica Neue" w:hAnsi="Helvetica Neue"/>
                <w:color w:val="000000"/>
                <w:sz w:val="15"/>
                <w:szCs w:val="15"/>
              </w:rPr>
              <w:t>"</w:t>
            </w:r>
            <w:proofErr w:type="gramStart"/>
            <w:r>
              <w:rPr>
                <w:rFonts w:ascii="Helvetica Neue" w:hAnsi="Helvetica Neue"/>
                <w:color w:val="000000"/>
                <w:sz w:val="15"/>
                <w:szCs w:val="15"/>
              </w:rPr>
              <w:t>child</w:t>
            </w:r>
            <w:proofErr w:type="gramEnd"/>
            <w:r>
              <w:rPr>
                <w:rFonts w:ascii="Helvetica Neue" w:hAnsi="Helvetica Neue"/>
                <w:color w:val="000000"/>
                <w:sz w:val="15"/>
                <w:szCs w:val="15"/>
              </w:rPr>
              <w:t xml:space="preserve"> poverty" AND NHS AND mental health</w:t>
            </w:r>
          </w:p>
        </w:tc>
        <w:tc>
          <w:tcPr>
            <w:tcW w:w="2835" w:type="dxa"/>
            <w:tcBorders>
              <w:top w:val="single" w:color="000000" w:sz="6" w:space="0"/>
              <w:left w:val="single" w:color="000000" w:sz="6" w:space="0"/>
              <w:bottom w:val="single" w:color="000000" w:sz="6" w:space="0"/>
              <w:right w:val="single" w:color="000000" w:sz="6" w:space="0"/>
            </w:tcBorders>
            <w:tcMar>
              <w:top w:w="60" w:type="dxa"/>
              <w:left w:w="60" w:type="dxa"/>
              <w:bottom w:w="60" w:type="dxa"/>
              <w:right w:w="60" w:type="dxa"/>
            </w:tcMar>
            <w:hideMark/>
          </w:tcPr>
          <w:p w:rsidR="004813CB" w:rsidP="00CC02C5" w:rsidRDefault="004813CB" w14:paraId="10A0F455" w14:textId="77777777">
            <w:pPr>
              <w:pStyle w:val="NormalWeb"/>
              <w:spacing w:before="0" w:beforeAutospacing="0" w:after="0" w:afterAutospacing="0"/>
            </w:pPr>
            <w:r>
              <w:rPr>
                <w:rFonts w:ascii="Helvetica Neue" w:hAnsi="Helvetica Neue"/>
                <w:color w:val="000000"/>
                <w:sz w:val="15"/>
                <w:szCs w:val="15"/>
              </w:rPr>
              <w:t>2013–2024, UK data, reports/statistics</w:t>
            </w:r>
          </w:p>
        </w:tc>
        <w:tc>
          <w:tcPr>
            <w:tcW w:w="1080" w:type="dxa"/>
            <w:tcBorders>
              <w:top w:val="single" w:color="000000" w:sz="6" w:space="0"/>
              <w:left w:val="single" w:color="000000" w:sz="6" w:space="0"/>
              <w:bottom w:val="single" w:color="000000" w:sz="6" w:space="0"/>
              <w:right w:val="single" w:color="000000" w:sz="6" w:space="0"/>
            </w:tcBorders>
            <w:tcMar>
              <w:top w:w="60" w:type="dxa"/>
              <w:left w:w="60" w:type="dxa"/>
              <w:bottom w:w="60" w:type="dxa"/>
              <w:right w:w="60" w:type="dxa"/>
            </w:tcMar>
            <w:hideMark/>
          </w:tcPr>
          <w:p w:rsidR="004813CB" w:rsidP="00CC02C5" w:rsidRDefault="004813CB" w14:paraId="09CA2B70" w14:textId="77777777">
            <w:pPr>
              <w:pStyle w:val="NormalWeb"/>
              <w:spacing w:before="0" w:beforeAutospacing="0" w:after="0" w:afterAutospacing="0"/>
            </w:pPr>
            <w:r>
              <w:rPr>
                <w:rFonts w:ascii="Helvetica Neue" w:hAnsi="Helvetica Neue"/>
                <w:color w:val="000000"/>
                <w:sz w:val="15"/>
                <w:szCs w:val="15"/>
              </w:rPr>
              <w:t>100</w:t>
            </w:r>
          </w:p>
        </w:tc>
      </w:tr>
      <w:tr w:rsidR="004813CB" w:rsidTr="00CC02C5" w14:paraId="7D5724B4" w14:textId="77777777">
        <w:trPr>
          <w:trHeight w:val="165"/>
        </w:trPr>
        <w:tc>
          <w:tcPr>
            <w:tcW w:w="1110" w:type="dxa"/>
            <w:tcBorders>
              <w:top w:val="single" w:color="000000" w:sz="6" w:space="0"/>
              <w:left w:val="single" w:color="000000" w:sz="6" w:space="0"/>
              <w:bottom w:val="single" w:color="000000" w:sz="6" w:space="0"/>
              <w:right w:val="single" w:color="000000" w:sz="6" w:space="0"/>
            </w:tcBorders>
            <w:shd w:val="clear" w:color="auto" w:fill="D4D4D4"/>
            <w:tcMar>
              <w:top w:w="60" w:type="dxa"/>
              <w:left w:w="60" w:type="dxa"/>
              <w:bottom w:w="60" w:type="dxa"/>
              <w:right w:w="60" w:type="dxa"/>
            </w:tcMar>
            <w:hideMark/>
          </w:tcPr>
          <w:p w:rsidR="004813CB" w:rsidP="00CC02C5" w:rsidRDefault="004813CB" w14:paraId="5A221DA5" w14:textId="77777777">
            <w:pPr>
              <w:pStyle w:val="NormalWeb"/>
              <w:spacing w:before="0" w:beforeAutospacing="0" w:after="0" w:afterAutospacing="0"/>
            </w:pPr>
            <w:hyperlink w:history="1" r:id="rId10">
              <w:r>
                <w:rPr>
                  <w:rStyle w:val="Hyperlink"/>
                  <w:rFonts w:ascii="Helvetica Neue" w:hAnsi="Helvetica Neue" w:eastAsia="Calibri Light"/>
                  <w:b/>
                  <w:bCs/>
                  <w:sz w:val="15"/>
                  <w:szCs w:val="15"/>
                </w:rPr>
                <w:t>gov.uk</w:t>
              </w:r>
            </w:hyperlink>
          </w:p>
        </w:tc>
        <w:tc>
          <w:tcPr>
            <w:tcW w:w="4575" w:type="dxa"/>
            <w:tcBorders>
              <w:top w:val="single" w:color="000000" w:sz="6" w:space="0"/>
              <w:left w:val="single" w:color="000000" w:sz="6" w:space="0"/>
              <w:bottom w:val="single" w:color="000000" w:sz="6" w:space="0"/>
              <w:right w:val="single" w:color="000000" w:sz="6" w:space="0"/>
            </w:tcBorders>
            <w:tcMar>
              <w:top w:w="60" w:type="dxa"/>
              <w:left w:w="60" w:type="dxa"/>
              <w:bottom w:w="60" w:type="dxa"/>
              <w:right w:w="60" w:type="dxa"/>
            </w:tcMar>
            <w:hideMark/>
          </w:tcPr>
          <w:p w:rsidR="004813CB" w:rsidP="00CC02C5" w:rsidRDefault="004813CB" w14:paraId="69D837D4" w14:textId="77777777">
            <w:pPr>
              <w:pStyle w:val="NormalWeb"/>
              <w:spacing w:before="0" w:beforeAutospacing="0" w:after="0" w:afterAutospacing="0"/>
            </w:pPr>
            <w:r>
              <w:rPr>
                <w:rFonts w:ascii="Helvetica Neue" w:hAnsi="Helvetica Neue"/>
                <w:color w:val="000000"/>
                <w:sz w:val="15"/>
                <w:szCs w:val="15"/>
              </w:rPr>
              <w:t>"</w:t>
            </w:r>
            <w:proofErr w:type="gramStart"/>
            <w:r>
              <w:rPr>
                <w:rFonts w:ascii="Helvetica Neue" w:hAnsi="Helvetica Neue"/>
                <w:color w:val="000000"/>
                <w:sz w:val="15"/>
                <w:szCs w:val="15"/>
              </w:rPr>
              <w:t>child</w:t>
            </w:r>
            <w:proofErr w:type="gramEnd"/>
            <w:r>
              <w:rPr>
                <w:rFonts w:ascii="Helvetica Neue" w:hAnsi="Helvetica Neue"/>
                <w:color w:val="000000"/>
                <w:sz w:val="15"/>
                <w:szCs w:val="15"/>
              </w:rPr>
              <w:t xml:space="preserve"> poverty" AND "mental health policy"</w:t>
            </w:r>
          </w:p>
        </w:tc>
        <w:tc>
          <w:tcPr>
            <w:tcW w:w="2835" w:type="dxa"/>
            <w:tcBorders>
              <w:top w:val="single" w:color="000000" w:sz="6" w:space="0"/>
              <w:left w:val="single" w:color="000000" w:sz="6" w:space="0"/>
              <w:bottom w:val="single" w:color="000000" w:sz="6" w:space="0"/>
              <w:right w:val="single" w:color="000000" w:sz="6" w:space="0"/>
            </w:tcBorders>
            <w:tcMar>
              <w:top w:w="60" w:type="dxa"/>
              <w:left w:w="60" w:type="dxa"/>
              <w:bottom w:w="60" w:type="dxa"/>
              <w:right w:w="60" w:type="dxa"/>
            </w:tcMar>
            <w:hideMark/>
          </w:tcPr>
          <w:p w:rsidR="004813CB" w:rsidP="00CC02C5" w:rsidRDefault="004813CB" w14:paraId="26E2A7A5" w14:textId="77777777">
            <w:pPr>
              <w:pStyle w:val="NormalWeb"/>
              <w:spacing w:before="0" w:beforeAutospacing="0" w:after="0" w:afterAutospacing="0"/>
            </w:pPr>
            <w:r>
              <w:rPr>
                <w:rFonts w:ascii="Helvetica Neue" w:hAnsi="Helvetica Neue"/>
                <w:color w:val="000000"/>
                <w:sz w:val="15"/>
                <w:szCs w:val="15"/>
              </w:rPr>
              <w:t>2013–2024, UK focus, government policy</w:t>
            </w:r>
          </w:p>
        </w:tc>
        <w:tc>
          <w:tcPr>
            <w:tcW w:w="1080" w:type="dxa"/>
            <w:tcBorders>
              <w:top w:val="single" w:color="000000" w:sz="6" w:space="0"/>
              <w:left w:val="single" w:color="000000" w:sz="6" w:space="0"/>
              <w:bottom w:val="single" w:color="000000" w:sz="6" w:space="0"/>
              <w:right w:val="single" w:color="000000" w:sz="6" w:space="0"/>
            </w:tcBorders>
            <w:tcMar>
              <w:top w:w="60" w:type="dxa"/>
              <w:left w:w="60" w:type="dxa"/>
              <w:bottom w:w="60" w:type="dxa"/>
              <w:right w:w="60" w:type="dxa"/>
            </w:tcMar>
            <w:hideMark/>
          </w:tcPr>
          <w:p w:rsidR="004813CB" w:rsidP="00CC02C5" w:rsidRDefault="004813CB" w14:paraId="6046206F" w14:textId="77777777">
            <w:pPr>
              <w:pStyle w:val="NormalWeb"/>
              <w:spacing w:before="0" w:beforeAutospacing="0" w:after="0" w:afterAutospacing="0"/>
            </w:pPr>
            <w:r>
              <w:rPr>
                <w:rFonts w:ascii="Helvetica Neue" w:hAnsi="Helvetica Neue"/>
                <w:color w:val="000000"/>
                <w:sz w:val="15"/>
                <w:szCs w:val="15"/>
              </w:rPr>
              <w:t>67</w:t>
            </w:r>
          </w:p>
        </w:tc>
      </w:tr>
    </w:tbl>
    <w:p w:rsidRPr="004813CB" w:rsidR="00D13A82" w:rsidP="004813CB" w:rsidRDefault="00D13A82" w14:paraId="0293381E" w14:textId="77777777"/>
    <w:p w:rsidR="004813CB" w:rsidP="004813CB" w:rsidRDefault="00292A36" w14:paraId="2835DF16" w14:textId="4484645E">
      <w:pPr>
        <w:pStyle w:val="Heading3"/>
      </w:pPr>
      <w:bookmarkStart w:name="_Toc208163484" w:id="18"/>
      <w:r w:rsidRPr="004813CB">
        <w:t>3.</w:t>
      </w:r>
      <w:r w:rsidRPr="004813CB" w:rsidR="008D6F0F">
        <w:t>2.</w:t>
      </w:r>
      <w:r w:rsidRPr="004813CB">
        <w:t>3 – Searching for Information</w:t>
      </w:r>
      <w:bookmarkEnd w:id="18"/>
    </w:p>
    <w:p w:rsidR="00602320" w:rsidP="00602320" w:rsidRDefault="00602320" w14:paraId="2A527DBA" w14:textId="77777777">
      <w:proofErr w:type="gramStart"/>
      <w:r>
        <w:t>In order to</w:t>
      </w:r>
      <w:proofErr w:type="gramEnd"/>
      <w:r>
        <w:t xml:space="preserve"> be rigorous and reliable, literature search was conducted in a transparent and step-by step process. Step 1 entailed the use of enlarged keywords such as child poverty, urban deprivation and child and adolescent mental health services (CAMHS) to get a huge number of </w:t>
      </w:r>
      <w:proofErr w:type="gramStart"/>
      <w:r>
        <w:t>literature</w:t>
      </w:r>
      <w:proofErr w:type="gramEnd"/>
      <w:r>
        <w:t>. The Step 2 was the search refinement with Boolean operators (AND, OR, NOT) and filters to locate only articles published since 2013-24, peer-reviewed articles, and articles grounded in the UK. This number that elicits consequences downsizes the results concerning the objectives of the research (Saunders et al., 2009).</w:t>
      </w:r>
    </w:p>
    <w:p w:rsidR="00602320" w:rsidP="00602320" w:rsidRDefault="00602320" w14:paraId="39AE1E4A" w14:textId="77777777">
      <w:r>
        <w:t>The third step was to deal with duplication in which similar articles that were present in more than one database were removed. At this stage, research papers that failed to fit into the inclusion criteria were sieved. The fourth step was an abstract review (</w:t>
      </w:r>
      <w:proofErr w:type="gramStart"/>
      <w:r>
        <w:t>full-text</w:t>
      </w:r>
      <w:proofErr w:type="gramEnd"/>
      <w:r>
        <w:t>), during which only the sources that directly covered the intersection of child poverty and access to mental health services were included (Bell et al., 2022).</w:t>
      </w:r>
    </w:p>
    <w:p w:rsidR="00602320" w:rsidP="00602320" w:rsidRDefault="00602320" w14:paraId="67CCCEED" w14:textId="77777777">
      <w:r>
        <w:t xml:space="preserve">To prove consistency, a Search Strategy Sheet/Thesis Search Log was used. This is what was captured in the search of the database, keywords used, hits generated and remarks made about the relevancy of the articles. Such documentation is recommended </w:t>
      </w:r>
      <w:proofErr w:type="gramStart"/>
      <w:r>
        <w:t>so as to</w:t>
      </w:r>
      <w:proofErr w:type="gramEnd"/>
      <w:r>
        <w:t xml:space="preserve"> enhance transparency and replicability in secondary research (Hart, 2001).</w:t>
      </w:r>
    </w:p>
    <w:p w:rsidRPr="004813CB" w:rsidR="004813CB" w:rsidP="00602320" w:rsidRDefault="00602320" w14:paraId="58965091" w14:textId="149BB480">
      <w:r>
        <w:t>The flow diagram below (PRISMA) (see Figure below) will outline the record use process, which begins with the identification (n = 707) and concludes with the final inclusion (n = 20). This method of doing things in this dissertation has a systematic and systematic nature that has guaranteed the foundation of findings on credible sources that are relevant and thematically oriented and, in this regard, improves the validity of future analyses</w:t>
      </w:r>
      <w:r w:rsidR="007A78FA">
        <w:t>.</w:t>
      </w:r>
    </w:p>
    <w:p w:rsidR="004813CB" w:rsidP="004813CB" w:rsidRDefault="004813CB" w14:paraId="33BE9B12" w14:textId="77777777"/>
    <w:p w:rsidRPr="004813CB" w:rsidR="004813CB" w:rsidP="004813CB" w:rsidRDefault="004813CB" w14:paraId="11C9E2DA" w14:textId="0B9EBDD6">
      <w:r>
        <w:rPr>
          <w:rFonts w:ascii="Times New Roman" w:hAnsi="Times New Roman" w:eastAsia="Times New Roman" w:cs="Times New Roman"/>
          <w:noProof/>
          <w:kern w:val="0"/>
          <w:lang w:eastAsia="en-GB"/>
        </w:rPr>
        <w:lastRenderedPageBreak/>
        <w:drawing>
          <wp:inline distT="0" distB="0" distL="0" distR="0" wp14:anchorId="54DD2B65" wp14:editId="0E07FC60">
            <wp:extent cx="5731510" cy="6319520"/>
            <wp:effectExtent l="0" t="0" r="0" b="5080"/>
            <wp:docPr id="447337749" name="Picture 1" descr="A flowchart of recor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7337749" name="Picture 1" descr="A flowchart of records&#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5731510" cy="6319520"/>
                    </a:xfrm>
                    <a:prstGeom prst="rect">
                      <a:avLst/>
                    </a:prstGeom>
                  </pic:spPr>
                </pic:pic>
              </a:graphicData>
            </a:graphic>
          </wp:inline>
        </w:drawing>
      </w:r>
    </w:p>
    <w:p w:rsidR="00F84C23" w:rsidP="004813CB" w:rsidRDefault="004813CB" w14:paraId="32187402" w14:textId="69490F2B">
      <w:pPr>
        <w:pStyle w:val="Heading3"/>
      </w:pPr>
      <w:bookmarkStart w:name="_Toc208163485" w:id="19"/>
      <w:r>
        <w:t xml:space="preserve">3.2.4 </w:t>
      </w:r>
      <w:r w:rsidRPr="0021364B" w:rsidR="00292A36">
        <w:t>– Research Validation</w:t>
      </w:r>
      <w:bookmarkEnd w:id="19"/>
      <w:r w:rsidRPr="0021364B" w:rsidR="00292A36">
        <w:t xml:space="preserve"> </w:t>
      </w:r>
    </w:p>
    <w:p w:rsidR="007A78FA" w:rsidP="007A78FA" w:rsidRDefault="007A78FA" w14:paraId="34B87349" w14:textId="6F919101">
      <w:r>
        <w:t xml:space="preserve">Validation in secondary research can be defined as the process of </w:t>
      </w:r>
      <w:r w:rsidR="00CB3DFB">
        <w:t>ensuring that the existing data and literature are credible, accurate,</w:t>
      </w:r>
      <w:r>
        <w:t xml:space="preserve"> and reliable (Creswell and Miller, 2000). As this dissertation is based on published sources, </w:t>
      </w:r>
      <w:r w:rsidR="00CB3DFB">
        <w:t>rather than primary data, validation was performed through</w:t>
      </w:r>
      <w:r>
        <w:t xml:space="preserve"> a critical and systematic method of evidence assessment.</w:t>
      </w:r>
    </w:p>
    <w:p w:rsidR="007A78FA" w:rsidP="007A78FA" w:rsidRDefault="007A78FA" w14:paraId="232B8DB0" w14:textId="1E282A00">
      <w:r>
        <w:t>The peer-reviewed journal articles were of priority since they are independently examined by experts</w:t>
      </w:r>
      <w:r w:rsidR="00CB3DFB">
        <w:t>,</w:t>
      </w:r>
      <w:r>
        <w:t xml:space="preserve"> hence more reliable (Saunders et al., 2009). The complementary sources </w:t>
      </w:r>
      <w:r w:rsidR="00CB3DFB">
        <w:t>included government and NHS statistical reports (large-scale, nationally representative data) and non-</w:t>
      </w:r>
      <w:r w:rsidR="00CB3DFB">
        <w:lastRenderedPageBreak/>
        <w:t>governmental organisation (NGO) reports (community-level information on</w:t>
      </w:r>
      <w:r>
        <w:t xml:space="preserve"> child poverty and mental health). But NGO reports were highly criticised as being advocacy</w:t>
      </w:r>
      <w:r w:rsidR="00CB3DFB">
        <w:t>-bia</w:t>
      </w:r>
      <w:r>
        <w:t>sed.</w:t>
      </w:r>
    </w:p>
    <w:p w:rsidR="007A78FA" w:rsidP="007A78FA" w:rsidRDefault="007A78FA" w14:paraId="58E76E6E" w14:textId="77777777">
      <w:r>
        <w:t>To enhance reliability, research results were compared with various sources. As an illustration, government data on the trends in child poverty was contrasted with academic research and independent think-tank reports to establish consistency. Such a triangulation process minimises the risk of excessive dependence on one point of view and increases the strength of conclusions (Bell et al., 2022).</w:t>
      </w:r>
    </w:p>
    <w:p w:rsidR="007A78FA" w:rsidP="007A78FA" w:rsidRDefault="007A78FA" w14:paraId="41845577" w14:textId="2419CDB0">
      <w:r>
        <w:t xml:space="preserve">However, a few shortcomings were recognised. It is possible that publication bias </w:t>
      </w:r>
      <w:r w:rsidR="00CB3DFB">
        <w:t>may exclude studies that report null or negative results, and that regional data deficiencies exist, particular</w:t>
      </w:r>
      <w:r>
        <w:t xml:space="preserve">ly in smaller urban boroughs. Moreover, </w:t>
      </w:r>
      <w:r w:rsidR="00CB3DFB">
        <w:t>policy-based documents</w:t>
      </w:r>
      <w:r>
        <w:t xml:space="preserve"> can exaggerate the effectiveness of programmes. This was curbed by ensuring the dissertation </w:t>
      </w:r>
      <w:r w:rsidR="00CB3DFB">
        <w:t>prioritises recent sources (2013-2024), which are relevant to modern challenges such as</w:t>
      </w:r>
      <w:r>
        <w:t xml:space="preserve"> the post-COVID environment and the cost-of-living crisis.</w:t>
      </w:r>
    </w:p>
    <w:p w:rsidRPr="004813CB" w:rsidR="004813CB" w:rsidP="007A78FA" w:rsidRDefault="007A78FA" w14:paraId="57787B56" w14:textId="210E3E64">
      <w:r>
        <w:t xml:space="preserve">This intensive process of validation </w:t>
      </w:r>
      <w:r w:rsidR="00CB3DFB">
        <w:t>ensures the methodological soundness and contextual relevance of the evidence base for the findings</w:t>
      </w:r>
      <w:r>
        <w:t>.</w:t>
      </w:r>
    </w:p>
    <w:p w:rsidRPr="004813CB" w:rsidR="0021364B" w:rsidP="004813CB" w:rsidRDefault="004813CB" w14:paraId="0E7E3997" w14:textId="6F75E997">
      <w:pPr>
        <w:pStyle w:val="Heading3"/>
        <w:rPr>
          <w:sz w:val="28"/>
          <w:szCs w:val="28"/>
        </w:rPr>
      </w:pPr>
      <w:bookmarkStart w:name="_Toc208163486" w:id="20"/>
      <w:r>
        <w:rPr>
          <w:rStyle w:val="Heading2Char"/>
        </w:rPr>
        <w:t xml:space="preserve">3.2.5 </w:t>
      </w:r>
      <w:r w:rsidRPr="000D2B00" w:rsidR="00292A36">
        <w:rPr>
          <w:rStyle w:val="Heading2Char"/>
        </w:rPr>
        <w:t>- Inclusion and Exclusion Criteria</w:t>
      </w:r>
      <w:bookmarkEnd w:id="20"/>
      <w:r w:rsidRPr="0021364B" w:rsidR="00292A36">
        <w:rPr>
          <w:sz w:val="28"/>
          <w:szCs w:val="28"/>
        </w:rPr>
        <w:t xml:space="preserve"> </w:t>
      </w:r>
    </w:p>
    <w:p w:rsidRPr="004813CB" w:rsidR="004813CB" w:rsidP="004813CB" w:rsidRDefault="00602320" w14:paraId="233CD730" w14:textId="6108F390">
      <w:r w:rsidRPr="00602320">
        <w:t>Inclusion and exclusion criteria give a definite boundary on what studies to consider in a secondary research study to make sure that the evidence base is pertinent and reliable (Campbell et al., 2020)</w:t>
      </w:r>
      <w:r w:rsidRPr="007A78FA" w:rsidR="007A78FA">
        <w:t>.</w:t>
      </w:r>
    </w:p>
    <w:tbl>
      <w:tblPr>
        <w:tblW w:w="0" w:type="auto"/>
        <w:tblCellMar>
          <w:left w:w="0" w:type="dxa"/>
          <w:right w:w="0" w:type="dxa"/>
        </w:tblCellMar>
        <w:tblLook w:val="04A0" w:firstRow="1" w:lastRow="0" w:firstColumn="1" w:lastColumn="0" w:noHBand="0" w:noVBand="1"/>
      </w:tblPr>
      <w:tblGrid>
        <w:gridCol w:w="950"/>
        <w:gridCol w:w="5755"/>
      </w:tblGrid>
      <w:tr w:rsidRPr="00131AB4" w:rsidR="004813CB" w:rsidTr="004813CB" w14:paraId="72106514" w14:textId="77777777">
        <w:trPr>
          <w:trHeight w:val="165"/>
        </w:trPr>
        <w:tc>
          <w:tcPr>
            <w:tcW w:w="900" w:type="dxa"/>
            <w:tcBorders>
              <w:top w:val="single" w:color="000000" w:sz="6" w:space="0"/>
              <w:left w:val="single" w:color="000000" w:sz="6" w:space="0"/>
              <w:bottom w:val="single" w:color="000000" w:sz="6" w:space="0"/>
              <w:right w:val="single" w:color="000000" w:sz="6" w:space="0"/>
            </w:tcBorders>
            <w:shd w:val="clear" w:color="auto" w:fill="B0B3B2"/>
            <w:tcMar>
              <w:top w:w="60" w:type="dxa"/>
              <w:left w:w="60" w:type="dxa"/>
              <w:bottom w:w="60" w:type="dxa"/>
              <w:right w:w="60" w:type="dxa"/>
            </w:tcMar>
            <w:hideMark/>
          </w:tcPr>
          <w:p w:rsidRPr="00131AB4" w:rsidR="004813CB" w:rsidP="00CC02C5" w:rsidRDefault="004813CB" w14:paraId="701818F0" w14:textId="77777777">
            <w:pPr>
              <w:rPr>
                <w:rFonts w:ascii="Times New Roman" w:hAnsi="Times New Roman" w:eastAsia="Times New Roman" w:cs="Times New Roman"/>
                <w:kern w:val="0"/>
                <w:sz w:val="18"/>
                <w:szCs w:val="18"/>
                <w:lang w:eastAsia="en-GB"/>
                <w14:ligatures w14:val="none"/>
              </w:rPr>
            </w:pPr>
            <w:r w:rsidRPr="00131AB4">
              <w:rPr>
                <w:rFonts w:ascii="Helvetica Neue" w:hAnsi="Helvetica Neue" w:eastAsia="Times New Roman" w:cs="Times New Roman"/>
                <w:b/>
                <w:bCs/>
                <w:color w:val="000000"/>
                <w:kern w:val="0"/>
                <w:sz w:val="18"/>
                <w:szCs w:val="18"/>
                <w:lang w:eastAsia="en-GB"/>
                <w14:ligatures w14:val="none"/>
              </w:rPr>
              <w:t>Criteria Type</w:t>
            </w:r>
          </w:p>
        </w:tc>
        <w:tc>
          <w:tcPr>
            <w:tcW w:w="5755" w:type="dxa"/>
            <w:tcBorders>
              <w:top w:val="single" w:color="000000" w:sz="6" w:space="0"/>
              <w:left w:val="single" w:color="000000" w:sz="6" w:space="0"/>
              <w:bottom w:val="single" w:color="000000" w:sz="6" w:space="0"/>
              <w:right w:val="single" w:color="000000" w:sz="6" w:space="0"/>
            </w:tcBorders>
            <w:shd w:val="clear" w:color="auto" w:fill="B0B3B2"/>
            <w:tcMar>
              <w:top w:w="60" w:type="dxa"/>
              <w:left w:w="60" w:type="dxa"/>
              <w:bottom w:w="60" w:type="dxa"/>
              <w:right w:w="60" w:type="dxa"/>
            </w:tcMar>
            <w:hideMark/>
          </w:tcPr>
          <w:p w:rsidRPr="00131AB4" w:rsidR="004813CB" w:rsidP="00CC02C5" w:rsidRDefault="004813CB" w14:paraId="67819A7C" w14:textId="77777777">
            <w:pPr>
              <w:rPr>
                <w:rFonts w:ascii="Times New Roman" w:hAnsi="Times New Roman" w:eastAsia="Times New Roman" w:cs="Times New Roman"/>
                <w:kern w:val="0"/>
                <w:sz w:val="18"/>
                <w:szCs w:val="18"/>
                <w:lang w:eastAsia="en-GB"/>
                <w14:ligatures w14:val="none"/>
              </w:rPr>
            </w:pPr>
            <w:r w:rsidRPr="00131AB4">
              <w:rPr>
                <w:rFonts w:ascii="Helvetica Neue" w:hAnsi="Helvetica Neue" w:eastAsia="Times New Roman" w:cs="Times New Roman"/>
                <w:b/>
                <w:bCs/>
                <w:color w:val="000000"/>
                <w:kern w:val="0"/>
                <w:sz w:val="18"/>
                <w:szCs w:val="18"/>
                <w:lang w:eastAsia="en-GB"/>
                <w14:ligatures w14:val="none"/>
              </w:rPr>
              <w:t>Criteria</w:t>
            </w:r>
          </w:p>
        </w:tc>
      </w:tr>
      <w:tr w:rsidRPr="00131AB4" w:rsidR="004813CB" w:rsidTr="004813CB" w14:paraId="01BCD818" w14:textId="77777777">
        <w:trPr>
          <w:trHeight w:val="900"/>
        </w:trPr>
        <w:tc>
          <w:tcPr>
            <w:tcW w:w="900" w:type="dxa"/>
            <w:tcBorders>
              <w:top w:val="single" w:color="000000" w:sz="6" w:space="0"/>
              <w:left w:val="single" w:color="000000" w:sz="6" w:space="0"/>
              <w:bottom w:val="single" w:color="000000" w:sz="6" w:space="0"/>
              <w:right w:val="single" w:color="000000" w:sz="6" w:space="0"/>
            </w:tcBorders>
            <w:shd w:val="clear" w:color="auto" w:fill="D4D4D4"/>
            <w:tcMar>
              <w:top w:w="60" w:type="dxa"/>
              <w:left w:w="60" w:type="dxa"/>
              <w:bottom w:w="60" w:type="dxa"/>
              <w:right w:w="60" w:type="dxa"/>
            </w:tcMar>
            <w:hideMark/>
          </w:tcPr>
          <w:p w:rsidRPr="00131AB4" w:rsidR="004813CB" w:rsidP="00CC02C5" w:rsidRDefault="004813CB" w14:paraId="7A02AEE4" w14:textId="77777777">
            <w:pPr>
              <w:rPr>
                <w:rFonts w:ascii="Times New Roman" w:hAnsi="Times New Roman" w:eastAsia="Times New Roman" w:cs="Times New Roman"/>
                <w:kern w:val="0"/>
                <w:sz w:val="18"/>
                <w:szCs w:val="18"/>
                <w:lang w:eastAsia="en-GB"/>
                <w14:ligatures w14:val="none"/>
              </w:rPr>
            </w:pPr>
            <w:r w:rsidRPr="00131AB4">
              <w:rPr>
                <w:rFonts w:ascii="Helvetica Neue" w:hAnsi="Helvetica Neue" w:eastAsia="Times New Roman" w:cs="Times New Roman"/>
                <w:b/>
                <w:bCs/>
                <w:color w:val="000000"/>
                <w:kern w:val="0"/>
                <w:sz w:val="18"/>
                <w:szCs w:val="18"/>
                <w:lang w:eastAsia="en-GB"/>
                <w14:ligatures w14:val="none"/>
              </w:rPr>
              <w:t>Inclusion</w:t>
            </w:r>
          </w:p>
        </w:tc>
        <w:tc>
          <w:tcPr>
            <w:tcW w:w="5755" w:type="dxa"/>
            <w:tcBorders>
              <w:top w:val="single" w:color="000000" w:sz="6" w:space="0"/>
              <w:left w:val="single" w:color="000000" w:sz="6" w:space="0"/>
              <w:bottom w:val="single" w:color="000000" w:sz="6" w:space="0"/>
              <w:right w:val="single" w:color="000000" w:sz="6" w:space="0"/>
            </w:tcBorders>
            <w:tcMar>
              <w:top w:w="60" w:type="dxa"/>
              <w:left w:w="60" w:type="dxa"/>
              <w:bottom w:w="60" w:type="dxa"/>
              <w:right w:w="60" w:type="dxa"/>
            </w:tcMar>
            <w:hideMark/>
          </w:tcPr>
          <w:p w:rsidRPr="00131AB4" w:rsidR="004813CB" w:rsidP="00CC02C5" w:rsidRDefault="004813CB" w14:paraId="53FC5FFB" w14:textId="77777777">
            <w:pPr>
              <w:rPr>
                <w:rFonts w:ascii="Times New Roman" w:hAnsi="Times New Roman" w:eastAsia="Times New Roman" w:cs="Times New Roman"/>
                <w:kern w:val="0"/>
                <w:sz w:val="18"/>
                <w:szCs w:val="18"/>
                <w:lang w:eastAsia="en-GB"/>
                <w14:ligatures w14:val="none"/>
              </w:rPr>
            </w:pPr>
            <w:r w:rsidRPr="00131AB4">
              <w:rPr>
                <w:rFonts w:ascii="Helvetica Neue" w:hAnsi="Helvetica Neue" w:eastAsia="Times New Roman" w:cs="Times New Roman"/>
                <w:color w:val="000000"/>
                <w:kern w:val="0"/>
                <w:sz w:val="18"/>
                <w:szCs w:val="18"/>
                <w:lang w:eastAsia="en-GB"/>
                <w14:ligatures w14:val="none"/>
              </w:rPr>
              <w:t>• Peer-reviewed journals and reputable reports</w:t>
            </w:r>
          </w:p>
          <w:p w:rsidRPr="00131AB4" w:rsidR="004813CB" w:rsidP="00CC02C5" w:rsidRDefault="004813CB" w14:paraId="13FB0377" w14:textId="77777777">
            <w:pPr>
              <w:rPr>
                <w:rFonts w:ascii="Times New Roman" w:hAnsi="Times New Roman" w:eastAsia="Times New Roman" w:cs="Times New Roman"/>
                <w:kern w:val="0"/>
                <w:sz w:val="18"/>
                <w:szCs w:val="18"/>
                <w:lang w:eastAsia="en-GB"/>
                <w14:ligatures w14:val="none"/>
              </w:rPr>
            </w:pPr>
            <w:r w:rsidRPr="00131AB4">
              <w:rPr>
                <w:rFonts w:ascii="Helvetica Neue" w:hAnsi="Helvetica Neue" w:eastAsia="Times New Roman" w:cs="Times New Roman"/>
                <w:color w:val="000000"/>
                <w:kern w:val="0"/>
                <w:sz w:val="18"/>
                <w:szCs w:val="18"/>
                <w:lang w:eastAsia="en-GB"/>
                <w14:ligatures w14:val="none"/>
              </w:rPr>
              <w:t>• UK-based studies</w:t>
            </w:r>
          </w:p>
          <w:p w:rsidRPr="00131AB4" w:rsidR="004813CB" w:rsidP="00CC02C5" w:rsidRDefault="004813CB" w14:paraId="1FC0B98F" w14:textId="77777777">
            <w:pPr>
              <w:rPr>
                <w:rFonts w:ascii="Times New Roman" w:hAnsi="Times New Roman" w:eastAsia="Times New Roman" w:cs="Times New Roman"/>
                <w:kern w:val="0"/>
                <w:sz w:val="18"/>
                <w:szCs w:val="18"/>
                <w:lang w:eastAsia="en-GB"/>
                <w14:ligatures w14:val="none"/>
              </w:rPr>
            </w:pPr>
            <w:r w:rsidRPr="00131AB4">
              <w:rPr>
                <w:rFonts w:ascii="Helvetica Neue" w:hAnsi="Helvetica Neue" w:eastAsia="Times New Roman" w:cs="Times New Roman"/>
                <w:color w:val="000000"/>
                <w:kern w:val="0"/>
                <w:sz w:val="18"/>
                <w:szCs w:val="18"/>
                <w:lang w:eastAsia="en-GB"/>
                <w14:ligatures w14:val="none"/>
              </w:rPr>
              <w:t>• Published within the last 10 years (2013–2024)</w:t>
            </w:r>
          </w:p>
          <w:p w:rsidRPr="00131AB4" w:rsidR="004813CB" w:rsidP="00CC02C5" w:rsidRDefault="004813CB" w14:paraId="3F9B67CF" w14:textId="77777777">
            <w:pPr>
              <w:rPr>
                <w:rFonts w:ascii="Times New Roman" w:hAnsi="Times New Roman" w:eastAsia="Times New Roman" w:cs="Times New Roman"/>
                <w:kern w:val="0"/>
                <w:sz w:val="18"/>
                <w:szCs w:val="18"/>
                <w:lang w:eastAsia="en-GB"/>
                <w14:ligatures w14:val="none"/>
              </w:rPr>
            </w:pPr>
            <w:r w:rsidRPr="00131AB4">
              <w:rPr>
                <w:rFonts w:ascii="Helvetica Neue" w:hAnsi="Helvetica Neue" w:eastAsia="Times New Roman" w:cs="Times New Roman"/>
                <w:color w:val="000000"/>
                <w:kern w:val="0"/>
                <w:sz w:val="18"/>
                <w:szCs w:val="18"/>
                <w:lang w:eastAsia="en-GB"/>
                <w14:ligatures w14:val="none"/>
              </w:rPr>
              <w:t>• Focused on children aged 0–18</w:t>
            </w:r>
          </w:p>
          <w:p w:rsidRPr="00131AB4" w:rsidR="004813CB" w:rsidP="00CC02C5" w:rsidRDefault="004813CB" w14:paraId="47EA4744" w14:textId="77777777">
            <w:pPr>
              <w:rPr>
                <w:rFonts w:ascii="Times New Roman" w:hAnsi="Times New Roman" w:eastAsia="Times New Roman" w:cs="Times New Roman"/>
                <w:kern w:val="0"/>
                <w:sz w:val="18"/>
                <w:szCs w:val="18"/>
                <w:lang w:eastAsia="en-GB"/>
                <w14:ligatures w14:val="none"/>
              </w:rPr>
            </w:pPr>
            <w:r w:rsidRPr="00131AB4">
              <w:rPr>
                <w:rFonts w:ascii="Helvetica Neue" w:hAnsi="Helvetica Neue" w:eastAsia="Times New Roman" w:cs="Times New Roman"/>
                <w:color w:val="000000"/>
                <w:kern w:val="0"/>
                <w:sz w:val="18"/>
                <w:szCs w:val="18"/>
                <w:lang w:eastAsia="en-GB"/>
                <w14:ligatures w14:val="none"/>
              </w:rPr>
              <w:t>• Relevant to poverty, deprivation, or access to mental health services</w:t>
            </w:r>
          </w:p>
        </w:tc>
      </w:tr>
      <w:tr w:rsidRPr="00131AB4" w:rsidR="004813CB" w:rsidTr="004813CB" w14:paraId="37CAD47A" w14:textId="77777777">
        <w:trPr>
          <w:trHeight w:val="18"/>
        </w:trPr>
        <w:tc>
          <w:tcPr>
            <w:tcW w:w="900" w:type="dxa"/>
            <w:tcBorders>
              <w:top w:val="single" w:color="000000" w:sz="6" w:space="0"/>
              <w:left w:val="single" w:color="000000" w:sz="6" w:space="0"/>
              <w:bottom w:val="single" w:color="000000" w:sz="6" w:space="0"/>
              <w:right w:val="single" w:color="000000" w:sz="6" w:space="0"/>
            </w:tcBorders>
            <w:shd w:val="clear" w:color="auto" w:fill="D4D4D4"/>
            <w:tcMar>
              <w:top w:w="60" w:type="dxa"/>
              <w:left w:w="60" w:type="dxa"/>
              <w:bottom w:w="60" w:type="dxa"/>
              <w:right w:w="60" w:type="dxa"/>
            </w:tcMar>
            <w:hideMark/>
          </w:tcPr>
          <w:p w:rsidRPr="00131AB4" w:rsidR="004813CB" w:rsidP="00CC02C5" w:rsidRDefault="004813CB" w14:paraId="44BAC2C5" w14:textId="77777777">
            <w:pPr>
              <w:rPr>
                <w:rFonts w:ascii="Times New Roman" w:hAnsi="Times New Roman" w:eastAsia="Times New Roman" w:cs="Times New Roman"/>
                <w:kern w:val="0"/>
                <w:sz w:val="18"/>
                <w:szCs w:val="18"/>
                <w:lang w:eastAsia="en-GB"/>
                <w14:ligatures w14:val="none"/>
              </w:rPr>
            </w:pPr>
            <w:r w:rsidRPr="00131AB4">
              <w:rPr>
                <w:rFonts w:ascii="Helvetica Neue" w:hAnsi="Helvetica Neue" w:eastAsia="Times New Roman" w:cs="Times New Roman"/>
                <w:b/>
                <w:bCs/>
                <w:color w:val="000000"/>
                <w:kern w:val="0"/>
                <w:sz w:val="18"/>
                <w:szCs w:val="18"/>
                <w:lang w:eastAsia="en-GB"/>
                <w14:ligatures w14:val="none"/>
              </w:rPr>
              <w:t>Exclusion</w:t>
            </w:r>
          </w:p>
        </w:tc>
        <w:tc>
          <w:tcPr>
            <w:tcW w:w="5755" w:type="dxa"/>
            <w:tcBorders>
              <w:top w:val="single" w:color="000000" w:sz="6" w:space="0"/>
              <w:left w:val="single" w:color="000000" w:sz="6" w:space="0"/>
              <w:bottom w:val="single" w:color="000000" w:sz="6" w:space="0"/>
              <w:right w:val="single" w:color="000000" w:sz="6" w:space="0"/>
            </w:tcBorders>
            <w:tcMar>
              <w:top w:w="60" w:type="dxa"/>
              <w:left w:w="60" w:type="dxa"/>
              <w:bottom w:w="60" w:type="dxa"/>
              <w:right w:w="60" w:type="dxa"/>
            </w:tcMar>
            <w:hideMark/>
          </w:tcPr>
          <w:p w:rsidRPr="00131AB4" w:rsidR="004813CB" w:rsidP="00CC02C5" w:rsidRDefault="004813CB" w14:paraId="4BCEE64C" w14:textId="77777777">
            <w:pPr>
              <w:rPr>
                <w:rFonts w:ascii="Times New Roman" w:hAnsi="Times New Roman" w:eastAsia="Times New Roman" w:cs="Times New Roman"/>
                <w:kern w:val="0"/>
                <w:sz w:val="18"/>
                <w:szCs w:val="18"/>
                <w:lang w:eastAsia="en-GB"/>
                <w14:ligatures w14:val="none"/>
              </w:rPr>
            </w:pPr>
            <w:r w:rsidRPr="00131AB4">
              <w:rPr>
                <w:rFonts w:ascii="Helvetica Neue" w:hAnsi="Helvetica Neue" w:eastAsia="Times New Roman" w:cs="Times New Roman"/>
                <w:color w:val="000000"/>
                <w:kern w:val="0"/>
                <w:sz w:val="18"/>
                <w:szCs w:val="18"/>
                <w:lang w:eastAsia="en-GB"/>
                <w14:ligatures w14:val="none"/>
              </w:rPr>
              <w:t>• Studies older than 10 years (unless seminal)</w:t>
            </w:r>
          </w:p>
          <w:p w:rsidRPr="00131AB4" w:rsidR="004813CB" w:rsidP="00CC02C5" w:rsidRDefault="004813CB" w14:paraId="5B65BD36" w14:textId="77777777">
            <w:pPr>
              <w:rPr>
                <w:rFonts w:ascii="Times New Roman" w:hAnsi="Times New Roman" w:eastAsia="Times New Roman" w:cs="Times New Roman"/>
                <w:kern w:val="0"/>
                <w:sz w:val="18"/>
                <w:szCs w:val="18"/>
                <w:lang w:eastAsia="en-GB"/>
                <w14:ligatures w14:val="none"/>
              </w:rPr>
            </w:pPr>
            <w:r w:rsidRPr="00131AB4">
              <w:rPr>
                <w:rFonts w:ascii="Helvetica Neue" w:hAnsi="Helvetica Neue" w:eastAsia="Times New Roman" w:cs="Times New Roman"/>
                <w:color w:val="000000"/>
                <w:kern w:val="0"/>
                <w:sz w:val="18"/>
                <w:szCs w:val="18"/>
                <w:lang w:eastAsia="en-GB"/>
                <w14:ligatures w14:val="none"/>
              </w:rPr>
              <w:t>• Non-English language sources</w:t>
            </w:r>
          </w:p>
          <w:p w:rsidRPr="00131AB4" w:rsidR="004813CB" w:rsidP="00CC02C5" w:rsidRDefault="004813CB" w14:paraId="6918A505" w14:textId="77777777">
            <w:pPr>
              <w:rPr>
                <w:rFonts w:ascii="Times New Roman" w:hAnsi="Times New Roman" w:eastAsia="Times New Roman" w:cs="Times New Roman"/>
                <w:kern w:val="0"/>
                <w:sz w:val="18"/>
                <w:szCs w:val="18"/>
                <w:lang w:eastAsia="en-GB"/>
                <w14:ligatures w14:val="none"/>
              </w:rPr>
            </w:pPr>
            <w:r w:rsidRPr="00131AB4">
              <w:rPr>
                <w:rFonts w:ascii="Helvetica Neue" w:hAnsi="Helvetica Neue" w:eastAsia="Times New Roman" w:cs="Times New Roman"/>
                <w:color w:val="000000"/>
                <w:kern w:val="0"/>
                <w:sz w:val="18"/>
                <w:szCs w:val="18"/>
                <w:lang w:eastAsia="en-GB"/>
                <w14:ligatures w14:val="none"/>
              </w:rPr>
              <w:t>• Non-UK focus</w:t>
            </w:r>
          </w:p>
          <w:p w:rsidRPr="00131AB4" w:rsidR="004813CB" w:rsidP="00CC02C5" w:rsidRDefault="004813CB" w14:paraId="717F99F0" w14:textId="77777777">
            <w:pPr>
              <w:rPr>
                <w:rFonts w:ascii="Times New Roman" w:hAnsi="Times New Roman" w:eastAsia="Times New Roman" w:cs="Times New Roman"/>
                <w:kern w:val="0"/>
                <w:sz w:val="18"/>
                <w:szCs w:val="18"/>
                <w:lang w:eastAsia="en-GB"/>
                <w14:ligatures w14:val="none"/>
              </w:rPr>
            </w:pPr>
            <w:r w:rsidRPr="00131AB4">
              <w:rPr>
                <w:rFonts w:ascii="Helvetica Neue" w:hAnsi="Helvetica Neue" w:eastAsia="Times New Roman" w:cs="Times New Roman"/>
                <w:color w:val="000000"/>
                <w:kern w:val="0"/>
                <w:sz w:val="18"/>
                <w:szCs w:val="18"/>
                <w:lang w:eastAsia="en-GB"/>
                <w14:ligatures w14:val="none"/>
              </w:rPr>
              <w:lastRenderedPageBreak/>
              <w:t>• Inaccessible paywalled articles</w:t>
            </w:r>
          </w:p>
          <w:p w:rsidRPr="00131AB4" w:rsidR="004813CB" w:rsidP="00CC02C5" w:rsidRDefault="004813CB" w14:paraId="47418652" w14:textId="77777777">
            <w:pPr>
              <w:rPr>
                <w:rFonts w:ascii="Times New Roman" w:hAnsi="Times New Roman" w:eastAsia="Times New Roman" w:cs="Times New Roman"/>
                <w:kern w:val="0"/>
                <w:sz w:val="18"/>
                <w:szCs w:val="18"/>
                <w:lang w:eastAsia="en-GB"/>
                <w14:ligatures w14:val="none"/>
              </w:rPr>
            </w:pPr>
            <w:r w:rsidRPr="00131AB4">
              <w:rPr>
                <w:rFonts w:ascii="Helvetica Neue" w:hAnsi="Helvetica Neue" w:eastAsia="Times New Roman" w:cs="Times New Roman"/>
                <w:color w:val="000000"/>
                <w:kern w:val="0"/>
                <w:sz w:val="18"/>
                <w:szCs w:val="18"/>
                <w:lang w:eastAsia="en-GB"/>
                <w14:ligatures w14:val="none"/>
              </w:rPr>
              <w:t>• Studies unrelated to children or poverty–mental health themes</w:t>
            </w:r>
          </w:p>
        </w:tc>
      </w:tr>
    </w:tbl>
    <w:p w:rsidR="004813CB" w:rsidP="004813CB" w:rsidRDefault="004813CB" w14:paraId="7B461A3E" w14:textId="77777777">
      <w:pPr>
        <w:pStyle w:val="NormalWeb"/>
      </w:pPr>
    </w:p>
    <w:p w:rsidR="00602320" w:rsidP="00602320" w:rsidRDefault="00602320" w14:paraId="0703E8F6" w14:textId="77777777">
      <w:r>
        <w:t>To achieve this, the inclusion criteria in this dissertation was that the study should: (</w:t>
      </w:r>
      <w:proofErr w:type="spellStart"/>
      <w:r>
        <w:t>i</w:t>
      </w:r>
      <w:proofErr w:type="spellEnd"/>
      <w:r>
        <w:t>) be a peer-reviewed journal or reputable report, (ii) be within the UK to make the research scenario relevant, (iii) must discuss the themes of poverty, deprivation, or access to mental health services.</w:t>
      </w:r>
    </w:p>
    <w:p w:rsidR="00602320" w:rsidP="00602320" w:rsidRDefault="00602320" w14:paraId="3C0CDED6" w14:textId="77777777">
      <w:r>
        <w:t>The elimination criteria included: (</w:t>
      </w:r>
      <w:proofErr w:type="spellStart"/>
      <w:r>
        <w:t>i</w:t>
      </w:r>
      <w:proofErr w:type="spellEnd"/>
      <w:r>
        <w:t>) over 10 years of age, unless considered seminal; (ii) not in the English language; (iii) not UK-based; (iv) behind paywalls; (v) not about child age groups or even the poverty-mental health nexus.</w:t>
      </w:r>
    </w:p>
    <w:p w:rsidRPr="004813CB" w:rsidR="004813CB" w:rsidP="00602320" w:rsidRDefault="00602320" w14:paraId="5FC41208" w14:textId="6F2B5DB8">
      <w:r>
        <w:t>After selecting 707 records based on the PRISMA flow diagram, 20 high-quality records were found through screening and duplicates removal, and with the use of such criteria (see Appendix B)</w:t>
      </w:r>
      <w:r w:rsidR="007A78FA">
        <w:t>.</w:t>
      </w:r>
    </w:p>
    <w:p w:rsidRPr="004813CB" w:rsidR="00B01396" w:rsidP="004813CB" w:rsidRDefault="004813CB" w14:paraId="2527B73C" w14:textId="285C3F82">
      <w:pPr>
        <w:pStyle w:val="Heading3"/>
      </w:pPr>
      <w:bookmarkStart w:name="_Toc208163487" w:id="21"/>
      <w:r>
        <w:t xml:space="preserve">3.2.6 </w:t>
      </w:r>
      <w:r w:rsidRPr="004813CB" w:rsidR="00292A36">
        <w:t>– Analysing Research</w:t>
      </w:r>
      <w:bookmarkEnd w:id="21"/>
    </w:p>
    <w:p w:rsidR="00602320" w:rsidP="00602320" w:rsidRDefault="00602320" w14:paraId="2DA2D086" w14:textId="77777777">
      <w:r>
        <w:t xml:space="preserve">The systematic review, synthesis, and interpretation of the current studies are conducted in the analysis of secondary research to produce a new knowledge without collecting the primary data (Creswell and </w:t>
      </w:r>
      <w:proofErr w:type="spellStart"/>
      <w:r>
        <w:t>Poth</w:t>
      </w:r>
      <w:proofErr w:type="spellEnd"/>
      <w:r>
        <w:t xml:space="preserve">, 2016). This dissertation used the thematic analysis approach to organize and </w:t>
      </w:r>
      <w:proofErr w:type="spellStart"/>
      <w:r>
        <w:t>analyze</w:t>
      </w:r>
      <w:proofErr w:type="spellEnd"/>
      <w:r>
        <w:t xml:space="preserve"> the results of the relationship between child poverty and access to mental health services.</w:t>
      </w:r>
    </w:p>
    <w:p w:rsidR="00793A29" w:rsidP="00602320" w:rsidRDefault="00602320" w14:paraId="036A4EA3" w14:textId="122C81DA">
      <w:r>
        <w:t>Braun and Clarke (2006) observe that thematic analysis is a systematic but an adaptable process of identifying recurrent patterns and concepts in the literature. The review of abstracts and full texts revealed the repetitive themes such as waiting lists, cost barriers, shortage of CAMHS, and urban deprivation. These were further categorized into general themes: (1) barriers to access, (2) policy and service gaps and (3) socioeconomic urban disparities</w:t>
      </w:r>
      <w:r w:rsidR="00793A29">
        <w:t>. Coding was conducted manually by recording the frequency of key terms and their relation to broader conceptual areas, contributing to consistency and transparency in meaning (Nowell et al., 2017).</w:t>
      </w:r>
    </w:p>
    <w:p w:rsidR="00793A29" w:rsidP="00793A29" w:rsidRDefault="00793A29" w14:paraId="205782AE" w14:textId="10DA5D9B">
      <w:r>
        <w:t>The thematic analysis is suitable due to its flexibility</w:t>
      </w:r>
      <w:r w:rsidR="00CB3DFB">
        <w:t>,</w:t>
      </w:r>
      <w:r>
        <w:t xml:space="preserve"> </w:t>
      </w:r>
      <w:r w:rsidR="00CB3DFB">
        <w:t>which</w:t>
      </w:r>
      <w:r>
        <w:t xml:space="preserve"> allows synthesis of both quantitative (e.g., NHS referral statistics) and qua</w:t>
      </w:r>
      <w:r w:rsidR="00CB3DFB">
        <w:t>l</w:t>
      </w:r>
      <w:r>
        <w:t xml:space="preserve">itative (e.g., lived experiences provided in NGO reports) data. It also enables </w:t>
      </w:r>
      <w:r w:rsidR="00CB3DFB">
        <w:t>the highlighting of patterns and divergences, which is necessary when referring to a problematic area like poverty and access to mental health</w:t>
      </w:r>
      <w:r>
        <w:t xml:space="preserve"> (Silverman, 2021).</w:t>
      </w:r>
    </w:p>
    <w:p w:rsidR="00793A29" w:rsidP="00793A29" w:rsidRDefault="00793A29" w14:paraId="583D2148" w14:textId="5A71003E">
      <w:r w:rsidR="00793A29">
        <w:rPr/>
        <w:t xml:space="preserve">Necessary findings in the UK were </w:t>
      </w:r>
      <w:r w:rsidR="6D404E0E">
        <w:rPr/>
        <w:t>cross compared</w:t>
      </w:r>
      <w:r w:rsidR="00793A29">
        <w:rPr/>
        <w:t xml:space="preserve"> with international literature (e.g., Nordic welfare models) to contextualise UK gaps in service provision. This comparative prism </w:t>
      </w:r>
      <w:r w:rsidR="00793A29">
        <w:rPr/>
        <w:t>identified</w:t>
      </w:r>
      <w:r w:rsidR="00793A29">
        <w:rPr/>
        <w:t xml:space="preserve"> both cross</w:t>
      </w:r>
      <w:r w:rsidR="00CB3DFB">
        <w:rPr/>
        <w:t>-cutting</w:t>
      </w:r>
      <w:r w:rsidR="00793A29">
        <w:rPr/>
        <w:t xml:space="preserve"> best practi</w:t>
      </w:r>
      <w:r w:rsidR="00CB3DFB">
        <w:rPr/>
        <w:t>c</w:t>
      </w:r>
      <w:r w:rsidR="00793A29">
        <w:rPr/>
        <w:t>es and drawbacks in the disjointed system in the UK.</w:t>
      </w:r>
    </w:p>
    <w:p w:rsidRPr="004813CB" w:rsidR="004813CB" w:rsidP="00793A29" w:rsidRDefault="00793A29" w14:paraId="58DAE63E" w14:textId="21DB2AAF">
      <w:r>
        <w:t xml:space="preserve">Finally, this analysis </w:t>
      </w:r>
      <w:r w:rsidR="00CB3DFB">
        <w:t>laid the groundwork for Chapter 4, as each theme is explored in greater detail</w:t>
      </w:r>
      <w:r>
        <w:t>. Their conversion of raw data into thematic categories provides the dissertation with a reliable, clear and valid interpretive context.</w:t>
      </w:r>
    </w:p>
    <w:p w:rsidRPr="004813CB" w:rsidR="004813CB" w:rsidP="004813CB" w:rsidRDefault="004813CB" w14:paraId="610FB16B" w14:textId="280686BE">
      <w:pPr>
        <w:pStyle w:val="Heading3"/>
      </w:pPr>
      <w:bookmarkStart w:name="_Toc208163488" w:id="22"/>
      <w:r>
        <w:t xml:space="preserve">3.2.7 </w:t>
      </w:r>
      <w:r w:rsidRPr="004813CB" w:rsidR="00292A36">
        <w:t>– Ethical Considerations</w:t>
      </w:r>
      <w:bookmarkEnd w:id="22"/>
      <w:r w:rsidRPr="004813CB" w:rsidR="00292A36">
        <w:t xml:space="preserve"> </w:t>
      </w:r>
    </w:p>
    <w:p w:rsidR="00793A29" w:rsidP="00793A29" w:rsidRDefault="00793A29" w14:paraId="0599206F" w14:textId="2E24C322">
      <w:r>
        <w:t xml:space="preserve">Ethics in secondary research </w:t>
      </w:r>
      <w:r w:rsidR="00CB3DFB">
        <w:t>refers to the responsible and transparent use of available data and literature, where</w:t>
      </w:r>
      <w:r>
        <w:t xml:space="preserve"> all sources must be handled with integrity and academic honesty (BERA, 2024). Secondary research involves </w:t>
      </w:r>
      <w:r w:rsidR="00CB3DFB">
        <w:t>the ethical handling of published materials and the fair presentation of results, as opposed to primary research, which involves direct contact with participants</w:t>
      </w:r>
      <w:r>
        <w:t>.</w:t>
      </w:r>
    </w:p>
    <w:p w:rsidR="00793A29" w:rsidP="00793A29" w:rsidRDefault="00793A29" w14:paraId="5E7DEE15" w14:textId="21B7C9D6">
      <w:r>
        <w:t xml:space="preserve">One of the </w:t>
      </w:r>
      <w:r w:rsidR="00CB3DFB">
        <w:t>key concepts of this dissertation is proper citation using Harvard referencing, which ensures that original authorship is credited and plagiarism is avoided</w:t>
      </w:r>
      <w:r>
        <w:t xml:space="preserve"> (Cottrell, 2023). The search strategy, inclusion and exclusion criteria, and the validation process have been described in full transparency</w:t>
      </w:r>
      <w:r w:rsidR="00CB3DFB">
        <w:t>, allowing readers</w:t>
      </w:r>
      <w:r>
        <w:t xml:space="preserve"> to track the research pathway.</w:t>
      </w:r>
    </w:p>
    <w:p w:rsidR="00793A29" w:rsidP="00793A29" w:rsidRDefault="00793A29" w14:paraId="20237878" w14:textId="176F15A1">
      <w:r>
        <w:t xml:space="preserve">Selective reporting was also avoided: studies that </w:t>
      </w:r>
      <w:r w:rsidR="00CB3DFB">
        <w:t>yielded contradictory results (those with improvements and those with persistent failures in CAMHS provision) were included to provide</w:t>
      </w:r>
      <w:r>
        <w:t xml:space="preserve"> a balanced picture. Digital ethical practi</w:t>
      </w:r>
      <w:r w:rsidR="00CB3DFB">
        <w:t>c</w:t>
      </w:r>
      <w:r>
        <w:t>e was also applied, as the sources were o</w:t>
      </w:r>
      <w:r w:rsidR="00CB3DFB">
        <w:t>btained only from legal and reputable databases, including PubMed, Google Scholar, NHS Digital, and gov.uk, which is why there were no issue</w:t>
      </w:r>
      <w:r>
        <w:t>s with data misuse (James and Busher, 2015).</w:t>
      </w:r>
    </w:p>
    <w:p w:rsidR="00793A29" w:rsidP="00793A29" w:rsidRDefault="00793A29" w14:paraId="0BD14919" w14:textId="02A878E4">
      <w:r>
        <w:t>Possible biases were also recognised in that policy documents can exaggerate the effectiveness of a programme</w:t>
      </w:r>
      <w:r w:rsidR="00CB3DFB">
        <w:t>,</w:t>
      </w:r>
      <w:r>
        <w:t xml:space="preserve"> whereas NGO reports can focus on bad news to make advocacy more compelling. To address </w:t>
      </w:r>
      <w:r w:rsidR="00CB3DFB">
        <w:t>this, the triangulation of findings was achieved by utilising various sources, including academic journals, government statistics, and independent reports, to construct a robust</w:t>
      </w:r>
      <w:r>
        <w:t xml:space="preserve"> and balanced evidence base (Silverman, 2021).</w:t>
      </w:r>
    </w:p>
    <w:p w:rsidR="004813CB" w:rsidP="00793A29" w:rsidRDefault="00793A29" w14:paraId="3B3755AD" w14:textId="6C67BD3C">
      <w:r>
        <w:t xml:space="preserve">With the help of these principles, this dissertation </w:t>
      </w:r>
      <w:r w:rsidR="00CB3DFB">
        <w:t>meets the ethical requirements of professional research, making the analysis credible and trustworthy, and</w:t>
      </w:r>
      <w:r>
        <w:t xml:space="preserve"> responsibly contributes to the health and social care field.</w:t>
      </w:r>
    </w:p>
    <w:p w:rsidRPr="004813CB" w:rsidR="004813CB" w:rsidP="004813CB" w:rsidRDefault="004813CB" w14:paraId="52F6C7C7" w14:textId="77777777"/>
    <w:p w:rsidRPr="004813CB" w:rsidR="005446BF" w:rsidP="004813CB" w:rsidRDefault="004813CB" w14:paraId="2E6C1AFB" w14:textId="605B0298">
      <w:pPr>
        <w:pStyle w:val="Heading3"/>
      </w:pPr>
      <w:bookmarkStart w:name="_Toc208163489" w:id="23"/>
      <w:r>
        <w:lastRenderedPageBreak/>
        <w:t xml:space="preserve">3.2.8 </w:t>
      </w:r>
      <w:r w:rsidRPr="004813CB" w:rsidR="00292A36">
        <w:t>– Chapter Conclusion</w:t>
      </w:r>
      <w:bookmarkEnd w:id="23"/>
      <w:r w:rsidRPr="004813CB" w:rsidR="00292A36">
        <w:t xml:space="preserve"> </w:t>
      </w:r>
    </w:p>
    <w:p w:rsidR="00793A29" w:rsidP="00793A29" w:rsidRDefault="00602320" w14:paraId="563814C2" w14:textId="79F9A2D4">
      <w:r w:rsidRPr="00602320">
        <w:t>This chapter defines the methodology that will be used in this dissertation to render the research process clear, rigorous, and believable. An efficient search plan was used, where the Boolean operators, filters, and clear documentation were used in several databases. The flow chart presented in PRISMA shows the process of selecting records that were reduced to the final list of studies of interest</w:t>
      </w:r>
      <w:r w:rsidR="00793A29">
        <w:t>. I have enhanced reliability by applying inclusion and exclusion criteria</w:t>
      </w:r>
      <w:r w:rsidR="00CB3DFB">
        <w:t>, keeping only</w:t>
      </w:r>
      <w:r w:rsidR="00793A29">
        <w:t xml:space="preserve"> up</w:t>
      </w:r>
      <w:r w:rsidR="00CB3DFB">
        <w:t>-to-</w:t>
      </w:r>
      <w:r w:rsidR="00793A29">
        <w:t>date, UK-centred, and topical sources.</w:t>
      </w:r>
    </w:p>
    <w:p w:rsidR="00793A29" w:rsidP="00793A29" w:rsidRDefault="00793A29" w14:paraId="40813230" w14:textId="0446EEA7">
      <w:r>
        <w:t>Moreover, the chapter described how the validity of research was achieved by critical appraisal and triangulation of different types of sources, and the use of data was performed ethically and transparently. Using thematic analysis was considered a reasonable approach to synthesising a variety of findings</w:t>
      </w:r>
      <w:r w:rsidR="00CB3DFB">
        <w:t>, allowing for the identification of recurrent patterns and gaps</w:t>
      </w:r>
      <w:r>
        <w:t>.</w:t>
      </w:r>
    </w:p>
    <w:p w:rsidRPr="004813CB" w:rsidR="004813CB" w:rsidP="00793A29" w:rsidRDefault="00793A29" w14:paraId="786BAF2A" w14:textId="376F41DE">
      <w:r>
        <w:t>The next chapter, Findings and Discussion, is based on this background, critically examining the identified themes and assessing their implications on child poverty and access to mental health services in urban UK settings.</w:t>
      </w:r>
    </w:p>
    <w:p w:rsidR="004813CB" w:rsidP="005446BF" w:rsidRDefault="004813CB" w14:paraId="6AB0A79F" w14:textId="77777777"/>
    <w:p w:rsidR="005446BF" w:rsidP="005446BF" w:rsidRDefault="005446BF" w14:paraId="763A2E29" w14:textId="77777777"/>
    <w:p w:rsidR="005446BF" w:rsidP="005446BF" w:rsidRDefault="005446BF" w14:paraId="61412A2C" w14:textId="77777777"/>
    <w:p w:rsidR="005446BF" w:rsidP="005446BF" w:rsidRDefault="005446BF" w14:paraId="269264C2" w14:textId="77777777"/>
    <w:p w:rsidR="005446BF" w:rsidP="005446BF" w:rsidRDefault="005446BF" w14:paraId="2B0C1601" w14:textId="77777777"/>
    <w:p w:rsidR="005446BF" w:rsidP="005446BF" w:rsidRDefault="005446BF" w14:paraId="7E0A93C2" w14:textId="77777777"/>
    <w:p w:rsidR="005446BF" w:rsidP="005446BF" w:rsidRDefault="005446BF" w14:paraId="2B8527A6" w14:textId="77777777"/>
    <w:p w:rsidR="005446BF" w:rsidP="005446BF" w:rsidRDefault="005446BF" w14:paraId="22D39876" w14:textId="77777777"/>
    <w:p w:rsidR="005446BF" w:rsidP="005446BF" w:rsidRDefault="005446BF" w14:paraId="72628D19" w14:textId="77777777"/>
    <w:p w:rsidR="005446BF" w:rsidP="005446BF" w:rsidRDefault="005446BF" w14:paraId="30DE5BD2" w14:textId="77777777"/>
    <w:p w:rsidR="000F2598" w:rsidP="005446BF" w:rsidRDefault="000F2598" w14:paraId="15A1AFC4" w14:textId="77777777"/>
    <w:p w:rsidR="000F2598" w:rsidP="005446BF" w:rsidRDefault="000F2598" w14:paraId="25EA173C" w14:textId="77777777"/>
    <w:p w:rsidR="000F2598" w:rsidP="005446BF" w:rsidRDefault="000F2598" w14:paraId="6E1387EC" w14:textId="77777777"/>
    <w:p w:rsidRPr="005446BF" w:rsidR="001F19A6" w:rsidP="005446BF" w:rsidRDefault="001F19A6" w14:paraId="73898CB8" w14:textId="77777777"/>
    <w:p w:rsidR="00636D9A" w:rsidP="004813CB" w:rsidRDefault="001C3AF6" w14:paraId="7991C57B" w14:textId="1018D849">
      <w:pPr>
        <w:pStyle w:val="Heading1"/>
        <w:ind w:left="0"/>
        <w:rPr>
          <w:rFonts w:ascii="Aptos" w:hAnsi="Aptos"/>
        </w:rPr>
      </w:pPr>
      <w:bookmarkStart w:name="_Toc208163490" w:id="24"/>
      <w:r w:rsidRPr="00636D9A">
        <w:rPr>
          <w:rFonts w:ascii="Aptos" w:hAnsi="Aptos"/>
        </w:rPr>
        <w:lastRenderedPageBreak/>
        <w:t>C</w:t>
      </w:r>
      <w:r w:rsidR="00636D9A">
        <w:rPr>
          <w:rFonts w:ascii="Aptos" w:hAnsi="Aptos"/>
        </w:rPr>
        <w:t>HAPTER</w:t>
      </w:r>
      <w:r w:rsidRPr="00636D9A">
        <w:rPr>
          <w:rFonts w:ascii="Aptos" w:hAnsi="Aptos"/>
        </w:rPr>
        <w:t xml:space="preserve"> 4 – Findings and Discussion</w:t>
      </w:r>
      <w:bookmarkEnd w:id="24"/>
    </w:p>
    <w:p w:rsidRPr="004813CB" w:rsidR="004813CB" w:rsidP="004813CB" w:rsidRDefault="004813CB" w14:paraId="194DC7CB" w14:textId="77777777">
      <w:pPr>
        <w:pStyle w:val="Heading1"/>
        <w:ind w:left="0"/>
        <w:rPr>
          <w:rFonts w:ascii="Aptos" w:hAnsi="Aptos"/>
        </w:rPr>
      </w:pPr>
    </w:p>
    <w:p w:rsidR="00636D9A" w:rsidP="00143AC3" w:rsidRDefault="001C3AF6" w14:paraId="367F223F" w14:textId="2740607B">
      <w:pPr>
        <w:pStyle w:val="Heading2"/>
      </w:pPr>
      <w:bookmarkStart w:name="_Toc208163491" w:id="25"/>
      <w:r w:rsidRPr="00636D9A">
        <w:t>4.1 –</w:t>
      </w:r>
      <w:r w:rsidRPr="00636D9A" w:rsidR="00636D9A">
        <w:t xml:space="preserve"> </w:t>
      </w:r>
      <w:r w:rsidRPr="00636D9A">
        <w:t>Introduction</w:t>
      </w:r>
      <w:bookmarkEnd w:id="25"/>
    </w:p>
    <w:p w:rsidR="002865F5" w:rsidP="00636D9A" w:rsidRDefault="00793A29" w14:paraId="7B6D738E" w14:textId="6FA40CAB">
      <w:r w:rsidRPr="00793A29">
        <w:t xml:space="preserve">This chapter introduces and reviews the </w:t>
      </w:r>
      <w:r w:rsidR="00CB3DFB">
        <w:t>study's conclusions, which were based on secondary research examining</w:t>
      </w:r>
      <w:r w:rsidRPr="00793A29">
        <w:t xml:space="preserve"> the conne</w:t>
      </w:r>
      <w:r w:rsidR="00CB3DFB">
        <w:t>ct</w:t>
      </w:r>
      <w:r w:rsidRPr="00793A29">
        <w:t xml:space="preserve">ion between child poverty and access to mental health services in urban UK. The chosen body of literature was subjected to a </w:t>
      </w:r>
      <w:r w:rsidRPr="00793A29">
        <w:rPr>
          <w:b/>
          <w:bCs/>
        </w:rPr>
        <w:t>thematic analysis strategy</w:t>
      </w:r>
      <w:r w:rsidRPr="00793A29">
        <w:t xml:space="preserve"> (Braun and Clarke, 2006), which allowed </w:t>
      </w:r>
      <w:r w:rsidR="00CB3DFB">
        <w:t>for the identification of patterns and recurring problems in the</w:t>
      </w:r>
      <w:r w:rsidRPr="00793A29">
        <w:t xml:space="preserve"> studies. Three key themes</w:t>
      </w:r>
      <w:r w:rsidR="00CB3DFB">
        <w:t xml:space="preserve"> —namely, barriers to service access, policy and service gaps, and socioeconomic disparities in urban settings —</w:t>
      </w:r>
      <w:r w:rsidRPr="00793A29">
        <w:t>are structured around the discussion. In discussing these themes, this chapter explicitly relates to the research aim and objectives</w:t>
      </w:r>
      <w:r w:rsidR="00CB3DFB">
        <w:t>, connecting evidence to the broad</w:t>
      </w:r>
      <w:r w:rsidRPr="00793A29">
        <w:t>er social policy picture.</w:t>
      </w:r>
    </w:p>
    <w:p w:rsidRPr="00143AC3" w:rsidR="00636D9A" w:rsidP="00143AC3" w:rsidRDefault="001C3AF6" w14:paraId="2739E815" w14:textId="0960B417">
      <w:pPr>
        <w:pStyle w:val="Heading2"/>
      </w:pPr>
      <w:bookmarkStart w:name="_Toc208163492" w:id="26"/>
      <w:r w:rsidRPr="00636D9A">
        <w:t>4.2 – Thematic Analysis</w:t>
      </w:r>
      <w:bookmarkEnd w:id="26"/>
    </w:p>
    <w:p w:rsidRPr="00A476F7" w:rsidR="004813CB" w:rsidP="00143AC3" w:rsidRDefault="00793A29" w14:paraId="2204ABDF" w14:textId="51AFDCB0">
      <w:r w:rsidRPr="00793A29">
        <w:t xml:space="preserve">Thematic analysis is a popular technique </w:t>
      </w:r>
      <w:r w:rsidR="00CB3DFB">
        <w:t>for determining, analysing, and reporting</w:t>
      </w:r>
      <w:r w:rsidRPr="00793A29">
        <w:t xml:space="preserve"> patterns in qualitative and secondary data (Braun &amp; Clarke, 2006). It enables researchers to go beyond summaris</w:t>
      </w:r>
      <w:r w:rsidR="00CB3DFB">
        <w:t>ing evidence to critically interpret the meaning of repetitive ideas across</w:t>
      </w:r>
      <w:r w:rsidRPr="00793A29">
        <w:t xml:space="preserve"> a range of sources. In this dissertation, 20 peer-reviewed articles and credible reports were consulted, and </w:t>
      </w:r>
      <w:r w:rsidR="00CB3DFB">
        <w:t>relevant extracts were manually coded to identify recurring themes, including stigma, austerity, housing insecurity,</w:t>
      </w:r>
      <w:r w:rsidRPr="00793A29">
        <w:t xml:space="preserve"> and parental sacrifice. The first codes were then narrowed down and grouped into three broad themes: (1) Barriers to Accessing Mental Health Services, (2) Policy and Service Gaps, and (3) Socioeconomic Inequalities in Urban Settings. The reasons </w:t>
      </w:r>
      <w:r w:rsidR="00CB3DFB">
        <w:t>for choosing these themes are that they are prominent throughout the literature and have a direct connection to the dissertation's goal of understanding</w:t>
      </w:r>
      <w:r w:rsidRPr="00793A29">
        <w:t xml:space="preserve"> the impact of child poverty on mental health service access. Collectively, they </w:t>
      </w:r>
      <w:r w:rsidR="00CB3DFB">
        <w:t>provide a consistent structure for critically discussing the evidence</w:t>
      </w:r>
      <w:r w:rsidRPr="00793A29">
        <w:t xml:space="preserve"> (see Appendix C).</w:t>
      </w:r>
    </w:p>
    <w:p w:rsidRPr="00143AC3" w:rsidR="004813CB" w:rsidP="00143AC3" w:rsidRDefault="004813CB" w14:paraId="1165C8C4" w14:textId="40C6FBA5">
      <w:pPr>
        <w:pStyle w:val="Heading2"/>
      </w:pPr>
      <w:bookmarkStart w:name="_Toc208163493" w:id="27"/>
      <w:r w:rsidRPr="00A476F7">
        <w:t>4.3 Theme 1 – Barriers to Accessing Mental Health Services</w:t>
      </w:r>
      <w:bookmarkEnd w:id="27"/>
    </w:p>
    <w:p w:rsidRPr="00143AC3" w:rsidR="004813CB" w:rsidP="00143AC3" w:rsidRDefault="00143AC3" w14:paraId="08D3B7C3" w14:textId="63D97838">
      <w:pPr>
        <w:pStyle w:val="Heading3"/>
      </w:pPr>
      <w:bookmarkStart w:name="_Toc208163494" w:id="28"/>
      <w:r>
        <w:t xml:space="preserve">4.3.1 </w:t>
      </w:r>
      <w:r w:rsidRPr="00143AC3" w:rsidR="004813CB">
        <w:t>Definition and Background</w:t>
      </w:r>
      <w:bookmarkEnd w:id="28"/>
    </w:p>
    <w:p w:rsidRPr="00143AC3" w:rsidR="004813CB" w:rsidP="00143AC3" w:rsidRDefault="00793A29" w14:paraId="75FC73C1" w14:textId="0B0BAEFA">
      <w:r w:rsidRPr="00793A29">
        <w:t>The barriers to accessing mental health care can be described as the structural, social and economic barriers which deprive children and families of accessing timely, effective, and equitable support. Stigma, service accessibility, financial barriers, structural discrimination, and the general socioeconomic constraints are such barriers in health and social care (Rose and McAuley, 2019). These obstacles are especially sharp in the urban UK, where the rate of child poverty is high and service provision is low. As an illustration, housing insecurity is a threat to both physical health and mental health</w:t>
      </w:r>
      <w:r w:rsidR="00CB3DFB">
        <w:t>,</w:t>
      </w:r>
      <w:r w:rsidRPr="00793A29">
        <w:t xml:space="preserve"> with the capacity of creating chronic stress and constraining </w:t>
      </w:r>
      <w:r w:rsidRPr="00793A29">
        <w:lastRenderedPageBreak/>
        <w:t>safe conditions in which children can live (Hock et al., 2024). Equally, systemic racism increases the current socioeconomic disparities, where the minority families experience material deprivation, as well as distrust toward the institutions (Castro-Ramirez et al., 2021). Knowledge of these barriers is necessary because it sheds light on the presence of inequalities despite policy commitments and on the gap between child need</w:t>
      </w:r>
      <w:r w:rsidR="00CB3DFB">
        <w:t>s</w:t>
      </w:r>
      <w:r w:rsidRPr="00793A29">
        <w:t xml:space="preserve"> and service provision.</w:t>
      </w:r>
    </w:p>
    <w:p w:rsidRPr="00143AC3" w:rsidR="004813CB" w:rsidP="00143AC3" w:rsidRDefault="00143AC3" w14:paraId="70F19917" w14:textId="5EB21728">
      <w:pPr>
        <w:pStyle w:val="Heading3"/>
      </w:pPr>
      <w:bookmarkStart w:name="_Toc208163495" w:id="29"/>
      <w:r>
        <w:t xml:space="preserve">4.3.2 </w:t>
      </w:r>
      <w:r w:rsidRPr="00143AC3" w:rsidR="004813CB">
        <w:t>Findings and Evidence</w:t>
      </w:r>
      <w:bookmarkEnd w:id="29"/>
      <w:r w:rsidRPr="00143AC3" w:rsidR="004813CB">
        <w:t xml:space="preserve"> </w:t>
      </w:r>
    </w:p>
    <w:p w:rsidR="00BA335D" w:rsidP="00BA335D" w:rsidRDefault="00BA335D" w14:paraId="178CAB6D" w14:textId="3F310593">
      <w:r>
        <w:t xml:space="preserve">Stigma and mistrust are the key obstacles. Rose and McAuley (2019) </w:t>
      </w:r>
      <w:r w:rsidR="00CB3DFB">
        <w:t>found that parents living in poverty often used shame as a reason for seeking assistance, which deterred their openness to receiving</w:t>
      </w:r>
      <w:r>
        <w:t xml:space="preserve"> services. The families avert stress-inducing, unmet need</w:t>
      </w:r>
      <w:r w:rsidR="00CB3DFB">
        <w:t>s</w:t>
      </w:r>
      <w:r>
        <w:t xml:space="preserve">, disguised by the language of “coping” and “resilience”, which perpetuates service rejection. It </w:t>
      </w:r>
      <w:r w:rsidR="00CB3DFB">
        <w:t>aligns with the criticism of Treanor (2020), who argues that policy framing habitually confuses poverty with adversity, ultimately</w:t>
      </w:r>
      <w:r>
        <w:t xml:space="preserve"> stigmatising families rather than focusing on structural factors.</w:t>
      </w:r>
    </w:p>
    <w:p w:rsidR="00BA335D" w:rsidP="00BA335D" w:rsidRDefault="00CB3DFB" w14:paraId="0A993291" w14:textId="7AA10049">
      <w:r>
        <w:t>Resource constraints also worsen barrier</w:t>
      </w:r>
      <w:r w:rsidR="00BA335D">
        <w:t xml:space="preserve">s. Based on the Millennium Cohort Study of more than 6,000 families, Wickham et al. (2017) showed that changes into poverty were more likely to lead to maternal distress (OR 1.44, CI 1.21-1.71) and child behavioural problems (OR 1.41, CI 1.02-1.93). Such deteriorations </w:t>
      </w:r>
      <w:r>
        <w:t xml:space="preserve">are </w:t>
      </w:r>
      <w:r w:rsidR="00BA335D">
        <w:t xml:space="preserve">directly reflected in </w:t>
      </w:r>
      <w:r>
        <w:t xml:space="preserve">the </w:t>
      </w:r>
      <w:r w:rsidR="00BA335D">
        <w:t xml:space="preserve">expanded demand of CAMHS, but </w:t>
      </w:r>
      <w:r>
        <w:t>long waiting lists and deficits still characterise the system</w:t>
      </w:r>
      <w:r w:rsidR="00BA335D">
        <w:t>. This</w:t>
      </w:r>
      <w:r>
        <w:t>,</w:t>
      </w:r>
      <w:r w:rsidR="00BA335D">
        <w:t xml:space="preserve"> in practi</w:t>
      </w:r>
      <w:r>
        <w:t>c</w:t>
      </w:r>
      <w:r w:rsidR="00BA335D">
        <w:t>e</w:t>
      </w:r>
      <w:r>
        <w:t>,</w:t>
      </w:r>
      <w:r w:rsidR="00BA335D">
        <w:t xml:space="preserve"> implies that </w:t>
      </w:r>
      <w:r>
        <w:t>children who are most in need of care are the least likely to receive</w:t>
      </w:r>
      <w:r w:rsidR="00BA335D">
        <w:t xml:space="preserve"> timely care.</w:t>
      </w:r>
    </w:p>
    <w:p w:rsidR="00BA335D" w:rsidP="00BA335D" w:rsidRDefault="00BA335D" w14:paraId="3235A078" w14:textId="221266ED">
      <w:r>
        <w:t xml:space="preserve">Another severe impediment is housing insecurity. Hock et al. (2024) summarised 59 UK studies and noted that one million renting households feared eviction in three months. Families with overcrowding and instability reported increased anxiety, less play, and interrupted education- all factors highly associated with low child mental health outcomes. This resonates with the finding of Clair (2019) that 23.8% of EU households with children are overcrowded, and </w:t>
      </w:r>
      <w:r w:rsidR="00CB3DFB">
        <w:t>that the well-being and future achievement of these households</w:t>
      </w:r>
      <w:r>
        <w:t xml:space="preserve"> are directly related.</w:t>
      </w:r>
    </w:p>
    <w:p w:rsidR="00BA335D" w:rsidP="00BA335D" w:rsidRDefault="00BA335D" w14:paraId="4E59F37C" w14:textId="178D5C2B">
      <w:r>
        <w:t>These problems are enhanced by systemic racism. Castro-Ramirez et al. (2021) emphasised the fact that children belonging to minority ethnicities are faced with twofold obstacles: poverty and racial discrimination in healthcare. The</w:t>
      </w:r>
      <w:r w:rsidR="00CB3DFB">
        <w:t>y argue</w:t>
      </w:r>
      <w:r>
        <w:t xml:space="preserve"> that </w:t>
      </w:r>
      <w:r w:rsidR="00CB3DFB">
        <w:t xml:space="preserve">a </w:t>
      </w:r>
      <w:r>
        <w:t xml:space="preserve">lack of confidence in institutions limits involvement and deteriorates the effectiveness of treatments. These results are in line with those of Lee et al. (2023), who found that children living in the most deprived quintile were twice </w:t>
      </w:r>
      <w:r w:rsidR="00CB3DFB">
        <w:t xml:space="preserve">as </w:t>
      </w:r>
      <w:r>
        <w:t>at risk of death and were 72% prone to chronic disease, and minority children were overrepresented.</w:t>
      </w:r>
    </w:p>
    <w:p w:rsidRPr="00143AC3" w:rsidR="004813CB" w:rsidP="00BA335D" w:rsidRDefault="00BA335D" w14:paraId="56290F93" w14:textId="0FBB381B">
      <w:r>
        <w:t>Lastly, there are still financial barriers. In a national survey of more than 12,000 people, Main and Bradshaw (2016) report that 33 per</w:t>
      </w:r>
      <w:r w:rsidR="00CB3DFB">
        <w:t xml:space="preserve"> cent of children were income-poor, compared to 23 per </w:t>
      </w:r>
      <w:r>
        <w:t xml:space="preserve">cent </w:t>
      </w:r>
      <w:r>
        <w:lastRenderedPageBreak/>
        <w:t xml:space="preserve">of adults. Parents </w:t>
      </w:r>
      <w:r w:rsidR="00CB3DFB">
        <w:t>often made intra-household sacrifices, for</w:t>
      </w:r>
      <w:r>
        <w:t>going meals or heating to afford their children. The expenses of such sacrifices are mental health costs with instilled chronic stress and limited resources to find support. The research highlights how access to CAMHS is further curtailed by some of the hidden expenses</w:t>
      </w:r>
      <w:r w:rsidR="00CB3DFB">
        <w:t>,</w:t>
      </w:r>
      <w:r>
        <w:t xml:space="preserve"> </w:t>
      </w:r>
      <w:r w:rsidR="00CB3DFB">
        <w:t>such as the cost of transport to appointments or childcare for</w:t>
      </w:r>
      <w:r>
        <w:t xml:space="preserve"> siblings.</w:t>
      </w:r>
    </w:p>
    <w:p w:rsidRPr="00143AC3" w:rsidR="004813CB" w:rsidP="00143AC3" w:rsidRDefault="00143AC3" w14:paraId="00475166" w14:textId="32648C8F">
      <w:pPr>
        <w:pStyle w:val="Heading3"/>
      </w:pPr>
      <w:bookmarkStart w:name="_Toc208163496" w:id="30"/>
      <w:r>
        <w:t xml:space="preserve">4.3.3 </w:t>
      </w:r>
      <w:r w:rsidRPr="00143AC3" w:rsidR="004813CB">
        <w:t>Critical Discussion</w:t>
      </w:r>
      <w:bookmarkEnd w:id="30"/>
    </w:p>
    <w:p w:rsidR="00BA335D" w:rsidP="00BA335D" w:rsidRDefault="00BA335D" w14:paraId="21B4AAB2" w14:textId="52E12F66">
      <w:r>
        <w:t xml:space="preserve">The evidence shows how various barriers intersect to widen inequalities </w:t>
      </w:r>
      <w:r w:rsidR="00CB3DFB">
        <w:t>in</w:t>
      </w:r>
      <w:r>
        <w:t xml:space="preserve"> child mental health. One of the useful frameworks is the Inverse Care Law (Tudor Hart, 1971): children in need of care in the deprived urban areas get the least effective services. It is not that they do not need it, but because the system is systematically underfunded, socially stigmatised, and discriminatory and restrictive. These findings are further contextualised in the Social Determinants of Health framework (Marmot, 2010)</w:t>
      </w:r>
      <w:r w:rsidR="00CB3DFB">
        <w:t>,</w:t>
      </w:r>
      <w:r>
        <w:t xml:space="preserve"> which highlights the role played by housing, income and discrimination in defining mental health outcomes.</w:t>
      </w:r>
    </w:p>
    <w:p w:rsidR="00BA335D" w:rsidP="00BA335D" w:rsidRDefault="00CB3DFB" w14:paraId="2B0536E6" w14:textId="4E0F47ED">
      <w:r>
        <w:t>Quantitative data show the rigour of these barriers</w:t>
      </w:r>
      <w:r w:rsidR="00BA335D">
        <w:t xml:space="preserve">. The number of children in need, in poverty in the UK, stands at 4.2 million (Dorling, 2024), with a one-third proportion of all children being income-poor (Main and Bradshaw, 2016), which is a huge number. One million households face the risk of eviction due to housing insecurity alone (Hock et al., 2024), and 700 fewer children would die per year </w:t>
      </w:r>
      <w:r>
        <w:t>if</w:t>
      </w:r>
      <w:r w:rsidR="00BA335D">
        <w:t xml:space="preserve"> deprived children </w:t>
      </w:r>
      <w:r>
        <w:t>faced</w:t>
      </w:r>
      <w:r w:rsidR="00BA335D">
        <w:t xml:space="preserve"> the same level of risk of death as their wealthier peers (Lee et al., 2023). These statistics portray not just the </w:t>
      </w:r>
      <w:r>
        <w:t>health disparity but rather the policy failures that support</w:t>
      </w:r>
      <w:r w:rsidR="00BA335D">
        <w:t xml:space="preserve"> it.</w:t>
      </w:r>
    </w:p>
    <w:p w:rsidR="00BA335D" w:rsidP="00BA335D" w:rsidRDefault="00BA335D" w14:paraId="0217D86F" w14:textId="35C63C2B">
      <w:r>
        <w:t xml:space="preserve">Although the expansion of CAMHS has become a priority in NHS planning, it is indicated that systemic underinvestment and workforce deficits do not allow significant changes (Hayre &amp; Pollock, 2022). Furthermore, it will take </w:t>
      </w:r>
      <w:r w:rsidR="00CB3DFB">
        <w:t>more than raising awareness to address stigma; it will also entail reorganising</w:t>
      </w:r>
      <w:r>
        <w:t xml:space="preserve"> services to establish trust among marginalised groups. Without systemic racism, e.g., interventions, there is a risk of re-creating inequalities instead of breaking them down (Castro-Ramirez et al., 2021).</w:t>
      </w:r>
    </w:p>
    <w:p w:rsidR="00BA335D" w:rsidP="00BA335D" w:rsidRDefault="00BA335D" w14:paraId="67D6BF00" w14:textId="240EA8BB">
      <w:r>
        <w:t xml:space="preserve">There are, however, some counter-arguments. </w:t>
      </w:r>
      <w:proofErr w:type="spellStart"/>
      <w:r>
        <w:t>Wahlbeck</w:t>
      </w:r>
      <w:proofErr w:type="spellEnd"/>
      <w:r>
        <w:t xml:space="preserve"> et al. (2017) posit that in young children, child mental health disparities can be decreased by targeted interventions, including parenting support and housing improvements, by up to 67%. Through these interventions, it is </w:t>
      </w:r>
      <w:r w:rsidR="00CB3DFB">
        <w:t>demonstrated that barriers are not unavoidable; rather, success depends</w:t>
      </w:r>
      <w:r>
        <w:t xml:space="preserve"> on the political will and allocation of resources. The continuation of barriers, in other words, is not that much about complexity but of neglect.</w:t>
      </w:r>
    </w:p>
    <w:p w:rsidRPr="00A476F7" w:rsidR="004813CB" w:rsidP="00BA335D" w:rsidRDefault="00BA335D" w14:paraId="079D233D" w14:textId="0356EC3A">
      <w:r>
        <w:lastRenderedPageBreak/>
        <w:t>Overall, mental health care barriers are not standalone factors, but rather compound social factors. They mirror underlying inequities in which stigma, poverty, and discrimination intersect to deprive vulnerable children of their care. All these barriers are cr</w:t>
      </w:r>
      <w:r w:rsidR="00CB3DFB">
        <w:t>ucial to the concepts of service equity, child rights, and resilience in</w:t>
      </w:r>
      <w:r>
        <w:t xml:space="preserve"> urban communities.</w:t>
      </w:r>
    </w:p>
    <w:p w:rsidRPr="00143AC3" w:rsidR="004813CB" w:rsidP="00143AC3" w:rsidRDefault="004813CB" w14:paraId="47BD7157" w14:textId="71BBD188">
      <w:pPr>
        <w:pStyle w:val="Heading2"/>
      </w:pPr>
      <w:bookmarkStart w:name="_Toc208163497" w:id="31"/>
      <w:r w:rsidRPr="00A476F7">
        <w:t>4.4 Theme 2 – Policy and Service Gaps</w:t>
      </w:r>
      <w:bookmarkEnd w:id="31"/>
    </w:p>
    <w:p w:rsidRPr="00143AC3" w:rsidR="004813CB" w:rsidP="00143AC3" w:rsidRDefault="00143AC3" w14:paraId="49B1E1E8" w14:textId="7CE9CD53">
      <w:pPr>
        <w:pStyle w:val="Heading3"/>
      </w:pPr>
      <w:bookmarkStart w:name="_Toc208163498" w:id="32"/>
      <w:r>
        <w:t xml:space="preserve">4.4.1 </w:t>
      </w:r>
      <w:r w:rsidRPr="00143AC3" w:rsidR="004813CB">
        <w:t>Definition and Background</w:t>
      </w:r>
      <w:bookmarkEnd w:id="32"/>
    </w:p>
    <w:p w:rsidRPr="00143AC3" w:rsidR="004813CB" w:rsidP="00143AC3" w:rsidRDefault="00BA335D" w14:paraId="1EC04198" w14:textId="75DFCAB0">
      <w:r w:rsidRPr="00BA335D">
        <w:t xml:space="preserve">Policy and service gaps: The differences between policy promises to alleviate child poverty and promote mental health outcomes, and actual service delivery in welfare and healthcare systems. These gaps in the UK are </w:t>
      </w:r>
      <w:r w:rsidR="00CB3DFB">
        <w:t>rooted in austerity policies enacted since 2010, which have led to the unequal provision of support to disadvantaged families, while also limiting</w:t>
      </w:r>
      <w:r w:rsidRPr="00BA335D">
        <w:t xml:space="preserve"> public health and social care funds (Taylor, 2020). The case of Child and Adolescent Mental Health Services (CAMHS) is an example </w:t>
      </w:r>
      <w:r w:rsidR="00CB3DFB">
        <w:t>of a service that is chronically underfunded and cannot keep up with the increasing</w:t>
      </w:r>
      <w:r w:rsidRPr="00BA335D">
        <w:t xml:space="preserve"> demand, despite the rhetoric of policy equality between physical and mental health (Hayre &amp; Pollock, 2022). Systematic inequalities in the area of Early Childhood Education and Care (ECEC) provision also reveal a situation in which children </w:t>
      </w:r>
      <w:r w:rsidR="00CB3DFB">
        <w:t>from poorer families cannot access high-quality services that are vital for</w:t>
      </w:r>
      <w:r w:rsidRPr="00BA335D">
        <w:t xml:space="preserve"> developing resilience (Lloyd and Potter, 2014). It is critical to understand such gaps as they indicate that structural deficiencies continue to maintain cycles of poverty and exacerbate child mental health outcomes.</w:t>
      </w:r>
    </w:p>
    <w:p w:rsidRPr="00143AC3" w:rsidR="004813CB" w:rsidP="00143AC3" w:rsidRDefault="00143AC3" w14:paraId="50A1367D" w14:textId="5F7B8C20">
      <w:pPr>
        <w:pStyle w:val="Heading3"/>
      </w:pPr>
      <w:bookmarkStart w:name="_Toc208163499" w:id="33"/>
      <w:r>
        <w:t xml:space="preserve">4.4.2 </w:t>
      </w:r>
      <w:r w:rsidRPr="00143AC3" w:rsidR="004813CB">
        <w:t>Findings and Evidence</w:t>
      </w:r>
      <w:bookmarkEnd w:id="33"/>
    </w:p>
    <w:p w:rsidR="00BA335D" w:rsidP="00BA335D" w:rsidRDefault="00602320" w14:paraId="48A6FDE9" w14:textId="67088CB3">
      <w:r w:rsidRPr="00602320">
        <w:t>There were very wide policy and service gaps that were the result of austerity policies. During 2012-2018, 600,000 more children were pushed to the status of poverty, and food banks have tripled (Taylor, 2020)</w:t>
      </w:r>
      <w:r w:rsidR="00BA335D">
        <w:t xml:space="preserve">. All these changes were not incidental but direct consequences of welfare retrenchment and local authority budget reductions, which </w:t>
      </w:r>
      <w:r w:rsidR="00CB3DFB">
        <w:t>resulted in a loss of</w:t>
      </w:r>
      <w:r w:rsidR="00BA335D">
        <w:t xml:space="preserve"> almost a third of funds between 2008 and 2015 (Buck and </w:t>
      </w:r>
      <w:proofErr w:type="spellStart"/>
      <w:r w:rsidR="00BA335D">
        <w:t>Jabbal</w:t>
      </w:r>
      <w:proofErr w:type="spellEnd"/>
      <w:r w:rsidR="00BA335D">
        <w:t>, 2014). Loss of the welfare state has only intensified family insecurity</w:t>
      </w:r>
      <w:r w:rsidR="00CB3DFB">
        <w:t>,</w:t>
      </w:r>
      <w:r w:rsidR="00BA335D">
        <w:t xml:space="preserve"> and children are more susceptible to mental health issues</w:t>
      </w:r>
      <w:r w:rsidR="00CB3DFB">
        <w:t>;</w:t>
      </w:r>
      <w:r w:rsidR="00BA335D">
        <w:t xml:space="preserve"> the availability of services has also decreased.</w:t>
      </w:r>
    </w:p>
    <w:p w:rsidR="00BA335D" w:rsidP="00BA335D" w:rsidRDefault="00BA335D" w14:paraId="4967B248" w14:textId="77777777">
      <w:r>
        <w:t>This neglect manifests itself in the underfunding of CAMHS. Hayre and Pollock (2022) believe that although child poverty is widely recognised as a public health crisis, the lack of action provided by governments and the lack of investment in CAMHS have only increased inequalities. Poverty deprives children of timely access and more specialist care, resulting in unmet needs and, hence, worsening outcomes. This matches Wickham et al. (2017), who induced families into poverty to show an increase in maternal distress, child behavioural issues, and pressure on under-resourced services.</w:t>
      </w:r>
    </w:p>
    <w:p w:rsidR="00BA335D" w:rsidP="00BA335D" w:rsidRDefault="00BA335D" w14:paraId="2A2F4E72" w14:textId="36EE33FB">
      <w:r w:rsidR="00BA335D">
        <w:rPr/>
        <w:t xml:space="preserve">Policy failures do not just limit </w:t>
      </w:r>
      <w:r w:rsidR="00CB3DFB">
        <w:rPr/>
        <w:t>themselves</w:t>
      </w:r>
      <w:r w:rsidR="00BA335D">
        <w:rPr/>
        <w:t xml:space="preserve"> to CAMHS. Wickham et al. (2016) calculated that child poverty costs the UK economy £29 billion a </w:t>
      </w:r>
      <w:r w:rsidR="60FE7C2D">
        <w:rPr/>
        <w:t>year and</w:t>
      </w:r>
      <w:r w:rsidR="00BA335D">
        <w:rPr/>
        <w:t xml:space="preserve"> ending it could save 1,400 child lives each year. However, governments have not achieved targets in reducing child poverty over time</w:t>
      </w:r>
      <w:r w:rsidR="00CB3DFB">
        <w:rPr/>
        <w:t>,</w:t>
      </w:r>
      <w:r w:rsidR="00BA335D">
        <w:rPr/>
        <w:t xml:space="preserve"> and this shows a constant disconnect between policy rhetoric and real action. These failures emphasise the political decisions behind the child health disparities</w:t>
      </w:r>
      <w:r w:rsidR="00CB3DFB">
        <w:rPr/>
        <w:t>,</w:t>
      </w:r>
      <w:r w:rsidR="00BA335D">
        <w:rPr/>
        <w:t xml:space="preserve"> as brought out in the claim by Taylor (2020) that child poverty is a political choice, not an inevitability.</w:t>
      </w:r>
    </w:p>
    <w:p w:rsidR="00BA335D" w:rsidP="00BA335D" w:rsidRDefault="00BA335D" w14:paraId="73E14088" w14:textId="2493A38D">
      <w:r>
        <w:t xml:space="preserve">The gaps are also realised in ECEC provision. Lloyd and Potter (2014) </w:t>
      </w:r>
      <w:r w:rsidR="00CB3DFB">
        <w:t>found that only 41 per cent of children in the lowest quartile were enrolled in formal childcare, compared to 68 per cent in the highest quartile, and these differences</w:t>
      </w:r>
      <w:r>
        <w:t xml:space="preserve"> have lasting effects on education and well</w:t>
      </w:r>
      <w:r w:rsidR="00CB3DFB">
        <w:t>-</w:t>
      </w:r>
      <w:r>
        <w:t xml:space="preserve">being. Most importantly, high-quality ECEC is the </w:t>
      </w:r>
      <w:r w:rsidR="00CB3DFB">
        <w:t>primary source of long-term benefits; however, its provision remains unevenly distributed, which exacerbate</w:t>
      </w:r>
      <w:r>
        <w:t>s intergenerational disadvantage.</w:t>
      </w:r>
    </w:p>
    <w:p w:rsidRPr="00143AC3" w:rsidR="004813CB" w:rsidP="00BA335D" w:rsidRDefault="00CB3DFB" w14:paraId="3099781D" w14:textId="3B7F9B29">
      <w:r>
        <w:t>Despite</w:t>
      </w:r>
      <w:r w:rsidR="00BA335D">
        <w:t xml:space="preserve"> its universality, </w:t>
      </w:r>
      <w:r>
        <w:t xml:space="preserve">the </w:t>
      </w:r>
      <w:r w:rsidR="00BA335D">
        <w:t xml:space="preserve">NHS is not exempt </w:t>
      </w:r>
      <w:r>
        <w:t>from</w:t>
      </w:r>
      <w:r w:rsidR="00BA335D">
        <w:t xml:space="preserve"> promoting inequality. </w:t>
      </w:r>
      <w:r w:rsidRPr="00602320" w:rsidR="00602320">
        <w:t xml:space="preserve">Buck and </w:t>
      </w:r>
      <w:proofErr w:type="spellStart"/>
      <w:r w:rsidRPr="00602320" w:rsidR="00602320">
        <w:t>Jabbal</w:t>
      </w:r>
      <w:proofErr w:type="spellEnd"/>
      <w:r w:rsidRPr="00602320" w:rsidR="00602320">
        <w:t xml:space="preserve"> (2014) posit that despite the ability of the NHS to reduce poverty, its structural orientation of focusing on the treatment, not on prevention, restricts its capacity to reduce health disparities. NHS is quite a significant actor, as it spends more than 104 billion a year, yet its current policies fail to address the social determinants of mental health satisfactorily</w:t>
      </w:r>
      <w:r w:rsidR="00BA335D">
        <w:t>.</w:t>
      </w:r>
    </w:p>
    <w:p w:rsidRPr="00143AC3" w:rsidR="004813CB" w:rsidP="00143AC3" w:rsidRDefault="00143AC3" w14:paraId="0AA1AC68" w14:textId="571CC835">
      <w:pPr>
        <w:pStyle w:val="Heading3"/>
      </w:pPr>
      <w:bookmarkStart w:name="_Toc208163500" w:id="34"/>
      <w:r>
        <w:t xml:space="preserve">4.4.3 </w:t>
      </w:r>
      <w:r w:rsidRPr="00143AC3" w:rsidR="004813CB">
        <w:t>Critical Discussion</w:t>
      </w:r>
      <w:bookmarkEnd w:id="34"/>
    </w:p>
    <w:p w:rsidR="00BA335D" w:rsidP="00BA335D" w:rsidRDefault="00BA335D" w14:paraId="06E0BFFA" w14:textId="371599F9">
      <w:r>
        <w:t xml:space="preserve">The fact that gaps in policy and services persist is an example of the disconnect </w:t>
      </w:r>
      <w:r w:rsidR="00CB3DFB">
        <w:t>between</w:t>
      </w:r>
      <w:r>
        <w:t xml:space="preserve"> policy intentions and actual outcomes of policies. Paper-based measures like the NHS Long Term Plan and pledges to increase CAMHS are an indication that child mental health inequalities are recognised. Practically, these efforts have been sabotaged by austerity, underfunding and lack of coordination</w:t>
      </w:r>
      <w:r w:rsidR="00CB3DFB">
        <w:t>,</w:t>
      </w:r>
      <w:r>
        <w:t xml:space="preserve"> and the vulnerable children have been underserved.</w:t>
      </w:r>
    </w:p>
    <w:p w:rsidR="00BA335D" w:rsidP="00BA335D" w:rsidRDefault="00CB3DFB" w14:paraId="77318CB2" w14:textId="408F94D4">
      <w:r>
        <w:t>The Mental Health in All Policies (MHiAP) framework is a useful</w:t>
      </w:r>
      <w:r w:rsidR="00BA335D">
        <w:t xml:space="preserve"> lens in this case. </w:t>
      </w:r>
      <w:proofErr w:type="spellStart"/>
      <w:r w:rsidR="00BA335D">
        <w:t>Wahlbeck</w:t>
      </w:r>
      <w:proofErr w:type="spellEnd"/>
      <w:r w:rsidR="00BA335D">
        <w:t xml:space="preserve"> et al. (2017) </w:t>
      </w:r>
      <w:r>
        <w:t>argue that the poverty impact can be reduced by integrating mental health into housing, education, and welfare policies</w:t>
      </w:r>
      <w:r w:rsidR="00BA335D">
        <w:t>. However</w:t>
      </w:r>
      <w:r>
        <w:t>,</w:t>
      </w:r>
      <w:r w:rsidR="00BA335D">
        <w:t xml:space="preserve"> in the UK, isolated practi</w:t>
      </w:r>
      <w:r>
        <w:t>c</w:t>
      </w:r>
      <w:r w:rsidR="00BA335D">
        <w:t xml:space="preserve">es have not allowed significant integration. As an illustration, child poverty is addressed mostly as </w:t>
      </w:r>
      <w:r>
        <w:t xml:space="preserve">a </w:t>
      </w:r>
      <w:r w:rsidR="00BA335D">
        <w:t>welfare problem, whereas mental health remains segregated in the healthcare policy without considering the intersection of the two problems.</w:t>
      </w:r>
    </w:p>
    <w:p w:rsidR="00BA335D" w:rsidP="00BA335D" w:rsidRDefault="00BA335D" w14:paraId="42EF6F51" w14:textId="77777777">
      <w:r>
        <w:t xml:space="preserve">The consequences are stark. There was also an increase in child poverty in the UK to 30 percent by 2019, and food insecurity is directly connected to psychological distress (Hayre &amp; Pollock, 2022). Infant mortality, which had been falling steadily, started to increase again, and a time-trend </w:t>
      </w:r>
      <w:r>
        <w:lastRenderedPageBreak/>
        <w:t>analysis found 572 excess infant deaths between 2014 and 2017 attributable to increasing child poverty (Taylor-Robinson et al., 2019). These statistics stress the human price of political inaction.</w:t>
      </w:r>
    </w:p>
    <w:p w:rsidR="00BA335D" w:rsidP="00BA335D" w:rsidRDefault="00BA335D" w14:paraId="768E4A91" w14:textId="3858DBCD">
      <w:r>
        <w:t>Most importantly, service gaps are not inevitable</w:t>
      </w:r>
      <w:r w:rsidR="00CB3DFB">
        <w:t>,</w:t>
      </w:r>
      <w:r>
        <w:t xml:space="preserve"> but policy decisions influence them. Quality ECEC</w:t>
      </w:r>
      <w:r w:rsidR="00CB3DFB">
        <w:t xml:space="preserve"> and</w:t>
      </w:r>
      <w:r>
        <w:t xml:space="preserve"> CAMHS expansion aimed at specific groups and poverty-reduction policies would help minimise inequalities. </w:t>
      </w:r>
      <w:r w:rsidR="00CB3DFB">
        <w:t>For example, Wickham et al. (2016) suggest that</w:t>
      </w:r>
      <w:r>
        <w:t xml:space="preserve"> economic savings and better results could be achieved i</w:t>
      </w:r>
      <w:r w:rsidR="00CB3DFB">
        <w:t>f</w:t>
      </w:r>
      <w:r>
        <w:t xml:space="preserve"> child poverty is approached proactively. However, the prioritisation of austerity by politics has cemented inequalities instead.</w:t>
      </w:r>
    </w:p>
    <w:p w:rsidRPr="00A476F7" w:rsidR="004813CB" w:rsidP="00BA335D" w:rsidRDefault="00BA335D" w14:paraId="00CDDE0B" w14:textId="2AE13035">
      <w:r>
        <w:t>In practi</w:t>
      </w:r>
      <w:r w:rsidR="00CB3DFB">
        <w:t>c</w:t>
      </w:r>
      <w:r>
        <w:t xml:space="preserve">e, this implies that professionals </w:t>
      </w:r>
      <w:r w:rsidR="00CB3DFB">
        <w:t>must deal with systemic gaps that limi</w:t>
      </w:r>
      <w:r>
        <w:t xml:space="preserve">t their ability to assist children. There </w:t>
      </w:r>
      <w:proofErr w:type="gramStart"/>
      <w:r>
        <w:t>is</w:t>
      </w:r>
      <w:proofErr w:type="gramEnd"/>
      <w:r>
        <w:t xml:space="preserve"> also a lack of accountability mechanisms and the inability to change any policy </w:t>
      </w:r>
      <w:proofErr w:type="gramStart"/>
      <w:r>
        <w:t>as a result of</w:t>
      </w:r>
      <w:proofErr w:type="gramEnd"/>
      <w:r>
        <w:t xml:space="preserve"> the failure to meet the target of child poverty. There is </w:t>
      </w:r>
      <w:r w:rsidR="00CB3DFB">
        <w:t xml:space="preserve">a </w:t>
      </w:r>
      <w:r>
        <w:t>need to shift towards cross-sectoral, prevention-based approaches. These policy and service gaps will not disappear</w:t>
      </w:r>
      <w:r w:rsidR="00CB3DFB">
        <w:t>,</w:t>
      </w:r>
      <w:r>
        <w:t xml:space="preserve"> and structural inequities will remain, threatening the right of the children to health, and continuing the poverty-poor-mental health cycles.</w:t>
      </w:r>
    </w:p>
    <w:p w:rsidRPr="00143AC3" w:rsidR="004813CB" w:rsidP="00143AC3" w:rsidRDefault="004813CB" w14:paraId="532B3E93" w14:textId="21280F16">
      <w:pPr>
        <w:pStyle w:val="Heading2"/>
      </w:pPr>
      <w:bookmarkStart w:name="_Toc208163501" w:id="35"/>
      <w:r w:rsidRPr="00A476F7">
        <w:t>4.5 Theme 3 – Socioeconomic Inequalities in Urban Settings</w:t>
      </w:r>
      <w:bookmarkEnd w:id="35"/>
    </w:p>
    <w:p w:rsidRPr="00143AC3" w:rsidR="004813CB" w:rsidP="00143AC3" w:rsidRDefault="00143AC3" w14:paraId="3D0C7315" w14:textId="77A1B1CA">
      <w:pPr>
        <w:pStyle w:val="Heading3"/>
      </w:pPr>
      <w:bookmarkStart w:name="_Toc208163502" w:id="36"/>
      <w:r>
        <w:t xml:space="preserve">4.5.1 </w:t>
      </w:r>
      <w:r w:rsidRPr="00143AC3" w:rsidR="004813CB">
        <w:t>Definition and Background</w:t>
      </w:r>
      <w:bookmarkEnd w:id="36"/>
    </w:p>
    <w:p w:rsidRPr="00143AC3" w:rsidR="004813CB" w:rsidP="00143AC3" w:rsidRDefault="004813CB" w14:paraId="3981BD47" w14:textId="03484F5F">
      <w:r w:rsidRPr="00143AC3">
        <w:t xml:space="preserve">Socioeconomic inequalities in child health refer to systematic and avoidable disparities in outcomes </w:t>
      </w:r>
      <w:r w:rsidR="00CB3DFB">
        <w:t>that are driven by factors such as</w:t>
      </w:r>
      <w:r w:rsidRPr="00143AC3">
        <w:t xml:space="preserve"> income, education, housing, and employment. These inequalities are not distributed evenly but are concentrated in deprived urban areas where poverty interacts with structural disadvantage. In the UK, over 4.2 million children currently live in poverty, a figure that has steadily increased in the last decade despite policy promises to reduce it (Dorling, 2024). </w:t>
      </w:r>
      <w:r w:rsidRPr="00602320" w:rsidR="00602320">
        <w:t>These risks are enhanced by urban deprivation: children who live in overpopulated housing, non-safe neighbourhoods, and communities with underfunding have compounded stressors, which have a direct impact on their mental health and wellbeing (Ucci et al., 2022). Notably, these disparities are not biological determinisms but political decisions, such as welfare cuts, underfunding in services and poor housing policies. The concept of deprivation in urban environments is the key to this dissertation, as it shows how poverty is transferred to health and mental health disparity in the long run</w:t>
      </w:r>
      <w:r w:rsidRPr="00143AC3">
        <w:t>.</w:t>
      </w:r>
    </w:p>
    <w:p w:rsidRPr="00143AC3" w:rsidR="004813CB" w:rsidP="00143AC3" w:rsidRDefault="00143AC3" w14:paraId="41472FD9" w14:textId="7979A89B">
      <w:pPr>
        <w:pStyle w:val="Heading3"/>
      </w:pPr>
      <w:bookmarkStart w:name="_Toc208163503" w:id="37"/>
      <w:r>
        <w:t xml:space="preserve">4.5.2 </w:t>
      </w:r>
      <w:r w:rsidRPr="00143AC3" w:rsidR="004813CB">
        <w:t>Findings and Evidence</w:t>
      </w:r>
      <w:bookmarkEnd w:id="37"/>
    </w:p>
    <w:p w:rsidR="001F6EAD" w:rsidP="001F6EAD" w:rsidRDefault="001F6EAD" w14:paraId="358B632A" w14:textId="6FE00E3F">
      <w:r>
        <w:t>According to Dorling (2024), the United Kingdom has become an international outlier, and the rates of child poverty are increasing more rapidly than in other OECD nations. In 2019-2021, child poverty was 20.7% with 4.2 million children living in poverty in 2022. Poverty has been attributed to ill health</w:t>
      </w:r>
      <w:r w:rsidR="00CB3DFB">
        <w:t>,</w:t>
      </w:r>
      <w:r>
        <w:t xml:space="preserve"> with some evidence indicating that not only are children in poorer places shorter</w:t>
      </w:r>
      <w:r w:rsidR="00CB3DFB">
        <w:t>,</w:t>
      </w:r>
      <w:r>
        <w:t xml:space="preserve"> </w:t>
      </w:r>
      <w:r w:rsidR="00CB3DFB">
        <w:t xml:space="preserve">but </w:t>
      </w:r>
      <w:r>
        <w:lastRenderedPageBreak/>
        <w:t>their mortality rates are also high. As Dorling points out, these consequences are directly related to austerity measures and endemic underinvestment in child health.</w:t>
      </w:r>
    </w:p>
    <w:p w:rsidR="001F6EAD" w:rsidP="001F6EAD" w:rsidRDefault="001F6EAD" w14:paraId="3F6809E4" w14:textId="11312470">
      <w:r>
        <w:t xml:space="preserve">Parental sacrifice is </w:t>
      </w:r>
      <w:r w:rsidR="00CB3DFB">
        <w:t>often necessary to absorb the consequences of poverty within</w:t>
      </w:r>
      <w:r>
        <w:t xml:space="preserve"> households. Main and Bradshaw (2016)</w:t>
      </w:r>
      <w:r w:rsidR="00CB3DFB">
        <w:t>,</w:t>
      </w:r>
      <w:r>
        <w:t xml:space="preserve"> based on the Poverty and Social Exclusion Survey (n = 12,097 individuals)</w:t>
      </w:r>
      <w:r w:rsidR="00CB3DFB">
        <w:t>,</w:t>
      </w:r>
      <w:r>
        <w:t xml:space="preserve"> </w:t>
      </w:r>
      <w:r w:rsidR="00CB3DFB">
        <w:t xml:space="preserve">found that 33 per cent of children were income-poor compared to 23 per </w:t>
      </w:r>
      <w:r>
        <w:t xml:space="preserve">cent of adults. Parents did not </w:t>
      </w:r>
      <w:r w:rsidR="00CB3DFB">
        <w:t>always eat or stay warm</w:t>
      </w:r>
      <w:r>
        <w:t xml:space="preserve"> to support </w:t>
      </w:r>
      <w:r w:rsidR="00CB3DFB">
        <w:t xml:space="preserve">their </w:t>
      </w:r>
      <w:r>
        <w:t>children. Although these sacrifices protect the children in the short</w:t>
      </w:r>
      <w:r w:rsidR="00CB3DFB">
        <w:t xml:space="preserve"> </w:t>
      </w:r>
      <w:r>
        <w:t>term, they also impose stress and insecurity on the family life, which has a long-term impact on mental health.</w:t>
      </w:r>
    </w:p>
    <w:p w:rsidR="001F6EAD" w:rsidP="001F6EAD" w:rsidRDefault="001F6EAD" w14:paraId="15503C2F" w14:textId="78CD67C1">
      <w:r>
        <w:t>Lee et al. (2023) support the conne</w:t>
      </w:r>
      <w:r w:rsidR="00CB3DFB">
        <w:t>ct</w:t>
      </w:r>
      <w:r>
        <w:t xml:space="preserve">ion between deprivation and child morbidity. Their review showed that infants in the poorer quintiles are at a higher risk of death than those in richer </w:t>
      </w:r>
      <w:r w:rsidR="00CB3DFB">
        <w:t>quintil</w:t>
      </w:r>
      <w:r>
        <w:t xml:space="preserve">es. The poor children were also at a higher risk of developing chronic illness by 72% and the lowest quintile had 5 times the rates of respiratory disease. These blunt statistics help to </w:t>
      </w:r>
      <w:r w:rsidR="00CB3DFB">
        <w:t>demonstrate that socioeconomic differences, in fact, translate into differences in life expectancy and quality of life from</w:t>
      </w:r>
      <w:r>
        <w:t xml:space="preserve"> early childhood.</w:t>
      </w:r>
    </w:p>
    <w:p w:rsidR="009A653A" w:rsidP="009A653A" w:rsidRDefault="009A653A" w14:paraId="7FD7E829" w14:textId="350F0085">
      <w:r w:rsidR="009A653A">
        <w:rPr/>
        <w:t xml:space="preserve">Food and fuel poverty are other forms of deprivation. Rose and McAuley (2019) referred to 3.9 million children in poverty in 2014-15 (28%), and families reported their experiences of food and heating bills causing the debt cycles that exhausted their health. Such conditions compel families to make impossible trade-offs; including warming their home and feeding them </w:t>
      </w:r>
      <w:r w:rsidR="555F8176">
        <w:rPr/>
        <w:t>well and</w:t>
      </w:r>
      <w:r w:rsidR="009A653A">
        <w:rPr/>
        <w:t xml:space="preserve"> directly affect the physical and mental health of kids.</w:t>
      </w:r>
    </w:p>
    <w:p w:rsidRPr="00143AC3" w:rsidR="004813CB" w:rsidP="009A653A" w:rsidRDefault="009A653A" w14:paraId="284BC111" w14:textId="50A419FF">
      <w:r w:rsidR="009A653A">
        <w:rPr/>
        <w:t xml:space="preserve">Finally, in urban poor neighbourhoods, neighbourhood safety affects child wellness. Ucci et al. (2022) concluded that </w:t>
      </w:r>
      <w:r w:rsidR="04CD1E76">
        <w:rPr/>
        <w:t>beyond crowding</w:t>
      </w:r>
      <w:r w:rsidR="009A653A">
        <w:rPr/>
        <w:t xml:space="preserve">, lack of safe play opportunities, and crime in neighbourhoods can intensify the stress experienced by families and reduce their opportunity to positively develop </w:t>
      </w:r>
      <w:r w:rsidR="0B034574">
        <w:rPr/>
        <w:t>based on</w:t>
      </w:r>
      <w:r w:rsidR="009A653A">
        <w:rPr/>
        <w:t xml:space="preserve"> the qualitative research conducted on families in Tower Hamlets and Bradford. Children just have no space to study, to play (p. One of the parents </w:t>
      </w:r>
      <w:r w:rsidR="009A653A">
        <w:rPr/>
        <w:t>observed</w:t>
      </w:r>
      <w:r w:rsidR="009A653A">
        <w:rPr/>
        <w:t xml:space="preserve"> 14) and </w:t>
      </w:r>
      <w:r w:rsidR="009A653A">
        <w:rPr/>
        <w:t>indicates</w:t>
      </w:r>
      <w:r w:rsidR="009A653A">
        <w:rPr/>
        <w:t xml:space="preserve"> that the mental health disparities are worsened by environmental deprivation</w:t>
      </w:r>
      <w:r w:rsidR="001F6EAD">
        <w:rPr/>
        <w:t>.</w:t>
      </w:r>
    </w:p>
    <w:p w:rsidRPr="00143AC3" w:rsidR="004813CB" w:rsidP="00143AC3" w:rsidRDefault="00143AC3" w14:paraId="7D3A6C3C" w14:textId="27EE530E">
      <w:pPr>
        <w:pStyle w:val="Heading3"/>
      </w:pPr>
      <w:bookmarkStart w:name="_Toc208163504" w:id="38"/>
      <w:r>
        <w:t xml:space="preserve">4.5.3 </w:t>
      </w:r>
      <w:r w:rsidRPr="00143AC3" w:rsidR="004813CB">
        <w:t>Critical Discussion</w:t>
      </w:r>
      <w:bookmarkEnd w:id="38"/>
    </w:p>
    <w:p w:rsidR="001F6EAD" w:rsidP="001F6EAD" w:rsidRDefault="009A653A" w14:paraId="70CB6D6E" w14:textId="05D9F94D">
      <w:r w:rsidRPr="009A653A">
        <w:t>The impossibility of eradicating socioeconomic inequalities may be considered within the scope of Cumulative Disadvantage Theory which assumes that initial disadvantages accumulate over the course of life resulting in the ever-expanding gap in health and opportunity. Not only children in rural UK living in deprived neighbourhoods face one, but a cumulative number of disadvantages in the form of poor housing, poor environments, and lack of access to services, leading to long-</w:t>
      </w:r>
      <w:r w:rsidRPr="009A653A">
        <w:lastRenderedPageBreak/>
        <w:t>term inequities in health (Clair, 2019; Ucci et al., 2022). Similarly, the Life-Course Health Development model also emphasizes the significance of poverty in early life that leads to ill-health pathways, which continue into adulthood, including being more vulnerable to chronic illnesses and having poorer academic performance (Lee et al., 2023)</w:t>
      </w:r>
      <w:r w:rsidR="001F6EAD">
        <w:t>.</w:t>
      </w:r>
    </w:p>
    <w:p w:rsidR="001F6EAD" w:rsidP="001F6EAD" w:rsidRDefault="001F6EAD" w14:paraId="4731FCD0" w14:textId="77777777">
      <w:r>
        <w:t>The seriousness of these inequalities is highlighted by quantitative evidence. Deprivation is not a fringe problem, but a systemic crisis in which 4.2 million children are in poverty (Dorling, 2024). The poorest quintile is two times higher than the other groups, and deprived children have a 72% higher chance of growing up with a chronic disease (Lee et al., 2023). The intersection of poverty and instability is only strengthened by the fact that housing insecurity poses a risk of eviction to more than one million households (Hock et al., 2024).</w:t>
      </w:r>
    </w:p>
    <w:p w:rsidR="001F6EAD" w:rsidP="001F6EAD" w:rsidRDefault="001F6EAD" w14:paraId="63BC881C" w14:textId="1134B1DE">
      <w:r>
        <w:t xml:space="preserve">There have been uneven and inadequate policy responses. In 2016, the Child Poverty Act (2010) was repealed, eliminating legally binding targets to reduce poverty. The Levelling Up agenda has been </w:t>
      </w:r>
      <w:r w:rsidR="00CB3DFB">
        <w:t>presented as an alternative, but its opponents argue that it does not provide any concrete measures to address</w:t>
      </w:r>
      <w:r>
        <w:t xml:space="preserve"> child health inequality (Hayre &amp; Pollock, 2022). Rather, deprivation has been institutionalised through austerity policies and underinvestment in urban communities, which Taylor (2020) explains are </w:t>
      </w:r>
      <w:r w:rsidR="00CB3DFB">
        <w:t>also political in nature</w:t>
      </w:r>
      <w:r>
        <w:t>.</w:t>
      </w:r>
    </w:p>
    <w:p w:rsidRPr="00A476F7" w:rsidR="004813CB" w:rsidP="001F6EAD" w:rsidRDefault="001F6EAD" w14:paraId="5C06BC26" w14:textId="463067D5">
      <w:r>
        <w:t>The consequences are immense. The perpetuation of intergenerational poverty is that children with such inequalities have poorer health trajectories into adulthood</w:t>
      </w:r>
      <w:r w:rsidR="00CB3DFB">
        <w:t>,</w:t>
      </w:r>
      <w:r>
        <w:t xml:space="preserve"> and cycles of disadvantage are perpetuated. Meanwhile, the urban children lack equal access to the mental health services they require to develop resilience, which compromises the commitments of child rights under the UNCRC. Unchecked, these inequalities will not </w:t>
      </w:r>
      <w:r w:rsidR="00CB3DFB">
        <w:t>only increase but also generate increased economic and social burdens,</w:t>
      </w:r>
      <w:r>
        <w:t xml:space="preserve"> projected to amount to £29 billion a year (Wickham et al., 2016).</w:t>
      </w:r>
    </w:p>
    <w:p w:rsidRPr="00A476F7" w:rsidR="004813CB" w:rsidP="00143AC3" w:rsidRDefault="004813CB" w14:paraId="096CE4AF" w14:textId="0FFA3444">
      <w:pPr>
        <w:pStyle w:val="Heading2"/>
      </w:pPr>
      <w:bookmarkStart w:name="_Toc208163505" w:id="39"/>
      <w:r w:rsidRPr="00A476F7">
        <w:t>4.6 Chapter Conclusion</w:t>
      </w:r>
      <w:bookmarkEnd w:id="39"/>
    </w:p>
    <w:p w:rsidRPr="00143AC3" w:rsidR="001C3AF6" w:rsidP="00143AC3" w:rsidRDefault="001F6EAD" w14:paraId="74B3EA5C" w14:textId="25D084F4">
      <w:r w:rsidRPr="001F6EAD">
        <w:t>In this chapter, the study</w:t>
      </w:r>
      <w:r w:rsidR="00CB3DFB">
        <w:t>'s findings are critically reviewed using three interdependent themes:</w:t>
      </w:r>
      <w:r w:rsidRPr="001F6EAD">
        <w:t xml:space="preserve"> barriers to accessing mental health services, policy and service gaps, and socioeconomic disparities in cities. This review has shown that stigma, housing insecurity, systemic racism, and lack of finances limit access to care, and austerity and sustained underfunding have exacerbated service gaps, especially in CAMHS and early childhood provision. Meanwhile, structural inequalities, including parental sacrifice, unsafe neighbourhoods and enduring high rates of child poverty, form cumulative disadvantage over the lifespan. Combined, these results indicate </w:t>
      </w:r>
      <w:r w:rsidR="00CB3DFB">
        <w:t xml:space="preserve">that </w:t>
      </w:r>
      <w:r w:rsidRPr="001F6EAD">
        <w:t xml:space="preserve">the barriers, failures of policy, and socioeconomic deprivation are not independent challenges but interacting forces that support loops of poor child mental health outcomes in the UK urban contexts. To </w:t>
      </w:r>
      <w:r w:rsidR="00CB3DFB">
        <w:t>address these inequalities, it is necessary to tackle</w:t>
      </w:r>
      <w:r w:rsidRPr="001F6EAD">
        <w:t xml:space="preserve"> the structural determinants by </w:t>
      </w:r>
      <w:r w:rsidRPr="001F6EAD">
        <w:lastRenderedPageBreak/>
        <w:t>employing cross-sectoral methods. These findings will be expanded upon in the following chapter to make policy, practi</w:t>
      </w:r>
      <w:r w:rsidR="00CB3DFB">
        <w:t>c</w:t>
      </w:r>
      <w:r w:rsidRPr="001F6EAD">
        <w:t>e and education recommendations.</w:t>
      </w:r>
    </w:p>
    <w:p w:rsidR="002865F5" w:rsidP="00636D9A" w:rsidRDefault="002865F5" w14:paraId="3AC5E236" w14:textId="77777777"/>
    <w:p w:rsidR="00636D9A" w:rsidP="00143AC3" w:rsidRDefault="00636D9A" w14:paraId="5053749D" w14:textId="0EAA101D">
      <w:pPr>
        <w:pStyle w:val="Heading1"/>
        <w:ind w:left="0"/>
        <w:rPr>
          <w:rFonts w:ascii="Aptos" w:hAnsi="Aptos"/>
        </w:rPr>
      </w:pPr>
      <w:bookmarkStart w:name="_Toc208163506" w:id="40"/>
      <w:r w:rsidRPr="00636D9A">
        <w:rPr>
          <w:rFonts w:ascii="Aptos" w:hAnsi="Aptos"/>
        </w:rPr>
        <w:t>C</w:t>
      </w:r>
      <w:r>
        <w:rPr>
          <w:rFonts w:ascii="Aptos" w:hAnsi="Aptos"/>
        </w:rPr>
        <w:t>HAPTER</w:t>
      </w:r>
      <w:r w:rsidRPr="00636D9A">
        <w:rPr>
          <w:rFonts w:ascii="Aptos" w:hAnsi="Aptos"/>
        </w:rPr>
        <w:t xml:space="preserve"> </w:t>
      </w:r>
      <w:r>
        <w:rPr>
          <w:rFonts w:ascii="Aptos" w:hAnsi="Aptos"/>
        </w:rPr>
        <w:t>5</w:t>
      </w:r>
      <w:r w:rsidRPr="00636D9A">
        <w:rPr>
          <w:rFonts w:ascii="Aptos" w:hAnsi="Aptos"/>
        </w:rPr>
        <w:t xml:space="preserve"> – </w:t>
      </w:r>
      <w:r>
        <w:rPr>
          <w:rFonts w:ascii="Aptos" w:hAnsi="Aptos"/>
        </w:rPr>
        <w:t>Conclusion and Recommendations</w:t>
      </w:r>
      <w:bookmarkEnd w:id="40"/>
    </w:p>
    <w:p w:rsidRPr="00143AC3" w:rsidR="00143AC3" w:rsidP="00143AC3" w:rsidRDefault="00143AC3" w14:paraId="69A1029B" w14:textId="77777777"/>
    <w:p w:rsidRPr="00143AC3" w:rsidR="00292A36" w:rsidP="00143AC3" w:rsidRDefault="00636D9A" w14:paraId="3628F6DF" w14:textId="4220E165">
      <w:pPr>
        <w:pStyle w:val="Heading2"/>
      </w:pPr>
      <w:bookmarkStart w:name="_Toc208163507" w:id="41"/>
      <w:r w:rsidRPr="00143AC3">
        <w:t>5.1 – Overall Conclusion</w:t>
      </w:r>
      <w:bookmarkEnd w:id="41"/>
      <w:r w:rsidRPr="00143AC3">
        <w:t xml:space="preserve"> </w:t>
      </w:r>
    </w:p>
    <w:p w:rsidR="001F6EAD" w:rsidP="001F6EAD" w:rsidRDefault="001F6EAD" w14:paraId="0A4F02F8" w14:textId="4BD10525">
      <w:r>
        <w:t xml:space="preserve">This dissertation </w:t>
      </w:r>
      <w:r w:rsidR="00CB3DFB">
        <w:t>aimed to understand how child poverty affects access to mental health services in UK urban cities, with objectives that focused on defining barriers to accessibility, evaluating policy and service gaps, and assess</w:t>
      </w:r>
      <w:r>
        <w:t xml:space="preserve">ing the influence of socioeconomic inequalities. Chapter 1 laid the groundwork </w:t>
      </w:r>
      <w:r w:rsidR="00CB3DFB">
        <w:t>for</w:t>
      </w:r>
      <w:r>
        <w:t xml:space="preserve"> the increased rate of child poverty in urban settings and made it a social and public health emergency. Chapter 2 examined the literature, which all showed correlations between deprivation, limited access to CAMHS, and worse mental health outcomes. In </w:t>
      </w:r>
      <w:r w:rsidR="00CB3DFB">
        <w:t>Chapter 3, the justification for secondary research was approved, and the studies</w:t>
      </w:r>
      <w:r>
        <w:t xml:space="preserve"> were synthesised using thematic analysis, which consisted of 20 studies. The findings were outlined in chapter 4, detailing three interconnected themes: barriers including stigma, housing insecurity, and systemic racism; policy and service gaps due to austerity and long-term underinvestment; and socioeconomic inequalities due to parental sacrifice, neighbourhood deprivation, and severe disparities in morbidity.</w:t>
      </w:r>
    </w:p>
    <w:p w:rsidRPr="00143AC3" w:rsidR="003B1E32" w:rsidP="001F6EAD" w:rsidRDefault="009A653A" w14:paraId="0AA56080" w14:textId="42DC81DF">
      <w:r w:rsidRPr="009A653A">
        <w:t xml:space="preserve">The research aims have been met, giving crucial and evidence-based understanding on the effects of child poverty on equitable delivery of mental health services. Finally, the dissertation reveals that these problems are structural and cyclic. These findings form the basis of the following recommendations that are viable in empowering CAMHS, integrate cross-sectoral policies and reduce urban inequalities to promote resilience and child rights. </w:t>
      </w:r>
      <w:r w:rsidR="001F6EAD">
        <w:t xml:space="preserve"> </w:t>
      </w:r>
      <w:r w:rsidRPr="00143AC3" w:rsidR="00211184">
        <w:t xml:space="preserve"> </w:t>
      </w:r>
    </w:p>
    <w:p w:rsidRPr="00143AC3" w:rsidR="00636D9A" w:rsidP="00143AC3" w:rsidRDefault="00636D9A" w14:paraId="71010707" w14:textId="298AE7EE">
      <w:pPr>
        <w:pStyle w:val="Heading2"/>
      </w:pPr>
      <w:bookmarkStart w:name="_Toc208163508" w:id="42"/>
      <w:r w:rsidRPr="00143AC3">
        <w:t>5.</w:t>
      </w:r>
      <w:r w:rsidRPr="00143AC3" w:rsidR="005C5E80">
        <w:t>2</w:t>
      </w:r>
      <w:r w:rsidRPr="00143AC3">
        <w:t xml:space="preserve"> – </w:t>
      </w:r>
      <w:r w:rsidRPr="00143AC3" w:rsidR="005C5E80">
        <w:t>Recommendations</w:t>
      </w:r>
      <w:bookmarkEnd w:id="42"/>
    </w:p>
    <w:p w:rsidRPr="00143AC3" w:rsidR="00143AC3" w:rsidP="00143AC3" w:rsidRDefault="009A653A" w14:paraId="6FB29D66" w14:textId="30594F40">
      <w:r w:rsidRPr="009A653A">
        <w:t xml:space="preserve">The recommendations given in the current chapter are developed directly based on the evidence and gaps in Chapter 4. They are meant to offer practical and realistic solutions that would solve the hindrances to accessibility, policy and service collapses, and the entrenched socioeconomic inequalities. Each recommendation has an </w:t>
      </w:r>
      <w:proofErr w:type="gramStart"/>
      <w:r w:rsidRPr="009A653A">
        <w:t>evidence based</w:t>
      </w:r>
      <w:proofErr w:type="gramEnd"/>
      <w:r w:rsidRPr="009A653A">
        <w:t xml:space="preserve"> basis 3, linking the research findings with policy, practice and education change proposals. At the same time, the feasibility of these suggestions ought to be taken into consideration in the scenario of budgetary constraints, political absence of motivation, and institutional resistance. Nevertheless, these barriers may be </w:t>
      </w:r>
      <w:r w:rsidRPr="009A653A">
        <w:lastRenderedPageBreak/>
        <w:t>addressed both at an individual level at interventions, as well as at the cross-sectoral level, which will offer useful experiences to more equal child mental health provision</w:t>
      </w:r>
      <w:r w:rsidRPr="001F6EAD" w:rsidR="001F6EAD">
        <w:t>.</w:t>
      </w:r>
    </w:p>
    <w:p w:rsidRPr="00143AC3" w:rsidR="00143AC3" w:rsidP="00143AC3" w:rsidRDefault="004739A4" w14:paraId="324D4F1C" w14:textId="02F7A55B">
      <w:pPr>
        <w:pStyle w:val="Heading3"/>
      </w:pPr>
      <w:bookmarkStart w:name="_Toc208163509" w:id="43"/>
      <w:r>
        <w:t xml:space="preserve">5.2.1 </w:t>
      </w:r>
      <w:r w:rsidRPr="00143AC3" w:rsidR="00143AC3">
        <w:t>Recommendation 1 – Strengthening CAMHS and Reducing Barriers</w:t>
      </w:r>
      <w:bookmarkEnd w:id="43"/>
    </w:p>
    <w:p w:rsidR="001F6EAD" w:rsidP="001F6EAD" w:rsidRDefault="001F6EAD" w14:paraId="04895A3C" w14:textId="3BD224D4">
      <w:r>
        <w:t xml:space="preserve">To </w:t>
      </w:r>
      <w:r w:rsidR="00CB3DFB">
        <w:t>address the gaps in inequity, Child and Adolescent Mental Health Services (CAMHS) should be better funded, and staff should be invested in learning cultural competence and reducing stigma</w:t>
      </w:r>
      <w:r>
        <w:t>. The avail</w:t>
      </w:r>
      <w:r w:rsidR="00CB3DFB">
        <w:t>ability</w:t>
      </w:r>
      <w:r>
        <w:t xml:space="preserve"> of CAMHS </w:t>
      </w:r>
      <w:r w:rsidR="00CB3DFB">
        <w:t>remains unsatisfactory, and children awaiting care often end up in a</w:t>
      </w:r>
      <w:r>
        <w:t xml:space="preserve"> long queue. Wickham et al. (2017) demonstrated that behavioural and mental health issues become a pressing need due to transitions into poverty. However, engagement is diminished due to stigma and mistrust, especially among the families living in poverty (Rose and McAuley, 2019). Furthermore, systemic racism makes the minority communities have even less access and worse treatment outcomes (Castro-Ramirez et al., 2021).</w:t>
      </w:r>
    </w:p>
    <w:p w:rsidRPr="00143AC3" w:rsidR="00143AC3" w:rsidP="001F6EAD" w:rsidRDefault="001F6EAD" w14:paraId="021AA845" w14:textId="14562E3B">
      <w:r>
        <w:t>The obstacles include long-term underinvestment, lack of personnel, and long-term stigma. In the absence of ring-fenced funding, CAMHS usually competes against other NHS priorities, which continues to drive service deficits. The remedy i</w:t>
      </w:r>
      <w:r w:rsidR="00CB3DFB">
        <w:t>nvolves a special stream of CAMHS funding, as well as schools and community-based partnerships,</w:t>
      </w:r>
      <w:r>
        <w:t xml:space="preserve"> to minimise access bottlenecks. </w:t>
      </w:r>
      <w:r w:rsidR="00CB3DFB">
        <w:t>Ensuring that peer-support models are embedded in community centres and non-governmental organisations would not only foster trust but also minimise stigma, particularly in deprived urban area</w:t>
      </w:r>
      <w:r>
        <w:t xml:space="preserve">s. An increase in cultural competence education guarantees responsive services to different communities, including </w:t>
      </w:r>
      <w:r w:rsidR="00CB3DFB">
        <w:t xml:space="preserve">addressing </w:t>
      </w:r>
      <w:r>
        <w:t>systemic disparities. This recommendation directly addresses structural and cultural barriers which at times leave the children most in need out by making CAMHS accessible, trusted, and well-resourced.</w:t>
      </w:r>
    </w:p>
    <w:p w:rsidRPr="00143AC3" w:rsidR="00143AC3" w:rsidP="00143AC3" w:rsidRDefault="00143AC3" w14:paraId="53B5FF5C" w14:textId="77777777">
      <w:pPr>
        <w:pStyle w:val="Heading3"/>
      </w:pPr>
      <w:bookmarkStart w:name="_Toc208163510" w:id="44"/>
      <w:r w:rsidRPr="00143AC3">
        <w:t>5.2.2 Recommendation 2 – Integrated Policy Approaches to Child Poverty</w:t>
      </w:r>
      <w:bookmarkEnd w:id="44"/>
    </w:p>
    <w:p w:rsidR="001F6EAD" w:rsidP="001F6EAD" w:rsidRDefault="009A653A" w14:paraId="7DAED246" w14:textId="4EB979A7">
      <w:r w:rsidRPr="009A653A">
        <w:t xml:space="preserve">The problem of child poverty and mental health impacts should be dealt with </w:t>
      </w:r>
      <w:proofErr w:type="spellStart"/>
      <w:r w:rsidRPr="009A653A">
        <w:t>at</w:t>
      </w:r>
      <w:proofErr w:type="spellEnd"/>
      <w:r w:rsidRPr="009A653A">
        <w:t xml:space="preserve"> cross-sector levels. Mental health planning should include housing, welfare, and education, as it has been proposed by </w:t>
      </w:r>
      <w:proofErr w:type="spellStart"/>
      <w:r w:rsidRPr="009A653A">
        <w:t>Wahlbeck</w:t>
      </w:r>
      <w:proofErr w:type="spellEnd"/>
      <w:r w:rsidRPr="009A653A">
        <w:t xml:space="preserve"> et al. (2017) in a so-called Mental Health in All Policies (MHIAP) framework. Housing insecurity affects stability and leads to a higher child stress (Hock et al., 2024), and such child life factors as lack of food or heating cause chronic stress in their lives (Main and Bradshaw, 2016). Food and fuel poverty drives up a condition, resulting in debt and cycles of ill-being (Rose and McAuley 2019)</w:t>
      </w:r>
      <w:r w:rsidR="001F6EAD">
        <w:t>.</w:t>
      </w:r>
    </w:p>
    <w:p w:rsidRPr="00143AC3" w:rsidR="00143AC3" w:rsidP="001F6EAD" w:rsidRDefault="001F6EAD" w14:paraId="3AEB74B4" w14:textId="2BBDD059">
      <w:r>
        <w:t xml:space="preserve">Obstacles to such integration </w:t>
      </w:r>
      <w:r w:rsidR="00CB3DFB">
        <w:t>include ingrained policy silos, the legacy of austerity, and shift</w:t>
      </w:r>
      <w:r>
        <w:t>ing political priorities. However, solutions exist. Accountability would be restored by reinstating legally binding child poverty targets, repealed under the Child Poverty Act in 2016. The formation of a cross-departmental task</w:t>
      </w:r>
      <w:r w:rsidR="00CB3DFB">
        <w:t xml:space="preserve"> </w:t>
      </w:r>
      <w:r>
        <w:t xml:space="preserve">force can coordinate housing, welfare and health policies on a </w:t>
      </w:r>
      <w:r>
        <w:lastRenderedPageBreak/>
        <w:t xml:space="preserve">single platform. The accountability of </w:t>
      </w:r>
      <w:r w:rsidR="00CB3DFB">
        <w:t xml:space="preserve">the </w:t>
      </w:r>
      <w:r>
        <w:t xml:space="preserve">local authority with Levelling Up funding would mean </w:t>
      </w:r>
      <w:r w:rsidR="00CB3DFB">
        <w:t>allocating resources</w:t>
      </w:r>
      <w:r>
        <w:t xml:space="preserve"> to deprived urban communities. </w:t>
      </w:r>
      <w:r w:rsidR="00CB3DFB">
        <w:t>The absence of integrated policy approaches will result in interventions that are</w:t>
      </w:r>
      <w:r>
        <w:t xml:space="preserve"> piecemeal and inadequate. MHiAP is a valuable approach to inequalities and enhancing child wellbeing by incorporating mental health into all areas of social policy, as it is both practical and evidence-based.</w:t>
      </w:r>
    </w:p>
    <w:p w:rsidRPr="00143AC3" w:rsidR="00143AC3" w:rsidP="00143AC3" w:rsidRDefault="00143AC3" w14:paraId="75E8FD25" w14:textId="77777777">
      <w:pPr>
        <w:pStyle w:val="Heading3"/>
      </w:pPr>
      <w:bookmarkStart w:name="_Toc208163511" w:id="45"/>
      <w:r w:rsidRPr="00143AC3">
        <w:t>5.2.3 Recommendation 3 – Tackling Urban Inequalities Through Early Intervention</w:t>
      </w:r>
      <w:bookmarkEnd w:id="45"/>
    </w:p>
    <w:p w:rsidR="001F6EAD" w:rsidP="001F6EAD" w:rsidRDefault="001F6EAD" w14:paraId="11796B20" w14:textId="223DFBDB">
      <w:r>
        <w:t>Urban inequalities need to be reduced through long-term investment</w:t>
      </w:r>
      <w:r w:rsidR="00CB3DFB">
        <w:t xml:space="preserve"> in both</w:t>
      </w:r>
      <w:r>
        <w:t xml:space="preserve"> Early Childhood Education and Care (ECEC) and neighbourhood renewal. There is evidence that poor-quality ECEC has only short-term benefits, but poorer children continue to be disproportionately underrepresented (Lloyd and Potter, 2014). Child stress is increased by neighbourhood deprivation, and families report overcrowding, </w:t>
      </w:r>
      <w:r w:rsidR="00CB3DFB">
        <w:t>i</w:t>
      </w:r>
      <w:r>
        <w:t>nsecure areas, and lack of play (Ucci et al., 2022). There is also a sharp disparity by socioeconomic status: children in poorer quintiles are twice the risk of dying, and children in the disadvantaged groups are 72 times more likely to have developed a chronic condition (Lee et al., 2023).</w:t>
      </w:r>
    </w:p>
    <w:p w:rsidRPr="00143AC3" w:rsidR="00143AC3" w:rsidP="001F6EAD" w:rsidRDefault="001F6EAD" w14:paraId="0C04E6A4" w14:textId="64B548E0">
      <w:r>
        <w:t xml:space="preserve">Obstacles </w:t>
      </w:r>
      <w:r w:rsidR="00CB3DFB">
        <w:t>include the high cost of scaling ECEC, uneven distribution of services, and short-term political cycles that hinde</w:t>
      </w:r>
      <w:r>
        <w:t xml:space="preserve">r long-term investment. Some of the solutions include </w:t>
      </w:r>
      <w:r w:rsidR="00CB3DFB">
        <w:t>subsidising childcare for low-income families, planning long-term local investments</w:t>
      </w:r>
      <w:r>
        <w:t>, and establishing public-pri</w:t>
      </w:r>
      <w:r w:rsidR="00CB3DFB">
        <w:t>v</w:t>
      </w:r>
      <w:r>
        <w:t xml:space="preserve">ate collaborations to finance neighbourhood renewal, such as safe green spaces and community facilities. Such interventions would not </w:t>
      </w:r>
      <w:r w:rsidR="00CB3DFB">
        <w:t>only decrease inequalities in the short term but also break the intergenerational poverty cycle by improving resilience, educational</w:t>
      </w:r>
      <w:r>
        <w:t xml:space="preserve"> levels, and long-term mental health outcomes. The most economical and socially fair approach to urban child poverty and its mental health impacts is early intervention.</w:t>
      </w:r>
    </w:p>
    <w:p w:rsidR="00211184" w:rsidRDefault="00211184" w14:paraId="61CD43C9" w14:textId="77777777"/>
    <w:p w:rsidR="00143AC3" w:rsidRDefault="00143AC3" w14:paraId="4541A0B9" w14:textId="77777777"/>
    <w:p w:rsidR="00143AC3" w:rsidRDefault="00143AC3" w14:paraId="2F76055D" w14:textId="77777777"/>
    <w:p w:rsidR="00143AC3" w:rsidRDefault="00143AC3" w14:paraId="0D2ADF26" w14:textId="77777777"/>
    <w:p w:rsidR="00143AC3" w:rsidRDefault="00143AC3" w14:paraId="0C0D2CF1" w14:textId="77777777"/>
    <w:p w:rsidR="00143AC3" w:rsidRDefault="00143AC3" w14:paraId="3E7DF8E5" w14:textId="77777777"/>
    <w:p w:rsidR="00143AC3" w:rsidRDefault="00143AC3" w14:paraId="7C669F51" w14:textId="77777777"/>
    <w:p w:rsidRPr="00BD2909" w:rsidR="00143AC3" w:rsidRDefault="00143AC3" w14:paraId="772AF7AC" w14:textId="77777777"/>
    <w:p w:rsidRPr="00636D9A" w:rsidR="00211184" w:rsidP="00211184" w:rsidRDefault="00211184" w14:paraId="3D3F3B28" w14:textId="1662D714">
      <w:pPr>
        <w:pStyle w:val="Heading1"/>
        <w:ind w:left="0"/>
        <w:rPr>
          <w:rFonts w:ascii="Aptos" w:hAnsi="Aptos"/>
        </w:rPr>
      </w:pPr>
      <w:bookmarkStart w:name="_Toc208163512" w:id="46"/>
      <w:r w:rsidRPr="00636D9A">
        <w:rPr>
          <w:rFonts w:ascii="Aptos" w:hAnsi="Aptos"/>
        </w:rPr>
        <w:lastRenderedPageBreak/>
        <w:t>C</w:t>
      </w:r>
      <w:r>
        <w:rPr>
          <w:rFonts w:ascii="Aptos" w:hAnsi="Aptos"/>
        </w:rPr>
        <w:t>HAPTER</w:t>
      </w:r>
      <w:r w:rsidRPr="00636D9A">
        <w:rPr>
          <w:rFonts w:ascii="Aptos" w:hAnsi="Aptos"/>
        </w:rPr>
        <w:t xml:space="preserve"> </w:t>
      </w:r>
      <w:r>
        <w:rPr>
          <w:rFonts w:ascii="Aptos" w:hAnsi="Aptos"/>
        </w:rPr>
        <w:t>6</w:t>
      </w:r>
      <w:r w:rsidRPr="00636D9A">
        <w:rPr>
          <w:rFonts w:ascii="Aptos" w:hAnsi="Aptos"/>
        </w:rPr>
        <w:t xml:space="preserve"> – </w:t>
      </w:r>
      <w:r>
        <w:rPr>
          <w:rFonts w:ascii="Aptos" w:hAnsi="Aptos"/>
        </w:rPr>
        <w:t>References and Appendices</w:t>
      </w:r>
      <w:bookmarkEnd w:id="46"/>
      <w:r w:rsidRPr="00636D9A">
        <w:rPr>
          <w:rFonts w:ascii="Aptos" w:hAnsi="Aptos"/>
        </w:rPr>
        <w:t xml:space="preserve"> </w:t>
      </w:r>
    </w:p>
    <w:p w:rsidR="00211184" w:rsidRDefault="00211184" w14:paraId="2EE69DD1" w14:textId="77777777"/>
    <w:p w:rsidRPr="008C38C3" w:rsidR="00621776" w:rsidP="00143AC3" w:rsidRDefault="00621776" w14:paraId="020975DD" w14:textId="16A395E8">
      <w:pPr>
        <w:pStyle w:val="Heading2"/>
      </w:pPr>
      <w:bookmarkStart w:name="_Toc208163513" w:id="47"/>
      <w:r w:rsidRPr="008C38C3">
        <w:t>6.1 – References</w:t>
      </w:r>
      <w:bookmarkEnd w:id="47"/>
      <w:r w:rsidRPr="008C38C3">
        <w:t xml:space="preserve"> </w:t>
      </w:r>
    </w:p>
    <w:p w:rsidRPr="00143AC3" w:rsidR="00143AC3" w:rsidP="00143AC3" w:rsidRDefault="00143AC3" w14:paraId="3F45E89C" w14:textId="77777777">
      <w:pPr>
        <w:jc w:val="left"/>
        <w:rPr>
          <w:rFonts w:cs="Arial"/>
          <w:color w:val="222222"/>
          <w:shd w:val="clear" w:color="auto" w:fill="FFFFFF"/>
        </w:rPr>
      </w:pPr>
      <w:r w:rsidRPr="00143AC3">
        <w:rPr>
          <w:rFonts w:cs="Arial"/>
          <w:color w:val="222222"/>
          <w:shd w:val="clear" w:color="auto" w:fill="FFFFFF"/>
        </w:rPr>
        <w:t>Ashworth, E., Demkowicz, O., Lendrum, A., &amp; Frearson, K. (2018). Coaching models of school-based prevention and promotion programmes: A qualitative exploration of UK teachers’ perceptions. </w:t>
      </w:r>
      <w:r w:rsidRPr="00143AC3">
        <w:rPr>
          <w:rFonts w:cs="Arial"/>
          <w:i/>
          <w:iCs/>
          <w:color w:val="222222"/>
          <w:shd w:val="clear" w:color="auto" w:fill="FFFFFF"/>
        </w:rPr>
        <w:t>School Mental Health</w:t>
      </w:r>
      <w:r w:rsidRPr="00143AC3">
        <w:rPr>
          <w:rFonts w:cs="Arial"/>
          <w:color w:val="222222"/>
          <w:shd w:val="clear" w:color="auto" w:fill="FFFFFF"/>
        </w:rPr>
        <w:t>, </w:t>
      </w:r>
      <w:r w:rsidRPr="00143AC3">
        <w:rPr>
          <w:rFonts w:cs="Arial"/>
          <w:i/>
          <w:iCs/>
          <w:color w:val="222222"/>
          <w:shd w:val="clear" w:color="auto" w:fill="FFFFFF"/>
        </w:rPr>
        <w:t>10</w:t>
      </w:r>
      <w:r w:rsidRPr="00143AC3">
        <w:rPr>
          <w:rFonts w:cs="Arial"/>
          <w:color w:val="222222"/>
          <w:shd w:val="clear" w:color="auto" w:fill="FFFFFF"/>
        </w:rPr>
        <w:t>, 287-300.</w:t>
      </w:r>
    </w:p>
    <w:p w:rsidRPr="00143AC3" w:rsidR="00143AC3" w:rsidP="00143AC3" w:rsidRDefault="00143AC3" w14:paraId="77F99132" w14:textId="77777777">
      <w:pPr>
        <w:jc w:val="left"/>
        <w:rPr>
          <w:rFonts w:cs="Arial"/>
          <w:color w:val="222222"/>
          <w:shd w:val="clear" w:color="auto" w:fill="FFFFFF"/>
        </w:rPr>
      </w:pPr>
      <w:r w:rsidRPr="00143AC3">
        <w:rPr>
          <w:rFonts w:cs="Arial"/>
          <w:color w:val="222222"/>
          <w:shd w:val="clear" w:color="auto" w:fill="FFFFFF"/>
        </w:rPr>
        <w:t>Axford, N., &amp; Morpeth, L. (2013). Evidence-based programs in children's services: A critical appraisal. </w:t>
      </w:r>
      <w:r w:rsidRPr="00143AC3">
        <w:rPr>
          <w:rFonts w:cs="Arial"/>
          <w:i/>
          <w:iCs/>
          <w:color w:val="222222"/>
          <w:shd w:val="clear" w:color="auto" w:fill="FFFFFF"/>
        </w:rPr>
        <w:t>Children and Youth Services Review</w:t>
      </w:r>
      <w:r w:rsidRPr="00143AC3">
        <w:rPr>
          <w:rFonts w:cs="Arial"/>
          <w:color w:val="222222"/>
          <w:shd w:val="clear" w:color="auto" w:fill="FFFFFF"/>
        </w:rPr>
        <w:t>, </w:t>
      </w:r>
      <w:r w:rsidRPr="00143AC3">
        <w:rPr>
          <w:rFonts w:cs="Arial"/>
          <w:i/>
          <w:iCs/>
          <w:color w:val="222222"/>
          <w:shd w:val="clear" w:color="auto" w:fill="FFFFFF"/>
        </w:rPr>
        <w:t>35</w:t>
      </w:r>
      <w:r w:rsidRPr="00143AC3">
        <w:rPr>
          <w:rFonts w:cs="Arial"/>
          <w:color w:val="222222"/>
          <w:shd w:val="clear" w:color="auto" w:fill="FFFFFF"/>
        </w:rPr>
        <w:t>(2), 268-277.</w:t>
      </w:r>
    </w:p>
    <w:p w:rsidRPr="00143AC3" w:rsidR="00143AC3" w:rsidP="00143AC3" w:rsidRDefault="00143AC3" w14:paraId="3C4413EA" w14:textId="77777777">
      <w:pPr>
        <w:jc w:val="left"/>
        <w:rPr>
          <w:rFonts w:cs="Arial"/>
          <w:color w:val="222222"/>
          <w:shd w:val="clear" w:color="auto" w:fill="FFFFFF"/>
        </w:rPr>
      </w:pPr>
      <w:r w:rsidRPr="00143AC3">
        <w:rPr>
          <w:rFonts w:cs="Arial"/>
          <w:color w:val="222222"/>
          <w:shd w:val="clear" w:color="auto" w:fill="FFFFFF"/>
        </w:rPr>
        <w:t>Adamson, P. (2013). Child well-being in rich countries: A comparative overview. </w:t>
      </w:r>
      <w:r w:rsidRPr="00143AC3">
        <w:rPr>
          <w:rFonts w:cs="Arial"/>
          <w:i/>
          <w:iCs/>
          <w:color w:val="222222"/>
          <w:shd w:val="clear" w:color="auto" w:fill="FFFFFF"/>
        </w:rPr>
        <w:t>Innocenti Report Card Papers</w:t>
      </w:r>
      <w:r w:rsidRPr="00143AC3">
        <w:rPr>
          <w:rFonts w:cs="Arial"/>
          <w:color w:val="222222"/>
          <w:shd w:val="clear" w:color="auto" w:fill="FFFFFF"/>
        </w:rPr>
        <w:t>, (inreca683).</w:t>
      </w:r>
    </w:p>
    <w:p w:rsidRPr="00143AC3" w:rsidR="00143AC3" w:rsidP="00143AC3" w:rsidRDefault="00143AC3" w14:paraId="1ABCCF4D" w14:textId="77777777">
      <w:pPr>
        <w:jc w:val="left"/>
        <w:rPr>
          <w:rFonts w:cs="Arial"/>
          <w:color w:val="222222"/>
          <w:shd w:val="clear" w:color="auto" w:fill="FFFFFF"/>
        </w:rPr>
      </w:pPr>
      <w:r w:rsidRPr="00143AC3">
        <w:rPr>
          <w:rFonts w:cs="Arial"/>
          <w:color w:val="222222"/>
          <w:shd w:val="clear" w:color="auto" w:fill="FFFFFF"/>
        </w:rPr>
        <w:t>Bennett, D. L., Schlüter, D. K., Melis, G., Bywaters, P., Alexiou, A., Barr, B., ... &amp; Taylor-Robinson, D. (2022). Child poverty and children entering care in England, 2015–20: a longitudinal ecological study at the local area level. </w:t>
      </w:r>
      <w:r w:rsidRPr="00143AC3">
        <w:rPr>
          <w:rFonts w:cs="Arial"/>
          <w:i/>
          <w:iCs/>
          <w:color w:val="222222"/>
          <w:shd w:val="clear" w:color="auto" w:fill="FFFFFF"/>
        </w:rPr>
        <w:t>The Lancet Public Health</w:t>
      </w:r>
      <w:r w:rsidRPr="00143AC3">
        <w:rPr>
          <w:rFonts w:cs="Arial"/>
          <w:color w:val="222222"/>
          <w:shd w:val="clear" w:color="auto" w:fill="FFFFFF"/>
        </w:rPr>
        <w:t>, </w:t>
      </w:r>
      <w:r w:rsidRPr="00143AC3">
        <w:rPr>
          <w:rFonts w:cs="Arial"/>
          <w:i/>
          <w:iCs/>
          <w:color w:val="222222"/>
          <w:shd w:val="clear" w:color="auto" w:fill="FFFFFF"/>
        </w:rPr>
        <w:t>7</w:t>
      </w:r>
      <w:r w:rsidRPr="00143AC3">
        <w:rPr>
          <w:rFonts w:cs="Arial"/>
          <w:color w:val="222222"/>
          <w:shd w:val="clear" w:color="auto" w:fill="FFFFFF"/>
        </w:rPr>
        <w:t>(6), e496-e503.</w:t>
      </w:r>
    </w:p>
    <w:p w:rsidRPr="00143AC3" w:rsidR="00143AC3" w:rsidP="00143AC3" w:rsidRDefault="00143AC3" w14:paraId="586987E6" w14:textId="77777777">
      <w:pPr>
        <w:jc w:val="left"/>
        <w:rPr>
          <w:rFonts w:cs="Arial"/>
          <w:color w:val="222222"/>
          <w:shd w:val="clear" w:color="auto" w:fill="FFFFFF"/>
        </w:rPr>
      </w:pPr>
      <w:r w:rsidRPr="00143AC3">
        <w:rPr>
          <w:rFonts w:cs="Arial"/>
          <w:color w:val="222222"/>
          <w:shd w:val="clear" w:color="auto" w:fill="FFFFFF"/>
        </w:rPr>
        <w:t>Bennett, D. L., Wickham, S., Barr, B., &amp; Taylor-Robinson, D. (2024). Poverty and children entering care in England: A qualitative study of local authority policymakers’ perspectives of challenges in Children’s Services. </w:t>
      </w:r>
      <w:r w:rsidRPr="00143AC3">
        <w:rPr>
          <w:rFonts w:cs="Arial"/>
          <w:i/>
          <w:iCs/>
          <w:color w:val="222222"/>
          <w:shd w:val="clear" w:color="auto" w:fill="FFFFFF"/>
        </w:rPr>
        <w:t>Children and Youth Services Review</w:t>
      </w:r>
      <w:r w:rsidRPr="00143AC3">
        <w:rPr>
          <w:rFonts w:cs="Arial"/>
          <w:color w:val="222222"/>
          <w:shd w:val="clear" w:color="auto" w:fill="FFFFFF"/>
        </w:rPr>
        <w:t>, </w:t>
      </w:r>
      <w:r w:rsidRPr="00143AC3">
        <w:rPr>
          <w:rFonts w:cs="Arial"/>
          <w:i/>
          <w:iCs/>
          <w:color w:val="222222"/>
          <w:shd w:val="clear" w:color="auto" w:fill="FFFFFF"/>
        </w:rPr>
        <w:t>162</w:t>
      </w:r>
      <w:r w:rsidRPr="00143AC3">
        <w:rPr>
          <w:rFonts w:cs="Arial"/>
          <w:color w:val="222222"/>
          <w:shd w:val="clear" w:color="auto" w:fill="FFFFFF"/>
        </w:rPr>
        <w:t>, 107689.</w:t>
      </w:r>
    </w:p>
    <w:p w:rsidRPr="00143AC3" w:rsidR="00143AC3" w:rsidP="00143AC3" w:rsidRDefault="00143AC3" w14:paraId="638F74F8" w14:textId="77777777">
      <w:pPr>
        <w:jc w:val="left"/>
        <w:rPr>
          <w:rFonts w:cs="Arial"/>
          <w:color w:val="222222"/>
          <w:shd w:val="clear" w:color="auto" w:fill="FFFFFF"/>
        </w:rPr>
      </w:pPr>
      <w:r w:rsidRPr="00143AC3">
        <w:rPr>
          <w:rFonts w:cs="Arial"/>
          <w:color w:val="222222"/>
          <w:shd w:val="clear" w:color="auto" w:fill="FFFFFF"/>
        </w:rPr>
        <w:t>Bradshaw, J. (2000). Child poverty in comparative perspective. In </w:t>
      </w:r>
      <w:r w:rsidRPr="00143AC3">
        <w:rPr>
          <w:rFonts w:cs="Arial"/>
          <w:i/>
          <w:iCs/>
          <w:color w:val="222222"/>
          <w:shd w:val="clear" w:color="auto" w:fill="FFFFFF"/>
        </w:rPr>
        <w:t>Breadline Europe</w:t>
      </w:r>
      <w:r w:rsidRPr="00143AC3">
        <w:rPr>
          <w:rFonts w:cs="Arial"/>
          <w:color w:val="222222"/>
          <w:shd w:val="clear" w:color="auto" w:fill="FFFFFF"/>
        </w:rPr>
        <w:t> (pp. 223-250). Policy Press.</w:t>
      </w:r>
    </w:p>
    <w:p w:rsidRPr="00143AC3" w:rsidR="00143AC3" w:rsidP="00143AC3" w:rsidRDefault="00143AC3" w14:paraId="118735F3" w14:textId="77777777">
      <w:pPr>
        <w:jc w:val="left"/>
        <w:rPr>
          <w:rFonts w:cs="Arial"/>
          <w:color w:val="222222"/>
          <w:shd w:val="clear" w:color="auto" w:fill="FFFFFF"/>
        </w:rPr>
      </w:pPr>
      <w:r w:rsidRPr="00143AC3">
        <w:rPr>
          <w:rFonts w:cs="AppleSystemUIFont"/>
          <w:kern w:val="0"/>
        </w:rPr>
        <w:t xml:space="preserve">BERA (British Educational Research Association) (2024). </w:t>
      </w:r>
      <w:r w:rsidRPr="00143AC3">
        <w:rPr>
          <w:rFonts w:cs="AppleSystemUIFont"/>
          <w:i/>
          <w:iCs/>
          <w:kern w:val="0"/>
        </w:rPr>
        <w:t xml:space="preserve">Revised Ethical Guidelines for Educational Research. Fourth Edition. </w:t>
      </w:r>
      <w:r w:rsidRPr="00143AC3">
        <w:rPr>
          <w:rFonts w:cs="AppleSystemUIFont"/>
          <w:kern w:val="0"/>
        </w:rPr>
        <w:t xml:space="preserve">Available from: </w:t>
      </w:r>
      <w:hyperlink w:history="1" r:id="rId12">
        <w:r w:rsidRPr="00143AC3">
          <w:rPr>
            <w:rFonts w:cs="AppleSystemUIFont"/>
            <w:kern w:val="0"/>
            <w:u w:val="single"/>
          </w:rPr>
          <w:t>https://www.bera.ac.uk/publication/ethical-guidelines-for-educational-research-fifth-edition-2024</w:t>
        </w:r>
      </w:hyperlink>
    </w:p>
    <w:p w:rsidRPr="00143AC3" w:rsidR="00143AC3" w:rsidP="00143AC3" w:rsidRDefault="00143AC3" w14:paraId="0B2D5551" w14:textId="77777777">
      <w:pPr>
        <w:jc w:val="left"/>
        <w:rPr>
          <w:rFonts w:cs="Arial"/>
          <w:color w:val="222222"/>
          <w:shd w:val="clear" w:color="auto" w:fill="FFFFFF"/>
        </w:rPr>
      </w:pPr>
      <w:r w:rsidRPr="00143AC3">
        <w:rPr>
          <w:rFonts w:cs="Arial"/>
          <w:color w:val="222222"/>
          <w:shd w:val="clear" w:color="auto" w:fill="FFFFFF"/>
        </w:rPr>
        <w:t>Braun, V., &amp; Clarke, V. (2006). Using thematic analysis in psychology. </w:t>
      </w:r>
      <w:r w:rsidRPr="00143AC3">
        <w:rPr>
          <w:rFonts w:cs="Arial"/>
          <w:i/>
          <w:iCs/>
          <w:color w:val="222222"/>
          <w:shd w:val="clear" w:color="auto" w:fill="FFFFFF"/>
        </w:rPr>
        <w:t>Qualitative research in psychology</w:t>
      </w:r>
      <w:r w:rsidRPr="00143AC3">
        <w:rPr>
          <w:rFonts w:cs="Arial"/>
          <w:color w:val="222222"/>
          <w:shd w:val="clear" w:color="auto" w:fill="FFFFFF"/>
        </w:rPr>
        <w:t>, </w:t>
      </w:r>
      <w:r w:rsidRPr="00143AC3">
        <w:rPr>
          <w:rFonts w:cs="Arial"/>
          <w:i/>
          <w:iCs/>
          <w:color w:val="222222"/>
          <w:shd w:val="clear" w:color="auto" w:fill="FFFFFF"/>
        </w:rPr>
        <w:t>3</w:t>
      </w:r>
      <w:r w:rsidRPr="00143AC3">
        <w:rPr>
          <w:rFonts w:cs="Arial"/>
          <w:color w:val="222222"/>
          <w:shd w:val="clear" w:color="auto" w:fill="FFFFFF"/>
        </w:rPr>
        <w:t>(2), 77-101.</w:t>
      </w:r>
    </w:p>
    <w:p w:rsidRPr="00143AC3" w:rsidR="00143AC3" w:rsidP="00143AC3" w:rsidRDefault="00143AC3" w14:paraId="652EB414" w14:textId="77777777">
      <w:pPr>
        <w:jc w:val="left"/>
        <w:rPr>
          <w:rFonts w:cs="Arial"/>
          <w:color w:val="222222"/>
          <w:shd w:val="clear" w:color="auto" w:fill="FFFFFF"/>
        </w:rPr>
      </w:pPr>
      <w:r w:rsidRPr="00143AC3">
        <w:rPr>
          <w:rFonts w:cs="Arial"/>
          <w:color w:val="222222"/>
          <w:shd w:val="clear" w:color="auto" w:fill="FFFFFF"/>
        </w:rPr>
        <w:t xml:space="preserve">Buck, D., &amp; </w:t>
      </w:r>
      <w:proofErr w:type="spellStart"/>
      <w:r w:rsidRPr="00143AC3">
        <w:rPr>
          <w:rFonts w:cs="Arial"/>
          <w:color w:val="222222"/>
          <w:shd w:val="clear" w:color="auto" w:fill="FFFFFF"/>
        </w:rPr>
        <w:t>Jabbal</w:t>
      </w:r>
      <w:proofErr w:type="spellEnd"/>
      <w:r w:rsidRPr="00143AC3">
        <w:rPr>
          <w:rFonts w:cs="Arial"/>
          <w:color w:val="222222"/>
          <w:shd w:val="clear" w:color="auto" w:fill="FFFFFF"/>
        </w:rPr>
        <w:t>, J. (2014). Tackling poverty: making more of the NHS in England. </w:t>
      </w:r>
      <w:r w:rsidRPr="00143AC3">
        <w:rPr>
          <w:rFonts w:cs="Arial"/>
          <w:i/>
          <w:iCs/>
          <w:color w:val="222222"/>
          <w:shd w:val="clear" w:color="auto" w:fill="FFFFFF"/>
        </w:rPr>
        <w:t>London: King’s Fund</w:t>
      </w:r>
      <w:r w:rsidRPr="00143AC3">
        <w:rPr>
          <w:rFonts w:cs="Arial"/>
          <w:color w:val="222222"/>
          <w:shd w:val="clear" w:color="auto" w:fill="FFFFFF"/>
        </w:rPr>
        <w:t>.</w:t>
      </w:r>
    </w:p>
    <w:p w:rsidRPr="00143AC3" w:rsidR="00143AC3" w:rsidP="00143AC3" w:rsidRDefault="00143AC3" w14:paraId="4BBF512F" w14:textId="77777777">
      <w:pPr>
        <w:jc w:val="left"/>
        <w:rPr>
          <w:rFonts w:cs="Arial"/>
          <w:color w:val="222222"/>
          <w:shd w:val="clear" w:color="auto" w:fill="FFFFFF"/>
        </w:rPr>
      </w:pPr>
      <w:r w:rsidRPr="00143AC3">
        <w:rPr>
          <w:rFonts w:cs="Arial"/>
          <w:color w:val="222222"/>
          <w:shd w:val="clear" w:color="auto" w:fill="FFFFFF"/>
        </w:rPr>
        <w:t>Bell, E., Harley, B., &amp; Bryman, A. (2022). </w:t>
      </w:r>
      <w:r w:rsidRPr="00143AC3">
        <w:rPr>
          <w:rFonts w:cs="Arial"/>
          <w:i/>
          <w:iCs/>
          <w:color w:val="222222"/>
          <w:shd w:val="clear" w:color="auto" w:fill="FFFFFF"/>
        </w:rPr>
        <w:t>Business research methods</w:t>
      </w:r>
      <w:r w:rsidRPr="00143AC3">
        <w:rPr>
          <w:rFonts w:cs="Arial"/>
          <w:color w:val="222222"/>
          <w:shd w:val="clear" w:color="auto" w:fill="FFFFFF"/>
        </w:rPr>
        <w:t>. Oxford university press.</w:t>
      </w:r>
    </w:p>
    <w:p w:rsidRPr="00143AC3" w:rsidR="00143AC3" w:rsidP="00143AC3" w:rsidRDefault="00143AC3" w14:paraId="059A63D3" w14:textId="77777777">
      <w:pPr>
        <w:jc w:val="left"/>
        <w:rPr>
          <w:rFonts w:cs="Arial"/>
          <w:color w:val="222222"/>
          <w:shd w:val="clear" w:color="auto" w:fill="FFFFFF"/>
        </w:rPr>
      </w:pPr>
      <w:r w:rsidRPr="00143AC3">
        <w:rPr>
          <w:rFonts w:cs="Arial"/>
          <w:color w:val="222222"/>
          <w:shd w:val="clear" w:color="auto" w:fill="FFFFFF"/>
        </w:rPr>
        <w:t>Bucelli, I., &amp; McKnight, A. (2024). Review of the mechanisms underlying the intergenerational transmission of poverty. </w:t>
      </w:r>
      <w:r w:rsidRPr="00143AC3">
        <w:rPr>
          <w:rFonts w:cs="Arial"/>
          <w:i/>
          <w:iCs/>
          <w:color w:val="222222"/>
          <w:shd w:val="clear" w:color="auto" w:fill="FFFFFF"/>
        </w:rPr>
        <w:t xml:space="preserve">Helsinki: </w:t>
      </w:r>
      <w:proofErr w:type="spellStart"/>
      <w:r w:rsidRPr="00143AC3">
        <w:rPr>
          <w:rFonts w:cs="Arial"/>
          <w:i/>
          <w:iCs/>
          <w:color w:val="222222"/>
          <w:shd w:val="clear" w:color="auto" w:fill="FFFFFF"/>
        </w:rPr>
        <w:t>Itla</w:t>
      </w:r>
      <w:proofErr w:type="spellEnd"/>
      <w:r w:rsidRPr="00143AC3">
        <w:rPr>
          <w:rFonts w:cs="Arial"/>
          <w:i/>
          <w:iCs/>
          <w:color w:val="222222"/>
          <w:shd w:val="clear" w:color="auto" w:fill="FFFFFF"/>
        </w:rPr>
        <w:t xml:space="preserve"> Reports</w:t>
      </w:r>
      <w:r w:rsidRPr="00143AC3">
        <w:rPr>
          <w:rFonts w:cs="Arial"/>
          <w:color w:val="222222"/>
          <w:shd w:val="clear" w:color="auto" w:fill="FFFFFF"/>
        </w:rPr>
        <w:t>, </w:t>
      </w:r>
      <w:r w:rsidRPr="00143AC3">
        <w:rPr>
          <w:rFonts w:cs="Arial"/>
          <w:i/>
          <w:iCs/>
          <w:color w:val="222222"/>
          <w:shd w:val="clear" w:color="auto" w:fill="FFFFFF"/>
        </w:rPr>
        <w:t>3</w:t>
      </w:r>
      <w:r w:rsidRPr="00143AC3">
        <w:rPr>
          <w:rFonts w:cs="Arial"/>
          <w:color w:val="222222"/>
          <w:shd w:val="clear" w:color="auto" w:fill="FFFFFF"/>
        </w:rPr>
        <w:t>.</w:t>
      </w:r>
    </w:p>
    <w:p w:rsidRPr="00143AC3" w:rsidR="00143AC3" w:rsidP="00143AC3" w:rsidRDefault="00143AC3" w14:paraId="0EF450C6" w14:textId="77777777">
      <w:pPr>
        <w:jc w:val="left"/>
        <w:rPr>
          <w:rFonts w:cs="Arial"/>
          <w:color w:val="222222"/>
          <w:shd w:val="clear" w:color="auto" w:fill="FFFFFF"/>
        </w:rPr>
      </w:pPr>
      <w:r w:rsidRPr="00143AC3">
        <w:rPr>
          <w:rFonts w:cs="Arial"/>
          <w:color w:val="222222"/>
          <w:shd w:val="clear" w:color="auto" w:fill="FFFFFF"/>
        </w:rPr>
        <w:lastRenderedPageBreak/>
        <w:t>Bronfenbrenner, U. (1979). </w:t>
      </w:r>
      <w:r w:rsidRPr="00143AC3">
        <w:rPr>
          <w:rFonts w:cs="Arial"/>
          <w:i/>
          <w:iCs/>
          <w:color w:val="222222"/>
          <w:shd w:val="clear" w:color="auto" w:fill="FFFFFF"/>
        </w:rPr>
        <w:t>The ecology of human development: Experiments by nature and design</w:t>
      </w:r>
      <w:r w:rsidRPr="00143AC3">
        <w:rPr>
          <w:rFonts w:cs="Arial"/>
          <w:color w:val="222222"/>
          <w:shd w:val="clear" w:color="auto" w:fill="FFFFFF"/>
        </w:rPr>
        <w:t>. Harvard university press.</w:t>
      </w:r>
    </w:p>
    <w:p w:rsidRPr="00143AC3" w:rsidR="00143AC3" w:rsidP="00143AC3" w:rsidRDefault="00143AC3" w14:paraId="220A5B9E" w14:textId="77777777">
      <w:pPr>
        <w:jc w:val="left"/>
        <w:rPr>
          <w:rFonts w:cs="Arial"/>
          <w:color w:val="222222"/>
          <w:shd w:val="clear" w:color="auto" w:fill="FFFFFF"/>
        </w:rPr>
      </w:pPr>
      <w:r w:rsidRPr="00143AC3">
        <w:rPr>
          <w:rFonts w:cs="Arial"/>
          <w:color w:val="222222"/>
          <w:shd w:val="clear" w:color="auto" w:fill="FFFFFF"/>
        </w:rPr>
        <w:t>Bradshaw, J., &amp; Main, G. (2016). Child poverty and deprivation. In </w:t>
      </w:r>
      <w:r w:rsidRPr="00143AC3">
        <w:rPr>
          <w:rFonts w:cs="Arial"/>
          <w:i/>
          <w:iCs/>
          <w:color w:val="222222"/>
          <w:shd w:val="clear" w:color="auto" w:fill="FFFFFF"/>
        </w:rPr>
        <w:t>The well-being of children in the UK</w:t>
      </w:r>
      <w:r w:rsidRPr="00143AC3">
        <w:rPr>
          <w:rFonts w:cs="Arial"/>
          <w:color w:val="222222"/>
          <w:shd w:val="clear" w:color="auto" w:fill="FFFFFF"/>
        </w:rPr>
        <w:t> (pp. 31-70). Policy Press.</w:t>
      </w:r>
    </w:p>
    <w:p w:rsidRPr="00143AC3" w:rsidR="00143AC3" w:rsidP="00143AC3" w:rsidRDefault="00143AC3" w14:paraId="02698BAD" w14:textId="77777777">
      <w:pPr>
        <w:jc w:val="left"/>
      </w:pPr>
      <w:r w:rsidRPr="00143AC3">
        <w:rPr>
          <w:rFonts w:cs="Arial"/>
          <w:color w:val="222222"/>
          <w:shd w:val="clear" w:color="auto" w:fill="FFFFFF"/>
        </w:rPr>
        <w:t xml:space="preserve">Ball, W. P., Black, C., Gordon, S., </w:t>
      </w:r>
      <w:proofErr w:type="spellStart"/>
      <w:r w:rsidRPr="00143AC3">
        <w:rPr>
          <w:rFonts w:cs="Arial"/>
          <w:color w:val="222222"/>
          <w:shd w:val="clear" w:color="auto" w:fill="FFFFFF"/>
        </w:rPr>
        <w:t>Ostrovska</w:t>
      </w:r>
      <w:proofErr w:type="spellEnd"/>
      <w:r w:rsidRPr="00143AC3">
        <w:rPr>
          <w:rFonts w:cs="Arial"/>
          <w:color w:val="222222"/>
          <w:shd w:val="clear" w:color="auto" w:fill="FFFFFF"/>
        </w:rPr>
        <w:t xml:space="preserve">, B., </w:t>
      </w:r>
      <w:proofErr w:type="spellStart"/>
      <w:r w:rsidRPr="00143AC3">
        <w:rPr>
          <w:rFonts w:cs="Arial"/>
          <w:color w:val="222222"/>
          <w:shd w:val="clear" w:color="auto" w:fill="FFFFFF"/>
        </w:rPr>
        <w:t>Paranjothy</w:t>
      </w:r>
      <w:proofErr w:type="spellEnd"/>
      <w:r w:rsidRPr="00143AC3">
        <w:rPr>
          <w:rFonts w:cs="Arial"/>
          <w:color w:val="222222"/>
          <w:shd w:val="clear" w:color="auto" w:fill="FFFFFF"/>
        </w:rPr>
        <w:t xml:space="preserve">, S., </w:t>
      </w:r>
      <w:proofErr w:type="spellStart"/>
      <w:r w:rsidRPr="00143AC3">
        <w:rPr>
          <w:rFonts w:cs="Arial"/>
          <w:color w:val="222222"/>
          <w:shd w:val="clear" w:color="auto" w:fill="FFFFFF"/>
        </w:rPr>
        <w:t>Rasalam</w:t>
      </w:r>
      <w:proofErr w:type="spellEnd"/>
      <w:r w:rsidRPr="00143AC3">
        <w:rPr>
          <w:rFonts w:cs="Arial"/>
          <w:color w:val="222222"/>
          <w:shd w:val="clear" w:color="auto" w:fill="FFFFFF"/>
        </w:rPr>
        <w:t>, A., ... &amp; Butler, J. E. (2023). Inequalities in children’s mental health care: analysis of routinely collected data on prescribing and referrals to secondary care. </w:t>
      </w:r>
      <w:r w:rsidRPr="00143AC3">
        <w:rPr>
          <w:rFonts w:cs="Arial"/>
          <w:i/>
          <w:iCs/>
          <w:color w:val="222222"/>
          <w:shd w:val="clear" w:color="auto" w:fill="FFFFFF"/>
        </w:rPr>
        <w:t>BMC psychiatry</w:t>
      </w:r>
      <w:r w:rsidRPr="00143AC3">
        <w:rPr>
          <w:rFonts w:cs="Arial"/>
          <w:color w:val="222222"/>
          <w:shd w:val="clear" w:color="auto" w:fill="FFFFFF"/>
        </w:rPr>
        <w:t>, </w:t>
      </w:r>
      <w:r w:rsidRPr="00143AC3">
        <w:rPr>
          <w:rFonts w:cs="Arial"/>
          <w:i/>
          <w:iCs/>
          <w:color w:val="222222"/>
          <w:shd w:val="clear" w:color="auto" w:fill="FFFFFF"/>
        </w:rPr>
        <w:t>23</w:t>
      </w:r>
      <w:r w:rsidRPr="00143AC3">
        <w:rPr>
          <w:rFonts w:cs="Arial"/>
          <w:color w:val="222222"/>
          <w:shd w:val="clear" w:color="auto" w:fill="FFFFFF"/>
        </w:rPr>
        <w:t>(1), 1-18.</w:t>
      </w:r>
    </w:p>
    <w:p w:rsidRPr="00143AC3" w:rsidR="00143AC3" w:rsidP="00143AC3" w:rsidRDefault="00143AC3" w14:paraId="3A613930" w14:textId="77777777">
      <w:pPr>
        <w:jc w:val="left"/>
      </w:pPr>
      <w:r w:rsidRPr="00143AC3">
        <w:rPr>
          <w:rFonts w:cs="Arial"/>
          <w:color w:val="222222"/>
          <w:shd w:val="clear" w:color="auto" w:fill="FFFFFF"/>
        </w:rPr>
        <w:t>Bradbury, A., &amp; Vince, S. (2025). Food Banks in Schools and Nurseries: The Education Sector’s Responses to the Cost-of-Living Crisis. In </w:t>
      </w:r>
      <w:r w:rsidRPr="00143AC3">
        <w:rPr>
          <w:rFonts w:cs="Arial"/>
          <w:i/>
          <w:iCs/>
          <w:color w:val="222222"/>
          <w:shd w:val="clear" w:color="auto" w:fill="FFFFFF"/>
        </w:rPr>
        <w:t>Food Banks in Schools and Nurseries</w:t>
      </w:r>
      <w:r w:rsidRPr="00143AC3">
        <w:rPr>
          <w:rFonts w:cs="Arial"/>
          <w:color w:val="222222"/>
          <w:shd w:val="clear" w:color="auto" w:fill="FFFFFF"/>
        </w:rPr>
        <w:t>. Policy Press.</w:t>
      </w:r>
    </w:p>
    <w:p w:rsidRPr="00143AC3" w:rsidR="00143AC3" w:rsidP="00143AC3" w:rsidRDefault="00143AC3" w14:paraId="3EDBBD34" w14:textId="77777777">
      <w:pPr>
        <w:jc w:val="left"/>
      </w:pPr>
      <w:r w:rsidRPr="00143AC3">
        <w:rPr>
          <w:rFonts w:cs="Arial"/>
          <w:color w:val="222222"/>
          <w:shd w:val="clear" w:color="auto" w:fill="FFFFFF"/>
        </w:rPr>
        <w:t>Benton, E., &amp; Power, A. E. (2023). Community responses to the cost-of-living crisis.</w:t>
      </w:r>
    </w:p>
    <w:p w:rsidRPr="00143AC3" w:rsidR="00143AC3" w:rsidP="00143AC3" w:rsidRDefault="00143AC3" w14:paraId="4DCB7B78" w14:textId="77777777">
      <w:pPr>
        <w:jc w:val="left"/>
        <w:rPr>
          <w:rFonts w:cs="Arial"/>
          <w:color w:val="222222"/>
          <w:shd w:val="clear" w:color="auto" w:fill="FFFFFF"/>
        </w:rPr>
      </w:pPr>
      <w:r w:rsidRPr="00143AC3">
        <w:rPr>
          <w:rFonts w:cs="Arial"/>
          <w:color w:val="222222"/>
          <w:shd w:val="clear" w:color="auto" w:fill="FFFFFF"/>
        </w:rPr>
        <w:t>Castro-Ramirez, F., Al-Suwaidi, M., Garcia, P., Rankin, O., Ricard, J. R., &amp; Nock, M. K. (2021). Racism and poverty are barriers to the treatment of youth mental health concerns. </w:t>
      </w:r>
      <w:r w:rsidRPr="00143AC3">
        <w:rPr>
          <w:rFonts w:cs="Arial"/>
          <w:i/>
          <w:iCs/>
          <w:color w:val="222222"/>
          <w:shd w:val="clear" w:color="auto" w:fill="FFFFFF"/>
        </w:rPr>
        <w:t>Journal of Clinical Child &amp; Adolescent Psychology</w:t>
      </w:r>
      <w:r w:rsidRPr="00143AC3">
        <w:rPr>
          <w:rFonts w:cs="Arial"/>
          <w:color w:val="222222"/>
          <w:shd w:val="clear" w:color="auto" w:fill="FFFFFF"/>
        </w:rPr>
        <w:t>, </w:t>
      </w:r>
      <w:r w:rsidRPr="00143AC3">
        <w:rPr>
          <w:rFonts w:cs="Arial"/>
          <w:i/>
          <w:iCs/>
          <w:color w:val="222222"/>
          <w:shd w:val="clear" w:color="auto" w:fill="FFFFFF"/>
        </w:rPr>
        <w:t>50</w:t>
      </w:r>
      <w:r w:rsidRPr="00143AC3">
        <w:rPr>
          <w:rFonts w:cs="Arial"/>
          <w:color w:val="222222"/>
          <w:shd w:val="clear" w:color="auto" w:fill="FFFFFF"/>
        </w:rPr>
        <w:t>(4), 534-546.</w:t>
      </w:r>
    </w:p>
    <w:p w:rsidRPr="00143AC3" w:rsidR="00143AC3" w:rsidP="00143AC3" w:rsidRDefault="00143AC3" w14:paraId="124C85A2" w14:textId="77777777">
      <w:pPr>
        <w:jc w:val="left"/>
        <w:rPr>
          <w:rFonts w:cs="Arial"/>
          <w:color w:val="222222"/>
          <w:shd w:val="clear" w:color="auto" w:fill="FFFFFF"/>
        </w:rPr>
      </w:pPr>
      <w:r w:rsidRPr="00143AC3">
        <w:rPr>
          <w:rFonts w:cs="Arial"/>
          <w:color w:val="222222"/>
          <w:shd w:val="clear" w:color="auto" w:fill="FFFFFF"/>
        </w:rPr>
        <w:t>Cantrell, A., Sworn, K., Chambers, D., Booth, A., Buck, E. T., Buck, E., &amp; Weich, S. (2024). Factors within the clinical encounter that impact upon risk assessment within child and adolescent mental health services: a rapid realist synthesis. </w:t>
      </w:r>
      <w:r w:rsidRPr="00143AC3">
        <w:rPr>
          <w:rFonts w:cs="Arial"/>
          <w:i/>
          <w:iCs/>
          <w:color w:val="222222"/>
          <w:shd w:val="clear" w:color="auto" w:fill="FFFFFF"/>
        </w:rPr>
        <w:t>Health and social care delivery research</w:t>
      </w:r>
      <w:r w:rsidRPr="00143AC3">
        <w:rPr>
          <w:rFonts w:cs="Arial"/>
          <w:color w:val="222222"/>
          <w:shd w:val="clear" w:color="auto" w:fill="FFFFFF"/>
        </w:rPr>
        <w:t>, </w:t>
      </w:r>
      <w:r w:rsidRPr="00143AC3">
        <w:rPr>
          <w:rFonts w:cs="Arial"/>
          <w:i/>
          <w:iCs/>
          <w:color w:val="222222"/>
          <w:shd w:val="clear" w:color="auto" w:fill="FFFFFF"/>
        </w:rPr>
        <w:t>12</w:t>
      </w:r>
      <w:r w:rsidRPr="00143AC3">
        <w:rPr>
          <w:rFonts w:cs="Arial"/>
          <w:color w:val="222222"/>
          <w:shd w:val="clear" w:color="auto" w:fill="FFFFFF"/>
        </w:rPr>
        <w:t>(1), 1-107.</w:t>
      </w:r>
    </w:p>
    <w:p w:rsidRPr="00143AC3" w:rsidR="00143AC3" w:rsidP="00143AC3" w:rsidRDefault="00143AC3" w14:paraId="1CAF65EE" w14:textId="77777777">
      <w:pPr>
        <w:jc w:val="left"/>
        <w:rPr>
          <w:rFonts w:cs="Arial"/>
          <w:color w:val="222222"/>
          <w:shd w:val="clear" w:color="auto" w:fill="FFFFFF"/>
        </w:rPr>
      </w:pPr>
      <w:r w:rsidRPr="00143AC3">
        <w:rPr>
          <w:rFonts w:cs="Arial"/>
          <w:color w:val="222222"/>
          <w:shd w:val="clear" w:color="auto" w:fill="FFFFFF"/>
        </w:rPr>
        <w:t>Clark, H., Lumsden, E., ROYAL, P., WEST, H., Revel, E., Leech, G., ... &amp; Wyllie, E. (2017). A Report by the All-Party Parliamentary Group on a Fit and Healthy Childhood: The Impact of Social and Economic Inequalities on Children's Health.</w:t>
      </w:r>
    </w:p>
    <w:p w:rsidRPr="00143AC3" w:rsidR="00143AC3" w:rsidP="00143AC3" w:rsidRDefault="00143AC3" w14:paraId="0FE61948" w14:textId="77777777">
      <w:pPr>
        <w:jc w:val="left"/>
        <w:rPr>
          <w:rFonts w:cs="Arial"/>
          <w:color w:val="222222"/>
          <w:shd w:val="clear" w:color="auto" w:fill="FFFFFF"/>
        </w:rPr>
      </w:pPr>
      <w:r w:rsidRPr="00143AC3">
        <w:rPr>
          <w:rFonts w:cs="Arial"/>
          <w:color w:val="222222"/>
          <w:shd w:val="clear" w:color="auto" w:fill="FFFFFF"/>
        </w:rPr>
        <w:t>Cottrell, S. (2023). </w:t>
      </w:r>
      <w:r w:rsidRPr="00143AC3">
        <w:rPr>
          <w:rFonts w:cs="Arial"/>
          <w:i/>
          <w:iCs/>
          <w:color w:val="222222"/>
          <w:shd w:val="clear" w:color="auto" w:fill="FFFFFF"/>
        </w:rPr>
        <w:t>Critical thinking skills: Effective analysis, argument and reflection</w:t>
      </w:r>
      <w:r w:rsidRPr="00143AC3">
        <w:rPr>
          <w:rFonts w:cs="Arial"/>
          <w:color w:val="222222"/>
          <w:shd w:val="clear" w:color="auto" w:fill="FFFFFF"/>
        </w:rPr>
        <w:t>. Bloomsbury Publishing.</w:t>
      </w:r>
    </w:p>
    <w:p w:rsidRPr="00143AC3" w:rsidR="00143AC3" w:rsidP="00143AC3" w:rsidRDefault="00143AC3" w14:paraId="09648D04" w14:textId="77777777">
      <w:pPr>
        <w:jc w:val="left"/>
        <w:rPr>
          <w:rFonts w:cs="Arial"/>
          <w:color w:val="222222"/>
          <w:shd w:val="clear" w:color="auto" w:fill="FFFFFF"/>
        </w:rPr>
      </w:pPr>
      <w:r w:rsidRPr="00143AC3">
        <w:rPr>
          <w:rFonts w:cs="Arial"/>
          <w:color w:val="222222"/>
          <w:shd w:val="clear" w:color="auto" w:fill="FFFFFF"/>
        </w:rPr>
        <w:t>Creswell, J. W., &amp; Miller, D. L. (2000). Determining validity in qualitative inquiry. </w:t>
      </w:r>
      <w:r w:rsidRPr="00143AC3">
        <w:rPr>
          <w:rFonts w:cs="Arial"/>
          <w:i/>
          <w:iCs/>
          <w:color w:val="222222"/>
          <w:shd w:val="clear" w:color="auto" w:fill="FFFFFF"/>
        </w:rPr>
        <w:t>Theory into practice</w:t>
      </w:r>
      <w:r w:rsidRPr="00143AC3">
        <w:rPr>
          <w:rFonts w:cs="Arial"/>
          <w:color w:val="222222"/>
          <w:shd w:val="clear" w:color="auto" w:fill="FFFFFF"/>
        </w:rPr>
        <w:t>, </w:t>
      </w:r>
      <w:r w:rsidRPr="00143AC3">
        <w:rPr>
          <w:rFonts w:cs="Arial"/>
          <w:i/>
          <w:iCs/>
          <w:color w:val="222222"/>
          <w:shd w:val="clear" w:color="auto" w:fill="FFFFFF"/>
        </w:rPr>
        <w:t>39</w:t>
      </w:r>
      <w:r w:rsidRPr="00143AC3">
        <w:rPr>
          <w:rFonts w:cs="Arial"/>
          <w:color w:val="222222"/>
          <w:shd w:val="clear" w:color="auto" w:fill="FFFFFF"/>
        </w:rPr>
        <w:t>(3), 124-130.</w:t>
      </w:r>
    </w:p>
    <w:p w:rsidRPr="00143AC3" w:rsidR="00143AC3" w:rsidP="00143AC3" w:rsidRDefault="00143AC3" w14:paraId="71828C38" w14:textId="77777777">
      <w:pPr>
        <w:jc w:val="left"/>
      </w:pPr>
      <w:r w:rsidRPr="00143AC3">
        <w:rPr>
          <w:rFonts w:cs="Arial"/>
          <w:color w:val="222222"/>
          <w:shd w:val="clear" w:color="auto" w:fill="FFFFFF"/>
        </w:rPr>
        <w:t xml:space="preserve">Creswell, J. W., &amp; </w:t>
      </w:r>
      <w:proofErr w:type="spellStart"/>
      <w:r w:rsidRPr="00143AC3">
        <w:rPr>
          <w:rFonts w:cs="Arial"/>
          <w:color w:val="222222"/>
          <w:shd w:val="clear" w:color="auto" w:fill="FFFFFF"/>
        </w:rPr>
        <w:t>Poth</w:t>
      </w:r>
      <w:proofErr w:type="spellEnd"/>
      <w:r w:rsidRPr="00143AC3">
        <w:rPr>
          <w:rFonts w:cs="Arial"/>
          <w:color w:val="222222"/>
          <w:shd w:val="clear" w:color="auto" w:fill="FFFFFF"/>
        </w:rPr>
        <w:t>, C. N. (2016). </w:t>
      </w:r>
      <w:r w:rsidRPr="00143AC3">
        <w:rPr>
          <w:rFonts w:cs="Arial"/>
          <w:i/>
          <w:iCs/>
          <w:color w:val="222222"/>
          <w:shd w:val="clear" w:color="auto" w:fill="FFFFFF"/>
        </w:rPr>
        <w:t>Qualitative inquiry and research design: Choosing among five approaches</w:t>
      </w:r>
      <w:r w:rsidRPr="00143AC3">
        <w:rPr>
          <w:rFonts w:cs="Arial"/>
          <w:color w:val="222222"/>
          <w:shd w:val="clear" w:color="auto" w:fill="FFFFFF"/>
        </w:rPr>
        <w:t>. Sage publications.</w:t>
      </w:r>
    </w:p>
    <w:p w:rsidRPr="00143AC3" w:rsidR="00143AC3" w:rsidP="00143AC3" w:rsidRDefault="00143AC3" w14:paraId="384A4245" w14:textId="77777777">
      <w:pPr>
        <w:jc w:val="left"/>
        <w:rPr>
          <w:rFonts w:cs="Arial"/>
          <w:color w:val="222222"/>
          <w:shd w:val="clear" w:color="auto" w:fill="FFFFFF"/>
        </w:rPr>
      </w:pPr>
      <w:r w:rsidRPr="00143AC3">
        <w:rPr>
          <w:rFonts w:cs="Arial"/>
          <w:color w:val="222222"/>
          <w:shd w:val="clear" w:color="auto" w:fill="FFFFFF"/>
        </w:rPr>
        <w:t xml:space="preserve">Callaghan, J. E. M., Fellin, L. C., </w:t>
      </w:r>
      <w:proofErr w:type="spellStart"/>
      <w:r w:rsidRPr="00143AC3">
        <w:rPr>
          <w:rFonts w:cs="Arial"/>
          <w:color w:val="222222"/>
          <w:shd w:val="clear" w:color="auto" w:fill="FFFFFF"/>
        </w:rPr>
        <w:t>Mavrou</w:t>
      </w:r>
      <w:proofErr w:type="spellEnd"/>
      <w:r w:rsidRPr="00143AC3">
        <w:rPr>
          <w:rFonts w:cs="Arial"/>
          <w:color w:val="222222"/>
          <w:shd w:val="clear" w:color="auto" w:fill="FFFFFF"/>
        </w:rPr>
        <w:t>, S., Alexander, J., &amp; Sixsmith, J. (2017). The management of disclosure in children’s accounts of domestic violence: Practices of telling and not telling. </w:t>
      </w:r>
      <w:r w:rsidRPr="00143AC3">
        <w:rPr>
          <w:rFonts w:cs="Arial"/>
          <w:i/>
          <w:iCs/>
          <w:color w:val="222222"/>
          <w:shd w:val="clear" w:color="auto" w:fill="FFFFFF"/>
        </w:rPr>
        <w:t>Journal of Child and Family Studies</w:t>
      </w:r>
      <w:r w:rsidRPr="00143AC3">
        <w:rPr>
          <w:rFonts w:cs="Arial"/>
          <w:color w:val="222222"/>
          <w:shd w:val="clear" w:color="auto" w:fill="FFFFFF"/>
        </w:rPr>
        <w:t>, </w:t>
      </w:r>
      <w:r w:rsidRPr="00143AC3">
        <w:rPr>
          <w:rFonts w:cs="Arial"/>
          <w:i/>
          <w:iCs/>
          <w:color w:val="222222"/>
          <w:shd w:val="clear" w:color="auto" w:fill="FFFFFF"/>
        </w:rPr>
        <w:t>26</w:t>
      </w:r>
      <w:r w:rsidRPr="00143AC3">
        <w:rPr>
          <w:rFonts w:cs="Arial"/>
          <w:color w:val="222222"/>
          <w:shd w:val="clear" w:color="auto" w:fill="FFFFFF"/>
        </w:rPr>
        <w:t>, 3370-3387.</w:t>
      </w:r>
    </w:p>
    <w:p w:rsidRPr="00143AC3" w:rsidR="00143AC3" w:rsidP="00143AC3" w:rsidRDefault="00143AC3" w14:paraId="13DD298F" w14:textId="77777777">
      <w:pPr>
        <w:jc w:val="left"/>
        <w:rPr>
          <w:rFonts w:cs="Arial"/>
          <w:color w:val="222222"/>
          <w:shd w:val="clear" w:color="auto" w:fill="FFFFFF"/>
        </w:rPr>
      </w:pPr>
      <w:r w:rsidRPr="00143AC3">
        <w:rPr>
          <w:rFonts w:cs="Arial"/>
          <w:color w:val="222222"/>
          <w:shd w:val="clear" w:color="auto" w:fill="FFFFFF"/>
        </w:rPr>
        <w:lastRenderedPageBreak/>
        <w:t>Callaghan, J. E., Fellin, L. C., &amp; Warner-Gale, F. (2017). A critical analysis of Child and Adolescent Mental Health Services policy in England. </w:t>
      </w:r>
      <w:r w:rsidRPr="00143AC3">
        <w:rPr>
          <w:rFonts w:cs="Arial"/>
          <w:i/>
          <w:iCs/>
          <w:color w:val="222222"/>
          <w:shd w:val="clear" w:color="auto" w:fill="FFFFFF"/>
        </w:rPr>
        <w:t>Clinical child psychology and psychiatry</w:t>
      </w:r>
      <w:r w:rsidRPr="00143AC3">
        <w:rPr>
          <w:rFonts w:cs="Arial"/>
          <w:color w:val="222222"/>
          <w:shd w:val="clear" w:color="auto" w:fill="FFFFFF"/>
        </w:rPr>
        <w:t>, </w:t>
      </w:r>
      <w:r w:rsidRPr="00143AC3">
        <w:rPr>
          <w:rFonts w:cs="Arial"/>
          <w:i/>
          <w:iCs/>
          <w:color w:val="222222"/>
          <w:shd w:val="clear" w:color="auto" w:fill="FFFFFF"/>
        </w:rPr>
        <w:t>22</w:t>
      </w:r>
      <w:r w:rsidRPr="00143AC3">
        <w:rPr>
          <w:rFonts w:cs="Arial"/>
          <w:color w:val="222222"/>
          <w:shd w:val="clear" w:color="auto" w:fill="FFFFFF"/>
        </w:rPr>
        <w:t>(1), 109-127.</w:t>
      </w:r>
    </w:p>
    <w:p w:rsidRPr="00143AC3" w:rsidR="00143AC3" w:rsidP="00143AC3" w:rsidRDefault="00143AC3" w14:paraId="26901A48" w14:textId="77777777">
      <w:pPr>
        <w:jc w:val="left"/>
        <w:rPr>
          <w:rFonts w:cs="Arial"/>
          <w:color w:val="222222"/>
          <w:shd w:val="clear" w:color="auto" w:fill="FFFFFF"/>
        </w:rPr>
      </w:pPr>
      <w:r w:rsidRPr="00143AC3">
        <w:rPr>
          <w:rFonts w:cs="Arial"/>
          <w:color w:val="222222"/>
          <w:shd w:val="clear" w:color="auto" w:fill="FFFFFF"/>
        </w:rPr>
        <w:t>Clair, A. (2019). Housing: an under-explored influence on children’s well-being and becoming. </w:t>
      </w:r>
      <w:r w:rsidRPr="00143AC3">
        <w:rPr>
          <w:rFonts w:cs="Arial"/>
          <w:i/>
          <w:iCs/>
          <w:color w:val="222222"/>
          <w:shd w:val="clear" w:color="auto" w:fill="FFFFFF"/>
        </w:rPr>
        <w:t>Child Indicators Research</w:t>
      </w:r>
      <w:r w:rsidRPr="00143AC3">
        <w:rPr>
          <w:rFonts w:cs="Arial"/>
          <w:color w:val="222222"/>
          <w:shd w:val="clear" w:color="auto" w:fill="FFFFFF"/>
        </w:rPr>
        <w:t>, </w:t>
      </w:r>
      <w:r w:rsidRPr="00143AC3">
        <w:rPr>
          <w:rFonts w:cs="Arial"/>
          <w:i/>
          <w:iCs/>
          <w:color w:val="222222"/>
          <w:shd w:val="clear" w:color="auto" w:fill="FFFFFF"/>
        </w:rPr>
        <w:t>12</w:t>
      </w:r>
      <w:r w:rsidRPr="00143AC3">
        <w:rPr>
          <w:rFonts w:cs="Arial"/>
          <w:color w:val="222222"/>
          <w:shd w:val="clear" w:color="auto" w:fill="FFFFFF"/>
        </w:rPr>
        <w:t>(2), 609-626.</w:t>
      </w:r>
    </w:p>
    <w:p w:rsidRPr="00143AC3" w:rsidR="00143AC3" w:rsidP="00143AC3" w:rsidRDefault="00143AC3" w14:paraId="014D1301" w14:textId="77777777">
      <w:pPr>
        <w:jc w:val="left"/>
        <w:rPr>
          <w:rFonts w:cs="Arial"/>
          <w:color w:val="222222"/>
          <w:shd w:val="clear" w:color="auto" w:fill="FFFFFF"/>
        </w:rPr>
      </w:pPr>
      <w:r w:rsidRPr="00143AC3">
        <w:rPr>
          <w:rFonts w:cs="Arial"/>
          <w:color w:val="222222"/>
          <w:shd w:val="clear" w:color="auto" w:fill="FFFFFF"/>
        </w:rPr>
        <w:t>Darlington, Y., Feeney, J. A., &amp; Rixon, K. (2005). Interagency collaboration between child protection and mental health services: Practices, attitudes and barriers. </w:t>
      </w:r>
      <w:r w:rsidRPr="00143AC3">
        <w:rPr>
          <w:rFonts w:cs="Arial"/>
          <w:i/>
          <w:iCs/>
          <w:color w:val="222222"/>
          <w:shd w:val="clear" w:color="auto" w:fill="FFFFFF"/>
        </w:rPr>
        <w:t>Child abuse &amp; neglect</w:t>
      </w:r>
      <w:r w:rsidRPr="00143AC3">
        <w:rPr>
          <w:rFonts w:cs="Arial"/>
          <w:color w:val="222222"/>
          <w:shd w:val="clear" w:color="auto" w:fill="FFFFFF"/>
        </w:rPr>
        <w:t>, </w:t>
      </w:r>
      <w:r w:rsidRPr="00143AC3">
        <w:rPr>
          <w:rFonts w:cs="Arial"/>
          <w:i/>
          <w:iCs/>
          <w:color w:val="222222"/>
          <w:shd w:val="clear" w:color="auto" w:fill="FFFFFF"/>
        </w:rPr>
        <w:t>29</w:t>
      </w:r>
      <w:r w:rsidRPr="00143AC3">
        <w:rPr>
          <w:rFonts w:cs="Arial"/>
          <w:color w:val="222222"/>
          <w:shd w:val="clear" w:color="auto" w:fill="FFFFFF"/>
        </w:rPr>
        <w:t>(10), 1085-1098.</w:t>
      </w:r>
    </w:p>
    <w:p w:rsidRPr="00143AC3" w:rsidR="00143AC3" w:rsidP="00143AC3" w:rsidRDefault="00143AC3" w14:paraId="04DEAE7C" w14:textId="77777777">
      <w:pPr>
        <w:jc w:val="left"/>
        <w:rPr>
          <w:rFonts w:cs="Arial"/>
          <w:color w:val="222222"/>
          <w:shd w:val="clear" w:color="auto" w:fill="FFFFFF"/>
        </w:rPr>
      </w:pPr>
      <w:r w:rsidRPr="00143AC3">
        <w:rPr>
          <w:rFonts w:cs="Arial"/>
          <w:color w:val="222222"/>
          <w:shd w:val="clear" w:color="auto" w:fill="FFFFFF"/>
        </w:rPr>
        <w:t>Dorling, D. (2024). The UK: international child poverty outlier. </w:t>
      </w:r>
      <w:r w:rsidRPr="00143AC3">
        <w:rPr>
          <w:rFonts w:cs="Arial"/>
          <w:i/>
          <w:iCs/>
          <w:color w:val="222222"/>
          <w:shd w:val="clear" w:color="auto" w:fill="FFFFFF"/>
        </w:rPr>
        <w:t>Geography</w:t>
      </w:r>
      <w:r w:rsidRPr="00143AC3">
        <w:rPr>
          <w:rFonts w:cs="Arial"/>
          <w:color w:val="222222"/>
          <w:shd w:val="clear" w:color="auto" w:fill="FFFFFF"/>
        </w:rPr>
        <w:t>, </w:t>
      </w:r>
      <w:r w:rsidRPr="00143AC3">
        <w:rPr>
          <w:rFonts w:cs="Arial"/>
          <w:i/>
          <w:iCs/>
          <w:color w:val="222222"/>
          <w:shd w:val="clear" w:color="auto" w:fill="FFFFFF"/>
        </w:rPr>
        <w:t>109</w:t>
      </w:r>
      <w:r w:rsidRPr="00143AC3">
        <w:rPr>
          <w:rFonts w:cs="Arial"/>
          <w:color w:val="222222"/>
          <w:shd w:val="clear" w:color="auto" w:fill="FFFFFF"/>
        </w:rPr>
        <w:t>(3), 127-136.</w:t>
      </w:r>
    </w:p>
    <w:p w:rsidRPr="00143AC3" w:rsidR="00143AC3" w:rsidP="00143AC3" w:rsidRDefault="00143AC3" w14:paraId="6DD88976" w14:textId="77777777">
      <w:pPr>
        <w:jc w:val="left"/>
        <w:rPr>
          <w:rFonts w:cs="Arial"/>
          <w:color w:val="222222"/>
          <w:shd w:val="clear" w:color="auto" w:fill="FFFFFF"/>
        </w:rPr>
      </w:pPr>
      <w:r w:rsidRPr="00143AC3">
        <w:rPr>
          <w:rFonts w:cs="Arial"/>
          <w:color w:val="222222"/>
          <w:shd w:val="clear" w:color="auto" w:fill="FFFFFF"/>
        </w:rPr>
        <w:t>Evans, G. W., &amp; De France, K. (2022). Childhood poverty and psychological well-being: The mediating role of cumulative risk exposure. </w:t>
      </w:r>
      <w:r w:rsidRPr="00143AC3">
        <w:rPr>
          <w:rFonts w:cs="Arial"/>
          <w:i/>
          <w:iCs/>
          <w:color w:val="222222"/>
          <w:shd w:val="clear" w:color="auto" w:fill="FFFFFF"/>
        </w:rPr>
        <w:t>Development and psychopathology</w:t>
      </w:r>
      <w:r w:rsidRPr="00143AC3">
        <w:rPr>
          <w:rFonts w:cs="Arial"/>
          <w:color w:val="222222"/>
          <w:shd w:val="clear" w:color="auto" w:fill="FFFFFF"/>
        </w:rPr>
        <w:t>, </w:t>
      </w:r>
      <w:r w:rsidRPr="00143AC3">
        <w:rPr>
          <w:rFonts w:cs="Arial"/>
          <w:i/>
          <w:iCs/>
          <w:color w:val="222222"/>
          <w:shd w:val="clear" w:color="auto" w:fill="FFFFFF"/>
        </w:rPr>
        <w:t>34</w:t>
      </w:r>
      <w:r w:rsidRPr="00143AC3">
        <w:rPr>
          <w:rFonts w:cs="Arial"/>
          <w:color w:val="222222"/>
          <w:shd w:val="clear" w:color="auto" w:fill="FFFFFF"/>
        </w:rPr>
        <w:t>(3), 911-921.</w:t>
      </w:r>
    </w:p>
    <w:p w:rsidRPr="00143AC3" w:rsidR="00143AC3" w:rsidP="00143AC3" w:rsidRDefault="00143AC3" w14:paraId="271E64F9" w14:textId="77777777">
      <w:pPr>
        <w:jc w:val="left"/>
        <w:rPr>
          <w:rFonts w:cs="Arial"/>
          <w:color w:val="222222"/>
          <w:shd w:val="clear" w:color="auto" w:fill="FFFFFF"/>
        </w:rPr>
      </w:pPr>
      <w:r w:rsidRPr="00143AC3">
        <w:rPr>
          <w:rFonts w:cs="Arial"/>
          <w:color w:val="222222"/>
          <w:shd w:val="clear" w:color="auto" w:fill="FFFFFF"/>
        </w:rPr>
        <w:t>Evans, G. W., Li, D., &amp; Whipple, S. S. (2013). Cumulative risk and child development. </w:t>
      </w:r>
      <w:r w:rsidRPr="00143AC3">
        <w:rPr>
          <w:rFonts w:cs="Arial"/>
          <w:i/>
          <w:iCs/>
          <w:color w:val="222222"/>
          <w:shd w:val="clear" w:color="auto" w:fill="FFFFFF"/>
        </w:rPr>
        <w:t>Psychological bulletin</w:t>
      </w:r>
      <w:r w:rsidRPr="00143AC3">
        <w:rPr>
          <w:rFonts w:cs="Arial"/>
          <w:color w:val="222222"/>
          <w:shd w:val="clear" w:color="auto" w:fill="FFFFFF"/>
        </w:rPr>
        <w:t>, </w:t>
      </w:r>
      <w:r w:rsidRPr="00143AC3">
        <w:rPr>
          <w:rFonts w:cs="Arial"/>
          <w:i/>
          <w:iCs/>
          <w:color w:val="222222"/>
          <w:shd w:val="clear" w:color="auto" w:fill="FFFFFF"/>
        </w:rPr>
        <w:t>139</w:t>
      </w:r>
      <w:r w:rsidRPr="00143AC3">
        <w:rPr>
          <w:rFonts w:cs="Arial"/>
          <w:color w:val="222222"/>
          <w:shd w:val="clear" w:color="auto" w:fill="FFFFFF"/>
        </w:rPr>
        <w:t>(6), 1342.</w:t>
      </w:r>
    </w:p>
    <w:p w:rsidRPr="00143AC3" w:rsidR="00143AC3" w:rsidP="00143AC3" w:rsidRDefault="00143AC3" w14:paraId="0358652C" w14:textId="77777777">
      <w:pPr>
        <w:jc w:val="left"/>
        <w:rPr>
          <w:rFonts w:cs="Arial"/>
          <w:color w:val="222222"/>
          <w:shd w:val="clear" w:color="auto" w:fill="FFFFFF"/>
        </w:rPr>
      </w:pPr>
      <w:r w:rsidRPr="00143AC3">
        <w:rPr>
          <w:rFonts w:cs="Arial"/>
          <w:color w:val="222222"/>
          <w:shd w:val="clear" w:color="auto" w:fill="FFFFFF"/>
        </w:rPr>
        <w:t xml:space="preserve">Etherington, D., Jones, M., &amp; Telford, L. (2022). COVID crisis, austerity and the ‘Left </w:t>
      </w:r>
      <w:proofErr w:type="spellStart"/>
      <w:r w:rsidRPr="00143AC3">
        <w:rPr>
          <w:rFonts w:cs="Arial"/>
          <w:color w:val="222222"/>
          <w:shd w:val="clear" w:color="auto" w:fill="FFFFFF"/>
        </w:rPr>
        <w:t>Behind’city</w:t>
      </w:r>
      <w:proofErr w:type="spellEnd"/>
      <w:r w:rsidRPr="00143AC3">
        <w:rPr>
          <w:rFonts w:cs="Arial"/>
          <w:color w:val="222222"/>
          <w:shd w:val="clear" w:color="auto" w:fill="FFFFFF"/>
        </w:rPr>
        <w:t>: Exploring poverty and destitution in Stoke-on-Trent. </w:t>
      </w:r>
      <w:r w:rsidRPr="00143AC3">
        <w:rPr>
          <w:rFonts w:cs="Arial"/>
          <w:i/>
          <w:iCs/>
          <w:color w:val="222222"/>
          <w:shd w:val="clear" w:color="auto" w:fill="FFFFFF"/>
        </w:rPr>
        <w:t>Local Economy</w:t>
      </w:r>
      <w:r w:rsidRPr="00143AC3">
        <w:rPr>
          <w:rFonts w:cs="Arial"/>
          <w:color w:val="222222"/>
          <w:shd w:val="clear" w:color="auto" w:fill="FFFFFF"/>
        </w:rPr>
        <w:t>, </w:t>
      </w:r>
      <w:r w:rsidRPr="00143AC3">
        <w:rPr>
          <w:rFonts w:cs="Arial"/>
          <w:i/>
          <w:iCs/>
          <w:color w:val="222222"/>
          <w:shd w:val="clear" w:color="auto" w:fill="FFFFFF"/>
        </w:rPr>
        <w:t>37</w:t>
      </w:r>
      <w:r w:rsidRPr="00143AC3">
        <w:rPr>
          <w:rFonts w:cs="Arial"/>
          <w:color w:val="222222"/>
          <w:shd w:val="clear" w:color="auto" w:fill="FFFFFF"/>
        </w:rPr>
        <w:t>(8), 692-707.</w:t>
      </w:r>
    </w:p>
    <w:p w:rsidRPr="00143AC3" w:rsidR="00143AC3" w:rsidP="00143AC3" w:rsidRDefault="00143AC3" w14:paraId="7EA46234" w14:textId="34440FDE">
      <w:pPr>
        <w:jc w:val="left"/>
        <w:rPr>
          <w:rFonts w:cs="Arial"/>
          <w:color w:val="222222"/>
          <w:shd w:val="clear" w:color="auto" w:fill="FFFFFF"/>
        </w:rPr>
      </w:pPr>
      <w:r w:rsidRPr="00143AC3">
        <w:rPr>
          <w:rFonts w:cs="Arial"/>
          <w:color w:val="222222"/>
          <w:shd w:val="clear" w:color="auto" w:fill="FFFFFF"/>
        </w:rPr>
        <w:t>Fitzsimons, E., Goodman, A., Kelly, E., &amp; Smith, J. P. (2017). Poverty dynamics and parental mental health: Determinants of childhood mental health in the UK. </w:t>
      </w:r>
      <w:r w:rsidRPr="00143AC3">
        <w:rPr>
          <w:rFonts w:cs="Arial"/>
          <w:i/>
          <w:iCs/>
          <w:color w:val="222222"/>
          <w:shd w:val="clear" w:color="auto" w:fill="FFFFFF"/>
        </w:rPr>
        <w:t>Social Science &amp; Medicine</w:t>
      </w:r>
      <w:r w:rsidRPr="00143AC3">
        <w:rPr>
          <w:rFonts w:cs="Arial"/>
          <w:color w:val="222222"/>
          <w:shd w:val="clear" w:color="auto" w:fill="FFFFFF"/>
        </w:rPr>
        <w:t>, </w:t>
      </w:r>
      <w:r w:rsidRPr="00143AC3">
        <w:rPr>
          <w:rFonts w:cs="Arial"/>
          <w:i/>
          <w:iCs/>
          <w:color w:val="222222"/>
          <w:shd w:val="clear" w:color="auto" w:fill="FFFFFF"/>
        </w:rPr>
        <w:t>175</w:t>
      </w:r>
      <w:r w:rsidRPr="00143AC3">
        <w:rPr>
          <w:rFonts w:cs="Arial"/>
          <w:color w:val="222222"/>
          <w:shd w:val="clear" w:color="auto" w:fill="FFFFFF"/>
        </w:rPr>
        <w:t>, 43-51.</w:t>
      </w:r>
    </w:p>
    <w:p w:rsidRPr="00143AC3" w:rsidR="00143AC3" w:rsidP="00143AC3" w:rsidRDefault="00143AC3" w14:paraId="5414724E" w14:textId="77777777">
      <w:pPr>
        <w:jc w:val="left"/>
        <w:rPr>
          <w:rFonts w:cs="Arial"/>
          <w:color w:val="222222"/>
          <w:shd w:val="clear" w:color="auto" w:fill="FFFFFF"/>
        </w:rPr>
      </w:pPr>
      <w:r w:rsidRPr="00143AC3">
        <w:rPr>
          <w:rFonts w:cs="Arial"/>
          <w:color w:val="222222"/>
          <w:shd w:val="clear" w:color="auto" w:fill="FFFFFF"/>
        </w:rPr>
        <w:t>Fernandez, E., &amp; Ramia, I. (2015). Child poverty in the international context. </w:t>
      </w:r>
      <w:r w:rsidRPr="00143AC3">
        <w:rPr>
          <w:rFonts w:cs="Arial"/>
          <w:i/>
          <w:iCs/>
          <w:color w:val="222222"/>
          <w:shd w:val="clear" w:color="auto" w:fill="FFFFFF"/>
        </w:rPr>
        <w:t>Theoretical and empirical insights into child and family poverty: cross national perspectives</w:t>
      </w:r>
      <w:r w:rsidRPr="00143AC3">
        <w:rPr>
          <w:rFonts w:cs="Arial"/>
          <w:color w:val="222222"/>
          <w:shd w:val="clear" w:color="auto" w:fill="FFFFFF"/>
        </w:rPr>
        <w:t>, 11-39.</w:t>
      </w:r>
    </w:p>
    <w:p w:rsidRPr="00143AC3" w:rsidR="00143AC3" w:rsidP="00143AC3" w:rsidRDefault="00143AC3" w14:paraId="2F720FFA" w14:textId="77777777">
      <w:pPr>
        <w:jc w:val="left"/>
        <w:rPr>
          <w:rFonts w:cs="Arial"/>
          <w:color w:val="222222"/>
          <w:shd w:val="clear" w:color="auto" w:fill="FFFFFF"/>
        </w:rPr>
      </w:pPr>
      <w:r w:rsidRPr="00143AC3">
        <w:rPr>
          <w:rFonts w:cs="Arial"/>
          <w:color w:val="222222"/>
          <w:shd w:val="clear" w:color="auto" w:fill="FFFFFF"/>
        </w:rPr>
        <w:t>Fusarelli, L. D. (2015). Child welfare, education, inequality, and social policy in comparative perspective. </w:t>
      </w:r>
      <w:r w:rsidRPr="00143AC3">
        <w:rPr>
          <w:rFonts w:cs="Arial"/>
          <w:i/>
          <w:iCs/>
          <w:color w:val="222222"/>
          <w:shd w:val="clear" w:color="auto" w:fill="FFFFFF"/>
        </w:rPr>
        <w:t>Peabody Journal of Education</w:t>
      </w:r>
      <w:r w:rsidRPr="00143AC3">
        <w:rPr>
          <w:rFonts w:cs="Arial"/>
          <w:color w:val="222222"/>
          <w:shd w:val="clear" w:color="auto" w:fill="FFFFFF"/>
        </w:rPr>
        <w:t>, </w:t>
      </w:r>
      <w:r w:rsidRPr="00143AC3">
        <w:rPr>
          <w:rFonts w:cs="Arial"/>
          <w:i/>
          <w:iCs/>
          <w:color w:val="222222"/>
          <w:shd w:val="clear" w:color="auto" w:fill="FFFFFF"/>
        </w:rPr>
        <w:t>90</w:t>
      </w:r>
      <w:r w:rsidRPr="00143AC3">
        <w:rPr>
          <w:rFonts w:cs="Arial"/>
          <w:color w:val="222222"/>
          <w:shd w:val="clear" w:color="auto" w:fill="FFFFFF"/>
        </w:rPr>
        <w:t>(5), 677-690.</w:t>
      </w:r>
    </w:p>
    <w:p w:rsidRPr="00143AC3" w:rsidR="00143AC3" w:rsidP="00143AC3" w:rsidRDefault="00143AC3" w14:paraId="45DBA40A" w14:textId="77777777">
      <w:pPr>
        <w:jc w:val="left"/>
        <w:rPr>
          <w:rFonts w:cs="Arial"/>
          <w:color w:val="222222"/>
          <w:shd w:val="clear" w:color="auto" w:fill="FFFFFF"/>
        </w:rPr>
      </w:pPr>
      <w:r w:rsidRPr="00143AC3">
        <w:rPr>
          <w:rFonts w:cs="Arial"/>
          <w:color w:val="222222"/>
          <w:shd w:val="clear" w:color="auto" w:fill="FFFFFF"/>
        </w:rPr>
        <w:t xml:space="preserve">Griffin, N., Phillips, S. M., Hillier-Brown, F., </w:t>
      </w:r>
      <w:proofErr w:type="spellStart"/>
      <w:r w:rsidRPr="00143AC3">
        <w:rPr>
          <w:rFonts w:cs="Arial"/>
          <w:color w:val="222222"/>
          <w:shd w:val="clear" w:color="auto" w:fill="FFFFFF"/>
        </w:rPr>
        <w:t>Wistow</w:t>
      </w:r>
      <w:proofErr w:type="spellEnd"/>
      <w:r w:rsidRPr="00143AC3">
        <w:rPr>
          <w:rFonts w:cs="Arial"/>
          <w:color w:val="222222"/>
          <w:shd w:val="clear" w:color="auto" w:fill="FFFFFF"/>
        </w:rPr>
        <w:t xml:space="preserve">, J., Fairbrother, H., Holding, E., ... &amp; Summerbell, C. (2021). A critique of the English national policy from a </w:t>
      </w:r>
      <w:proofErr w:type="gramStart"/>
      <w:r w:rsidRPr="00143AC3">
        <w:rPr>
          <w:rFonts w:cs="Arial"/>
          <w:color w:val="222222"/>
          <w:shd w:val="clear" w:color="auto" w:fill="FFFFFF"/>
        </w:rPr>
        <w:t>social determinants of health perspective</w:t>
      </w:r>
      <w:proofErr w:type="gramEnd"/>
      <w:r w:rsidRPr="00143AC3">
        <w:rPr>
          <w:rFonts w:cs="Arial"/>
          <w:color w:val="222222"/>
          <w:shd w:val="clear" w:color="auto" w:fill="FFFFFF"/>
        </w:rPr>
        <w:t xml:space="preserve"> using a realist and problem representation approach: the ‘Childhood Obesity: a plan for action</w:t>
      </w:r>
      <w:proofErr w:type="gramStart"/>
      <w:r w:rsidRPr="00143AC3">
        <w:rPr>
          <w:rFonts w:cs="Arial"/>
          <w:color w:val="222222"/>
          <w:shd w:val="clear" w:color="auto" w:fill="FFFFFF"/>
        </w:rPr>
        <w:t>’(</w:t>
      </w:r>
      <w:proofErr w:type="gramEnd"/>
      <w:r w:rsidRPr="00143AC3">
        <w:rPr>
          <w:rFonts w:cs="Arial"/>
          <w:color w:val="222222"/>
          <w:shd w:val="clear" w:color="auto" w:fill="FFFFFF"/>
        </w:rPr>
        <w:t>2016, 2018, 2019). </w:t>
      </w:r>
      <w:r w:rsidRPr="00143AC3">
        <w:rPr>
          <w:rFonts w:cs="Arial"/>
          <w:i/>
          <w:iCs/>
          <w:color w:val="222222"/>
          <w:shd w:val="clear" w:color="auto" w:fill="FFFFFF"/>
        </w:rPr>
        <w:t>BMC Public Health</w:t>
      </w:r>
      <w:r w:rsidRPr="00143AC3">
        <w:rPr>
          <w:rFonts w:cs="Arial"/>
          <w:color w:val="222222"/>
          <w:shd w:val="clear" w:color="auto" w:fill="FFFFFF"/>
        </w:rPr>
        <w:t>, </w:t>
      </w:r>
      <w:r w:rsidRPr="00143AC3">
        <w:rPr>
          <w:rFonts w:cs="Arial"/>
          <w:i/>
          <w:iCs/>
          <w:color w:val="222222"/>
          <w:shd w:val="clear" w:color="auto" w:fill="FFFFFF"/>
        </w:rPr>
        <w:t>21</w:t>
      </w:r>
      <w:r w:rsidRPr="00143AC3">
        <w:rPr>
          <w:rFonts w:cs="Arial"/>
          <w:color w:val="222222"/>
          <w:shd w:val="clear" w:color="auto" w:fill="FFFFFF"/>
        </w:rPr>
        <w:t>, 1-10.</w:t>
      </w:r>
    </w:p>
    <w:p w:rsidRPr="00143AC3" w:rsidR="00143AC3" w:rsidP="00143AC3" w:rsidRDefault="00143AC3" w14:paraId="1630F2A5" w14:textId="77777777">
      <w:pPr>
        <w:jc w:val="left"/>
        <w:rPr>
          <w:rFonts w:cs="Arial"/>
          <w:color w:val="222222"/>
          <w:shd w:val="clear" w:color="auto" w:fill="FFFFFF"/>
        </w:rPr>
      </w:pPr>
      <w:r w:rsidRPr="00143AC3">
        <w:rPr>
          <w:rFonts w:cs="Arial"/>
          <w:color w:val="222222"/>
          <w:shd w:val="clear" w:color="auto" w:fill="FFFFFF"/>
        </w:rPr>
        <w:t>Hayre, J., &amp; Pollock, A. M. (2022). Children in poverty: Time for action to address rising inequalities in the United Kingdom. </w:t>
      </w:r>
      <w:r w:rsidRPr="00143AC3">
        <w:rPr>
          <w:rFonts w:cs="Arial"/>
          <w:i/>
          <w:iCs/>
          <w:color w:val="222222"/>
          <w:shd w:val="clear" w:color="auto" w:fill="FFFFFF"/>
        </w:rPr>
        <w:t>Poverty &amp; Public Policy</w:t>
      </w:r>
      <w:r w:rsidRPr="00143AC3">
        <w:rPr>
          <w:rFonts w:cs="Arial"/>
          <w:color w:val="222222"/>
          <w:shd w:val="clear" w:color="auto" w:fill="FFFFFF"/>
        </w:rPr>
        <w:t>, </w:t>
      </w:r>
      <w:r w:rsidRPr="00143AC3">
        <w:rPr>
          <w:rFonts w:cs="Arial"/>
          <w:i/>
          <w:iCs/>
          <w:color w:val="222222"/>
          <w:shd w:val="clear" w:color="auto" w:fill="FFFFFF"/>
        </w:rPr>
        <w:t>14</w:t>
      </w:r>
      <w:r w:rsidRPr="00143AC3">
        <w:rPr>
          <w:rFonts w:cs="Arial"/>
          <w:color w:val="222222"/>
          <w:shd w:val="clear" w:color="auto" w:fill="FFFFFF"/>
        </w:rPr>
        <w:t>(4), 423-436.</w:t>
      </w:r>
    </w:p>
    <w:p w:rsidRPr="00143AC3" w:rsidR="00143AC3" w:rsidP="00143AC3" w:rsidRDefault="00143AC3" w14:paraId="6ED963B4" w14:textId="77777777">
      <w:pPr>
        <w:jc w:val="left"/>
        <w:rPr>
          <w:rFonts w:cs="Arial"/>
          <w:color w:val="222222"/>
          <w:shd w:val="clear" w:color="auto" w:fill="FFFFFF"/>
        </w:rPr>
      </w:pPr>
      <w:r w:rsidRPr="00143AC3">
        <w:rPr>
          <w:rFonts w:cs="Arial"/>
          <w:color w:val="222222"/>
          <w:shd w:val="clear" w:color="auto" w:fill="FFFFFF"/>
        </w:rPr>
        <w:t xml:space="preserve">Hock, E. S., Blank, L., Fairbrother, H., Clowes, M., Cuevas, D. C., Booth, A., ... &amp; Goyder, E. (2024). Exploring the impact of housing insecurity on the health and wellbeing of children and </w:t>
      </w:r>
      <w:r w:rsidRPr="00143AC3">
        <w:rPr>
          <w:rFonts w:cs="Arial"/>
          <w:color w:val="222222"/>
          <w:shd w:val="clear" w:color="auto" w:fill="FFFFFF"/>
        </w:rPr>
        <w:lastRenderedPageBreak/>
        <w:t>young people in the United Kingdom: a qualitative systematic review. </w:t>
      </w:r>
      <w:r w:rsidRPr="00143AC3">
        <w:rPr>
          <w:rFonts w:cs="Arial"/>
          <w:i/>
          <w:iCs/>
          <w:color w:val="222222"/>
          <w:shd w:val="clear" w:color="auto" w:fill="FFFFFF"/>
        </w:rPr>
        <w:t>BMC Public Health</w:t>
      </w:r>
      <w:r w:rsidRPr="00143AC3">
        <w:rPr>
          <w:rFonts w:cs="Arial"/>
          <w:color w:val="222222"/>
          <w:shd w:val="clear" w:color="auto" w:fill="FFFFFF"/>
        </w:rPr>
        <w:t>, </w:t>
      </w:r>
      <w:r w:rsidRPr="00143AC3">
        <w:rPr>
          <w:rFonts w:cs="Arial"/>
          <w:i/>
          <w:iCs/>
          <w:color w:val="222222"/>
          <w:shd w:val="clear" w:color="auto" w:fill="FFFFFF"/>
        </w:rPr>
        <w:t>24</w:t>
      </w:r>
      <w:r w:rsidRPr="00143AC3">
        <w:rPr>
          <w:rFonts w:cs="Arial"/>
          <w:color w:val="222222"/>
          <w:shd w:val="clear" w:color="auto" w:fill="FFFFFF"/>
        </w:rPr>
        <w:t>(1), 2453.</w:t>
      </w:r>
    </w:p>
    <w:p w:rsidRPr="00143AC3" w:rsidR="00143AC3" w:rsidP="00143AC3" w:rsidRDefault="00143AC3" w14:paraId="53DA2967" w14:textId="48C363DC">
      <w:pPr>
        <w:jc w:val="left"/>
        <w:rPr>
          <w:rFonts w:cs="Arial"/>
          <w:color w:val="222222"/>
          <w:shd w:val="clear" w:color="auto" w:fill="FFFFFF"/>
        </w:rPr>
      </w:pPr>
      <w:r w:rsidRPr="00143AC3">
        <w:rPr>
          <w:rFonts w:cs="Arial"/>
          <w:color w:val="222222"/>
          <w:shd w:val="clear" w:color="auto" w:fill="FFFFFF"/>
        </w:rPr>
        <w:t xml:space="preserve">Haggar, T., Hewlett, K., Hall, S., Piggott, H., Regan, Z., Hesketh, R., ... &amp; </w:t>
      </w:r>
      <w:proofErr w:type="spellStart"/>
      <w:r w:rsidRPr="00143AC3">
        <w:rPr>
          <w:rFonts w:cs="Arial"/>
          <w:color w:val="222222"/>
          <w:shd w:val="clear" w:color="auto" w:fill="FFFFFF"/>
        </w:rPr>
        <w:t>Dacombe</w:t>
      </w:r>
      <w:proofErr w:type="spellEnd"/>
      <w:r w:rsidRPr="00143AC3">
        <w:rPr>
          <w:rFonts w:cs="Arial"/>
          <w:color w:val="222222"/>
          <w:shd w:val="clear" w:color="auto" w:fill="FFFFFF"/>
        </w:rPr>
        <w:t>, R. (2023). Breaking point: the cost-of-living crisis in London, and what can be done about it.</w:t>
      </w:r>
    </w:p>
    <w:p w:rsidRPr="00143AC3" w:rsidR="00143AC3" w:rsidP="00143AC3" w:rsidRDefault="00143AC3" w14:paraId="24D2E056" w14:textId="77777777">
      <w:pPr>
        <w:jc w:val="left"/>
      </w:pPr>
      <w:r w:rsidRPr="00143AC3">
        <w:rPr>
          <w:rFonts w:cs="Arial"/>
          <w:color w:val="222222"/>
          <w:shd w:val="clear" w:color="auto" w:fill="FFFFFF"/>
        </w:rPr>
        <w:t>Hart, C. (2001). </w:t>
      </w:r>
      <w:r w:rsidRPr="00143AC3">
        <w:rPr>
          <w:rFonts w:cs="Arial"/>
          <w:i/>
          <w:iCs/>
          <w:color w:val="222222"/>
          <w:shd w:val="clear" w:color="auto" w:fill="FFFFFF"/>
        </w:rPr>
        <w:t>Doing a literature search: A comprehensive guide for the social sciences</w:t>
      </w:r>
      <w:r w:rsidRPr="00143AC3">
        <w:rPr>
          <w:rFonts w:cs="Arial"/>
          <w:color w:val="222222"/>
          <w:shd w:val="clear" w:color="auto" w:fill="FFFFFF"/>
        </w:rPr>
        <w:t>. Sage.</w:t>
      </w:r>
    </w:p>
    <w:p w:rsidRPr="00143AC3" w:rsidR="00143AC3" w:rsidP="00143AC3" w:rsidRDefault="00143AC3" w14:paraId="48F504F4" w14:textId="77777777">
      <w:pPr>
        <w:jc w:val="left"/>
      </w:pPr>
      <w:r w:rsidRPr="00143AC3">
        <w:t xml:space="preserve">Joseph Rowntree Foundation. (2023). </w:t>
      </w:r>
      <w:r w:rsidRPr="00143AC3">
        <w:rPr>
          <w:rStyle w:val="Emphasis"/>
        </w:rPr>
        <w:t>UK Poverty Report</w:t>
      </w:r>
      <w:r w:rsidRPr="00143AC3">
        <w:t xml:space="preserve">. Retrieved from </w:t>
      </w:r>
      <w:hyperlink w:history="1" r:id="rId13">
        <w:r w:rsidRPr="00143AC3">
          <w:rPr>
            <w:rStyle w:val="Hyperlink"/>
          </w:rPr>
          <w:t>https://www.jrf.org.uk/uk-poverty-2023-the-essential-guide-to-understanding-poverty-in-the-uk</w:t>
        </w:r>
      </w:hyperlink>
      <w:r w:rsidRPr="00143AC3">
        <w:t xml:space="preserve"> </w:t>
      </w:r>
    </w:p>
    <w:p w:rsidRPr="00143AC3" w:rsidR="00143AC3" w:rsidP="00143AC3" w:rsidRDefault="00143AC3" w14:paraId="7ACBE9F1" w14:textId="77777777">
      <w:pPr>
        <w:jc w:val="left"/>
      </w:pPr>
      <w:r w:rsidRPr="00143AC3">
        <w:rPr>
          <w:rFonts w:cs="Arial"/>
          <w:color w:val="222222"/>
          <w:shd w:val="clear" w:color="auto" w:fill="FFFFFF"/>
        </w:rPr>
        <w:t>James, N., &amp; Busher, H. (2015). Ethical issues in online research. </w:t>
      </w:r>
      <w:r w:rsidRPr="00143AC3">
        <w:rPr>
          <w:rFonts w:cs="Arial"/>
          <w:i/>
          <w:iCs/>
          <w:color w:val="222222"/>
          <w:shd w:val="clear" w:color="auto" w:fill="FFFFFF"/>
        </w:rPr>
        <w:t>Educational Research and Evaluation</w:t>
      </w:r>
      <w:r w:rsidRPr="00143AC3">
        <w:rPr>
          <w:rFonts w:cs="Arial"/>
          <w:color w:val="222222"/>
          <w:shd w:val="clear" w:color="auto" w:fill="FFFFFF"/>
        </w:rPr>
        <w:t>, </w:t>
      </w:r>
      <w:r w:rsidRPr="00143AC3">
        <w:rPr>
          <w:rFonts w:cs="Arial"/>
          <w:i/>
          <w:iCs/>
          <w:color w:val="222222"/>
          <w:shd w:val="clear" w:color="auto" w:fill="FFFFFF"/>
        </w:rPr>
        <w:t>21</w:t>
      </w:r>
      <w:r w:rsidRPr="00143AC3">
        <w:rPr>
          <w:rFonts w:cs="Arial"/>
          <w:color w:val="222222"/>
          <w:shd w:val="clear" w:color="auto" w:fill="FFFFFF"/>
        </w:rPr>
        <w:t>(2), 89-94.</w:t>
      </w:r>
    </w:p>
    <w:p w:rsidRPr="00143AC3" w:rsidR="00143AC3" w:rsidP="00143AC3" w:rsidRDefault="00143AC3" w14:paraId="7BDAB291" w14:textId="77777777">
      <w:pPr>
        <w:jc w:val="left"/>
        <w:rPr>
          <w:rFonts w:cs="Arial"/>
          <w:color w:val="222222"/>
          <w:shd w:val="clear" w:color="auto" w:fill="FFFFFF"/>
        </w:rPr>
      </w:pPr>
      <w:r w:rsidRPr="00143AC3">
        <w:rPr>
          <w:rFonts w:cs="Arial"/>
          <w:color w:val="222222"/>
          <w:shd w:val="clear" w:color="auto" w:fill="FFFFFF"/>
        </w:rPr>
        <w:t>Kamerman, S. B., Neuman, M., Waldfogel, J., &amp; Brooks-Gunn, J. (2003). </w:t>
      </w:r>
      <w:r w:rsidRPr="00143AC3">
        <w:rPr>
          <w:rFonts w:cs="Arial"/>
          <w:i/>
          <w:iCs/>
          <w:color w:val="222222"/>
          <w:shd w:val="clear" w:color="auto" w:fill="FFFFFF"/>
        </w:rPr>
        <w:t>Social policies, family types and child outcomes in selected OECD countries</w:t>
      </w:r>
      <w:r w:rsidRPr="00143AC3">
        <w:rPr>
          <w:rFonts w:cs="Arial"/>
          <w:color w:val="222222"/>
          <w:shd w:val="clear" w:color="auto" w:fill="FFFFFF"/>
        </w:rPr>
        <w:t> (pp. 7-17). Paris: OECD.</w:t>
      </w:r>
    </w:p>
    <w:p w:rsidRPr="00143AC3" w:rsidR="00143AC3" w:rsidP="00143AC3" w:rsidRDefault="00143AC3" w14:paraId="100153CC" w14:textId="77777777">
      <w:pPr>
        <w:jc w:val="left"/>
      </w:pPr>
      <w:r w:rsidRPr="00143AC3">
        <w:rPr>
          <w:rFonts w:cs="Arial"/>
          <w:color w:val="222222"/>
          <w:shd w:val="clear" w:color="auto" w:fill="FFFFFF"/>
        </w:rPr>
        <w:t>Lee, A. R., Kingdon, C. C., Davie, M., Hawcutt, D., &amp; Sinha, I. P. (2023). Child poverty and health inequalities in the UK: a guide for paediatricians. </w:t>
      </w:r>
      <w:r w:rsidRPr="00143AC3">
        <w:rPr>
          <w:rFonts w:cs="Arial"/>
          <w:i/>
          <w:iCs/>
          <w:color w:val="222222"/>
          <w:shd w:val="clear" w:color="auto" w:fill="FFFFFF"/>
        </w:rPr>
        <w:t>Archives of Disease in Childhood</w:t>
      </w:r>
      <w:r w:rsidRPr="00143AC3">
        <w:rPr>
          <w:rFonts w:cs="Arial"/>
          <w:color w:val="222222"/>
          <w:shd w:val="clear" w:color="auto" w:fill="FFFFFF"/>
        </w:rPr>
        <w:t>, </w:t>
      </w:r>
      <w:r w:rsidRPr="00143AC3">
        <w:rPr>
          <w:rFonts w:cs="Arial"/>
          <w:i/>
          <w:iCs/>
          <w:color w:val="222222"/>
          <w:shd w:val="clear" w:color="auto" w:fill="FFFFFF"/>
        </w:rPr>
        <w:t>108</w:t>
      </w:r>
      <w:r w:rsidRPr="00143AC3">
        <w:rPr>
          <w:rFonts w:cs="Arial"/>
          <w:color w:val="222222"/>
          <w:shd w:val="clear" w:color="auto" w:fill="FFFFFF"/>
        </w:rPr>
        <w:t>(2), 94-101.</w:t>
      </w:r>
    </w:p>
    <w:p w:rsidRPr="00143AC3" w:rsidR="00143AC3" w:rsidP="00143AC3" w:rsidRDefault="00143AC3" w14:paraId="1DF87AF9" w14:textId="77777777">
      <w:pPr>
        <w:jc w:val="left"/>
        <w:rPr>
          <w:rFonts w:cs="Arial"/>
          <w:color w:val="222222"/>
          <w:shd w:val="clear" w:color="auto" w:fill="FFFFFF"/>
        </w:rPr>
      </w:pPr>
      <w:r w:rsidRPr="00143AC3">
        <w:rPr>
          <w:rFonts w:cs="Arial"/>
          <w:color w:val="222222"/>
          <w:shd w:val="clear" w:color="auto" w:fill="FFFFFF"/>
        </w:rPr>
        <w:t>Lowe, J., &amp; DeVerteuil, G. (2020). Austerity Britain, poverty management and the missing geographies of mental health. </w:t>
      </w:r>
      <w:r w:rsidRPr="00143AC3">
        <w:rPr>
          <w:rFonts w:cs="Arial"/>
          <w:i/>
          <w:iCs/>
          <w:color w:val="222222"/>
          <w:shd w:val="clear" w:color="auto" w:fill="FFFFFF"/>
        </w:rPr>
        <w:t>Health &amp; Place</w:t>
      </w:r>
      <w:r w:rsidRPr="00143AC3">
        <w:rPr>
          <w:rFonts w:cs="Arial"/>
          <w:color w:val="222222"/>
          <w:shd w:val="clear" w:color="auto" w:fill="FFFFFF"/>
        </w:rPr>
        <w:t>, </w:t>
      </w:r>
      <w:r w:rsidRPr="00143AC3">
        <w:rPr>
          <w:rFonts w:cs="Arial"/>
          <w:i/>
          <w:iCs/>
          <w:color w:val="222222"/>
          <w:shd w:val="clear" w:color="auto" w:fill="FFFFFF"/>
        </w:rPr>
        <w:t>64</w:t>
      </w:r>
      <w:r w:rsidRPr="00143AC3">
        <w:rPr>
          <w:rFonts w:cs="Arial"/>
          <w:color w:val="222222"/>
          <w:shd w:val="clear" w:color="auto" w:fill="FFFFFF"/>
        </w:rPr>
        <w:t>, 102358.</w:t>
      </w:r>
    </w:p>
    <w:p w:rsidRPr="00143AC3" w:rsidR="00143AC3" w:rsidP="00143AC3" w:rsidRDefault="00143AC3" w14:paraId="60926F55" w14:textId="77777777">
      <w:pPr>
        <w:jc w:val="left"/>
        <w:rPr>
          <w:rFonts w:cs="Arial"/>
          <w:color w:val="222222"/>
          <w:shd w:val="clear" w:color="auto" w:fill="FFFFFF"/>
        </w:rPr>
      </w:pPr>
      <w:r w:rsidRPr="00143AC3">
        <w:rPr>
          <w:rFonts w:cs="Arial"/>
          <w:color w:val="222222"/>
          <w:shd w:val="clear" w:color="auto" w:fill="FFFFFF"/>
        </w:rPr>
        <w:t>Lloyd, E., &amp; Potter, S. (2014). </w:t>
      </w:r>
      <w:r w:rsidRPr="00143AC3">
        <w:rPr>
          <w:rFonts w:cs="Arial"/>
          <w:i/>
          <w:iCs/>
          <w:color w:val="222222"/>
          <w:shd w:val="clear" w:color="auto" w:fill="FFFFFF"/>
        </w:rPr>
        <w:t>Early childhood education and care and poverty</w:t>
      </w:r>
      <w:r w:rsidRPr="00143AC3">
        <w:rPr>
          <w:rFonts w:cs="Arial"/>
          <w:color w:val="222222"/>
          <w:shd w:val="clear" w:color="auto" w:fill="FFFFFF"/>
        </w:rPr>
        <w:t>. Cass School of Education and Communities, University of East London.</w:t>
      </w:r>
    </w:p>
    <w:p w:rsidRPr="00143AC3" w:rsidR="00143AC3" w:rsidP="00143AC3" w:rsidRDefault="00143AC3" w14:paraId="6CC5F7A7" w14:textId="77777777">
      <w:pPr>
        <w:jc w:val="left"/>
        <w:rPr>
          <w:rFonts w:cs="Arial"/>
          <w:color w:val="222222"/>
          <w:shd w:val="clear" w:color="auto" w:fill="FFFFFF"/>
        </w:rPr>
      </w:pPr>
      <w:r w:rsidRPr="00143AC3">
        <w:rPr>
          <w:rFonts w:cs="Arial"/>
          <w:color w:val="222222"/>
          <w:shd w:val="clear" w:color="auto" w:fill="FFFFFF"/>
        </w:rPr>
        <w:t>Lister, R. (2015). To count for nothing’: Poverty beyond the statistics. </w:t>
      </w:r>
      <w:r w:rsidRPr="00143AC3">
        <w:rPr>
          <w:rFonts w:cs="Arial"/>
          <w:i/>
          <w:iCs/>
          <w:color w:val="222222"/>
          <w:shd w:val="clear" w:color="auto" w:fill="FFFFFF"/>
        </w:rPr>
        <w:t>Journal of the British Academy</w:t>
      </w:r>
      <w:r w:rsidRPr="00143AC3">
        <w:rPr>
          <w:rFonts w:cs="Arial"/>
          <w:color w:val="222222"/>
          <w:shd w:val="clear" w:color="auto" w:fill="FFFFFF"/>
        </w:rPr>
        <w:t>, </w:t>
      </w:r>
      <w:r w:rsidRPr="00143AC3">
        <w:rPr>
          <w:rFonts w:cs="Arial"/>
          <w:i/>
          <w:iCs/>
          <w:color w:val="222222"/>
          <w:shd w:val="clear" w:color="auto" w:fill="FFFFFF"/>
        </w:rPr>
        <w:t>3</w:t>
      </w:r>
      <w:r w:rsidRPr="00143AC3">
        <w:rPr>
          <w:rFonts w:cs="Arial"/>
          <w:color w:val="222222"/>
          <w:shd w:val="clear" w:color="auto" w:fill="FFFFFF"/>
        </w:rPr>
        <w:t>(0), 139-165.</w:t>
      </w:r>
    </w:p>
    <w:p w:rsidRPr="00143AC3" w:rsidR="00143AC3" w:rsidP="00143AC3" w:rsidRDefault="00143AC3" w14:paraId="4D07C86F" w14:textId="77777777">
      <w:pPr>
        <w:jc w:val="left"/>
        <w:rPr>
          <w:rFonts w:cs="Arial"/>
          <w:color w:val="222222"/>
          <w:shd w:val="clear" w:color="auto" w:fill="FFFFFF"/>
        </w:rPr>
      </w:pPr>
      <w:r w:rsidRPr="00143AC3">
        <w:rPr>
          <w:rFonts w:cs="Arial"/>
          <w:color w:val="222222"/>
          <w:shd w:val="clear" w:color="auto" w:fill="FFFFFF"/>
        </w:rPr>
        <w:t>Lazzarino, A. I., Salkind, J. A., Amati, F., Robinson, T., Gnani, S., Nicholls, D., &amp; Hargreaves, D. (2024). Inequalities in mental health service utilisation by children and young people: a population survey using linked electronic health records from Northwest London, UK. </w:t>
      </w:r>
      <w:r w:rsidRPr="00143AC3">
        <w:rPr>
          <w:rFonts w:cs="Arial"/>
          <w:i/>
          <w:iCs/>
          <w:color w:val="222222"/>
          <w:shd w:val="clear" w:color="auto" w:fill="FFFFFF"/>
        </w:rPr>
        <w:t xml:space="preserve">J </w:t>
      </w:r>
      <w:proofErr w:type="spellStart"/>
      <w:r w:rsidRPr="00143AC3">
        <w:rPr>
          <w:rFonts w:cs="Arial"/>
          <w:i/>
          <w:iCs/>
          <w:color w:val="222222"/>
          <w:shd w:val="clear" w:color="auto" w:fill="FFFFFF"/>
        </w:rPr>
        <w:t>Epidemiol</w:t>
      </w:r>
      <w:proofErr w:type="spellEnd"/>
      <w:r w:rsidRPr="00143AC3">
        <w:rPr>
          <w:rFonts w:cs="Arial"/>
          <w:i/>
          <w:iCs/>
          <w:color w:val="222222"/>
          <w:shd w:val="clear" w:color="auto" w:fill="FFFFFF"/>
        </w:rPr>
        <w:t xml:space="preserve"> Community Health</w:t>
      </w:r>
      <w:r w:rsidRPr="00143AC3">
        <w:rPr>
          <w:rFonts w:cs="Arial"/>
          <w:color w:val="222222"/>
          <w:shd w:val="clear" w:color="auto" w:fill="FFFFFF"/>
        </w:rPr>
        <w:t>, </w:t>
      </w:r>
      <w:r w:rsidRPr="00143AC3">
        <w:rPr>
          <w:rFonts w:cs="Arial"/>
          <w:i/>
          <w:iCs/>
          <w:color w:val="222222"/>
          <w:shd w:val="clear" w:color="auto" w:fill="FFFFFF"/>
        </w:rPr>
        <w:t>78</w:t>
      </w:r>
      <w:r w:rsidRPr="00143AC3">
        <w:rPr>
          <w:rFonts w:cs="Arial"/>
          <w:color w:val="222222"/>
          <w:shd w:val="clear" w:color="auto" w:fill="FFFFFF"/>
        </w:rPr>
        <w:t>(3), 191-198.</w:t>
      </w:r>
    </w:p>
    <w:p w:rsidRPr="00143AC3" w:rsidR="00143AC3" w:rsidP="00143AC3" w:rsidRDefault="00143AC3" w14:paraId="3EA120B8" w14:textId="77777777">
      <w:pPr>
        <w:jc w:val="left"/>
        <w:rPr>
          <w:rFonts w:cs="Arial"/>
          <w:color w:val="222222"/>
          <w:shd w:val="clear" w:color="auto" w:fill="FFFFFF"/>
        </w:rPr>
      </w:pPr>
      <w:r w:rsidRPr="00143AC3">
        <w:rPr>
          <w:rFonts w:cs="Arial"/>
          <w:color w:val="222222"/>
          <w:shd w:val="clear" w:color="auto" w:fill="FFFFFF"/>
        </w:rPr>
        <w:t>Mowat, J. G. (2019). Exploring the impact of social inequality and poverty on the mental health and wellbeing and attainment of children and young people in Scotland. </w:t>
      </w:r>
      <w:r w:rsidRPr="00143AC3">
        <w:rPr>
          <w:rFonts w:cs="Arial"/>
          <w:i/>
          <w:iCs/>
          <w:color w:val="222222"/>
          <w:shd w:val="clear" w:color="auto" w:fill="FFFFFF"/>
        </w:rPr>
        <w:t>Improving Schools</w:t>
      </w:r>
      <w:r w:rsidRPr="00143AC3">
        <w:rPr>
          <w:rFonts w:cs="Arial"/>
          <w:color w:val="222222"/>
          <w:shd w:val="clear" w:color="auto" w:fill="FFFFFF"/>
        </w:rPr>
        <w:t>, </w:t>
      </w:r>
      <w:r w:rsidRPr="00143AC3">
        <w:rPr>
          <w:rFonts w:cs="Arial"/>
          <w:i/>
          <w:iCs/>
          <w:color w:val="222222"/>
          <w:shd w:val="clear" w:color="auto" w:fill="FFFFFF"/>
        </w:rPr>
        <w:t>22</w:t>
      </w:r>
      <w:r w:rsidRPr="00143AC3">
        <w:rPr>
          <w:rFonts w:cs="Arial"/>
          <w:color w:val="222222"/>
          <w:shd w:val="clear" w:color="auto" w:fill="FFFFFF"/>
        </w:rPr>
        <w:t>(3), 204-223.</w:t>
      </w:r>
    </w:p>
    <w:p w:rsidRPr="00143AC3" w:rsidR="00143AC3" w:rsidP="00143AC3" w:rsidRDefault="00143AC3" w14:paraId="74DFE958" w14:textId="702AD633">
      <w:pPr>
        <w:jc w:val="left"/>
        <w:rPr>
          <w:rFonts w:cs="Arial"/>
          <w:color w:val="222222"/>
          <w:shd w:val="clear" w:color="auto" w:fill="FFFFFF"/>
        </w:rPr>
      </w:pPr>
      <w:r w:rsidRPr="00143AC3">
        <w:rPr>
          <w:rFonts w:cs="Arial"/>
          <w:color w:val="222222"/>
          <w:shd w:val="clear" w:color="auto" w:fill="FFFFFF"/>
        </w:rPr>
        <w:t xml:space="preserve">Morris, A. C., Macdonald, A., </w:t>
      </w:r>
      <w:proofErr w:type="spellStart"/>
      <w:r w:rsidRPr="00143AC3">
        <w:rPr>
          <w:rFonts w:cs="Arial"/>
          <w:color w:val="222222"/>
          <w:shd w:val="clear" w:color="auto" w:fill="FFFFFF"/>
        </w:rPr>
        <w:t>Moghraby</w:t>
      </w:r>
      <w:proofErr w:type="spellEnd"/>
      <w:r w:rsidRPr="00143AC3">
        <w:rPr>
          <w:rFonts w:cs="Arial"/>
          <w:color w:val="222222"/>
          <w:shd w:val="clear" w:color="auto" w:fill="FFFFFF"/>
        </w:rPr>
        <w:t xml:space="preserve">, O., </w:t>
      </w:r>
      <w:proofErr w:type="spellStart"/>
      <w:r w:rsidRPr="00143AC3">
        <w:rPr>
          <w:rFonts w:cs="Arial"/>
          <w:color w:val="222222"/>
          <w:shd w:val="clear" w:color="auto" w:fill="FFFFFF"/>
        </w:rPr>
        <w:t>Stringaris</w:t>
      </w:r>
      <w:proofErr w:type="spellEnd"/>
      <w:r w:rsidRPr="00143AC3">
        <w:rPr>
          <w:rFonts w:cs="Arial"/>
          <w:color w:val="222222"/>
          <w:shd w:val="clear" w:color="auto" w:fill="FFFFFF"/>
        </w:rPr>
        <w:t xml:space="preserve">, A., Hayes, R. D., Simonoff, E., ... &amp; Downs, J. M. (2021). Sociodemographic factors associated with routine outcome monitoring: a </w:t>
      </w:r>
      <w:r w:rsidRPr="00143AC3">
        <w:rPr>
          <w:rFonts w:cs="Arial"/>
          <w:color w:val="222222"/>
          <w:shd w:val="clear" w:color="auto" w:fill="FFFFFF"/>
        </w:rPr>
        <w:lastRenderedPageBreak/>
        <w:t>historical cohort study of 28,382 young people accessing child and adolescent mental health services. </w:t>
      </w:r>
      <w:r w:rsidRPr="00143AC3">
        <w:rPr>
          <w:rFonts w:cs="Arial"/>
          <w:i/>
          <w:iCs/>
          <w:color w:val="222222"/>
          <w:shd w:val="clear" w:color="auto" w:fill="FFFFFF"/>
        </w:rPr>
        <w:t>Child and Adolescent Mental Health</w:t>
      </w:r>
      <w:r w:rsidRPr="00143AC3">
        <w:rPr>
          <w:rFonts w:cs="Arial"/>
          <w:color w:val="222222"/>
          <w:shd w:val="clear" w:color="auto" w:fill="FFFFFF"/>
        </w:rPr>
        <w:t>, </w:t>
      </w:r>
      <w:r w:rsidRPr="00143AC3">
        <w:rPr>
          <w:rFonts w:cs="Arial"/>
          <w:i/>
          <w:iCs/>
          <w:color w:val="222222"/>
          <w:shd w:val="clear" w:color="auto" w:fill="FFFFFF"/>
        </w:rPr>
        <w:t>26</w:t>
      </w:r>
      <w:r w:rsidRPr="00143AC3">
        <w:rPr>
          <w:rFonts w:cs="Arial"/>
          <w:color w:val="222222"/>
          <w:shd w:val="clear" w:color="auto" w:fill="FFFFFF"/>
        </w:rPr>
        <w:t>(1), 56-64.</w:t>
      </w:r>
    </w:p>
    <w:p w:rsidRPr="00143AC3" w:rsidR="00143AC3" w:rsidP="00143AC3" w:rsidRDefault="00143AC3" w14:paraId="01BAB177" w14:textId="77777777">
      <w:pPr>
        <w:jc w:val="left"/>
        <w:rPr>
          <w:rFonts w:cs="Arial"/>
          <w:color w:val="222222"/>
          <w:shd w:val="clear" w:color="auto" w:fill="FFFFFF"/>
        </w:rPr>
      </w:pPr>
      <w:r w:rsidRPr="00143AC3">
        <w:t xml:space="preserve">Marmot, M. (2010). </w:t>
      </w:r>
      <w:r w:rsidRPr="00143AC3">
        <w:rPr>
          <w:rStyle w:val="Emphasis"/>
        </w:rPr>
        <w:t>Fair Society, Healthy Lives: The Marmot Review</w:t>
      </w:r>
      <w:r w:rsidRPr="00143AC3">
        <w:t>. UCL Institute of Health Equity</w:t>
      </w:r>
      <w:r w:rsidRPr="00143AC3">
        <w:rPr>
          <w:rFonts w:cs="Arial"/>
          <w:color w:val="222222"/>
          <w:shd w:val="clear" w:color="auto" w:fill="FFFFFF"/>
        </w:rPr>
        <w:t>.</w:t>
      </w:r>
    </w:p>
    <w:p w:rsidRPr="00143AC3" w:rsidR="00143AC3" w:rsidP="00143AC3" w:rsidRDefault="00143AC3" w14:paraId="7236D601" w14:textId="77777777">
      <w:pPr>
        <w:jc w:val="left"/>
        <w:rPr>
          <w:rFonts w:cs="Arial"/>
          <w:color w:val="222222"/>
          <w:shd w:val="clear" w:color="auto" w:fill="FFFFFF"/>
        </w:rPr>
      </w:pPr>
      <w:r w:rsidRPr="00143AC3">
        <w:rPr>
          <w:rFonts w:cs="Arial"/>
          <w:color w:val="222222"/>
          <w:shd w:val="clear" w:color="auto" w:fill="FFFFFF"/>
        </w:rPr>
        <w:t>Main, G., &amp; Bradshaw, J. (2016). Child poverty in the UK: Measures, prevalence and intra-household sharing. </w:t>
      </w:r>
      <w:r w:rsidRPr="00143AC3">
        <w:rPr>
          <w:rFonts w:cs="Arial"/>
          <w:i/>
          <w:iCs/>
          <w:color w:val="222222"/>
          <w:shd w:val="clear" w:color="auto" w:fill="FFFFFF"/>
        </w:rPr>
        <w:t>Critical social policy</w:t>
      </w:r>
      <w:r w:rsidRPr="00143AC3">
        <w:rPr>
          <w:rFonts w:cs="Arial"/>
          <w:color w:val="222222"/>
          <w:shd w:val="clear" w:color="auto" w:fill="FFFFFF"/>
        </w:rPr>
        <w:t>, </w:t>
      </w:r>
      <w:r w:rsidRPr="00143AC3">
        <w:rPr>
          <w:rFonts w:cs="Arial"/>
          <w:i/>
          <w:iCs/>
          <w:color w:val="222222"/>
          <w:shd w:val="clear" w:color="auto" w:fill="FFFFFF"/>
        </w:rPr>
        <w:t>36</w:t>
      </w:r>
      <w:r w:rsidRPr="00143AC3">
        <w:rPr>
          <w:rFonts w:cs="Arial"/>
          <w:color w:val="222222"/>
          <w:shd w:val="clear" w:color="auto" w:fill="FFFFFF"/>
        </w:rPr>
        <w:t>(1), 38-61.</w:t>
      </w:r>
    </w:p>
    <w:p w:rsidRPr="00143AC3" w:rsidR="00143AC3" w:rsidP="00143AC3" w:rsidRDefault="00143AC3" w14:paraId="3CBCD1E9" w14:textId="77777777">
      <w:pPr>
        <w:jc w:val="left"/>
        <w:rPr>
          <w:rFonts w:cs="Arial"/>
          <w:color w:val="222222"/>
          <w:shd w:val="clear" w:color="auto" w:fill="FFFFFF"/>
        </w:rPr>
      </w:pPr>
      <w:r w:rsidRPr="00143AC3">
        <w:rPr>
          <w:rFonts w:cs="Arial"/>
          <w:color w:val="222222"/>
          <w:shd w:val="clear" w:color="auto" w:fill="FFFFFF"/>
        </w:rPr>
        <w:t>McKenna, C. (2023). Michael Marmot: the health of nations. </w:t>
      </w:r>
      <w:proofErr w:type="spellStart"/>
      <w:r w:rsidRPr="00143AC3">
        <w:rPr>
          <w:rFonts w:cs="Arial"/>
          <w:i/>
          <w:iCs/>
          <w:color w:val="222222"/>
          <w:shd w:val="clear" w:color="auto" w:fill="FFFFFF"/>
        </w:rPr>
        <w:t>BJPsych</w:t>
      </w:r>
      <w:proofErr w:type="spellEnd"/>
      <w:r w:rsidRPr="00143AC3">
        <w:rPr>
          <w:rFonts w:cs="Arial"/>
          <w:i/>
          <w:iCs/>
          <w:color w:val="222222"/>
          <w:shd w:val="clear" w:color="auto" w:fill="FFFFFF"/>
        </w:rPr>
        <w:t xml:space="preserve"> Bulletin</w:t>
      </w:r>
      <w:r w:rsidRPr="00143AC3">
        <w:rPr>
          <w:rFonts w:cs="Arial"/>
          <w:color w:val="222222"/>
          <w:shd w:val="clear" w:color="auto" w:fill="FFFFFF"/>
        </w:rPr>
        <w:t>, </w:t>
      </w:r>
      <w:r w:rsidRPr="00143AC3">
        <w:rPr>
          <w:rFonts w:cs="Arial"/>
          <w:i/>
          <w:iCs/>
          <w:color w:val="222222"/>
          <w:shd w:val="clear" w:color="auto" w:fill="FFFFFF"/>
        </w:rPr>
        <w:t>47</w:t>
      </w:r>
      <w:r w:rsidRPr="00143AC3">
        <w:rPr>
          <w:rFonts w:cs="Arial"/>
          <w:color w:val="222222"/>
          <w:shd w:val="clear" w:color="auto" w:fill="FFFFFF"/>
        </w:rPr>
        <w:t>(1), 56-59.</w:t>
      </w:r>
    </w:p>
    <w:p w:rsidRPr="00143AC3" w:rsidR="00143AC3" w:rsidP="00143AC3" w:rsidRDefault="00143AC3" w14:paraId="32CDB77B" w14:textId="77777777">
      <w:pPr>
        <w:jc w:val="left"/>
        <w:rPr>
          <w:rFonts w:cs="Arial"/>
          <w:color w:val="222222"/>
          <w:shd w:val="clear" w:color="auto" w:fill="FFFFFF"/>
        </w:rPr>
      </w:pPr>
      <w:r w:rsidRPr="00143AC3">
        <w:rPr>
          <w:rFonts w:cs="Arial"/>
          <w:color w:val="222222"/>
          <w:shd w:val="clear" w:color="auto" w:fill="FFFFFF"/>
        </w:rPr>
        <w:t>Nowell, L. S., Norris, J. M., White, D. E., &amp; Moules, N. J. (2017). Thematic analysis: Striving to meet the trustworthiness criteria. </w:t>
      </w:r>
      <w:r w:rsidRPr="00143AC3">
        <w:rPr>
          <w:rFonts w:cs="Arial"/>
          <w:i/>
          <w:iCs/>
          <w:color w:val="222222"/>
          <w:shd w:val="clear" w:color="auto" w:fill="FFFFFF"/>
        </w:rPr>
        <w:t>International journal of qualitative methods</w:t>
      </w:r>
      <w:r w:rsidRPr="00143AC3">
        <w:rPr>
          <w:rFonts w:cs="Arial"/>
          <w:color w:val="222222"/>
          <w:shd w:val="clear" w:color="auto" w:fill="FFFFFF"/>
        </w:rPr>
        <w:t>, </w:t>
      </w:r>
      <w:r w:rsidRPr="00143AC3">
        <w:rPr>
          <w:rFonts w:cs="Arial"/>
          <w:i/>
          <w:iCs/>
          <w:color w:val="222222"/>
          <w:shd w:val="clear" w:color="auto" w:fill="FFFFFF"/>
        </w:rPr>
        <w:t>16</w:t>
      </w:r>
      <w:r w:rsidRPr="00143AC3">
        <w:rPr>
          <w:rFonts w:cs="Arial"/>
          <w:color w:val="222222"/>
          <w:shd w:val="clear" w:color="auto" w:fill="FFFFFF"/>
        </w:rPr>
        <w:t>(1), 1609406917733847.</w:t>
      </w:r>
    </w:p>
    <w:p w:rsidRPr="00143AC3" w:rsidR="00143AC3" w:rsidP="00143AC3" w:rsidRDefault="00143AC3" w14:paraId="1904A960" w14:textId="77777777">
      <w:pPr>
        <w:jc w:val="left"/>
        <w:rPr>
          <w:rFonts w:cs="Arial"/>
          <w:color w:val="222222"/>
          <w:shd w:val="clear" w:color="auto" w:fill="FFFFFF"/>
        </w:rPr>
      </w:pPr>
      <w:r w:rsidRPr="00143AC3">
        <w:rPr>
          <w:rFonts w:cs="Arial"/>
          <w:color w:val="222222"/>
          <w:shd w:val="clear" w:color="auto" w:fill="FFFFFF"/>
        </w:rPr>
        <w:t xml:space="preserve">Olczyk, M., Schneider, T., </w:t>
      </w:r>
      <w:proofErr w:type="spellStart"/>
      <w:r w:rsidRPr="00143AC3">
        <w:rPr>
          <w:rFonts w:cs="Arial"/>
          <w:color w:val="222222"/>
          <w:shd w:val="clear" w:color="auto" w:fill="FFFFFF"/>
        </w:rPr>
        <w:t>Washbrook</w:t>
      </w:r>
      <w:proofErr w:type="spellEnd"/>
      <w:r w:rsidRPr="00143AC3">
        <w:rPr>
          <w:rFonts w:cs="Arial"/>
          <w:color w:val="222222"/>
          <w:shd w:val="clear" w:color="auto" w:fill="FFFFFF"/>
        </w:rPr>
        <w:t xml:space="preserve">, E., </w:t>
      </w:r>
      <w:proofErr w:type="spellStart"/>
      <w:r w:rsidRPr="00143AC3">
        <w:rPr>
          <w:rFonts w:cs="Arial"/>
          <w:color w:val="222222"/>
          <w:shd w:val="clear" w:color="auto" w:fill="FFFFFF"/>
        </w:rPr>
        <w:t>Akabayashi</w:t>
      </w:r>
      <w:proofErr w:type="spellEnd"/>
      <w:r w:rsidRPr="00143AC3">
        <w:rPr>
          <w:rFonts w:cs="Arial"/>
          <w:color w:val="222222"/>
          <w:shd w:val="clear" w:color="auto" w:fill="FFFFFF"/>
        </w:rPr>
        <w:t xml:space="preserve">, H., de la Rie, S. S., </w:t>
      </w:r>
      <w:proofErr w:type="spellStart"/>
      <w:r w:rsidRPr="00143AC3">
        <w:rPr>
          <w:rFonts w:cs="Arial"/>
          <w:color w:val="222222"/>
          <w:shd w:val="clear" w:color="auto" w:fill="FFFFFF"/>
        </w:rPr>
        <w:t>Boinet</w:t>
      </w:r>
      <w:proofErr w:type="spellEnd"/>
      <w:r w:rsidRPr="00143AC3">
        <w:rPr>
          <w:rFonts w:cs="Arial"/>
          <w:color w:val="222222"/>
          <w:shd w:val="clear" w:color="auto" w:fill="FFFFFF"/>
        </w:rPr>
        <w:t>, C., ... &amp; Weinert, S. (2021). National context and socioeconomic inequalities in educational achievement: An overview of six high-income countries: France, Germany, Japan, the Netherlands, United Kingdom, and United States.</w:t>
      </w:r>
    </w:p>
    <w:p w:rsidRPr="00143AC3" w:rsidR="00143AC3" w:rsidP="00143AC3" w:rsidRDefault="00143AC3" w14:paraId="62E28A7C" w14:textId="77777777">
      <w:pPr>
        <w:jc w:val="left"/>
        <w:rPr>
          <w:rFonts w:cs="Arial"/>
          <w:color w:val="222222"/>
          <w:shd w:val="clear" w:color="auto" w:fill="FFFFFF"/>
        </w:rPr>
      </w:pPr>
      <w:proofErr w:type="spellStart"/>
      <w:r w:rsidRPr="00143AC3">
        <w:rPr>
          <w:rFonts w:cs="Arial"/>
          <w:color w:val="222222"/>
          <w:shd w:val="clear" w:color="auto" w:fill="FFFFFF"/>
        </w:rPr>
        <w:t>Pavlopoulou</w:t>
      </w:r>
      <w:proofErr w:type="spellEnd"/>
      <w:r w:rsidRPr="00143AC3">
        <w:rPr>
          <w:rFonts w:cs="Arial"/>
          <w:color w:val="222222"/>
          <w:shd w:val="clear" w:color="auto" w:fill="FFFFFF"/>
        </w:rPr>
        <w:t xml:space="preserve">, G., Burns, C., Cleghorn, R., </w:t>
      </w:r>
      <w:proofErr w:type="spellStart"/>
      <w:r w:rsidRPr="00143AC3">
        <w:rPr>
          <w:rFonts w:cs="Arial"/>
          <w:color w:val="222222"/>
          <w:shd w:val="clear" w:color="auto" w:fill="FFFFFF"/>
        </w:rPr>
        <w:t>Skyrla</w:t>
      </w:r>
      <w:proofErr w:type="spellEnd"/>
      <w:r w:rsidRPr="00143AC3">
        <w:rPr>
          <w:rFonts w:cs="Arial"/>
          <w:color w:val="222222"/>
          <w:shd w:val="clear" w:color="auto" w:fill="FFFFFF"/>
        </w:rPr>
        <w:t xml:space="preserve">, T., &amp; </w:t>
      </w:r>
      <w:proofErr w:type="spellStart"/>
      <w:r w:rsidRPr="00143AC3">
        <w:rPr>
          <w:rFonts w:cs="Arial"/>
          <w:color w:val="222222"/>
          <w:shd w:val="clear" w:color="auto" w:fill="FFFFFF"/>
        </w:rPr>
        <w:t>Avnon</w:t>
      </w:r>
      <w:proofErr w:type="spellEnd"/>
      <w:r w:rsidRPr="00143AC3">
        <w:rPr>
          <w:rFonts w:cs="Arial"/>
          <w:color w:val="222222"/>
          <w:shd w:val="clear" w:color="auto" w:fill="FFFFFF"/>
        </w:rPr>
        <w:t>, J. (2022). “I often have to explain to school staff what she needs”. School experiences of non-autistic siblings growing up with an autistic brother or sister. </w:t>
      </w:r>
      <w:r w:rsidRPr="00143AC3">
        <w:rPr>
          <w:rFonts w:cs="Arial"/>
          <w:i/>
          <w:iCs/>
          <w:color w:val="222222"/>
          <w:shd w:val="clear" w:color="auto" w:fill="FFFFFF"/>
        </w:rPr>
        <w:t>Research in developmental disabilities</w:t>
      </w:r>
      <w:r w:rsidRPr="00143AC3">
        <w:rPr>
          <w:rFonts w:cs="Arial"/>
          <w:color w:val="222222"/>
          <w:shd w:val="clear" w:color="auto" w:fill="FFFFFF"/>
        </w:rPr>
        <w:t>, </w:t>
      </w:r>
      <w:r w:rsidRPr="00143AC3">
        <w:rPr>
          <w:rFonts w:cs="Arial"/>
          <w:i/>
          <w:iCs/>
          <w:color w:val="222222"/>
          <w:shd w:val="clear" w:color="auto" w:fill="FFFFFF"/>
        </w:rPr>
        <w:t>129</w:t>
      </w:r>
      <w:r w:rsidRPr="00143AC3">
        <w:rPr>
          <w:rFonts w:cs="Arial"/>
          <w:color w:val="222222"/>
          <w:shd w:val="clear" w:color="auto" w:fill="FFFFFF"/>
        </w:rPr>
        <w:t>, 104323.</w:t>
      </w:r>
    </w:p>
    <w:p w:rsidRPr="00143AC3" w:rsidR="00143AC3" w:rsidP="00143AC3" w:rsidRDefault="00143AC3" w14:paraId="27E7A33F" w14:textId="77777777">
      <w:pPr>
        <w:jc w:val="left"/>
        <w:rPr>
          <w:rFonts w:cs="Arial"/>
          <w:color w:val="222222"/>
          <w:shd w:val="clear" w:color="auto" w:fill="FFFFFF"/>
        </w:rPr>
      </w:pPr>
      <w:r w:rsidRPr="00143AC3">
        <w:rPr>
          <w:rFonts w:cs="Arial"/>
          <w:color w:val="222222"/>
          <w:shd w:val="clear" w:color="auto" w:fill="FFFFFF"/>
        </w:rPr>
        <w:t>Rose, W., &amp; McAuley, C. (2019). Poverty and its impact on parenting in the UK: Re-defining the critical nature of the relationship through examining lived experiences in times of austerity. </w:t>
      </w:r>
      <w:r w:rsidRPr="00143AC3">
        <w:rPr>
          <w:rFonts w:cs="Arial"/>
          <w:i/>
          <w:iCs/>
          <w:color w:val="222222"/>
          <w:shd w:val="clear" w:color="auto" w:fill="FFFFFF"/>
        </w:rPr>
        <w:t>Children and Youth Services Review</w:t>
      </w:r>
      <w:r w:rsidRPr="00143AC3">
        <w:rPr>
          <w:rFonts w:cs="Arial"/>
          <w:color w:val="222222"/>
          <w:shd w:val="clear" w:color="auto" w:fill="FFFFFF"/>
        </w:rPr>
        <w:t>, </w:t>
      </w:r>
      <w:r w:rsidRPr="00143AC3">
        <w:rPr>
          <w:rFonts w:cs="Arial"/>
          <w:i/>
          <w:iCs/>
          <w:color w:val="222222"/>
          <w:shd w:val="clear" w:color="auto" w:fill="FFFFFF"/>
        </w:rPr>
        <w:t>97</w:t>
      </w:r>
      <w:r w:rsidRPr="00143AC3">
        <w:rPr>
          <w:rFonts w:cs="Arial"/>
          <w:color w:val="222222"/>
          <w:shd w:val="clear" w:color="auto" w:fill="FFFFFF"/>
        </w:rPr>
        <w:t>, 134-141.</w:t>
      </w:r>
    </w:p>
    <w:p w:rsidRPr="00143AC3" w:rsidR="00143AC3" w:rsidP="00143AC3" w:rsidRDefault="00143AC3" w14:paraId="7C6E6673" w14:textId="77777777">
      <w:pPr>
        <w:jc w:val="left"/>
        <w:rPr>
          <w:rFonts w:cs="Arial"/>
          <w:color w:val="222222"/>
          <w:shd w:val="clear" w:color="auto" w:fill="FFFFFF"/>
        </w:rPr>
      </w:pPr>
      <w:r w:rsidRPr="00143AC3">
        <w:rPr>
          <w:rFonts w:cs="Arial"/>
          <w:color w:val="222222"/>
          <w:shd w:val="clear" w:color="auto" w:fill="FFFFFF"/>
        </w:rPr>
        <w:t xml:space="preserve">Richardson, D., Bruckauf, Z., </w:t>
      </w:r>
      <w:proofErr w:type="spellStart"/>
      <w:r w:rsidRPr="00143AC3">
        <w:rPr>
          <w:rFonts w:cs="Arial"/>
          <w:color w:val="222222"/>
          <w:shd w:val="clear" w:color="auto" w:fill="FFFFFF"/>
        </w:rPr>
        <w:t>Toczydlowska</w:t>
      </w:r>
      <w:proofErr w:type="spellEnd"/>
      <w:r w:rsidRPr="00143AC3">
        <w:rPr>
          <w:rFonts w:cs="Arial"/>
          <w:color w:val="222222"/>
          <w:shd w:val="clear" w:color="auto" w:fill="FFFFFF"/>
        </w:rPr>
        <w:t xml:space="preserve">, E., &amp; </w:t>
      </w:r>
      <w:proofErr w:type="spellStart"/>
      <w:r w:rsidRPr="00143AC3">
        <w:rPr>
          <w:rFonts w:cs="Arial"/>
          <w:color w:val="222222"/>
          <w:shd w:val="clear" w:color="auto" w:fill="FFFFFF"/>
        </w:rPr>
        <w:t>Chzhen</w:t>
      </w:r>
      <w:proofErr w:type="spellEnd"/>
      <w:r w:rsidRPr="00143AC3">
        <w:rPr>
          <w:rFonts w:cs="Arial"/>
          <w:color w:val="222222"/>
          <w:shd w:val="clear" w:color="auto" w:fill="FFFFFF"/>
        </w:rPr>
        <w:t>, Y. (2017). </w:t>
      </w:r>
      <w:r w:rsidRPr="00143AC3">
        <w:rPr>
          <w:rFonts w:cs="Arial"/>
          <w:i/>
          <w:iCs/>
          <w:color w:val="222222"/>
          <w:shd w:val="clear" w:color="auto" w:fill="FFFFFF"/>
        </w:rPr>
        <w:t>Comparing Child-focused SDGs in High-income Countries: Indicator development and overview</w:t>
      </w:r>
      <w:r w:rsidRPr="00143AC3">
        <w:rPr>
          <w:rFonts w:cs="Arial"/>
          <w:color w:val="222222"/>
          <w:shd w:val="clear" w:color="auto" w:fill="FFFFFF"/>
        </w:rPr>
        <w:t> (No. inwopa902).</w:t>
      </w:r>
    </w:p>
    <w:p w:rsidRPr="00143AC3" w:rsidR="00143AC3" w:rsidP="00143AC3" w:rsidRDefault="00143AC3" w14:paraId="325D3D51" w14:textId="77777777">
      <w:pPr>
        <w:jc w:val="left"/>
        <w:rPr>
          <w:rFonts w:cs="Arial"/>
          <w:color w:val="222222"/>
          <w:shd w:val="clear" w:color="auto" w:fill="FFFFFF"/>
        </w:rPr>
      </w:pPr>
      <w:r w:rsidRPr="00143AC3">
        <w:rPr>
          <w:rFonts w:cs="Arial"/>
          <w:color w:val="222222"/>
          <w:shd w:val="clear" w:color="auto" w:fill="FFFFFF"/>
        </w:rPr>
        <w:t>Saunders, M., Lewis, P., &amp; Thornhill, A. (2009). </w:t>
      </w:r>
      <w:r w:rsidRPr="00143AC3">
        <w:rPr>
          <w:rFonts w:cs="Arial"/>
          <w:i/>
          <w:iCs/>
          <w:color w:val="222222"/>
          <w:shd w:val="clear" w:color="auto" w:fill="FFFFFF"/>
        </w:rPr>
        <w:t>Research methods for business students</w:t>
      </w:r>
      <w:r w:rsidRPr="00143AC3">
        <w:rPr>
          <w:rFonts w:cs="Arial"/>
          <w:color w:val="222222"/>
          <w:shd w:val="clear" w:color="auto" w:fill="FFFFFF"/>
        </w:rPr>
        <w:t>. Pearson education.</w:t>
      </w:r>
    </w:p>
    <w:p w:rsidRPr="00143AC3" w:rsidR="00143AC3" w:rsidP="00143AC3" w:rsidRDefault="00143AC3" w14:paraId="3E0629B6" w14:textId="77777777">
      <w:pPr>
        <w:jc w:val="left"/>
        <w:rPr>
          <w:rFonts w:cs="Arial"/>
          <w:color w:val="222222"/>
          <w:shd w:val="clear" w:color="auto" w:fill="FFFFFF"/>
        </w:rPr>
      </w:pPr>
      <w:r w:rsidRPr="00143AC3">
        <w:rPr>
          <w:rFonts w:cs="Arial"/>
          <w:color w:val="222222"/>
          <w:shd w:val="clear" w:color="auto" w:fill="FFFFFF"/>
        </w:rPr>
        <w:t>Street, M. (2021). Theorising child well-being: Towards a framework for analysing Early Childhood Education policy in England. </w:t>
      </w:r>
      <w:r w:rsidRPr="00143AC3">
        <w:rPr>
          <w:rFonts w:cs="Arial"/>
          <w:i/>
          <w:iCs/>
          <w:color w:val="222222"/>
          <w:shd w:val="clear" w:color="auto" w:fill="FFFFFF"/>
        </w:rPr>
        <w:t>Journal of Early Childhood Research</w:t>
      </w:r>
      <w:r w:rsidRPr="00143AC3">
        <w:rPr>
          <w:rFonts w:cs="Arial"/>
          <w:color w:val="222222"/>
          <w:shd w:val="clear" w:color="auto" w:fill="FFFFFF"/>
        </w:rPr>
        <w:t>, </w:t>
      </w:r>
      <w:r w:rsidRPr="00143AC3">
        <w:rPr>
          <w:rFonts w:cs="Arial"/>
          <w:i/>
          <w:iCs/>
          <w:color w:val="222222"/>
          <w:shd w:val="clear" w:color="auto" w:fill="FFFFFF"/>
        </w:rPr>
        <w:t>19</w:t>
      </w:r>
      <w:r w:rsidRPr="00143AC3">
        <w:rPr>
          <w:rFonts w:cs="Arial"/>
          <w:color w:val="222222"/>
          <w:shd w:val="clear" w:color="auto" w:fill="FFFFFF"/>
        </w:rPr>
        <w:t>(2), 211-224.</w:t>
      </w:r>
    </w:p>
    <w:p w:rsidRPr="00143AC3" w:rsidR="00143AC3" w:rsidP="00143AC3" w:rsidRDefault="00143AC3" w14:paraId="0D7B0A6E" w14:textId="77777777">
      <w:pPr>
        <w:jc w:val="left"/>
        <w:rPr>
          <w:rFonts w:cs="Arial"/>
          <w:color w:val="222222"/>
          <w:shd w:val="clear" w:color="auto" w:fill="FFFFFF"/>
        </w:rPr>
      </w:pPr>
      <w:r w:rsidRPr="00143AC3">
        <w:t xml:space="preserve">Silverman, D. (2021). </w:t>
      </w:r>
      <w:r w:rsidRPr="00143AC3">
        <w:rPr>
          <w:rStyle w:val="Emphasis"/>
        </w:rPr>
        <w:t>A very short, fairly interesting and reasonably cheap book about qualitative research</w:t>
      </w:r>
      <w:r w:rsidRPr="00143AC3">
        <w:t xml:space="preserve"> (5th ed.). Sage.</w:t>
      </w:r>
    </w:p>
    <w:p w:rsidRPr="00143AC3" w:rsidR="00143AC3" w:rsidP="00143AC3" w:rsidRDefault="00143AC3" w14:paraId="444BD33C" w14:textId="77777777">
      <w:pPr>
        <w:jc w:val="left"/>
        <w:rPr>
          <w:rFonts w:cs="Arial"/>
          <w:color w:val="222222"/>
          <w:shd w:val="clear" w:color="auto" w:fill="FFFFFF"/>
        </w:rPr>
      </w:pPr>
      <w:r w:rsidRPr="00143AC3">
        <w:rPr>
          <w:rFonts w:cs="Arial"/>
          <w:color w:val="222222"/>
          <w:shd w:val="clear" w:color="auto" w:fill="FFFFFF"/>
        </w:rPr>
        <w:t xml:space="preserve">Smeeding, T., &amp; </w:t>
      </w:r>
      <w:proofErr w:type="spellStart"/>
      <w:r w:rsidRPr="00143AC3">
        <w:rPr>
          <w:rFonts w:cs="Arial"/>
          <w:color w:val="222222"/>
          <w:shd w:val="clear" w:color="auto" w:fill="FFFFFF"/>
        </w:rPr>
        <w:t>Thévenot</w:t>
      </w:r>
      <w:proofErr w:type="spellEnd"/>
      <w:r w:rsidRPr="00143AC3">
        <w:rPr>
          <w:rFonts w:cs="Arial"/>
          <w:color w:val="222222"/>
          <w:shd w:val="clear" w:color="auto" w:fill="FFFFFF"/>
        </w:rPr>
        <w:t xml:space="preserve">, C. (2016). Addressing child poverty: How does the United States compare with other </w:t>
      </w:r>
      <w:proofErr w:type="gramStart"/>
      <w:r w:rsidRPr="00143AC3">
        <w:rPr>
          <w:rFonts w:cs="Arial"/>
          <w:color w:val="222222"/>
          <w:shd w:val="clear" w:color="auto" w:fill="FFFFFF"/>
        </w:rPr>
        <w:t>nations?.</w:t>
      </w:r>
      <w:proofErr w:type="gramEnd"/>
      <w:r w:rsidRPr="00143AC3">
        <w:rPr>
          <w:rFonts w:cs="Arial"/>
          <w:color w:val="222222"/>
          <w:shd w:val="clear" w:color="auto" w:fill="FFFFFF"/>
        </w:rPr>
        <w:t> </w:t>
      </w:r>
      <w:r w:rsidRPr="00143AC3">
        <w:rPr>
          <w:rFonts w:cs="Arial"/>
          <w:i/>
          <w:iCs/>
          <w:color w:val="222222"/>
          <w:shd w:val="clear" w:color="auto" w:fill="FFFFFF"/>
        </w:rPr>
        <w:t xml:space="preserve">Academic </w:t>
      </w:r>
      <w:proofErr w:type="spellStart"/>
      <w:r w:rsidRPr="00143AC3">
        <w:rPr>
          <w:rFonts w:cs="Arial"/>
          <w:i/>
          <w:iCs/>
          <w:color w:val="222222"/>
          <w:shd w:val="clear" w:color="auto" w:fill="FFFFFF"/>
        </w:rPr>
        <w:t>pediatrics</w:t>
      </w:r>
      <w:proofErr w:type="spellEnd"/>
      <w:r w:rsidRPr="00143AC3">
        <w:rPr>
          <w:rFonts w:cs="Arial"/>
          <w:color w:val="222222"/>
          <w:shd w:val="clear" w:color="auto" w:fill="FFFFFF"/>
        </w:rPr>
        <w:t>, </w:t>
      </w:r>
      <w:r w:rsidRPr="00143AC3">
        <w:rPr>
          <w:rFonts w:cs="Arial"/>
          <w:i/>
          <w:iCs/>
          <w:color w:val="222222"/>
          <w:shd w:val="clear" w:color="auto" w:fill="FFFFFF"/>
        </w:rPr>
        <w:t>16</w:t>
      </w:r>
      <w:r w:rsidRPr="00143AC3">
        <w:rPr>
          <w:rFonts w:cs="Arial"/>
          <w:color w:val="222222"/>
          <w:shd w:val="clear" w:color="auto" w:fill="FFFFFF"/>
        </w:rPr>
        <w:t>(3), S67-S75.</w:t>
      </w:r>
    </w:p>
    <w:p w:rsidRPr="00143AC3" w:rsidR="00143AC3" w:rsidP="00143AC3" w:rsidRDefault="00143AC3" w14:paraId="2BF38442" w14:textId="77777777">
      <w:pPr>
        <w:jc w:val="left"/>
        <w:rPr>
          <w:rFonts w:cs="Arial"/>
          <w:color w:val="222222"/>
          <w:shd w:val="clear" w:color="auto" w:fill="FFFFFF"/>
        </w:rPr>
      </w:pPr>
      <w:r w:rsidRPr="00143AC3">
        <w:rPr>
          <w:rFonts w:cs="Arial"/>
          <w:color w:val="222222"/>
          <w:shd w:val="clear" w:color="auto" w:fill="FFFFFF"/>
        </w:rPr>
        <w:lastRenderedPageBreak/>
        <w:t>Taylor, S. J. (2020). Children, poverty and mental health in rural and urban England (1850–1907). </w:t>
      </w:r>
      <w:r w:rsidRPr="00143AC3">
        <w:rPr>
          <w:rFonts w:cs="Arial"/>
          <w:i/>
          <w:iCs/>
          <w:color w:val="222222"/>
          <w:shd w:val="clear" w:color="auto" w:fill="FFFFFF"/>
        </w:rPr>
        <w:t>Rural History</w:t>
      </w:r>
      <w:r w:rsidRPr="00143AC3">
        <w:rPr>
          <w:rFonts w:cs="Arial"/>
          <w:color w:val="222222"/>
          <w:shd w:val="clear" w:color="auto" w:fill="FFFFFF"/>
        </w:rPr>
        <w:t>, </w:t>
      </w:r>
      <w:r w:rsidRPr="00143AC3">
        <w:rPr>
          <w:rFonts w:cs="Arial"/>
          <w:i/>
          <w:iCs/>
          <w:color w:val="222222"/>
          <w:shd w:val="clear" w:color="auto" w:fill="FFFFFF"/>
        </w:rPr>
        <w:t>31</w:t>
      </w:r>
      <w:r w:rsidRPr="00143AC3">
        <w:rPr>
          <w:rFonts w:cs="Arial"/>
          <w:color w:val="222222"/>
          <w:shd w:val="clear" w:color="auto" w:fill="FFFFFF"/>
        </w:rPr>
        <w:t>(2), 151-164.</w:t>
      </w:r>
    </w:p>
    <w:p w:rsidRPr="00143AC3" w:rsidR="00143AC3" w:rsidP="00143AC3" w:rsidRDefault="00143AC3" w14:paraId="38259B30" w14:textId="77777777">
      <w:pPr>
        <w:jc w:val="left"/>
        <w:rPr>
          <w:rFonts w:cs="Arial"/>
          <w:color w:val="222222"/>
          <w:shd w:val="clear" w:color="auto" w:fill="FFFFFF"/>
        </w:rPr>
      </w:pPr>
      <w:r w:rsidRPr="00143AC3">
        <w:rPr>
          <w:rFonts w:cs="Arial"/>
          <w:color w:val="222222"/>
          <w:shd w:val="clear" w:color="auto" w:fill="FFFFFF"/>
        </w:rPr>
        <w:t>Treanor, M. C. (2020). How COVID-19 crisis measures reveal the conflation between poverty and adversity. </w:t>
      </w:r>
      <w:r w:rsidRPr="00143AC3">
        <w:rPr>
          <w:rFonts w:cs="Arial"/>
          <w:i/>
          <w:iCs/>
          <w:color w:val="222222"/>
          <w:shd w:val="clear" w:color="auto" w:fill="FFFFFF"/>
        </w:rPr>
        <w:t>Scottish Affairs</w:t>
      </w:r>
      <w:r w:rsidRPr="00143AC3">
        <w:rPr>
          <w:rFonts w:cs="Arial"/>
          <w:color w:val="222222"/>
          <w:shd w:val="clear" w:color="auto" w:fill="FFFFFF"/>
        </w:rPr>
        <w:t>, </w:t>
      </w:r>
      <w:r w:rsidRPr="00143AC3">
        <w:rPr>
          <w:rFonts w:cs="Arial"/>
          <w:i/>
          <w:iCs/>
          <w:color w:val="222222"/>
          <w:shd w:val="clear" w:color="auto" w:fill="FFFFFF"/>
        </w:rPr>
        <w:t>29</w:t>
      </w:r>
      <w:r w:rsidRPr="00143AC3">
        <w:rPr>
          <w:rFonts w:cs="Arial"/>
          <w:color w:val="222222"/>
          <w:shd w:val="clear" w:color="auto" w:fill="FFFFFF"/>
        </w:rPr>
        <w:t>(4), 475-492.</w:t>
      </w:r>
    </w:p>
    <w:p w:rsidRPr="00143AC3" w:rsidR="00143AC3" w:rsidP="00143AC3" w:rsidRDefault="00143AC3" w14:paraId="15BF57A8" w14:textId="77777777">
      <w:pPr>
        <w:jc w:val="left"/>
        <w:rPr>
          <w:rFonts w:cs="Arial"/>
          <w:color w:val="222222"/>
          <w:shd w:val="clear" w:color="auto" w:fill="FFFFFF"/>
        </w:rPr>
      </w:pPr>
      <w:r w:rsidRPr="00143AC3">
        <w:rPr>
          <w:rFonts w:cs="Arial"/>
          <w:color w:val="222222"/>
          <w:shd w:val="clear" w:color="auto" w:fill="FFFFFF"/>
        </w:rPr>
        <w:t>Thomas, G. (2022). How to do your research project: A guide for students.</w:t>
      </w:r>
    </w:p>
    <w:p w:rsidRPr="00143AC3" w:rsidR="00143AC3" w:rsidP="00143AC3" w:rsidRDefault="00143AC3" w14:paraId="68928BFD" w14:textId="77777777">
      <w:pPr>
        <w:jc w:val="left"/>
        <w:rPr>
          <w:rFonts w:cs="Arial"/>
          <w:color w:val="222222"/>
          <w:shd w:val="clear" w:color="auto" w:fill="FFFFFF"/>
        </w:rPr>
      </w:pPr>
      <w:r w:rsidRPr="00143AC3">
        <w:rPr>
          <w:rFonts w:cs="Arial"/>
          <w:color w:val="222222"/>
          <w:shd w:val="clear" w:color="auto" w:fill="FFFFFF"/>
        </w:rPr>
        <w:t>Taylor-Robinson, D., Lai, E. T., Wickham, S., Rose, T., Norman, P., Bambra, C., ... &amp; Barr, B. (2019). Assessing the impact of rising child poverty on the unprecedented rise in infant mortality in England, 2000–2017: time trend analysis. </w:t>
      </w:r>
      <w:r w:rsidRPr="00143AC3">
        <w:rPr>
          <w:rFonts w:cs="Arial"/>
          <w:i/>
          <w:iCs/>
          <w:color w:val="222222"/>
          <w:shd w:val="clear" w:color="auto" w:fill="FFFFFF"/>
        </w:rPr>
        <w:t>BMJ open</w:t>
      </w:r>
      <w:r w:rsidRPr="00143AC3">
        <w:rPr>
          <w:rFonts w:cs="Arial"/>
          <w:color w:val="222222"/>
          <w:shd w:val="clear" w:color="auto" w:fill="FFFFFF"/>
        </w:rPr>
        <w:t>, </w:t>
      </w:r>
      <w:r w:rsidRPr="00143AC3">
        <w:rPr>
          <w:rFonts w:cs="Arial"/>
          <w:i/>
          <w:iCs/>
          <w:color w:val="222222"/>
          <w:shd w:val="clear" w:color="auto" w:fill="FFFFFF"/>
        </w:rPr>
        <w:t>9</w:t>
      </w:r>
      <w:r w:rsidRPr="00143AC3">
        <w:rPr>
          <w:rFonts w:cs="Arial"/>
          <w:color w:val="222222"/>
          <w:shd w:val="clear" w:color="auto" w:fill="FFFFFF"/>
        </w:rPr>
        <w:t>(10), e029424.</w:t>
      </w:r>
    </w:p>
    <w:p w:rsidRPr="00143AC3" w:rsidR="00143AC3" w:rsidP="00143AC3" w:rsidRDefault="00143AC3" w14:paraId="59115F72" w14:textId="77777777">
      <w:pPr>
        <w:jc w:val="left"/>
        <w:rPr>
          <w:rFonts w:cs="Arial"/>
          <w:color w:val="222222"/>
          <w:shd w:val="clear" w:color="auto" w:fill="FFFFFF"/>
        </w:rPr>
      </w:pPr>
      <w:r w:rsidRPr="00143AC3">
        <w:rPr>
          <w:rFonts w:cs="Arial"/>
          <w:color w:val="222222"/>
          <w:shd w:val="clear" w:color="auto" w:fill="FFFFFF"/>
        </w:rPr>
        <w:t>Townsend, P. (1979). Poverty in the United Kingdom. </w:t>
      </w:r>
      <w:r w:rsidRPr="00143AC3">
        <w:rPr>
          <w:rFonts w:cs="Arial"/>
          <w:i/>
          <w:iCs/>
          <w:color w:val="222222"/>
          <w:shd w:val="clear" w:color="auto" w:fill="FFFFFF"/>
        </w:rPr>
        <w:t>Allen Lane and Penguin Books</w:t>
      </w:r>
      <w:r w:rsidRPr="00143AC3">
        <w:rPr>
          <w:rFonts w:cs="Arial"/>
          <w:color w:val="222222"/>
          <w:shd w:val="clear" w:color="auto" w:fill="FFFFFF"/>
        </w:rPr>
        <w:t>.</w:t>
      </w:r>
    </w:p>
    <w:p w:rsidRPr="00143AC3" w:rsidR="00143AC3" w:rsidP="00143AC3" w:rsidRDefault="00143AC3" w14:paraId="0A877FE5" w14:textId="77777777">
      <w:pPr>
        <w:jc w:val="left"/>
        <w:rPr>
          <w:rFonts w:cs="Arial"/>
          <w:color w:val="222222"/>
          <w:shd w:val="clear" w:color="auto" w:fill="FFFFFF"/>
        </w:rPr>
      </w:pPr>
      <w:r w:rsidRPr="00143AC3">
        <w:rPr>
          <w:rFonts w:cs="Arial"/>
          <w:color w:val="222222"/>
          <w:shd w:val="clear" w:color="auto" w:fill="FFFFFF"/>
        </w:rPr>
        <w:t>Ucci, M., Ortegon-Sanchez, A., Mead, N. E., Godward, C., Rahman, A., Islam, S., ... &amp; Christie, N. (2022). Exploring the interactions between housing and neighbourhood environments for enhanced child wellbeing: the lived experience of parents living in areas of high child poverty in England, UK. </w:t>
      </w:r>
      <w:r w:rsidRPr="00143AC3">
        <w:rPr>
          <w:rFonts w:cs="Arial"/>
          <w:i/>
          <w:iCs/>
          <w:color w:val="222222"/>
          <w:shd w:val="clear" w:color="auto" w:fill="FFFFFF"/>
        </w:rPr>
        <w:t>International journal of environmental research and public health</w:t>
      </w:r>
      <w:r w:rsidRPr="00143AC3">
        <w:rPr>
          <w:rFonts w:cs="Arial"/>
          <w:color w:val="222222"/>
          <w:shd w:val="clear" w:color="auto" w:fill="FFFFFF"/>
        </w:rPr>
        <w:t>, </w:t>
      </w:r>
      <w:r w:rsidRPr="00143AC3">
        <w:rPr>
          <w:rFonts w:cs="Arial"/>
          <w:i/>
          <w:iCs/>
          <w:color w:val="222222"/>
          <w:shd w:val="clear" w:color="auto" w:fill="FFFFFF"/>
        </w:rPr>
        <w:t>19</w:t>
      </w:r>
      <w:r w:rsidRPr="00143AC3">
        <w:rPr>
          <w:rFonts w:cs="Arial"/>
          <w:color w:val="222222"/>
          <w:shd w:val="clear" w:color="auto" w:fill="FFFFFF"/>
        </w:rPr>
        <w:t>(19), 12563.</w:t>
      </w:r>
    </w:p>
    <w:p w:rsidRPr="00143AC3" w:rsidR="00143AC3" w:rsidP="00143AC3" w:rsidRDefault="00143AC3" w14:paraId="0B4221C0" w14:textId="77777777">
      <w:pPr>
        <w:jc w:val="left"/>
        <w:rPr>
          <w:rFonts w:cs="Arial"/>
          <w:color w:val="222222"/>
          <w:shd w:val="clear" w:color="auto" w:fill="FFFFFF"/>
        </w:rPr>
      </w:pPr>
      <w:r w:rsidRPr="00143AC3">
        <w:rPr>
          <w:rFonts w:cs="Arial"/>
          <w:color w:val="222222"/>
          <w:shd w:val="clear" w:color="auto" w:fill="FFFFFF"/>
        </w:rPr>
        <w:t>Uddin, E. (2024). Cumulative Family Disadvantage, Child Development, and Underachievement as a Global Problem: Implications for Research and Social Policy. In </w:t>
      </w:r>
      <w:r w:rsidRPr="00143AC3">
        <w:rPr>
          <w:rFonts w:cs="Arial"/>
          <w:i/>
          <w:iCs/>
          <w:color w:val="222222"/>
          <w:shd w:val="clear" w:color="auto" w:fill="FFFFFF"/>
        </w:rPr>
        <w:t>The Palgrave Handbook of Global Social Problems</w:t>
      </w:r>
      <w:r w:rsidRPr="00143AC3">
        <w:rPr>
          <w:rFonts w:cs="Arial"/>
          <w:color w:val="222222"/>
          <w:shd w:val="clear" w:color="auto" w:fill="FFFFFF"/>
        </w:rPr>
        <w:t> (pp. 1-18). Cham: Springer International Publishing.</w:t>
      </w:r>
    </w:p>
    <w:p w:rsidRPr="00143AC3" w:rsidR="00143AC3" w:rsidP="00143AC3" w:rsidRDefault="00143AC3" w14:paraId="03158704" w14:textId="77777777">
      <w:pPr>
        <w:jc w:val="left"/>
        <w:rPr>
          <w:rFonts w:cs="Arial"/>
          <w:color w:val="222222"/>
          <w:shd w:val="clear" w:color="auto" w:fill="FFFFFF"/>
        </w:rPr>
      </w:pPr>
      <w:proofErr w:type="spellStart"/>
      <w:r w:rsidRPr="00143AC3">
        <w:rPr>
          <w:rFonts w:cs="Arial"/>
          <w:color w:val="222222"/>
          <w:shd w:val="clear" w:color="auto" w:fill="FFFFFF"/>
        </w:rPr>
        <w:t>Wahlbeck</w:t>
      </w:r>
      <w:proofErr w:type="spellEnd"/>
      <w:r w:rsidRPr="00143AC3">
        <w:rPr>
          <w:rFonts w:cs="Arial"/>
          <w:color w:val="222222"/>
          <w:shd w:val="clear" w:color="auto" w:fill="FFFFFF"/>
        </w:rPr>
        <w:t xml:space="preserve">, K., Cresswell-Smith, J., </w:t>
      </w:r>
      <w:proofErr w:type="spellStart"/>
      <w:r w:rsidRPr="00143AC3">
        <w:rPr>
          <w:rFonts w:cs="Arial"/>
          <w:color w:val="222222"/>
          <w:shd w:val="clear" w:color="auto" w:fill="FFFFFF"/>
        </w:rPr>
        <w:t>Haaramo</w:t>
      </w:r>
      <w:proofErr w:type="spellEnd"/>
      <w:r w:rsidRPr="00143AC3">
        <w:rPr>
          <w:rFonts w:cs="Arial"/>
          <w:color w:val="222222"/>
          <w:shd w:val="clear" w:color="auto" w:fill="FFFFFF"/>
        </w:rPr>
        <w:t>, P., &amp; Parkkonen, J. (2017). Interventions to mitigate the effects of poverty and inequality on mental health. </w:t>
      </w:r>
      <w:r w:rsidRPr="00143AC3">
        <w:rPr>
          <w:rFonts w:cs="Arial"/>
          <w:i/>
          <w:iCs/>
          <w:color w:val="222222"/>
          <w:shd w:val="clear" w:color="auto" w:fill="FFFFFF"/>
        </w:rPr>
        <w:t>Social psychiatry and psychiatric epidemiology</w:t>
      </w:r>
      <w:r w:rsidRPr="00143AC3">
        <w:rPr>
          <w:rFonts w:cs="Arial"/>
          <w:color w:val="222222"/>
          <w:shd w:val="clear" w:color="auto" w:fill="FFFFFF"/>
        </w:rPr>
        <w:t>, </w:t>
      </w:r>
      <w:r w:rsidRPr="00143AC3">
        <w:rPr>
          <w:rFonts w:cs="Arial"/>
          <w:i/>
          <w:iCs/>
          <w:color w:val="222222"/>
          <w:shd w:val="clear" w:color="auto" w:fill="FFFFFF"/>
        </w:rPr>
        <w:t>52</w:t>
      </w:r>
      <w:r w:rsidRPr="00143AC3">
        <w:rPr>
          <w:rFonts w:cs="Arial"/>
          <w:color w:val="222222"/>
          <w:shd w:val="clear" w:color="auto" w:fill="FFFFFF"/>
        </w:rPr>
        <w:t>(5), 505-514.</w:t>
      </w:r>
    </w:p>
    <w:p w:rsidRPr="00143AC3" w:rsidR="00143AC3" w:rsidP="00143AC3" w:rsidRDefault="00143AC3" w14:paraId="6FDE38C7" w14:textId="464BD3ED">
      <w:pPr>
        <w:jc w:val="left"/>
        <w:rPr>
          <w:rFonts w:cs="Arial"/>
          <w:color w:val="222222"/>
          <w:shd w:val="clear" w:color="auto" w:fill="FFFFFF"/>
        </w:rPr>
      </w:pPr>
      <w:r w:rsidRPr="00143AC3">
        <w:rPr>
          <w:rFonts w:cs="Arial"/>
          <w:color w:val="222222"/>
          <w:shd w:val="clear" w:color="auto" w:fill="FFFFFF"/>
        </w:rPr>
        <w:t xml:space="preserve">Wels, J., &amp; </w:t>
      </w:r>
      <w:proofErr w:type="spellStart"/>
      <w:r w:rsidRPr="00143AC3">
        <w:rPr>
          <w:rFonts w:cs="Arial"/>
          <w:color w:val="222222"/>
          <w:shd w:val="clear" w:color="auto" w:fill="FFFFFF"/>
        </w:rPr>
        <w:t>Hamarat</w:t>
      </w:r>
      <w:proofErr w:type="spellEnd"/>
      <w:r w:rsidRPr="00143AC3">
        <w:rPr>
          <w:rFonts w:cs="Arial"/>
          <w:color w:val="222222"/>
          <w:shd w:val="clear" w:color="auto" w:fill="FFFFFF"/>
        </w:rPr>
        <w:t>, N. (2024). Examining the relationships between psychological distress and financial hardship and uncertainty during the COVID-19 pandemic and the subsequent cost-of-living crisis in the United Kingdom. </w:t>
      </w:r>
      <w:proofErr w:type="spellStart"/>
      <w:r w:rsidRPr="00143AC3">
        <w:rPr>
          <w:rFonts w:cs="Arial"/>
          <w:i/>
          <w:iCs/>
          <w:color w:val="222222"/>
          <w:shd w:val="clear" w:color="auto" w:fill="FFFFFF"/>
        </w:rPr>
        <w:t>medRxiv</w:t>
      </w:r>
      <w:proofErr w:type="spellEnd"/>
      <w:r w:rsidRPr="00143AC3">
        <w:rPr>
          <w:rFonts w:cs="Arial"/>
          <w:color w:val="222222"/>
          <w:shd w:val="clear" w:color="auto" w:fill="FFFFFF"/>
        </w:rPr>
        <w:t>, 2024-01.</w:t>
      </w:r>
    </w:p>
    <w:p w:rsidRPr="00143AC3" w:rsidR="00143AC3" w:rsidP="00143AC3" w:rsidRDefault="00143AC3" w14:paraId="6BE943C5" w14:textId="77777777">
      <w:pPr>
        <w:jc w:val="left"/>
        <w:rPr>
          <w:rFonts w:cs="Arial"/>
          <w:color w:val="222222"/>
          <w:shd w:val="clear" w:color="auto" w:fill="FFFFFF"/>
        </w:rPr>
      </w:pPr>
      <w:r w:rsidRPr="00143AC3">
        <w:rPr>
          <w:rFonts w:cs="Arial"/>
          <w:color w:val="222222"/>
          <w:shd w:val="clear" w:color="auto" w:fill="FFFFFF"/>
        </w:rPr>
        <w:t>Wickham, S., Anwar, E., Barr, B., Law, C., &amp; Taylor-Robinson, D. (2016). Poverty and child health in the UK: using evidence for action. </w:t>
      </w:r>
      <w:r w:rsidRPr="00143AC3">
        <w:rPr>
          <w:rFonts w:cs="Arial"/>
          <w:i/>
          <w:iCs/>
          <w:color w:val="222222"/>
          <w:shd w:val="clear" w:color="auto" w:fill="FFFFFF"/>
        </w:rPr>
        <w:t>Archives of disease in childhood</w:t>
      </w:r>
      <w:r w:rsidRPr="00143AC3">
        <w:rPr>
          <w:rFonts w:cs="Arial"/>
          <w:color w:val="222222"/>
          <w:shd w:val="clear" w:color="auto" w:fill="FFFFFF"/>
        </w:rPr>
        <w:t>, </w:t>
      </w:r>
      <w:r w:rsidRPr="00143AC3">
        <w:rPr>
          <w:rFonts w:cs="Arial"/>
          <w:i/>
          <w:iCs/>
          <w:color w:val="222222"/>
          <w:shd w:val="clear" w:color="auto" w:fill="FFFFFF"/>
        </w:rPr>
        <w:t>101</w:t>
      </w:r>
      <w:r w:rsidRPr="00143AC3">
        <w:rPr>
          <w:rFonts w:cs="Arial"/>
          <w:color w:val="222222"/>
          <w:shd w:val="clear" w:color="auto" w:fill="FFFFFF"/>
        </w:rPr>
        <w:t>(8), 759-766.</w:t>
      </w:r>
    </w:p>
    <w:p w:rsidRPr="00143AC3" w:rsidR="00143AC3" w:rsidP="00143AC3" w:rsidRDefault="00143AC3" w14:paraId="6ED9D9EC" w14:textId="77777777">
      <w:pPr>
        <w:jc w:val="left"/>
        <w:rPr>
          <w:rFonts w:cs="Arial"/>
          <w:color w:val="222222"/>
          <w:shd w:val="clear" w:color="auto" w:fill="FFFFFF"/>
        </w:rPr>
      </w:pPr>
      <w:r w:rsidRPr="00143AC3">
        <w:rPr>
          <w:rFonts w:cs="Arial"/>
          <w:color w:val="222222"/>
          <w:shd w:val="clear" w:color="auto" w:fill="FFFFFF"/>
        </w:rPr>
        <w:t>Wickham, S., Whitehead, M., Taylor-Robinson, D., &amp; Barr, B. (2017). The effect of a transition into poverty on child and maternal mental health: a longitudinal analysis of the UK Millennium Cohort Study. </w:t>
      </w:r>
      <w:r w:rsidRPr="00143AC3">
        <w:rPr>
          <w:rFonts w:cs="Arial"/>
          <w:i/>
          <w:iCs/>
          <w:color w:val="222222"/>
          <w:shd w:val="clear" w:color="auto" w:fill="FFFFFF"/>
        </w:rPr>
        <w:t>The Lancet Public Health</w:t>
      </w:r>
      <w:r w:rsidRPr="00143AC3">
        <w:rPr>
          <w:rFonts w:cs="Arial"/>
          <w:color w:val="222222"/>
          <w:shd w:val="clear" w:color="auto" w:fill="FFFFFF"/>
        </w:rPr>
        <w:t>, </w:t>
      </w:r>
      <w:r w:rsidRPr="00143AC3">
        <w:rPr>
          <w:rFonts w:cs="Arial"/>
          <w:i/>
          <w:iCs/>
          <w:color w:val="222222"/>
          <w:shd w:val="clear" w:color="auto" w:fill="FFFFFF"/>
        </w:rPr>
        <w:t>2</w:t>
      </w:r>
      <w:r w:rsidRPr="00143AC3">
        <w:rPr>
          <w:rFonts w:cs="Arial"/>
          <w:color w:val="222222"/>
          <w:shd w:val="clear" w:color="auto" w:fill="FFFFFF"/>
        </w:rPr>
        <w:t>(3), e141-e148.</w:t>
      </w:r>
    </w:p>
    <w:p w:rsidRPr="00143AC3" w:rsidR="00143AC3" w:rsidP="00143AC3" w:rsidRDefault="00143AC3" w14:paraId="368A1F28" w14:textId="77777777">
      <w:pPr>
        <w:jc w:val="left"/>
        <w:rPr>
          <w:rFonts w:cs="Arial"/>
          <w:color w:val="222222"/>
          <w:shd w:val="clear" w:color="auto" w:fill="FFFFFF"/>
        </w:rPr>
      </w:pPr>
      <w:r w:rsidRPr="00143AC3">
        <w:rPr>
          <w:rFonts w:cs="Arial"/>
          <w:color w:val="222222"/>
          <w:shd w:val="clear" w:color="auto" w:fill="FFFFFF"/>
        </w:rPr>
        <w:t>Whipple, S. S., &amp; Evans, G. W. (2022). The physical environment and social development. </w:t>
      </w:r>
      <w:r w:rsidRPr="00143AC3">
        <w:rPr>
          <w:rFonts w:cs="Arial"/>
          <w:i/>
          <w:iCs/>
          <w:color w:val="222222"/>
          <w:shd w:val="clear" w:color="auto" w:fill="FFFFFF"/>
        </w:rPr>
        <w:t>The Wiley</w:t>
      </w:r>
      <w:r w:rsidRPr="00143AC3">
        <w:rPr>
          <w:rFonts w:ascii="Cambria Math" w:hAnsi="Cambria Math" w:cs="Cambria Math"/>
          <w:i/>
          <w:iCs/>
          <w:color w:val="222222"/>
          <w:shd w:val="clear" w:color="auto" w:fill="FFFFFF"/>
        </w:rPr>
        <w:t>‐</w:t>
      </w:r>
      <w:r w:rsidRPr="00143AC3">
        <w:rPr>
          <w:rFonts w:cs="Arial"/>
          <w:i/>
          <w:iCs/>
          <w:color w:val="222222"/>
          <w:shd w:val="clear" w:color="auto" w:fill="FFFFFF"/>
        </w:rPr>
        <w:t>Blackwell handbook of childhood social development</w:t>
      </w:r>
      <w:r w:rsidRPr="00143AC3">
        <w:rPr>
          <w:rFonts w:cs="Arial"/>
          <w:color w:val="222222"/>
          <w:shd w:val="clear" w:color="auto" w:fill="FFFFFF"/>
        </w:rPr>
        <w:t>, 171-188.</w:t>
      </w:r>
    </w:p>
    <w:p w:rsidRPr="00143AC3" w:rsidR="00143AC3" w:rsidP="00143AC3" w:rsidRDefault="00143AC3" w14:paraId="023C4298" w14:textId="265B3AF1">
      <w:pPr>
        <w:jc w:val="left"/>
        <w:rPr>
          <w:rFonts w:cs="Arial"/>
          <w:color w:val="222222"/>
          <w:shd w:val="clear" w:color="auto" w:fill="FFFFFF"/>
        </w:rPr>
      </w:pPr>
      <w:r w:rsidRPr="00143AC3">
        <w:rPr>
          <w:rFonts w:cs="Arial"/>
          <w:color w:val="222222"/>
          <w:shd w:val="clear" w:color="auto" w:fill="FFFFFF"/>
        </w:rPr>
        <w:lastRenderedPageBreak/>
        <w:t>Zacharia, E. (2020). </w:t>
      </w:r>
      <w:r w:rsidRPr="00143AC3">
        <w:rPr>
          <w:rFonts w:cs="Arial"/>
          <w:i/>
          <w:iCs/>
          <w:color w:val="222222"/>
          <w:shd w:val="clear" w:color="auto" w:fill="FFFFFF"/>
        </w:rPr>
        <w:t>Creating a link between CAMHS and children's centres in a deprived area: A case of setting up a Work Discussion Group</w:t>
      </w:r>
      <w:r w:rsidRPr="00143AC3">
        <w:rPr>
          <w:rFonts w:cs="Arial"/>
          <w:color w:val="222222"/>
          <w:shd w:val="clear" w:color="auto" w:fill="FFFFFF"/>
        </w:rPr>
        <w:t> (Doctoral dissertation, Tavistock and Portman NHS Foundation Trust/University of East London).</w:t>
      </w:r>
    </w:p>
    <w:p w:rsidR="00621776" w:rsidP="00621776" w:rsidRDefault="00621776" w14:paraId="3C7AA80C" w14:textId="77777777"/>
    <w:p w:rsidR="00B0069A" w:rsidP="00621776" w:rsidRDefault="00B0069A" w14:paraId="2909E32B" w14:textId="77777777"/>
    <w:p w:rsidR="00B0069A" w:rsidP="00621776" w:rsidRDefault="00B0069A" w14:paraId="2D895DFA" w14:textId="77777777"/>
    <w:p w:rsidR="00B0069A" w:rsidP="00621776" w:rsidRDefault="00B0069A" w14:paraId="7E7D6058" w14:textId="77777777"/>
    <w:p w:rsidR="00B0069A" w:rsidP="00621776" w:rsidRDefault="00B0069A" w14:paraId="55CB07F5" w14:textId="77777777"/>
    <w:p w:rsidR="00B0069A" w:rsidP="00621776" w:rsidRDefault="00B0069A" w14:paraId="510DE00C" w14:textId="77777777"/>
    <w:p w:rsidR="00B0069A" w:rsidP="00621776" w:rsidRDefault="00B0069A" w14:paraId="1CD15567" w14:textId="77777777"/>
    <w:p w:rsidR="00B0069A" w:rsidP="00621776" w:rsidRDefault="00B0069A" w14:paraId="3A2587A1" w14:textId="77777777"/>
    <w:p w:rsidR="00B0069A" w:rsidP="00621776" w:rsidRDefault="00B0069A" w14:paraId="08DD63AB" w14:textId="77777777"/>
    <w:p w:rsidR="00B0069A" w:rsidP="00621776" w:rsidRDefault="00B0069A" w14:paraId="6B8295D0" w14:textId="77777777"/>
    <w:p w:rsidR="00B0069A" w:rsidP="00621776" w:rsidRDefault="00B0069A" w14:paraId="0584685A" w14:textId="77777777"/>
    <w:p w:rsidR="00B0069A" w:rsidP="00621776" w:rsidRDefault="00B0069A" w14:paraId="05C4D287" w14:textId="77777777"/>
    <w:p w:rsidR="00B0069A" w:rsidP="00621776" w:rsidRDefault="00B0069A" w14:paraId="60681C2E" w14:textId="77777777"/>
    <w:p w:rsidR="00B0069A" w:rsidP="00621776" w:rsidRDefault="00B0069A" w14:paraId="571079AA" w14:textId="77777777"/>
    <w:p w:rsidR="00B0069A" w:rsidP="00621776" w:rsidRDefault="00B0069A" w14:paraId="736F7538" w14:textId="77777777"/>
    <w:p w:rsidR="00B0069A" w:rsidP="00621776" w:rsidRDefault="00B0069A" w14:paraId="534758C4" w14:textId="77777777"/>
    <w:p w:rsidR="00B0069A" w:rsidP="00621776" w:rsidRDefault="00B0069A" w14:paraId="7347B6A4" w14:textId="77777777"/>
    <w:p w:rsidR="00B0069A" w:rsidP="00621776" w:rsidRDefault="00B0069A" w14:paraId="49DC1C93" w14:textId="77777777"/>
    <w:p w:rsidR="00B0069A" w:rsidP="00621776" w:rsidRDefault="00B0069A" w14:paraId="0954D64A" w14:textId="77777777"/>
    <w:p w:rsidR="00B0069A" w:rsidP="00621776" w:rsidRDefault="00B0069A" w14:paraId="1C23CE46" w14:textId="77777777"/>
    <w:p w:rsidR="00B0069A" w:rsidP="00621776" w:rsidRDefault="00B0069A" w14:paraId="20EB360B" w14:textId="77777777"/>
    <w:p w:rsidR="00B0069A" w:rsidP="00621776" w:rsidRDefault="00B0069A" w14:paraId="4ACB5DEE" w14:textId="77777777">
      <w:pPr>
        <w:sectPr w:rsidR="00B0069A">
          <w:pgSz w:w="11906" w:h="16838" w:orient="portrait"/>
          <w:pgMar w:top="1440" w:right="1440" w:bottom="1440" w:left="1440" w:header="708" w:footer="708" w:gutter="0"/>
          <w:cols w:space="708"/>
          <w:docGrid w:linePitch="360"/>
        </w:sectPr>
      </w:pPr>
    </w:p>
    <w:p w:rsidR="008C38C3" w:rsidP="00B0069A" w:rsidRDefault="00621776" w14:paraId="78D375C0" w14:textId="6E356532">
      <w:pPr>
        <w:pStyle w:val="Heading2"/>
      </w:pPr>
      <w:bookmarkStart w:name="_Toc208163514" w:id="48"/>
      <w:r w:rsidRPr="008C38C3">
        <w:lastRenderedPageBreak/>
        <w:t>6.2 – Appendices</w:t>
      </w:r>
      <w:bookmarkEnd w:id="48"/>
      <w:r w:rsidRPr="008C38C3">
        <w:t xml:space="preserve"> </w:t>
      </w:r>
    </w:p>
    <w:p w:rsidR="00143AC3" w:rsidP="00B0069A" w:rsidRDefault="00B0069A" w14:paraId="09E7CD77" w14:textId="6BBF79A9">
      <w:pPr>
        <w:pStyle w:val="Heading3"/>
      </w:pPr>
      <w:bookmarkStart w:name="_Toc208163515" w:id="49"/>
      <w:r>
        <w:t xml:space="preserve">6.2.1 Appendix </w:t>
      </w:r>
      <w:proofErr w:type="gramStart"/>
      <w:r>
        <w:t>A  Academic</w:t>
      </w:r>
      <w:proofErr w:type="gramEnd"/>
      <w:r>
        <w:t xml:space="preserve"> Methodology Poster</w:t>
      </w:r>
      <w:bookmarkEnd w:id="49"/>
    </w:p>
    <w:tbl>
      <w:tblPr>
        <w:tblStyle w:val="TableGrid"/>
        <w:tblW w:w="14616" w:type="dxa"/>
        <w:tblLook w:val="04A0" w:firstRow="1" w:lastRow="0" w:firstColumn="1" w:lastColumn="0" w:noHBand="0" w:noVBand="1"/>
      </w:tblPr>
      <w:tblGrid>
        <w:gridCol w:w="7225"/>
        <w:gridCol w:w="7391"/>
      </w:tblGrid>
      <w:tr w:rsidRPr="00C31D85" w:rsidR="000F2598" w:rsidTr="00A6258A" w14:paraId="20C08EC9" w14:textId="77777777">
        <w:trPr>
          <w:trHeight w:val="597"/>
        </w:trPr>
        <w:tc>
          <w:tcPr>
            <w:tcW w:w="14616" w:type="dxa"/>
            <w:gridSpan w:val="2"/>
            <w:vAlign w:val="center"/>
          </w:tcPr>
          <w:p w:rsidR="000F2598" w:rsidP="00A6258A" w:rsidRDefault="000F2598" w14:paraId="4695E13C" w14:textId="77777777">
            <w:pPr>
              <w:jc w:val="center"/>
              <w:rPr>
                <w:b/>
                <w:bCs/>
                <w:sz w:val="36"/>
                <w:szCs w:val="36"/>
              </w:rPr>
            </w:pPr>
            <w:r w:rsidRPr="00510FA4">
              <w:rPr>
                <w:b/>
                <w:bCs/>
                <w:sz w:val="36"/>
                <w:szCs w:val="36"/>
              </w:rPr>
              <w:t>Child Poverty and Access to Mental Health Services in Urban UK Areas: A Thematic Analysis of Secondary Research</w:t>
            </w:r>
          </w:p>
          <w:p w:rsidRPr="00802FF1" w:rsidR="000F2598" w:rsidP="00A6258A" w:rsidRDefault="000F2598" w14:paraId="7EEE8DBD" w14:textId="77777777">
            <w:pPr>
              <w:jc w:val="center"/>
              <w:rPr>
                <w:b/>
                <w:bCs/>
              </w:rPr>
            </w:pPr>
          </w:p>
        </w:tc>
      </w:tr>
      <w:tr w:rsidRPr="00C31D85" w:rsidR="000F2598" w:rsidTr="00A6258A" w14:paraId="4B1DEDF4" w14:textId="77777777">
        <w:trPr>
          <w:trHeight w:val="1856"/>
        </w:trPr>
        <w:tc>
          <w:tcPr>
            <w:tcW w:w="7225" w:type="dxa"/>
          </w:tcPr>
          <w:p w:rsidRPr="005F7D75" w:rsidR="000F2598" w:rsidP="00A6258A" w:rsidRDefault="000F2598" w14:paraId="163289EB" w14:textId="77777777">
            <w:pPr>
              <w:rPr>
                <w:b/>
                <w:bCs/>
              </w:rPr>
            </w:pPr>
            <w:r w:rsidRPr="00AB5409">
              <w:rPr>
                <w:b/>
                <w:bCs/>
                <w:sz w:val="40"/>
                <w:szCs w:val="40"/>
              </w:rPr>
              <w:t>01</w:t>
            </w:r>
            <w:r>
              <w:t xml:space="preserve"> </w:t>
            </w:r>
            <w:r w:rsidRPr="000E7A9C">
              <w:rPr>
                <w:b/>
                <w:bCs/>
              </w:rPr>
              <w:t>Introduction</w:t>
            </w:r>
            <w:r w:rsidRPr="005F7D75">
              <w:rPr>
                <w:b/>
                <w:bCs/>
              </w:rPr>
              <w:t xml:space="preserve"> and Research Aim </w:t>
            </w:r>
          </w:p>
          <w:p w:rsidRPr="00966314" w:rsidR="000F2598" w:rsidP="00A6258A" w:rsidRDefault="000F2598" w14:paraId="2BE1A821" w14:textId="77777777">
            <w:r w:rsidRPr="00966314">
              <w:t xml:space="preserve">Child poverty affects the availability of mental health services in the UK in a very strong way, especially in the underprivileged urban communities where more than 4.2 million children are below the poverty line (Dorling, 2024). The relationship between socioeconomic deprivation and the risks of anxiety, depression, and behavioural disorders among children is rather close (Wels </w:t>
            </w:r>
            <w:r>
              <w:t xml:space="preserve">and </w:t>
            </w:r>
            <w:proofErr w:type="spellStart"/>
            <w:r w:rsidRPr="00966314">
              <w:t>Hamarat</w:t>
            </w:r>
            <w:proofErr w:type="spellEnd"/>
            <w:r w:rsidRPr="00966314">
              <w:t xml:space="preserve">, 2024). These inequalities are further aggravated by a lack of CAMHS resources and long waiting times (Hayre </w:t>
            </w:r>
            <w:r>
              <w:t xml:space="preserve">and </w:t>
            </w:r>
            <w:r w:rsidRPr="00966314">
              <w:t xml:space="preserve">Pollock, 2022). This paper will examine the effect of child poverty on mental health service accessibility in UK urban areas and determine barriers, policy gaps, and socioeconomic disparities that influence service delivery on </w:t>
            </w:r>
            <w:proofErr w:type="spellStart"/>
            <w:proofErr w:type="gramStart"/>
            <w:r w:rsidRPr="00966314">
              <w:t>a</w:t>
            </w:r>
            <w:proofErr w:type="spellEnd"/>
            <w:proofErr w:type="gramEnd"/>
            <w:r w:rsidRPr="00966314">
              <w:t xml:space="preserve"> equal basis.</w:t>
            </w:r>
          </w:p>
        </w:tc>
        <w:tc>
          <w:tcPr>
            <w:tcW w:w="7391" w:type="dxa"/>
          </w:tcPr>
          <w:p w:rsidR="000F2598" w:rsidP="00A6258A" w:rsidRDefault="000F2598" w14:paraId="0AFBD6D4" w14:textId="77777777">
            <w:r w:rsidRPr="00AB5409">
              <w:rPr>
                <w:b/>
                <w:bCs/>
                <w:sz w:val="40"/>
                <w:szCs w:val="40"/>
              </w:rPr>
              <w:t>02</w:t>
            </w:r>
            <w:r>
              <w:rPr>
                <w:b/>
                <w:bCs/>
                <w:sz w:val="40"/>
                <w:szCs w:val="40"/>
              </w:rPr>
              <w:t xml:space="preserve"> </w:t>
            </w:r>
            <w:r w:rsidRPr="005F7D75">
              <w:rPr>
                <w:b/>
                <w:bCs/>
              </w:rPr>
              <w:t>Search Strategy</w:t>
            </w:r>
            <w:r>
              <w:t xml:space="preserve"> </w:t>
            </w:r>
          </w:p>
          <w:p w:rsidRPr="00510FA4" w:rsidR="000F2598" w:rsidP="00A6258A" w:rsidRDefault="000F2598" w14:paraId="7A6D3883" w14:textId="77777777">
            <w:pPr>
              <w:jc w:val="center"/>
            </w:pPr>
            <w:r w:rsidRPr="00966314">
              <w:rPr>
                <w:noProof/>
                <w:sz w:val="20"/>
                <w:szCs w:val="20"/>
              </w:rPr>
              <w:drawing>
                <wp:inline distT="0" distB="0" distL="0" distR="0" wp14:anchorId="0ADF5ED9" wp14:editId="260F79BF">
                  <wp:extent cx="3321934" cy="2865298"/>
                  <wp:effectExtent l="0" t="0" r="5715" b="5080"/>
                  <wp:docPr id="2054535297" name="Picture 1" descr="A group of blue rectangles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4535297" name="Picture 1" descr="A group of blue rectangles with white text&#10;&#10;AI-generated content may be incorrect."/>
                          <pic:cNvPicPr/>
                        </pic:nvPicPr>
                        <pic:blipFill>
                          <a:blip r:embed="rId14"/>
                          <a:stretch>
                            <a:fillRect/>
                          </a:stretch>
                        </pic:blipFill>
                        <pic:spPr>
                          <a:xfrm>
                            <a:off x="0" y="0"/>
                            <a:ext cx="3342815" cy="2883308"/>
                          </a:xfrm>
                          <a:prstGeom prst="rect">
                            <a:avLst/>
                          </a:prstGeom>
                        </pic:spPr>
                      </pic:pic>
                    </a:graphicData>
                  </a:graphic>
                </wp:inline>
              </w:drawing>
            </w:r>
          </w:p>
        </w:tc>
      </w:tr>
      <w:tr w:rsidRPr="00C31D85" w:rsidR="000F2598" w:rsidTr="00A6258A" w14:paraId="5363565D" w14:textId="77777777">
        <w:trPr>
          <w:trHeight w:val="1856"/>
        </w:trPr>
        <w:tc>
          <w:tcPr>
            <w:tcW w:w="7225" w:type="dxa"/>
          </w:tcPr>
          <w:p w:rsidR="000F2598" w:rsidP="00A6258A" w:rsidRDefault="000F2598" w14:paraId="563E86ED" w14:textId="77777777">
            <w:r w:rsidRPr="00AB5409">
              <w:rPr>
                <w:b/>
                <w:bCs/>
                <w:sz w:val="40"/>
                <w:szCs w:val="40"/>
              </w:rPr>
              <w:lastRenderedPageBreak/>
              <w:t>03</w:t>
            </w:r>
            <w:r>
              <w:t xml:space="preserve"> </w:t>
            </w:r>
            <w:r w:rsidRPr="005F7D75">
              <w:rPr>
                <w:b/>
                <w:bCs/>
              </w:rPr>
              <w:t>Searching for Information</w:t>
            </w:r>
            <w:r>
              <w:t xml:space="preserve"> </w:t>
            </w:r>
          </w:p>
          <w:p w:rsidRPr="00966314" w:rsidR="000F2598" w:rsidP="00A6258A" w:rsidRDefault="000F2598" w14:paraId="37CB1168" w14:textId="77777777">
            <w:r w:rsidRPr="00966314">
              <w:t xml:space="preserve">Literature search was conducted in a systematic and transparent manner </w:t>
            </w:r>
            <w:proofErr w:type="gramStart"/>
            <w:r w:rsidRPr="00966314">
              <w:t>in order to</w:t>
            </w:r>
            <w:proofErr w:type="gramEnd"/>
            <w:r w:rsidRPr="00966314">
              <w:t xml:space="preserve"> achieve reliability and rigour. Initially, general keywords (child poverty, urban deprivation, and CAMHS) were employed to search databases (Google Scholar, PubMed, PsycINFO, JSTOR, NHS Digital, and gov.uk) to identify publications on the subject, limited to UK-based, peer-reviewed articles published in 2013-2024 (Hart, 2001; Saunders et al., 2009). Full-text reviews would follow a screening of abstracts by elimination of duplicates and relevance. A Search Strategy Log recorded findings and </w:t>
            </w:r>
            <w:proofErr w:type="gramStart"/>
            <w:r w:rsidRPr="00966314">
              <w:t>enhances</w:t>
            </w:r>
            <w:proofErr w:type="gramEnd"/>
            <w:r w:rsidRPr="00966314">
              <w:t xml:space="preserve"> transparency (Bell et al., 2022). Lastly, a PRISMA flow diagram was used to summarise the process of 707 initial records and 20 included final studies.</w:t>
            </w:r>
          </w:p>
          <w:p w:rsidRPr="00510FA4" w:rsidR="000F2598" w:rsidP="00A6258A" w:rsidRDefault="000F2598" w14:paraId="04679E6C" w14:textId="77777777">
            <w:pPr>
              <w:rPr>
                <w:sz w:val="20"/>
                <w:szCs w:val="20"/>
              </w:rPr>
            </w:pPr>
          </w:p>
          <w:p w:rsidRPr="005F7D75" w:rsidR="000F2598" w:rsidP="00A6258A" w:rsidRDefault="000F2598" w14:paraId="16354E55" w14:textId="77777777"/>
        </w:tc>
        <w:tc>
          <w:tcPr>
            <w:tcW w:w="7391" w:type="dxa"/>
          </w:tcPr>
          <w:p w:rsidR="000F2598" w:rsidP="00A6258A" w:rsidRDefault="000F2598" w14:paraId="160AD618" w14:textId="77777777">
            <w:r w:rsidRPr="00AB5409">
              <w:rPr>
                <w:b/>
                <w:bCs/>
                <w:sz w:val="40"/>
                <w:szCs w:val="40"/>
              </w:rPr>
              <w:t>04</w:t>
            </w:r>
            <w:r>
              <w:t xml:space="preserve"> </w:t>
            </w:r>
            <w:r>
              <w:rPr>
                <w:b/>
                <w:bCs/>
              </w:rPr>
              <w:t>PRISMA Model</w:t>
            </w:r>
            <w:r>
              <w:t xml:space="preserve"> </w:t>
            </w:r>
          </w:p>
          <w:p w:rsidRPr="00C31D85" w:rsidR="000F2598" w:rsidP="00A6258A" w:rsidRDefault="000F2598" w14:paraId="38C40793" w14:textId="77777777">
            <w:pPr>
              <w:jc w:val="center"/>
            </w:pPr>
            <w:r>
              <w:rPr>
                <w:rFonts w:ascii="Times New Roman" w:hAnsi="Times New Roman" w:eastAsia="Times New Roman" w:cs="Times New Roman"/>
                <w:noProof/>
                <w:lang w:eastAsia="en-GB"/>
              </w:rPr>
              <w:drawing>
                <wp:inline distT="0" distB="0" distL="0" distR="0" wp14:anchorId="4274E734" wp14:editId="19D680E6">
                  <wp:extent cx="3918030" cy="4320000"/>
                  <wp:effectExtent l="0" t="0" r="0" b="0"/>
                  <wp:docPr id="1726591160" name="Picture 1" descr="A flowchart of recor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7337749" name="Picture 1" descr="A flowchart of records&#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918030" cy="4320000"/>
                          </a:xfrm>
                          <a:prstGeom prst="rect">
                            <a:avLst/>
                          </a:prstGeom>
                        </pic:spPr>
                      </pic:pic>
                    </a:graphicData>
                  </a:graphic>
                </wp:inline>
              </w:drawing>
            </w:r>
          </w:p>
        </w:tc>
      </w:tr>
      <w:tr w:rsidRPr="00C31D85" w:rsidR="000F2598" w:rsidTr="00A6258A" w14:paraId="1C56F792" w14:textId="77777777">
        <w:trPr>
          <w:trHeight w:val="983"/>
        </w:trPr>
        <w:tc>
          <w:tcPr>
            <w:tcW w:w="14616" w:type="dxa"/>
            <w:gridSpan w:val="2"/>
          </w:tcPr>
          <w:p w:rsidR="000F2598" w:rsidP="00A6258A" w:rsidRDefault="000F2598" w14:paraId="24F4FDF6" w14:textId="77777777">
            <w:pPr>
              <w:jc w:val="center"/>
              <w:rPr>
                <w:b/>
                <w:bCs/>
              </w:rPr>
            </w:pPr>
            <w:r w:rsidRPr="00AB5409">
              <w:rPr>
                <w:b/>
                <w:bCs/>
                <w:sz w:val="40"/>
                <w:szCs w:val="40"/>
              </w:rPr>
              <w:t>05</w:t>
            </w:r>
            <w:r>
              <w:t xml:space="preserve"> </w:t>
            </w:r>
            <w:r w:rsidRPr="005F7D75">
              <w:rPr>
                <w:b/>
                <w:bCs/>
              </w:rPr>
              <w:t>Research Validation and Analysis</w:t>
            </w:r>
          </w:p>
          <w:p w:rsidRPr="00966314" w:rsidR="000F2598" w:rsidP="00A6258A" w:rsidRDefault="000F2598" w14:paraId="65BF877A" w14:textId="77777777">
            <w:r w:rsidRPr="00966314">
              <w:lastRenderedPageBreak/>
              <w:t xml:space="preserve">In this secondary research, validation was done to make sure that every evidence was up to date, valid, and reliable. Peer-reviewed journals, government statistics, and NGO reports only were included to enhance the validity (Creswell and Miller, 2000; Bell et al., 2022). The triangulation process was through cross-checking data with the government, academic literature and independent reports to reduce biasness (Saunders et al., 2009). Focus was placed on new UK-based sources (201324) </w:t>
            </w:r>
            <w:proofErr w:type="gramStart"/>
            <w:r w:rsidRPr="00966314">
              <w:t>in an attempt to</w:t>
            </w:r>
            <w:proofErr w:type="gramEnd"/>
            <w:r w:rsidRPr="00966314">
              <w:t xml:space="preserve"> provide a contextually accurate source, especially when it comes to post-COVID and cost-of-living influences. Thematic analysis was subsequently done as suggested by Braun and Clarke (2006), there are six stages in their approach, where recurring patterns were identified across the literature on barriers, a policy gap, and socioeconomic inequalities.</w:t>
            </w:r>
          </w:p>
          <w:p w:rsidRPr="00510FA4" w:rsidR="000F2598" w:rsidP="00A6258A" w:rsidRDefault="000F2598" w14:paraId="7FBD4D9A" w14:textId="77777777">
            <w:pPr>
              <w:pStyle w:val="NormalWeb"/>
              <w:ind w:left="720"/>
            </w:pPr>
          </w:p>
        </w:tc>
      </w:tr>
      <w:tr w:rsidRPr="00C31D85" w:rsidR="000F2598" w:rsidTr="00A6258A" w14:paraId="3C9531D3" w14:textId="77777777">
        <w:trPr>
          <w:trHeight w:val="1856"/>
        </w:trPr>
        <w:tc>
          <w:tcPr>
            <w:tcW w:w="7225" w:type="dxa"/>
          </w:tcPr>
          <w:p w:rsidR="000F2598" w:rsidP="00A6258A" w:rsidRDefault="000F2598" w14:paraId="4F6461CC" w14:textId="77777777">
            <w:r w:rsidRPr="00AB5409">
              <w:rPr>
                <w:b/>
                <w:bCs/>
                <w:sz w:val="40"/>
                <w:szCs w:val="40"/>
              </w:rPr>
              <w:t>06</w:t>
            </w:r>
            <w:r>
              <w:t xml:space="preserve"> </w:t>
            </w:r>
            <w:r w:rsidRPr="005F7D75">
              <w:rPr>
                <w:b/>
                <w:bCs/>
              </w:rPr>
              <w:t>Inclusion Criteria</w:t>
            </w:r>
            <w:r>
              <w:t xml:space="preserve"> </w:t>
            </w:r>
          </w:p>
          <w:p w:rsidRPr="00966314" w:rsidR="000F2598" w:rsidP="00A6258A" w:rsidRDefault="000F2598" w14:paraId="5908AD11" w14:textId="77777777">
            <w:r w:rsidRPr="00966314">
              <w:t xml:space="preserve">The studies were selected, when they directly investigated the connection of child poverty with access to the mental health services in the UK. Peer-reviewed journal articles, government reports, and NGO publications published within 2013-2024 were also considered to be current and reliable (Hart, 2001; Campbell et al., 2020). The studies were required to </w:t>
            </w:r>
            <w:proofErr w:type="spellStart"/>
            <w:r w:rsidRPr="00966314">
              <w:t>center</w:t>
            </w:r>
            <w:proofErr w:type="spellEnd"/>
            <w:r w:rsidRPr="00966314">
              <w:t xml:space="preserve"> on children (0-18 years of age) with particular emphasis on urban deprivation, CAMHS or socioeconomic inequalities. Quantitative and qualitative research were both admitted, </w:t>
            </w:r>
            <w:proofErr w:type="gramStart"/>
            <w:r w:rsidRPr="00966314">
              <w:t>as long as</w:t>
            </w:r>
            <w:proofErr w:type="gramEnd"/>
            <w:r w:rsidRPr="00966314">
              <w:t xml:space="preserve"> they provided empirical or policy significant data. Inclusion focused on UK-based data to fit the context of UK national policies and the health service of the population (Saunders et al., 2009; Braun and Clarke, 2006).</w:t>
            </w:r>
          </w:p>
          <w:p w:rsidRPr="00510FA4" w:rsidR="000F2598" w:rsidP="00A6258A" w:rsidRDefault="000F2598" w14:paraId="3CE45CD6" w14:textId="77777777">
            <w:pPr>
              <w:pStyle w:val="NormalWeb"/>
            </w:pPr>
          </w:p>
        </w:tc>
        <w:tc>
          <w:tcPr>
            <w:tcW w:w="7391" w:type="dxa"/>
          </w:tcPr>
          <w:p w:rsidR="000F2598" w:rsidP="00A6258A" w:rsidRDefault="000F2598" w14:paraId="1FCA5AA8" w14:textId="77777777">
            <w:r w:rsidRPr="00AB5409">
              <w:rPr>
                <w:b/>
                <w:bCs/>
                <w:sz w:val="40"/>
                <w:szCs w:val="40"/>
              </w:rPr>
              <w:t>07</w:t>
            </w:r>
            <w:r>
              <w:t xml:space="preserve"> </w:t>
            </w:r>
            <w:r w:rsidRPr="005F7D75">
              <w:rPr>
                <w:b/>
                <w:bCs/>
              </w:rPr>
              <w:t>Exclusion Criteria</w:t>
            </w:r>
            <w:r>
              <w:t xml:space="preserve"> </w:t>
            </w:r>
          </w:p>
          <w:p w:rsidRPr="00966314" w:rsidR="000F2598" w:rsidP="00A6258A" w:rsidRDefault="000F2598" w14:paraId="31049B80" w14:textId="77777777">
            <w:r w:rsidRPr="00966314">
              <w:t>Only studies that were relevant to the UK situation were included and those that did not focus on child poverty and access to mental health were excluded. Removal of non-peer-reviewed sources, non-English articles, and those that were not published in the past 20132024 timeframe seemed to keep validity and focus (Campbell et al., 2020; Saunders et al., 2009). The studies focusing on adults, non-urban population, and irrelevant age groups (older than 18 years) were excluded. Studies behind paywalls or inaccessible ones were not considered either to guarantee transparency and reproducibility. Furthermore, the literature or reports that were outdated or lacked a substantial amount of methodological description were eliminated to increase the validity and topicality of the results (Bell et al., 2022; Hart, 2001).</w:t>
            </w:r>
          </w:p>
          <w:p w:rsidRPr="00510FA4" w:rsidR="000F2598" w:rsidP="00A6258A" w:rsidRDefault="000F2598" w14:paraId="18CE4762" w14:textId="77777777">
            <w:pPr>
              <w:pStyle w:val="NormalWeb"/>
              <w:rPr>
                <w:rFonts w:ascii="Aptos" w:hAnsi="Aptos"/>
                <w:sz w:val="22"/>
                <w:szCs w:val="22"/>
              </w:rPr>
            </w:pPr>
          </w:p>
        </w:tc>
      </w:tr>
      <w:tr w:rsidRPr="00C31D85" w:rsidR="000F2598" w:rsidTr="00A6258A" w14:paraId="1393097B" w14:textId="77777777">
        <w:trPr>
          <w:trHeight w:val="1798"/>
        </w:trPr>
        <w:tc>
          <w:tcPr>
            <w:tcW w:w="14616" w:type="dxa"/>
            <w:gridSpan w:val="2"/>
          </w:tcPr>
          <w:p w:rsidR="000F2598" w:rsidP="00A6258A" w:rsidRDefault="000F2598" w14:paraId="42A54079" w14:textId="77777777">
            <w:pPr>
              <w:jc w:val="center"/>
              <w:rPr>
                <w:b/>
                <w:bCs/>
              </w:rPr>
            </w:pPr>
            <w:r w:rsidRPr="00AB5409">
              <w:rPr>
                <w:b/>
                <w:bCs/>
                <w:sz w:val="40"/>
                <w:szCs w:val="40"/>
              </w:rPr>
              <w:t>0</w:t>
            </w:r>
            <w:r>
              <w:rPr>
                <w:b/>
                <w:bCs/>
                <w:sz w:val="40"/>
                <w:szCs w:val="40"/>
              </w:rPr>
              <w:t>8</w:t>
            </w:r>
            <w:r>
              <w:t xml:space="preserve"> </w:t>
            </w:r>
            <w:r w:rsidRPr="005F7D75">
              <w:rPr>
                <w:b/>
                <w:bCs/>
              </w:rPr>
              <w:t>Ethical Considerations</w:t>
            </w:r>
          </w:p>
          <w:p w:rsidRPr="00F52F83" w:rsidR="000F2598" w:rsidP="000F2598" w:rsidRDefault="000F2598" w14:paraId="58A72D1C" w14:textId="77777777">
            <w:pPr>
              <w:numPr>
                <w:ilvl w:val="0"/>
                <w:numId w:val="90"/>
              </w:numPr>
              <w:spacing w:after="220" w:line="240" w:lineRule="auto"/>
              <w:jc w:val="left"/>
            </w:pPr>
            <w:r w:rsidRPr="00F52F83">
              <w:rPr>
                <w:noProof/>
              </w:rPr>
              <w:drawing>
                <wp:anchor distT="0" distB="0" distL="114300" distR="114300" simplePos="0" relativeHeight="251660288" behindDoc="1" locked="0" layoutInCell="1" allowOverlap="1" wp14:anchorId="551BA436" wp14:editId="20778F59">
                  <wp:simplePos x="0" y="0"/>
                  <wp:positionH relativeFrom="column">
                    <wp:posOffset>156845</wp:posOffset>
                  </wp:positionH>
                  <wp:positionV relativeFrom="paragraph">
                    <wp:posOffset>471170</wp:posOffset>
                  </wp:positionV>
                  <wp:extent cx="8886825" cy="2124075"/>
                  <wp:effectExtent l="25400" t="0" r="3175" b="0"/>
                  <wp:wrapTight wrapText="bothSides">
                    <wp:wrapPolygon edited="0">
                      <wp:start x="-62" y="129"/>
                      <wp:lineTo x="-62" y="21439"/>
                      <wp:lineTo x="21577" y="21439"/>
                      <wp:lineTo x="21577" y="129"/>
                      <wp:lineTo x="-62" y="129"/>
                    </wp:wrapPolygon>
                  </wp:wrapTight>
                  <wp:docPr id="623136086" name="Diagram 1">
                    <a:extLst xmlns:a="http://schemas.openxmlformats.org/drawingml/2006/main">
                      <a:ext uri="{FF2B5EF4-FFF2-40B4-BE49-F238E27FC236}">
                        <a16:creationId xmlns:a16="http://schemas.microsoft.com/office/drawing/2014/main" id="{B484D78E-E6A4-3161-5AD7-28F81C814DA5}"/>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anchor>
              </w:drawing>
            </w:r>
            <w:r>
              <w:t>Ethics in secondary research involve responsible, transparent use of published data.</w:t>
            </w:r>
            <w:r w:rsidRPr="00F52F83">
              <w:t xml:space="preserve"> </w:t>
            </w:r>
          </w:p>
          <w:p w:rsidRPr="00F52F83" w:rsidR="000F2598" w:rsidP="00A6258A" w:rsidRDefault="000F2598" w14:paraId="207A6C22" w14:textId="77777777"/>
        </w:tc>
      </w:tr>
    </w:tbl>
    <w:p w:rsidRPr="00B0069A" w:rsidR="00B0069A" w:rsidP="00B0069A" w:rsidRDefault="00B0069A" w14:paraId="265D64DF" w14:textId="77777777"/>
    <w:p w:rsidR="008C38C3" w:rsidP="004739A4" w:rsidRDefault="00B0069A" w14:paraId="0D5F3838" w14:textId="75B6EE7B">
      <w:pPr>
        <w:pStyle w:val="Heading3"/>
      </w:pPr>
      <w:bookmarkStart w:name="_Toc208163516" w:id="50"/>
      <w:r>
        <w:t>6.2.2 Appendix B: Characteristics of selected studies</w:t>
      </w:r>
      <w:bookmarkEnd w:id="50"/>
    </w:p>
    <w:tbl>
      <w:tblPr>
        <w:tblStyle w:val="GridTable5Dark-Accent3"/>
        <w:tblW w:w="0" w:type="auto"/>
        <w:tblLook w:val="04A0" w:firstRow="1" w:lastRow="0" w:firstColumn="1" w:lastColumn="0" w:noHBand="0" w:noVBand="1"/>
      </w:tblPr>
      <w:tblGrid>
        <w:gridCol w:w="896"/>
        <w:gridCol w:w="1432"/>
        <w:gridCol w:w="1126"/>
        <w:gridCol w:w="1051"/>
        <w:gridCol w:w="1163"/>
        <w:gridCol w:w="1489"/>
        <w:gridCol w:w="1407"/>
        <w:gridCol w:w="1200"/>
        <w:gridCol w:w="1432"/>
        <w:gridCol w:w="1481"/>
        <w:gridCol w:w="1271"/>
      </w:tblGrid>
      <w:tr w:rsidRPr="00B0069A" w:rsidR="00B0069A" w:rsidTr="00B0069A" w14:paraId="23F16561"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Pr="00A93B58" w:rsidR="00B0069A" w:rsidP="00CC02C5" w:rsidRDefault="00B0069A" w14:paraId="1B7CCC04" w14:textId="77777777">
            <w:pPr>
              <w:rPr>
                <w:rFonts w:ascii="Times New Roman" w:hAnsi="Times New Roman" w:cs="Times New Roman"/>
                <w:sz w:val="16"/>
                <w:szCs w:val="16"/>
                <w:lang w:eastAsia="en-GB"/>
              </w:rPr>
            </w:pPr>
            <w:r w:rsidRPr="00A93B58">
              <w:rPr>
                <w:rFonts w:ascii="Times New Roman" w:hAnsi="Times New Roman" w:cs="Times New Roman"/>
                <w:sz w:val="16"/>
                <w:szCs w:val="16"/>
                <w:lang w:eastAsia="en-GB"/>
              </w:rPr>
              <w:t>Study Author</w:t>
            </w:r>
          </w:p>
        </w:tc>
        <w:tc>
          <w:tcPr>
            <w:tcW w:w="0" w:type="auto"/>
            <w:hideMark/>
          </w:tcPr>
          <w:p w:rsidRPr="00A93B58" w:rsidR="00B0069A" w:rsidP="00CC02C5" w:rsidRDefault="00B0069A" w14:paraId="1DAB742C" w14:textId="77777777">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Aim</w:t>
            </w:r>
          </w:p>
        </w:tc>
        <w:tc>
          <w:tcPr>
            <w:tcW w:w="0" w:type="auto"/>
            <w:hideMark/>
          </w:tcPr>
          <w:p w:rsidRPr="00A93B58" w:rsidR="00B0069A" w:rsidP="00CC02C5" w:rsidRDefault="00B0069A" w14:paraId="559470BC" w14:textId="77777777">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Setting / Sample</w:t>
            </w:r>
          </w:p>
        </w:tc>
        <w:tc>
          <w:tcPr>
            <w:tcW w:w="0" w:type="auto"/>
            <w:hideMark/>
          </w:tcPr>
          <w:p w:rsidRPr="00A93B58" w:rsidR="00B0069A" w:rsidP="00CC02C5" w:rsidRDefault="00B0069A" w14:paraId="3AB5B157" w14:textId="77777777">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Methodology</w:t>
            </w:r>
          </w:p>
        </w:tc>
        <w:tc>
          <w:tcPr>
            <w:tcW w:w="0" w:type="auto"/>
            <w:hideMark/>
          </w:tcPr>
          <w:p w:rsidRPr="00A93B58" w:rsidR="00B0069A" w:rsidP="00CC02C5" w:rsidRDefault="00B0069A" w14:paraId="676136A9" w14:textId="77777777">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Design Validity</w:t>
            </w:r>
          </w:p>
        </w:tc>
        <w:tc>
          <w:tcPr>
            <w:tcW w:w="0" w:type="auto"/>
            <w:hideMark/>
          </w:tcPr>
          <w:p w:rsidRPr="00A93B58" w:rsidR="00B0069A" w:rsidP="00CC02C5" w:rsidRDefault="00B0069A" w14:paraId="177AEC5B" w14:textId="77777777">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Strengths</w:t>
            </w:r>
          </w:p>
        </w:tc>
        <w:tc>
          <w:tcPr>
            <w:tcW w:w="0" w:type="auto"/>
            <w:hideMark/>
          </w:tcPr>
          <w:p w:rsidRPr="00A93B58" w:rsidR="00B0069A" w:rsidP="00CC02C5" w:rsidRDefault="00B0069A" w14:paraId="61CA154E" w14:textId="77777777">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Weaknesses</w:t>
            </w:r>
          </w:p>
        </w:tc>
        <w:tc>
          <w:tcPr>
            <w:tcW w:w="0" w:type="auto"/>
            <w:hideMark/>
          </w:tcPr>
          <w:p w:rsidRPr="00A93B58" w:rsidR="00B0069A" w:rsidP="00CC02C5" w:rsidRDefault="00B0069A" w14:paraId="20A03EA9" w14:textId="77777777">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Outcomes</w:t>
            </w:r>
          </w:p>
        </w:tc>
        <w:tc>
          <w:tcPr>
            <w:tcW w:w="0" w:type="auto"/>
            <w:hideMark/>
          </w:tcPr>
          <w:p w:rsidRPr="00A93B58" w:rsidR="00B0069A" w:rsidP="00CC02C5" w:rsidRDefault="00B0069A" w14:paraId="3E908D65" w14:textId="77777777">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Relevance to Research Objectives</w:t>
            </w:r>
          </w:p>
        </w:tc>
        <w:tc>
          <w:tcPr>
            <w:tcW w:w="0" w:type="auto"/>
            <w:hideMark/>
          </w:tcPr>
          <w:p w:rsidRPr="00A93B58" w:rsidR="00B0069A" w:rsidP="00CC02C5" w:rsidRDefault="00B0069A" w14:paraId="4A8D37C7" w14:textId="77777777">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Direct Quotes</w:t>
            </w:r>
          </w:p>
        </w:tc>
        <w:tc>
          <w:tcPr>
            <w:tcW w:w="0" w:type="auto"/>
            <w:hideMark/>
          </w:tcPr>
          <w:p w:rsidRPr="00A93B58" w:rsidR="00B0069A" w:rsidP="00CC02C5" w:rsidRDefault="00B0069A" w14:paraId="26A1B033" w14:textId="77777777">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Themes</w:t>
            </w:r>
          </w:p>
        </w:tc>
      </w:tr>
      <w:tr w:rsidRPr="00B0069A" w:rsidR="00B0069A" w:rsidTr="00B0069A" w14:paraId="3A5E49C4"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Pr="00A93B58" w:rsidR="00B0069A" w:rsidP="00CC02C5" w:rsidRDefault="00B0069A" w14:paraId="7ECAED56" w14:textId="77777777">
            <w:pPr>
              <w:rPr>
                <w:rFonts w:ascii="Times New Roman" w:hAnsi="Times New Roman" w:cs="Times New Roman"/>
                <w:sz w:val="16"/>
                <w:szCs w:val="16"/>
                <w:lang w:eastAsia="en-GB"/>
              </w:rPr>
            </w:pPr>
            <w:r w:rsidRPr="00A93B58">
              <w:rPr>
                <w:rFonts w:ascii="Times New Roman" w:hAnsi="Times New Roman" w:cs="Times New Roman"/>
                <w:sz w:val="16"/>
                <w:szCs w:val="16"/>
                <w:lang w:eastAsia="en-GB"/>
              </w:rPr>
              <w:lastRenderedPageBreak/>
              <w:t>Ucci et al. (2022)</w:t>
            </w:r>
          </w:p>
        </w:tc>
        <w:tc>
          <w:tcPr>
            <w:tcW w:w="0" w:type="auto"/>
            <w:hideMark/>
          </w:tcPr>
          <w:p w:rsidRPr="00A93B58" w:rsidR="00B0069A" w:rsidP="00CC02C5" w:rsidRDefault="00B0069A" w14:paraId="49FFF7CC" w14:textId="7777777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Explore housing &amp; neighbourhood effects on child wellbeing</w:t>
            </w:r>
          </w:p>
        </w:tc>
        <w:tc>
          <w:tcPr>
            <w:tcW w:w="0" w:type="auto"/>
            <w:hideMark/>
          </w:tcPr>
          <w:p w:rsidRPr="00A93B58" w:rsidR="00B0069A" w:rsidP="00CC02C5" w:rsidRDefault="00B0069A" w14:paraId="7BD23B2D" w14:textId="7777777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22 parents, Tower Hamlets (n=13) &amp; Bradford (n=9); children aged 2–12</w:t>
            </w:r>
          </w:p>
        </w:tc>
        <w:tc>
          <w:tcPr>
            <w:tcW w:w="0" w:type="auto"/>
            <w:hideMark/>
          </w:tcPr>
          <w:p w:rsidRPr="00A93B58" w:rsidR="00B0069A" w:rsidP="00CC02C5" w:rsidRDefault="00B0069A" w14:paraId="4B352708" w14:textId="7777777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Semi-structured interviews + HAPIE tool survey</w:t>
            </w:r>
          </w:p>
        </w:tc>
        <w:tc>
          <w:tcPr>
            <w:tcW w:w="0" w:type="auto"/>
            <w:hideMark/>
          </w:tcPr>
          <w:p w:rsidRPr="00A93B58" w:rsidR="00B0069A" w:rsidP="00CC02C5" w:rsidRDefault="00B0069A" w14:paraId="51273725" w14:textId="7777777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High ecological validity (co-productive design, NVivo coding, thematic saturation)</w:t>
            </w:r>
          </w:p>
        </w:tc>
        <w:tc>
          <w:tcPr>
            <w:tcW w:w="0" w:type="auto"/>
            <w:hideMark/>
          </w:tcPr>
          <w:p w:rsidRPr="00A93B58" w:rsidR="00B0069A" w:rsidP="00CC02C5" w:rsidRDefault="00B0069A" w14:paraId="687B6D17" w14:textId="7777777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Captures lived experiences in high-poverty UK urban areas; mixed methods</w:t>
            </w:r>
          </w:p>
        </w:tc>
        <w:tc>
          <w:tcPr>
            <w:tcW w:w="0" w:type="auto"/>
            <w:hideMark/>
          </w:tcPr>
          <w:p w:rsidRPr="00A93B58" w:rsidR="00B0069A" w:rsidP="00CC02C5" w:rsidRDefault="00B0069A" w14:paraId="621505B6" w14:textId="7777777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Small sample (n=22); limited generalisability; focus on 2 sites</w:t>
            </w:r>
          </w:p>
        </w:tc>
        <w:tc>
          <w:tcPr>
            <w:tcW w:w="0" w:type="auto"/>
            <w:hideMark/>
          </w:tcPr>
          <w:p w:rsidRPr="00A93B58" w:rsidR="00B0069A" w:rsidP="00CC02C5" w:rsidRDefault="00B0069A" w14:paraId="5B8908B5" w14:textId="5B305DC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Identified 10 themes (e.g., overcrowding, unsafe outside spaces, trusted community). 56% of Tower Hamlets</w:t>
            </w:r>
            <w:r w:rsidR="00CB3DFB">
              <w:rPr>
                <w:rFonts w:ascii="Times New Roman" w:hAnsi="Times New Roman" w:cs="Times New Roman"/>
                <w:sz w:val="16"/>
                <w:szCs w:val="16"/>
                <w:lang w:eastAsia="en-GB"/>
              </w:rPr>
              <w:t>'</w:t>
            </w:r>
            <w:r w:rsidRPr="00A93B58">
              <w:rPr>
                <w:rFonts w:ascii="Times New Roman" w:hAnsi="Times New Roman" w:cs="Times New Roman"/>
                <w:sz w:val="16"/>
                <w:szCs w:val="16"/>
                <w:lang w:eastAsia="en-GB"/>
              </w:rPr>
              <w:t xml:space="preserve"> children lived below </w:t>
            </w:r>
            <w:r w:rsidR="00CB3DFB">
              <w:rPr>
                <w:rFonts w:ascii="Times New Roman" w:hAnsi="Times New Roman" w:cs="Times New Roman"/>
                <w:sz w:val="16"/>
                <w:szCs w:val="16"/>
                <w:lang w:eastAsia="en-GB"/>
              </w:rPr>
              <w:t xml:space="preserve">the </w:t>
            </w:r>
            <w:r w:rsidRPr="00A93B58">
              <w:rPr>
                <w:rFonts w:ascii="Times New Roman" w:hAnsi="Times New Roman" w:cs="Times New Roman"/>
                <w:sz w:val="16"/>
                <w:szCs w:val="16"/>
                <w:lang w:eastAsia="en-GB"/>
              </w:rPr>
              <w:t>poverty line post-housing costs</w:t>
            </w:r>
          </w:p>
        </w:tc>
        <w:tc>
          <w:tcPr>
            <w:tcW w:w="0" w:type="auto"/>
            <w:hideMark/>
          </w:tcPr>
          <w:p w:rsidRPr="00A93B58" w:rsidR="00B0069A" w:rsidP="00CC02C5" w:rsidRDefault="00B0069A" w14:paraId="331FEFAE" w14:textId="4056C0D4">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 xml:space="preserve">Direct insight into urban child poverty, family stressors, </w:t>
            </w:r>
            <w:r w:rsidR="00CB3DFB">
              <w:rPr>
                <w:rFonts w:ascii="Times New Roman" w:hAnsi="Times New Roman" w:cs="Times New Roman"/>
                <w:sz w:val="16"/>
                <w:szCs w:val="16"/>
                <w:lang w:eastAsia="en-GB"/>
              </w:rPr>
              <w:t xml:space="preserve">and </w:t>
            </w:r>
            <w:r w:rsidRPr="00A93B58">
              <w:rPr>
                <w:rFonts w:ascii="Times New Roman" w:hAnsi="Times New Roman" w:cs="Times New Roman"/>
                <w:sz w:val="16"/>
                <w:szCs w:val="16"/>
                <w:lang w:eastAsia="en-GB"/>
              </w:rPr>
              <w:t>housing precarity; directly aligns with research on CAMHS &amp; service gaps</w:t>
            </w:r>
          </w:p>
        </w:tc>
        <w:tc>
          <w:tcPr>
            <w:tcW w:w="0" w:type="auto"/>
            <w:hideMark/>
          </w:tcPr>
          <w:p w:rsidRPr="00A93B58" w:rsidR="00B0069A" w:rsidP="00CC02C5" w:rsidRDefault="00B0069A" w14:paraId="6B3ABD93" w14:textId="7777777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“One of the biggest concerns in our area is overcrowding… children just not having enough space for study, for play.” (TH11)</w:t>
            </w:r>
          </w:p>
        </w:tc>
        <w:tc>
          <w:tcPr>
            <w:tcW w:w="0" w:type="auto"/>
            <w:hideMark/>
          </w:tcPr>
          <w:p w:rsidRPr="00A93B58" w:rsidR="00B0069A" w:rsidP="00CC02C5" w:rsidRDefault="00B0069A" w14:paraId="4787A8AA" w14:textId="698B8B0A">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 xml:space="preserve">Overcrowding, housing quality, neighbourhood safety, </w:t>
            </w:r>
            <w:r w:rsidR="00CB3DFB">
              <w:rPr>
                <w:rFonts w:ascii="Times New Roman" w:hAnsi="Times New Roman" w:cs="Times New Roman"/>
                <w:sz w:val="16"/>
                <w:szCs w:val="16"/>
                <w:lang w:eastAsia="en-GB"/>
              </w:rPr>
              <w:t xml:space="preserve">and </w:t>
            </w:r>
            <w:r w:rsidRPr="00A93B58">
              <w:rPr>
                <w:rFonts w:ascii="Times New Roman" w:hAnsi="Times New Roman" w:cs="Times New Roman"/>
                <w:sz w:val="16"/>
                <w:szCs w:val="16"/>
                <w:lang w:eastAsia="en-GB"/>
              </w:rPr>
              <w:t>access to green space</w:t>
            </w:r>
          </w:p>
        </w:tc>
      </w:tr>
      <w:tr w:rsidRPr="00B0069A" w:rsidR="00B0069A" w:rsidTr="00B0069A" w14:paraId="74EE1D96" w14:textId="77777777">
        <w:tc>
          <w:tcPr>
            <w:cnfStyle w:val="001000000000" w:firstRow="0" w:lastRow="0" w:firstColumn="1" w:lastColumn="0" w:oddVBand="0" w:evenVBand="0" w:oddHBand="0" w:evenHBand="0" w:firstRowFirstColumn="0" w:firstRowLastColumn="0" w:lastRowFirstColumn="0" w:lastRowLastColumn="0"/>
            <w:tcW w:w="0" w:type="auto"/>
            <w:hideMark/>
          </w:tcPr>
          <w:p w:rsidRPr="00A93B58" w:rsidR="00B0069A" w:rsidP="00CC02C5" w:rsidRDefault="00B0069A" w14:paraId="4E40AD08" w14:textId="77777777">
            <w:pPr>
              <w:rPr>
                <w:rFonts w:ascii="Times New Roman" w:hAnsi="Times New Roman" w:cs="Times New Roman"/>
                <w:sz w:val="16"/>
                <w:szCs w:val="16"/>
                <w:lang w:eastAsia="en-GB"/>
              </w:rPr>
            </w:pPr>
            <w:r w:rsidRPr="00A93B58">
              <w:rPr>
                <w:rFonts w:ascii="Times New Roman" w:hAnsi="Times New Roman" w:cs="Times New Roman"/>
                <w:sz w:val="16"/>
                <w:szCs w:val="16"/>
                <w:lang w:eastAsia="en-GB"/>
              </w:rPr>
              <w:t>Clair (2019)</w:t>
            </w:r>
          </w:p>
        </w:tc>
        <w:tc>
          <w:tcPr>
            <w:tcW w:w="0" w:type="auto"/>
            <w:hideMark/>
          </w:tcPr>
          <w:p w:rsidRPr="00A93B58" w:rsidR="00B0069A" w:rsidP="00CC02C5" w:rsidRDefault="00B0069A" w14:paraId="223AFB07" w14:textId="2961EB5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 xml:space="preserve">Examine </w:t>
            </w:r>
            <w:r w:rsidR="00CB3DFB">
              <w:rPr>
                <w:rFonts w:ascii="Times New Roman" w:hAnsi="Times New Roman" w:cs="Times New Roman"/>
                <w:sz w:val="16"/>
                <w:szCs w:val="16"/>
                <w:lang w:eastAsia="en-GB"/>
              </w:rPr>
              <w:t xml:space="preserve">the </w:t>
            </w:r>
            <w:r w:rsidRPr="00A93B58">
              <w:rPr>
                <w:rFonts w:ascii="Times New Roman" w:hAnsi="Times New Roman" w:cs="Times New Roman"/>
                <w:sz w:val="16"/>
                <w:szCs w:val="16"/>
                <w:lang w:eastAsia="en-GB"/>
              </w:rPr>
              <w:t>role of housing in children’s well-being beyond education/behaviour</w:t>
            </w:r>
          </w:p>
        </w:tc>
        <w:tc>
          <w:tcPr>
            <w:tcW w:w="0" w:type="auto"/>
            <w:hideMark/>
          </w:tcPr>
          <w:p w:rsidRPr="00A93B58" w:rsidR="00B0069A" w:rsidP="00CC02C5" w:rsidRDefault="00B0069A" w14:paraId="4BBCFD54" w14:textId="7777777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Review of evidence across UK/USA, 25 years</w:t>
            </w:r>
          </w:p>
        </w:tc>
        <w:tc>
          <w:tcPr>
            <w:tcW w:w="0" w:type="auto"/>
            <w:hideMark/>
          </w:tcPr>
          <w:p w:rsidRPr="00A93B58" w:rsidR="00B0069A" w:rsidP="00CC02C5" w:rsidRDefault="00B0069A" w14:paraId="2C4F6BCA" w14:textId="7777777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Literature review, synthesis of quantitative &amp; qualitative studies</w:t>
            </w:r>
          </w:p>
        </w:tc>
        <w:tc>
          <w:tcPr>
            <w:tcW w:w="0" w:type="auto"/>
            <w:hideMark/>
          </w:tcPr>
          <w:p w:rsidRPr="00A93B58" w:rsidR="00B0069A" w:rsidP="00CC02C5" w:rsidRDefault="00B0069A" w14:paraId="7DE6E9EA" w14:textId="7777777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Moderate validity (non-systematic but broad coverage)</w:t>
            </w:r>
          </w:p>
        </w:tc>
        <w:tc>
          <w:tcPr>
            <w:tcW w:w="0" w:type="auto"/>
            <w:hideMark/>
          </w:tcPr>
          <w:p w:rsidRPr="00A93B58" w:rsidR="00B0069A" w:rsidP="00CC02C5" w:rsidRDefault="00B0069A" w14:paraId="1EA8A56E" w14:textId="7777777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Introduces concept of well-being vs well-becoming; considers direct/indirect housing effects</w:t>
            </w:r>
          </w:p>
        </w:tc>
        <w:tc>
          <w:tcPr>
            <w:tcW w:w="0" w:type="auto"/>
            <w:hideMark/>
          </w:tcPr>
          <w:p w:rsidRPr="00A93B58" w:rsidR="00B0069A" w:rsidP="00CC02C5" w:rsidRDefault="00B0069A" w14:paraId="46DF2455" w14:textId="7777777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Not systematic; Western bias; lacks child-first perspective</w:t>
            </w:r>
          </w:p>
        </w:tc>
        <w:tc>
          <w:tcPr>
            <w:tcW w:w="0" w:type="auto"/>
            <w:hideMark/>
          </w:tcPr>
          <w:p w:rsidRPr="00A93B58" w:rsidR="00B0069A" w:rsidP="00CC02C5" w:rsidRDefault="00B0069A" w14:paraId="7981B3A2" w14:textId="7777777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Finds 23.8% of EU households with children overcrowded; housing affects subjective wellbeing &amp; future attainment; mobility disrupts education/health</w:t>
            </w:r>
          </w:p>
        </w:tc>
        <w:tc>
          <w:tcPr>
            <w:tcW w:w="0" w:type="auto"/>
            <w:hideMark/>
          </w:tcPr>
          <w:p w:rsidRPr="00A93B58" w:rsidR="00B0069A" w:rsidP="00CC02C5" w:rsidRDefault="00B0069A" w14:paraId="7FD5371F" w14:textId="7777777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Links housing insecurity with stress transfer from parents to children; strengthens evidence on indirect poverty-mental health link</w:t>
            </w:r>
          </w:p>
        </w:tc>
        <w:tc>
          <w:tcPr>
            <w:tcW w:w="0" w:type="auto"/>
            <w:hideMark/>
          </w:tcPr>
          <w:p w:rsidRPr="00A93B58" w:rsidR="00B0069A" w:rsidP="00CC02C5" w:rsidRDefault="00B0069A" w14:paraId="31B0A868" w14:textId="7777777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“Children are aware of and affected by family financial difficulties.”</w:t>
            </w:r>
          </w:p>
        </w:tc>
        <w:tc>
          <w:tcPr>
            <w:tcW w:w="0" w:type="auto"/>
            <w:hideMark/>
          </w:tcPr>
          <w:p w:rsidRPr="00A93B58" w:rsidR="00B0069A" w:rsidP="00CC02C5" w:rsidRDefault="00B0069A" w14:paraId="61397944" w14:textId="7777777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Residential mobility, housing quality, stress pathways, subjective wellbeing</w:t>
            </w:r>
          </w:p>
        </w:tc>
      </w:tr>
      <w:tr w:rsidRPr="00B0069A" w:rsidR="00B0069A" w:rsidTr="00B0069A" w14:paraId="74838070"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Pr="00A93B58" w:rsidR="00B0069A" w:rsidP="00CC02C5" w:rsidRDefault="00B0069A" w14:paraId="6DF1F54E" w14:textId="77777777">
            <w:pPr>
              <w:rPr>
                <w:rFonts w:ascii="Times New Roman" w:hAnsi="Times New Roman" w:cs="Times New Roman"/>
                <w:sz w:val="16"/>
                <w:szCs w:val="16"/>
                <w:lang w:eastAsia="en-GB"/>
              </w:rPr>
            </w:pPr>
            <w:r w:rsidRPr="00A93B58">
              <w:rPr>
                <w:rFonts w:ascii="Times New Roman" w:hAnsi="Times New Roman" w:cs="Times New Roman"/>
                <w:sz w:val="16"/>
                <w:szCs w:val="16"/>
                <w:lang w:eastAsia="en-GB"/>
              </w:rPr>
              <w:t>Rose &amp; McAuley (2019)</w:t>
            </w:r>
          </w:p>
        </w:tc>
        <w:tc>
          <w:tcPr>
            <w:tcW w:w="0" w:type="auto"/>
            <w:hideMark/>
          </w:tcPr>
          <w:p w:rsidRPr="00A93B58" w:rsidR="00B0069A" w:rsidP="00CC02C5" w:rsidRDefault="00B0069A" w14:paraId="765CAE3D" w14:textId="7777777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Analyse poverty’s impact on parenting under austerity</w:t>
            </w:r>
          </w:p>
        </w:tc>
        <w:tc>
          <w:tcPr>
            <w:tcW w:w="0" w:type="auto"/>
            <w:hideMark/>
          </w:tcPr>
          <w:p w:rsidRPr="00A93B58" w:rsidR="00B0069A" w:rsidP="00CC02C5" w:rsidRDefault="00B0069A" w14:paraId="5C955292" w14:textId="7777777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 xml:space="preserve">Synthesis of 4 UK qualitative studies (1998–2016); n≈1,700 </w:t>
            </w:r>
            <w:r w:rsidRPr="00A93B58">
              <w:rPr>
                <w:rFonts w:ascii="Times New Roman" w:hAnsi="Times New Roman" w:cs="Times New Roman"/>
                <w:sz w:val="16"/>
                <w:szCs w:val="16"/>
                <w:lang w:eastAsia="en-GB"/>
              </w:rPr>
              <w:lastRenderedPageBreak/>
              <w:t>survey parents + sub-sample 40 in-depth</w:t>
            </w:r>
          </w:p>
        </w:tc>
        <w:tc>
          <w:tcPr>
            <w:tcW w:w="0" w:type="auto"/>
            <w:hideMark/>
          </w:tcPr>
          <w:p w:rsidRPr="00A93B58" w:rsidR="00B0069A" w:rsidP="00CC02C5" w:rsidRDefault="00B0069A" w14:paraId="678D80FB" w14:textId="7777777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lastRenderedPageBreak/>
              <w:t>Qualitative meta-synthesis (lived experiences)</w:t>
            </w:r>
          </w:p>
        </w:tc>
        <w:tc>
          <w:tcPr>
            <w:tcW w:w="0" w:type="auto"/>
            <w:hideMark/>
          </w:tcPr>
          <w:p w:rsidRPr="00A93B58" w:rsidR="00B0069A" w:rsidP="00CC02C5" w:rsidRDefault="00B0069A" w14:paraId="3A9A0423" w14:textId="7777777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Strong in depth of narratives; triangulates across studies</w:t>
            </w:r>
          </w:p>
        </w:tc>
        <w:tc>
          <w:tcPr>
            <w:tcW w:w="0" w:type="auto"/>
            <w:hideMark/>
          </w:tcPr>
          <w:p w:rsidRPr="00A93B58" w:rsidR="00B0069A" w:rsidP="00CC02C5" w:rsidRDefault="00B0069A" w14:paraId="419D7C38" w14:textId="7777777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Highlights stigma, shame, resilience; parents’ voices</w:t>
            </w:r>
          </w:p>
        </w:tc>
        <w:tc>
          <w:tcPr>
            <w:tcW w:w="0" w:type="auto"/>
            <w:hideMark/>
          </w:tcPr>
          <w:p w:rsidRPr="00A93B58" w:rsidR="00B0069A" w:rsidP="00CC02C5" w:rsidRDefault="00B0069A" w14:paraId="51B35173" w14:textId="7777777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Lacks longitudinal data; not generalisable beyond UK</w:t>
            </w:r>
          </w:p>
        </w:tc>
        <w:tc>
          <w:tcPr>
            <w:tcW w:w="0" w:type="auto"/>
            <w:hideMark/>
          </w:tcPr>
          <w:p w:rsidRPr="00A93B58" w:rsidR="00B0069A" w:rsidP="00CC02C5" w:rsidRDefault="00B0069A" w14:paraId="67489233" w14:textId="7777777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 xml:space="preserve">Reports 3.9 million UK children in poverty (2014–15, 28%); food/fuel </w:t>
            </w:r>
            <w:r w:rsidRPr="00A93B58">
              <w:rPr>
                <w:rFonts w:ascii="Times New Roman" w:hAnsi="Times New Roman" w:cs="Times New Roman"/>
                <w:sz w:val="16"/>
                <w:szCs w:val="16"/>
                <w:lang w:eastAsia="en-GB"/>
              </w:rPr>
              <w:lastRenderedPageBreak/>
              <w:t>poverty linked to poor health; parents describe debt cycles</w:t>
            </w:r>
          </w:p>
        </w:tc>
        <w:tc>
          <w:tcPr>
            <w:tcW w:w="0" w:type="auto"/>
            <w:hideMark/>
          </w:tcPr>
          <w:p w:rsidRPr="00A93B58" w:rsidR="00B0069A" w:rsidP="00CC02C5" w:rsidRDefault="00B0069A" w14:paraId="661D9E2B" w14:textId="7777777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lastRenderedPageBreak/>
              <w:t>Strongly relevant: identifies parental stress, stigma, service gaps under austerity</w:t>
            </w:r>
          </w:p>
        </w:tc>
        <w:tc>
          <w:tcPr>
            <w:tcW w:w="0" w:type="auto"/>
            <w:hideMark/>
          </w:tcPr>
          <w:p w:rsidRPr="00A93B58" w:rsidR="00B0069A" w:rsidP="00CC02C5" w:rsidRDefault="00B0069A" w14:paraId="1949CA30" w14:textId="7777777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“Poverty is a terrible thing. I just cannot cope with what I am getting in income support.”</w:t>
            </w:r>
          </w:p>
        </w:tc>
        <w:tc>
          <w:tcPr>
            <w:tcW w:w="0" w:type="auto"/>
            <w:hideMark/>
          </w:tcPr>
          <w:p w:rsidRPr="00A93B58" w:rsidR="00B0069A" w:rsidP="00CC02C5" w:rsidRDefault="00B0069A" w14:paraId="3EDE62DD" w14:textId="7777777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Parenting stress, stigma, resilience, cumulative disadvantage</w:t>
            </w:r>
          </w:p>
        </w:tc>
      </w:tr>
      <w:tr w:rsidRPr="00B0069A" w:rsidR="00B0069A" w:rsidTr="00B0069A" w14:paraId="14D9B77A" w14:textId="77777777">
        <w:tc>
          <w:tcPr>
            <w:cnfStyle w:val="001000000000" w:firstRow="0" w:lastRow="0" w:firstColumn="1" w:lastColumn="0" w:oddVBand="0" w:evenVBand="0" w:oddHBand="0" w:evenHBand="0" w:firstRowFirstColumn="0" w:firstRowLastColumn="0" w:lastRowFirstColumn="0" w:lastRowLastColumn="0"/>
            <w:tcW w:w="0" w:type="auto"/>
            <w:hideMark/>
          </w:tcPr>
          <w:p w:rsidRPr="00A93B58" w:rsidR="00B0069A" w:rsidP="00CC02C5" w:rsidRDefault="00B0069A" w14:paraId="73E345D1" w14:textId="77777777">
            <w:pPr>
              <w:rPr>
                <w:rFonts w:ascii="Times New Roman" w:hAnsi="Times New Roman" w:cs="Times New Roman"/>
                <w:sz w:val="16"/>
                <w:szCs w:val="16"/>
                <w:lang w:eastAsia="en-GB"/>
              </w:rPr>
            </w:pPr>
            <w:r w:rsidRPr="00A93B58">
              <w:rPr>
                <w:rFonts w:ascii="Times New Roman" w:hAnsi="Times New Roman" w:cs="Times New Roman"/>
                <w:sz w:val="16"/>
                <w:szCs w:val="16"/>
                <w:lang w:eastAsia="en-GB"/>
              </w:rPr>
              <w:t>Hock et al. (2024)</w:t>
            </w:r>
          </w:p>
        </w:tc>
        <w:tc>
          <w:tcPr>
            <w:tcW w:w="0" w:type="auto"/>
            <w:hideMark/>
          </w:tcPr>
          <w:p w:rsidRPr="00A93B58" w:rsidR="00B0069A" w:rsidP="00CC02C5" w:rsidRDefault="00B0069A" w14:paraId="70FA49CD" w14:textId="7777777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Systematic review of housing insecurity’s effect on children in UK</w:t>
            </w:r>
          </w:p>
        </w:tc>
        <w:tc>
          <w:tcPr>
            <w:tcW w:w="0" w:type="auto"/>
            <w:hideMark/>
          </w:tcPr>
          <w:p w:rsidRPr="00A93B58" w:rsidR="00B0069A" w:rsidP="00CC02C5" w:rsidRDefault="00B0069A" w14:paraId="4CEE2672" w14:textId="7777777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59 studies: 16 peer-reviewed, 37 grey lit., 6 others; populations include migrants, DV survivors, low-income families</w:t>
            </w:r>
          </w:p>
        </w:tc>
        <w:tc>
          <w:tcPr>
            <w:tcW w:w="0" w:type="auto"/>
            <w:hideMark/>
          </w:tcPr>
          <w:p w:rsidRPr="00A93B58" w:rsidR="00B0069A" w:rsidP="00CC02C5" w:rsidRDefault="00B0069A" w14:paraId="6745CFAF" w14:textId="7777777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Systematic review + thematic synthesis (Best Fit framework)</w:t>
            </w:r>
          </w:p>
        </w:tc>
        <w:tc>
          <w:tcPr>
            <w:tcW w:w="0" w:type="auto"/>
            <w:hideMark/>
          </w:tcPr>
          <w:p w:rsidRPr="00A93B58" w:rsidR="00B0069A" w:rsidP="00CC02C5" w:rsidRDefault="00B0069A" w14:paraId="7C3D5878" w14:textId="7777777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High validity (PROSPERO registered, CASP appraisal, 3,261 records screened)</w:t>
            </w:r>
          </w:p>
        </w:tc>
        <w:tc>
          <w:tcPr>
            <w:tcW w:w="0" w:type="auto"/>
            <w:hideMark/>
          </w:tcPr>
          <w:p w:rsidRPr="00A93B58" w:rsidR="00B0069A" w:rsidP="00CC02C5" w:rsidRDefault="00B0069A" w14:paraId="5877E303" w14:textId="7777777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Comprehensive synthesis across UK; identifies causal pathways</w:t>
            </w:r>
          </w:p>
        </w:tc>
        <w:tc>
          <w:tcPr>
            <w:tcW w:w="0" w:type="auto"/>
            <w:hideMark/>
          </w:tcPr>
          <w:p w:rsidRPr="00A93B58" w:rsidR="00B0069A" w:rsidP="00CC02C5" w:rsidRDefault="00B0069A" w14:paraId="0A4CC7D4" w14:textId="7777777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UK-only focus; heterogeneity of included studies; mostly qualitative</w:t>
            </w:r>
          </w:p>
        </w:tc>
        <w:tc>
          <w:tcPr>
            <w:tcW w:w="0" w:type="auto"/>
            <w:hideMark/>
          </w:tcPr>
          <w:p w:rsidRPr="00A93B58" w:rsidR="00B0069A" w:rsidP="00CC02C5" w:rsidRDefault="00B0069A" w14:paraId="3E9ACC69" w14:textId="7777777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Identified four populations: general insecure, DV-linked, migrants, demolition-relocated. Housing insecurity linked to poor mental health, delayed development, school disruption.</w:t>
            </w:r>
          </w:p>
        </w:tc>
        <w:tc>
          <w:tcPr>
            <w:tcW w:w="0" w:type="auto"/>
            <w:hideMark/>
          </w:tcPr>
          <w:p w:rsidRPr="00A93B58" w:rsidR="00B0069A" w:rsidP="00CC02C5" w:rsidRDefault="00B0069A" w14:paraId="53A09B0E" w14:textId="7777777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Provides macro-evidence base for housing-poverty link in UK policy context</w:t>
            </w:r>
          </w:p>
        </w:tc>
        <w:tc>
          <w:tcPr>
            <w:tcW w:w="0" w:type="auto"/>
            <w:hideMark/>
          </w:tcPr>
          <w:p w:rsidRPr="00A93B58" w:rsidR="00B0069A" w:rsidP="00CC02C5" w:rsidRDefault="00B0069A" w14:paraId="536949CB" w14:textId="7777777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“One million renting households worry about being evicted in the next three months.” (JRF cited in study)</w:t>
            </w:r>
          </w:p>
        </w:tc>
        <w:tc>
          <w:tcPr>
            <w:tcW w:w="0" w:type="auto"/>
            <w:hideMark/>
          </w:tcPr>
          <w:p w:rsidRPr="00A93B58" w:rsidR="00B0069A" w:rsidP="00CC02C5" w:rsidRDefault="00B0069A" w14:paraId="0940C532" w14:textId="7777777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Housing insecurity, mental health, eviction risk, compounding poverty</w:t>
            </w:r>
          </w:p>
        </w:tc>
      </w:tr>
      <w:tr w:rsidRPr="00B0069A" w:rsidR="00B0069A" w:rsidTr="00B0069A" w14:paraId="1EF92A6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Pr="00A93B58" w:rsidR="00B0069A" w:rsidP="00CC02C5" w:rsidRDefault="00B0069A" w14:paraId="7F609284" w14:textId="77777777">
            <w:pPr>
              <w:rPr>
                <w:rFonts w:ascii="Times New Roman" w:hAnsi="Times New Roman" w:cs="Times New Roman"/>
                <w:sz w:val="16"/>
                <w:szCs w:val="16"/>
                <w:lang w:eastAsia="en-GB"/>
              </w:rPr>
            </w:pPr>
            <w:r w:rsidRPr="00A93B58">
              <w:rPr>
                <w:rFonts w:ascii="Times New Roman" w:hAnsi="Times New Roman" w:cs="Times New Roman"/>
                <w:sz w:val="16"/>
                <w:szCs w:val="16"/>
                <w:lang w:eastAsia="en-GB"/>
              </w:rPr>
              <w:t>Lowe &amp; DeVerteuil (2020)</w:t>
            </w:r>
          </w:p>
        </w:tc>
        <w:tc>
          <w:tcPr>
            <w:tcW w:w="0" w:type="auto"/>
            <w:hideMark/>
          </w:tcPr>
          <w:p w:rsidRPr="00A93B58" w:rsidR="00B0069A" w:rsidP="00CC02C5" w:rsidRDefault="00B0069A" w14:paraId="36E1D1EE" w14:textId="7777777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Explore link between austerity welfare reforms, poverty management, and mental health</w:t>
            </w:r>
          </w:p>
        </w:tc>
        <w:tc>
          <w:tcPr>
            <w:tcW w:w="0" w:type="auto"/>
            <w:hideMark/>
          </w:tcPr>
          <w:p w:rsidRPr="00A93B58" w:rsidR="00B0069A" w:rsidP="00CC02C5" w:rsidRDefault="00B0069A" w14:paraId="103F7A98" w14:textId="7777777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25 individuals with diagnosed/self-identified mental illness, UK (London focus)</w:t>
            </w:r>
          </w:p>
        </w:tc>
        <w:tc>
          <w:tcPr>
            <w:tcW w:w="0" w:type="auto"/>
            <w:hideMark/>
          </w:tcPr>
          <w:p w:rsidRPr="00A93B58" w:rsidR="00B0069A" w:rsidP="00CC02C5" w:rsidRDefault="00B0069A" w14:paraId="6E4ED89B" w14:textId="7777777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Longitudinal interviews (2014–16, re-interviewed up to 3x)</w:t>
            </w:r>
          </w:p>
        </w:tc>
        <w:tc>
          <w:tcPr>
            <w:tcW w:w="0" w:type="auto"/>
            <w:hideMark/>
          </w:tcPr>
          <w:p w:rsidRPr="00A93B58" w:rsidR="00B0069A" w:rsidP="00CC02C5" w:rsidRDefault="00B0069A" w14:paraId="61D8A5C5" w14:textId="7777777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Moderate validity (small n=25, snowball sample); rich longitudinal data</w:t>
            </w:r>
          </w:p>
        </w:tc>
        <w:tc>
          <w:tcPr>
            <w:tcW w:w="0" w:type="auto"/>
            <w:hideMark/>
          </w:tcPr>
          <w:p w:rsidRPr="00A93B58" w:rsidR="00B0069A" w:rsidP="00CC02C5" w:rsidRDefault="00B0069A" w14:paraId="4F5C7352" w14:textId="7777777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Focus on mental health lived experiences; deep insight into welfare stress</w:t>
            </w:r>
          </w:p>
        </w:tc>
        <w:tc>
          <w:tcPr>
            <w:tcW w:w="0" w:type="auto"/>
            <w:hideMark/>
          </w:tcPr>
          <w:p w:rsidRPr="00A93B58" w:rsidR="00B0069A" w:rsidP="00CC02C5" w:rsidRDefault="00B0069A" w14:paraId="28C0FB30" w14:textId="7777777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 xml:space="preserve">Limited sample </w:t>
            </w:r>
            <w:proofErr w:type="gramStart"/>
            <w:r w:rsidRPr="00A93B58">
              <w:rPr>
                <w:rFonts w:ascii="Times New Roman" w:hAnsi="Times New Roman" w:cs="Times New Roman"/>
                <w:sz w:val="16"/>
                <w:szCs w:val="16"/>
                <w:lang w:eastAsia="en-GB"/>
              </w:rPr>
              <w:t>diversity;</w:t>
            </w:r>
            <w:proofErr w:type="gramEnd"/>
            <w:r w:rsidRPr="00A93B58">
              <w:rPr>
                <w:rFonts w:ascii="Times New Roman" w:hAnsi="Times New Roman" w:cs="Times New Roman"/>
                <w:sz w:val="16"/>
                <w:szCs w:val="16"/>
                <w:lang w:eastAsia="en-GB"/>
              </w:rPr>
              <w:t xml:space="preserve"> mental illness </w:t>
            </w:r>
            <w:proofErr w:type="gramStart"/>
            <w:r w:rsidRPr="00A93B58">
              <w:rPr>
                <w:rFonts w:ascii="Times New Roman" w:hAnsi="Times New Roman" w:cs="Times New Roman"/>
                <w:sz w:val="16"/>
                <w:szCs w:val="16"/>
                <w:lang w:eastAsia="en-GB"/>
              </w:rPr>
              <w:t>focus</w:t>
            </w:r>
            <w:proofErr w:type="gramEnd"/>
            <w:r w:rsidRPr="00A93B58">
              <w:rPr>
                <w:rFonts w:ascii="Times New Roman" w:hAnsi="Times New Roman" w:cs="Times New Roman"/>
                <w:sz w:val="16"/>
                <w:szCs w:val="16"/>
                <w:lang w:eastAsia="en-GB"/>
              </w:rPr>
              <w:t xml:space="preserve"> only</w:t>
            </w:r>
          </w:p>
        </w:tc>
        <w:tc>
          <w:tcPr>
            <w:tcW w:w="0" w:type="auto"/>
            <w:hideMark/>
          </w:tcPr>
          <w:p w:rsidRPr="00A93B58" w:rsidR="00B0069A" w:rsidP="00CC02C5" w:rsidRDefault="00B0069A" w14:paraId="0E713795" w14:textId="7777777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 xml:space="preserve">Found that 80% diagnosed, 12/13 ESA claimants relied on full suite of benefits; reforms worsened stress &amp; </w:t>
            </w:r>
            <w:r w:rsidRPr="00A93B58">
              <w:rPr>
                <w:rFonts w:ascii="Times New Roman" w:hAnsi="Times New Roman" w:cs="Times New Roman"/>
                <w:sz w:val="16"/>
                <w:szCs w:val="16"/>
                <w:lang w:eastAsia="en-GB"/>
              </w:rPr>
              <w:lastRenderedPageBreak/>
              <w:t>instability; Bedroom Tax penalised vulnerable</w:t>
            </w:r>
          </w:p>
        </w:tc>
        <w:tc>
          <w:tcPr>
            <w:tcW w:w="0" w:type="auto"/>
            <w:hideMark/>
          </w:tcPr>
          <w:p w:rsidRPr="00A93B58" w:rsidR="00B0069A" w:rsidP="00CC02C5" w:rsidRDefault="00B0069A" w14:paraId="286E0C1F" w14:textId="7777777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lastRenderedPageBreak/>
              <w:t>Relevant: links poverty policies → mental health deterioration → child/family outcomes indirectly</w:t>
            </w:r>
          </w:p>
        </w:tc>
        <w:tc>
          <w:tcPr>
            <w:tcW w:w="0" w:type="auto"/>
            <w:hideMark/>
          </w:tcPr>
          <w:p w:rsidRPr="00A93B58" w:rsidR="00B0069A" w:rsidP="00CC02C5" w:rsidRDefault="00B0069A" w14:paraId="20D3D58F" w14:textId="7777777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“It’s far pleasanter to be trapped in a larger house than in a small flat.” (Paula, service user)</w:t>
            </w:r>
          </w:p>
        </w:tc>
        <w:tc>
          <w:tcPr>
            <w:tcW w:w="0" w:type="auto"/>
            <w:hideMark/>
          </w:tcPr>
          <w:p w:rsidRPr="00A93B58" w:rsidR="00B0069A" w:rsidP="00CC02C5" w:rsidRDefault="00B0069A" w14:paraId="79B48FAF" w14:textId="7777777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Austerity, welfare cuts, mental health decline, poverty management</w:t>
            </w:r>
          </w:p>
        </w:tc>
      </w:tr>
      <w:tr w:rsidRPr="00B0069A" w:rsidR="00B0069A" w:rsidTr="00B0069A" w14:paraId="5C6F8862" w14:textId="77777777">
        <w:tc>
          <w:tcPr>
            <w:cnfStyle w:val="001000000000" w:firstRow="0" w:lastRow="0" w:firstColumn="1" w:lastColumn="0" w:oddVBand="0" w:evenVBand="0" w:oddHBand="0" w:evenHBand="0" w:firstRowFirstColumn="0" w:firstRowLastColumn="0" w:lastRowFirstColumn="0" w:lastRowLastColumn="0"/>
            <w:tcW w:w="0" w:type="auto"/>
            <w:hideMark/>
          </w:tcPr>
          <w:p w:rsidRPr="00A93B58" w:rsidR="00B0069A" w:rsidP="00CC02C5" w:rsidRDefault="00B0069A" w14:paraId="57DBA42D" w14:textId="77777777">
            <w:pPr>
              <w:rPr>
                <w:rFonts w:ascii="Times New Roman" w:hAnsi="Times New Roman" w:cs="Times New Roman"/>
                <w:sz w:val="16"/>
                <w:szCs w:val="16"/>
                <w:lang w:eastAsia="en-GB"/>
              </w:rPr>
            </w:pPr>
            <w:r w:rsidRPr="00A93B58">
              <w:rPr>
                <w:rFonts w:ascii="Times New Roman" w:hAnsi="Times New Roman" w:cs="Times New Roman"/>
                <w:sz w:val="16"/>
                <w:szCs w:val="16"/>
                <w:lang w:eastAsia="en-GB"/>
              </w:rPr>
              <w:t>Taylor (2020)</w:t>
            </w:r>
          </w:p>
        </w:tc>
        <w:tc>
          <w:tcPr>
            <w:tcW w:w="0" w:type="auto"/>
            <w:hideMark/>
          </w:tcPr>
          <w:p w:rsidRPr="00A93B58" w:rsidR="00B0069A" w:rsidP="00CC02C5" w:rsidRDefault="00B0069A" w14:paraId="2036437E" w14:textId="7777777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Explore UK child poverty policy failures and links to austerity</w:t>
            </w:r>
          </w:p>
        </w:tc>
        <w:tc>
          <w:tcPr>
            <w:tcW w:w="0" w:type="auto"/>
            <w:hideMark/>
          </w:tcPr>
          <w:p w:rsidRPr="00A93B58" w:rsidR="00B0069A" w:rsidP="00CC02C5" w:rsidRDefault="00B0069A" w14:paraId="5CC7F6E3" w14:textId="7777777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UK; policy analysis (2010–2019)</w:t>
            </w:r>
          </w:p>
        </w:tc>
        <w:tc>
          <w:tcPr>
            <w:tcW w:w="0" w:type="auto"/>
            <w:hideMark/>
          </w:tcPr>
          <w:p w:rsidRPr="00A93B58" w:rsidR="00B0069A" w:rsidP="00CC02C5" w:rsidRDefault="00B0069A" w14:paraId="7E57528E" w14:textId="7777777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Policy analysis using secondary data (House of Commons reports, welfare stats)</w:t>
            </w:r>
          </w:p>
        </w:tc>
        <w:tc>
          <w:tcPr>
            <w:tcW w:w="0" w:type="auto"/>
            <w:hideMark/>
          </w:tcPr>
          <w:p w:rsidRPr="00A93B58" w:rsidR="00B0069A" w:rsidP="00CC02C5" w:rsidRDefault="00B0069A" w14:paraId="77070798" w14:textId="7777777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Moderate (robust data, interpretive limits)</w:t>
            </w:r>
          </w:p>
        </w:tc>
        <w:tc>
          <w:tcPr>
            <w:tcW w:w="0" w:type="auto"/>
            <w:hideMark/>
          </w:tcPr>
          <w:p w:rsidRPr="00A93B58" w:rsidR="00B0069A" w:rsidP="00CC02C5" w:rsidRDefault="00B0069A" w14:paraId="63BB55B7" w14:textId="7777777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Connects austerity → poverty → mental health decline</w:t>
            </w:r>
          </w:p>
        </w:tc>
        <w:tc>
          <w:tcPr>
            <w:tcW w:w="0" w:type="auto"/>
            <w:hideMark/>
          </w:tcPr>
          <w:p w:rsidRPr="00A93B58" w:rsidR="00B0069A" w:rsidP="00CC02C5" w:rsidRDefault="00B0069A" w14:paraId="24D4454B" w14:textId="7777777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Not empirical; relies on gov. datasets</w:t>
            </w:r>
          </w:p>
        </w:tc>
        <w:tc>
          <w:tcPr>
            <w:tcW w:w="0" w:type="auto"/>
            <w:hideMark/>
          </w:tcPr>
          <w:p w:rsidRPr="00A93B58" w:rsidR="00B0069A" w:rsidP="00CC02C5" w:rsidRDefault="00B0069A" w14:paraId="7E7312BA" w14:textId="7777777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600k more children in poverty 2012–18; foodbank use tripled</w:t>
            </w:r>
          </w:p>
        </w:tc>
        <w:tc>
          <w:tcPr>
            <w:tcW w:w="0" w:type="auto"/>
            <w:hideMark/>
          </w:tcPr>
          <w:p w:rsidRPr="00A93B58" w:rsidR="00B0069A" w:rsidP="00CC02C5" w:rsidRDefault="00B0069A" w14:paraId="1FA26A86" w14:textId="7777777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Highlights structural policy-service gaps shaping child outcomes</w:t>
            </w:r>
          </w:p>
        </w:tc>
        <w:tc>
          <w:tcPr>
            <w:tcW w:w="0" w:type="auto"/>
            <w:hideMark/>
          </w:tcPr>
          <w:p w:rsidRPr="00A93B58" w:rsidR="00B0069A" w:rsidP="00CC02C5" w:rsidRDefault="00B0069A" w14:paraId="34DD6162" w14:textId="7777777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“Child poverty is a political choice, not an inevitability.”</w:t>
            </w:r>
          </w:p>
        </w:tc>
        <w:tc>
          <w:tcPr>
            <w:tcW w:w="0" w:type="auto"/>
            <w:hideMark/>
          </w:tcPr>
          <w:p w:rsidRPr="00A93B58" w:rsidR="00B0069A" w:rsidP="00CC02C5" w:rsidRDefault="00B0069A" w14:paraId="2BEDCA1D" w14:textId="7777777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Austerity, welfare cuts, policy failure</w:t>
            </w:r>
          </w:p>
        </w:tc>
      </w:tr>
      <w:tr w:rsidRPr="00B0069A" w:rsidR="00B0069A" w:rsidTr="00B0069A" w14:paraId="5A08A46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Pr="00A93B58" w:rsidR="00B0069A" w:rsidP="00CC02C5" w:rsidRDefault="00B0069A" w14:paraId="3DD00D3D" w14:textId="77777777">
            <w:pPr>
              <w:rPr>
                <w:rFonts w:ascii="Times New Roman" w:hAnsi="Times New Roman" w:cs="Times New Roman"/>
                <w:sz w:val="16"/>
                <w:szCs w:val="16"/>
                <w:lang w:eastAsia="en-GB"/>
              </w:rPr>
            </w:pPr>
            <w:proofErr w:type="spellStart"/>
            <w:r w:rsidRPr="00A93B58">
              <w:rPr>
                <w:rFonts w:ascii="Times New Roman" w:hAnsi="Times New Roman" w:cs="Times New Roman"/>
                <w:sz w:val="16"/>
                <w:szCs w:val="16"/>
                <w:lang w:eastAsia="en-GB"/>
              </w:rPr>
              <w:t>Wahlbeck</w:t>
            </w:r>
            <w:proofErr w:type="spellEnd"/>
            <w:r w:rsidRPr="00A93B58">
              <w:rPr>
                <w:rFonts w:ascii="Times New Roman" w:hAnsi="Times New Roman" w:cs="Times New Roman"/>
                <w:sz w:val="16"/>
                <w:szCs w:val="16"/>
                <w:lang w:eastAsia="en-GB"/>
              </w:rPr>
              <w:t xml:space="preserve"> et al. (2017)</w:t>
            </w:r>
          </w:p>
        </w:tc>
        <w:tc>
          <w:tcPr>
            <w:tcW w:w="0" w:type="auto"/>
            <w:hideMark/>
          </w:tcPr>
          <w:p w:rsidRPr="00A93B58" w:rsidR="00B0069A" w:rsidP="00CC02C5" w:rsidRDefault="00B0069A" w14:paraId="7198BDBD" w14:textId="7777777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Review interventions mitigating poverty’s effects on mental health</w:t>
            </w:r>
          </w:p>
        </w:tc>
        <w:tc>
          <w:tcPr>
            <w:tcW w:w="0" w:type="auto"/>
            <w:hideMark/>
          </w:tcPr>
          <w:p w:rsidRPr="00A93B58" w:rsidR="00B0069A" w:rsidP="00CC02C5" w:rsidRDefault="00B0069A" w14:paraId="0BB40109" w14:textId="7777777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International (systematic review of 10 yrs, all ages)</w:t>
            </w:r>
          </w:p>
        </w:tc>
        <w:tc>
          <w:tcPr>
            <w:tcW w:w="0" w:type="auto"/>
            <w:hideMark/>
          </w:tcPr>
          <w:p w:rsidRPr="00A93B58" w:rsidR="00B0069A" w:rsidP="00CC02C5" w:rsidRDefault="00B0069A" w14:paraId="13987609" w14:textId="7777777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Narrative review of systematic reviews, RCTs, realist evaluations</w:t>
            </w:r>
          </w:p>
        </w:tc>
        <w:tc>
          <w:tcPr>
            <w:tcW w:w="0" w:type="auto"/>
            <w:hideMark/>
          </w:tcPr>
          <w:p w:rsidRPr="00A93B58" w:rsidR="00B0069A" w:rsidP="00CC02C5" w:rsidRDefault="00B0069A" w14:paraId="5AF500D9" w14:textId="7777777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High (wide scope, triangulation across 60+ sources)</w:t>
            </w:r>
          </w:p>
        </w:tc>
        <w:tc>
          <w:tcPr>
            <w:tcW w:w="0" w:type="auto"/>
            <w:hideMark/>
          </w:tcPr>
          <w:p w:rsidRPr="00A93B58" w:rsidR="00B0069A" w:rsidP="00CC02C5" w:rsidRDefault="00B0069A" w14:paraId="042E6CE9" w14:textId="7777777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Multilevel framework (life course, family, community, services, policy)</w:t>
            </w:r>
          </w:p>
        </w:tc>
        <w:tc>
          <w:tcPr>
            <w:tcW w:w="0" w:type="auto"/>
            <w:hideMark/>
          </w:tcPr>
          <w:p w:rsidRPr="00A93B58" w:rsidR="00B0069A" w:rsidP="00CC02C5" w:rsidRDefault="00B0069A" w14:paraId="0414E597" w14:textId="7777777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Limited UK-specific evidence</w:t>
            </w:r>
          </w:p>
        </w:tc>
        <w:tc>
          <w:tcPr>
            <w:tcW w:w="0" w:type="auto"/>
            <w:hideMark/>
          </w:tcPr>
          <w:p w:rsidRPr="00A93B58" w:rsidR="00B0069A" w:rsidP="00CC02C5" w:rsidRDefault="00B0069A" w14:paraId="30B87526" w14:textId="7777777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Parenting support: 50% ↓ child abuse; 67% ↓ mental health problems age 6; Youth Guarantee reduced NEET stress</w:t>
            </w:r>
          </w:p>
        </w:tc>
        <w:tc>
          <w:tcPr>
            <w:tcW w:w="0" w:type="auto"/>
            <w:hideMark/>
          </w:tcPr>
          <w:p w:rsidRPr="00A93B58" w:rsidR="00B0069A" w:rsidP="00CC02C5" w:rsidRDefault="00B0069A" w14:paraId="2F72FB7D" w14:textId="7777777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Shows interventions (housing, cash transfers, social prescribing) can reduce child mental health inequalities</w:t>
            </w:r>
          </w:p>
        </w:tc>
        <w:tc>
          <w:tcPr>
            <w:tcW w:w="0" w:type="auto"/>
            <w:hideMark/>
          </w:tcPr>
          <w:p w:rsidRPr="00A93B58" w:rsidR="00B0069A" w:rsidP="00CC02C5" w:rsidRDefault="00B0069A" w14:paraId="6926A53A" w14:textId="7777777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“Mitigating poverty’s impact requires a Mental Health in All Policies approach.”</w:t>
            </w:r>
          </w:p>
        </w:tc>
        <w:tc>
          <w:tcPr>
            <w:tcW w:w="0" w:type="auto"/>
            <w:hideMark/>
          </w:tcPr>
          <w:p w:rsidRPr="00A93B58" w:rsidR="00B0069A" w:rsidP="00CC02C5" w:rsidRDefault="00B0069A" w14:paraId="0A9D9277" w14:textId="7777777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Parenting, housing, labour policy, community</w:t>
            </w:r>
          </w:p>
        </w:tc>
      </w:tr>
      <w:tr w:rsidRPr="00B0069A" w:rsidR="00B0069A" w:rsidTr="00B0069A" w14:paraId="161C92CE" w14:textId="77777777">
        <w:tc>
          <w:tcPr>
            <w:cnfStyle w:val="001000000000" w:firstRow="0" w:lastRow="0" w:firstColumn="1" w:lastColumn="0" w:oddVBand="0" w:evenVBand="0" w:oddHBand="0" w:evenHBand="0" w:firstRowFirstColumn="0" w:firstRowLastColumn="0" w:lastRowFirstColumn="0" w:lastRowLastColumn="0"/>
            <w:tcW w:w="0" w:type="auto"/>
            <w:hideMark/>
          </w:tcPr>
          <w:p w:rsidRPr="00A93B58" w:rsidR="00B0069A" w:rsidP="00CC02C5" w:rsidRDefault="00B0069A" w14:paraId="18975CE8" w14:textId="77777777">
            <w:pPr>
              <w:rPr>
                <w:rFonts w:ascii="Times New Roman" w:hAnsi="Times New Roman" w:cs="Times New Roman"/>
                <w:sz w:val="16"/>
                <w:szCs w:val="16"/>
                <w:lang w:eastAsia="en-GB"/>
              </w:rPr>
            </w:pPr>
            <w:r w:rsidRPr="00A93B58">
              <w:rPr>
                <w:rFonts w:ascii="Times New Roman" w:hAnsi="Times New Roman" w:cs="Times New Roman"/>
                <w:sz w:val="16"/>
                <w:szCs w:val="16"/>
                <w:lang w:eastAsia="en-GB"/>
              </w:rPr>
              <w:t>Lee et al. (2023)</w:t>
            </w:r>
          </w:p>
        </w:tc>
        <w:tc>
          <w:tcPr>
            <w:tcW w:w="0" w:type="auto"/>
            <w:hideMark/>
          </w:tcPr>
          <w:p w:rsidRPr="00A93B58" w:rsidR="00B0069A" w:rsidP="00CC02C5" w:rsidRDefault="00B0069A" w14:paraId="01D3FC30" w14:textId="7777777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Provide framework for paediatricians tackling child poverty-health inequalities</w:t>
            </w:r>
          </w:p>
        </w:tc>
        <w:tc>
          <w:tcPr>
            <w:tcW w:w="0" w:type="auto"/>
            <w:hideMark/>
          </w:tcPr>
          <w:p w:rsidRPr="00A93B58" w:rsidR="00B0069A" w:rsidP="00CC02C5" w:rsidRDefault="00B0069A" w14:paraId="3C7E70FD" w14:textId="7777777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UK; review using NHS, ONS, UNICEF data</w:t>
            </w:r>
          </w:p>
        </w:tc>
        <w:tc>
          <w:tcPr>
            <w:tcW w:w="0" w:type="auto"/>
            <w:hideMark/>
          </w:tcPr>
          <w:p w:rsidRPr="00A93B58" w:rsidR="00B0069A" w:rsidP="00CC02C5" w:rsidRDefault="00B0069A" w14:paraId="59C1728D" w14:textId="7777777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Evidence synthesis + conceptual models</w:t>
            </w:r>
          </w:p>
        </w:tc>
        <w:tc>
          <w:tcPr>
            <w:tcW w:w="0" w:type="auto"/>
            <w:hideMark/>
          </w:tcPr>
          <w:p w:rsidRPr="00A93B58" w:rsidR="00B0069A" w:rsidP="00CC02C5" w:rsidRDefault="00B0069A" w14:paraId="6D54777E" w14:textId="7777777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High (quantitative + conceptual framework)</w:t>
            </w:r>
          </w:p>
        </w:tc>
        <w:tc>
          <w:tcPr>
            <w:tcW w:w="0" w:type="auto"/>
            <w:hideMark/>
          </w:tcPr>
          <w:p w:rsidRPr="00A93B58" w:rsidR="00B0069A" w:rsidP="00CC02C5" w:rsidRDefault="00B0069A" w14:paraId="5C7908AB" w14:textId="7777777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Clear clinical relevance; novel “clock/capacity/cost” model</w:t>
            </w:r>
          </w:p>
        </w:tc>
        <w:tc>
          <w:tcPr>
            <w:tcW w:w="0" w:type="auto"/>
            <w:hideMark/>
          </w:tcPr>
          <w:p w:rsidRPr="00A93B58" w:rsidR="00B0069A" w:rsidP="00CC02C5" w:rsidRDefault="00B0069A" w14:paraId="2A4E778B" w14:textId="7777777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Does not address ethnicity/geography fully</w:t>
            </w:r>
          </w:p>
        </w:tc>
        <w:tc>
          <w:tcPr>
            <w:tcW w:w="0" w:type="auto"/>
            <w:hideMark/>
          </w:tcPr>
          <w:p w:rsidRPr="00A93B58" w:rsidR="00B0069A" w:rsidP="00CC02C5" w:rsidRDefault="00B0069A" w14:paraId="1F4CC6CC" w14:textId="7777777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 xml:space="preserve">1 in 3 UK children in poverty; deprived infants ×2 mortality risk; disadvantaged children 72% ↑ risk chronic </w:t>
            </w:r>
            <w:r w:rsidRPr="00A93B58">
              <w:rPr>
                <w:rFonts w:ascii="Times New Roman" w:hAnsi="Times New Roman" w:cs="Times New Roman"/>
                <w:sz w:val="16"/>
                <w:szCs w:val="16"/>
                <w:lang w:eastAsia="en-GB"/>
              </w:rPr>
              <w:lastRenderedPageBreak/>
              <w:t>illness; COPD ×5 in poorest quintile</w:t>
            </w:r>
          </w:p>
        </w:tc>
        <w:tc>
          <w:tcPr>
            <w:tcW w:w="0" w:type="auto"/>
            <w:hideMark/>
          </w:tcPr>
          <w:p w:rsidRPr="00A93B58" w:rsidR="00B0069A" w:rsidP="00CC02C5" w:rsidRDefault="00B0069A" w14:paraId="5F733588" w14:textId="7777777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lastRenderedPageBreak/>
              <w:t>Shows direct links poverty → morbidity/mortality; practical health system strategies</w:t>
            </w:r>
          </w:p>
        </w:tc>
        <w:tc>
          <w:tcPr>
            <w:tcW w:w="0" w:type="auto"/>
            <w:hideMark/>
          </w:tcPr>
          <w:p w:rsidRPr="00A93B58" w:rsidR="00B0069A" w:rsidP="00CC02C5" w:rsidRDefault="00B0069A" w14:paraId="61D98FCD" w14:textId="7777777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“Seven hundred fewer children might die per year if deprived had same mortality risk as least deprived.”</w:t>
            </w:r>
          </w:p>
        </w:tc>
        <w:tc>
          <w:tcPr>
            <w:tcW w:w="0" w:type="auto"/>
            <w:hideMark/>
          </w:tcPr>
          <w:p w:rsidRPr="00A93B58" w:rsidR="00B0069A" w:rsidP="00CC02C5" w:rsidRDefault="00B0069A" w14:paraId="726E8CCD" w14:textId="7777777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Child health, deprivation, NHS service inequality</w:t>
            </w:r>
          </w:p>
        </w:tc>
      </w:tr>
      <w:tr w:rsidRPr="00B0069A" w:rsidR="00B0069A" w:rsidTr="00B0069A" w14:paraId="7B2BE0E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Pr="00A93B58" w:rsidR="00B0069A" w:rsidP="00CC02C5" w:rsidRDefault="00B0069A" w14:paraId="6138A5C0" w14:textId="77777777">
            <w:pPr>
              <w:rPr>
                <w:rFonts w:ascii="Times New Roman" w:hAnsi="Times New Roman" w:cs="Times New Roman"/>
                <w:sz w:val="16"/>
                <w:szCs w:val="16"/>
                <w:lang w:eastAsia="en-GB"/>
              </w:rPr>
            </w:pPr>
            <w:r w:rsidRPr="00A93B58">
              <w:rPr>
                <w:rFonts w:ascii="Times New Roman" w:hAnsi="Times New Roman" w:cs="Times New Roman"/>
                <w:sz w:val="16"/>
                <w:szCs w:val="16"/>
                <w:lang w:eastAsia="en-GB"/>
              </w:rPr>
              <w:t>Wickham et al. (2017)</w:t>
            </w:r>
          </w:p>
        </w:tc>
        <w:tc>
          <w:tcPr>
            <w:tcW w:w="0" w:type="auto"/>
            <w:hideMark/>
          </w:tcPr>
          <w:p w:rsidRPr="00A93B58" w:rsidR="00B0069A" w:rsidP="00CC02C5" w:rsidRDefault="00B0069A" w14:paraId="553BAA70" w14:textId="7777777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Assess effect of poverty transitions on child &amp; maternal mental health</w:t>
            </w:r>
          </w:p>
        </w:tc>
        <w:tc>
          <w:tcPr>
            <w:tcW w:w="0" w:type="auto"/>
            <w:hideMark/>
          </w:tcPr>
          <w:p w:rsidRPr="00A93B58" w:rsidR="00B0069A" w:rsidP="00CC02C5" w:rsidRDefault="00B0069A" w14:paraId="6D0675E8" w14:textId="7777777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UK Millennium Cohort Study (n=6,063 families, 2000–2012)</w:t>
            </w:r>
          </w:p>
        </w:tc>
        <w:tc>
          <w:tcPr>
            <w:tcW w:w="0" w:type="auto"/>
            <w:hideMark/>
          </w:tcPr>
          <w:p w:rsidRPr="00A93B58" w:rsidR="00B0069A" w:rsidP="00CC02C5" w:rsidRDefault="00B0069A" w14:paraId="2BE642B6" w14:textId="7777777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Longitudinal cohort; discrete time-hazard models</w:t>
            </w:r>
          </w:p>
        </w:tc>
        <w:tc>
          <w:tcPr>
            <w:tcW w:w="0" w:type="auto"/>
            <w:hideMark/>
          </w:tcPr>
          <w:p w:rsidRPr="00A93B58" w:rsidR="00B0069A" w:rsidP="00CC02C5" w:rsidRDefault="00B0069A" w14:paraId="3B9A1C81" w14:textId="7777777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Very high (large, nationally representative dataset, rigorous stats)</w:t>
            </w:r>
          </w:p>
        </w:tc>
        <w:tc>
          <w:tcPr>
            <w:tcW w:w="0" w:type="auto"/>
            <w:hideMark/>
          </w:tcPr>
          <w:p w:rsidRPr="00A93B58" w:rsidR="00B0069A" w:rsidP="00CC02C5" w:rsidRDefault="00B0069A" w14:paraId="22445948" w14:textId="7777777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Causal insights on poverty transitions → mental health</w:t>
            </w:r>
          </w:p>
        </w:tc>
        <w:tc>
          <w:tcPr>
            <w:tcW w:w="0" w:type="auto"/>
            <w:hideMark/>
          </w:tcPr>
          <w:p w:rsidRPr="00A93B58" w:rsidR="00B0069A" w:rsidP="00CC02C5" w:rsidRDefault="00B0069A" w14:paraId="3321DF85" w14:textId="7777777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Attrition (12% lost by age 11); maternal report bias</w:t>
            </w:r>
          </w:p>
        </w:tc>
        <w:tc>
          <w:tcPr>
            <w:tcW w:w="0" w:type="auto"/>
            <w:hideMark/>
          </w:tcPr>
          <w:p w:rsidRPr="00A93B58" w:rsidR="00B0069A" w:rsidP="00CC02C5" w:rsidRDefault="00B0069A" w14:paraId="3588CC48" w14:textId="7777777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14% entered poverty; poverty transition → ↑ odds child behavioural problems (OR 1.41, 95% CI 1.02–1.93); maternal distress (OR 1.44, CI 1.21–1.71)</w:t>
            </w:r>
          </w:p>
        </w:tc>
        <w:tc>
          <w:tcPr>
            <w:tcW w:w="0" w:type="auto"/>
            <w:hideMark/>
          </w:tcPr>
          <w:p w:rsidRPr="00A93B58" w:rsidR="00B0069A" w:rsidP="00CC02C5" w:rsidRDefault="00B0069A" w14:paraId="5C11AD43" w14:textId="7777777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Core evidence of poverty-mental health causal link</w:t>
            </w:r>
          </w:p>
        </w:tc>
        <w:tc>
          <w:tcPr>
            <w:tcW w:w="0" w:type="auto"/>
            <w:hideMark/>
          </w:tcPr>
          <w:p w:rsidRPr="00A93B58" w:rsidR="00B0069A" w:rsidP="00CC02C5" w:rsidRDefault="00B0069A" w14:paraId="2D30CBA4" w14:textId="7777777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“First transition into income poverty was associated with deterioration in child and maternal mental health.”</w:t>
            </w:r>
          </w:p>
        </w:tc>
        <w:tc>
          <w:tcPr>
            <w:tcW w:w="0" w:type="auto"/>
            <w:hideMark/>
          </w:tcPr>
          <w:p w:rsidRPr="00A93B58" w:rsidR="00B0069A" w:rsidP="00CC02C5" w:rsidRDefault="00B0069A" w14:paraId="4401266C" w14:textId="7777777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Poverty transition, child behaviour, maternal distress</w:t>
            </w:r>
          </w:p>
        </w:tc>
      </w:tr>
      <w:tr w:rsidRPr="00B0069A" w:rsidR="00B0069A" w:rsidTr="00B0069A" w14:paraId="4354402D" w14:textId="77777777">
        <w:tc>
          <w:tcPr>
            <w:cnfStyle w:val="001000000000" w:firstRow="0" w:lastRow="0" w:firstColumn="1" w:lastColumn="0" w:oddVBand="0" w:evenVBand="0" w:oddHBand="0" w:evenHBand="0" w:firstRowFirstColumn="0" w:firstRowLastColumn="0" w:lastRowFirstColumn="0" w:lastRowLastColumn="0"/>
            <w:tcW w:w="0" w:type="auto"/>
            <w:hideMark/>
          </w:tcPr>
          <w:p w:rsidRPr="00A93B58" w:rsidR="00B0069A" w:rsidP="00CC02C5" w:rsidRDefault="00B0069A" w14:paraId="5D5F54A2" w14:textId="77777777">
            <w:pPr>
              <w:rPr>
                <w:rFonts w:ascii="Times New Roman" w:hAnsi="Times New Roman" w:cs="Times New Roman"/>
                <w:sz w:val="16"/>
                <w:szCs w:val="16"/>
                <w:lang w:eastAsia="en-GB"/>
              </w:rPr>
            </w:pPr>
            <w:r w:rsidRPr="00A93B58">
              <w:rPr>
                <w:rFonts w:ascii="Times New Roman" w:hAnsi="Times New Roman" w:cs="Times New Roman"/>
                <w:sz w:val="16"/>
                <w:szCs w:val="16"/>
                <w:lang w:eastAsia="en-GB"/>
              </w:rPr>
              <w:t>Wickham et al. (2016)</w:t>
            </w:r>
          </w:p>
        </w:tc>
        <w:tc>
          <w:tcPr>
            <w:tcW w:w="0" w:type="auto"/>
            <w:hideMark/>
          </w:tcPr>
          <w:p w:rsidRPr="00A93B58" w:rsidR="00B0069A" w:rsidP="00CC02C5" w:rsidRDefault="00B0069A" w14:paraId="2D3EA18C" w14:textId="7777777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Use evidence to argue for action on UK child poverty</w:t>
            </w:r>
          </w:p>
        </w:tc>
        <w:tc>
          <w:tcPr>
            <w:tcW w:w="0" w:type="auto"/>
            <w:hideMark/>
          </w:tcPr>
          <w:p w:rsidRPr="00A93B58" w:rsidR="00B0069A" w:rsidP="00CC02C5" w:rsidRDefault="00B0069A" w14:paraId="56C83167" w14:textId="7777777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UK; synthesis of policy &amp; cohort data (3.7m UK children in poverty, 2013–14)</w:t>
            </w:r>
          </w:p>
        </w:tc>
        <w:tc>
          <w:tcPr>
            <w:tcW w:w="0" w:type="auto"/>
            <w:hideMark/>
          </w:tcPr>
          <w:p w:rsidRPr="00A93B58" w:rsidR="00B0069A" w:rsidP="00CC02C5" w:rsidRDefault="00B0069A" w14:paraId="591C2970" w14:textId="7777777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Policy analysis + evidence synthesis (ONS, UNICEF, MCS)</w:t>
            </w:r>
          </w:p>
        </w:tc>
        <w:tc>
          <w:tcPr>
            <w:tcW w:w="0" w:type="auto"/>
            <w:hideMark/>
          </w:tcPr>
          <w:p w:rsidRPr="00A93B58" w:rsidR="00B0069A" w:rsidP="00CC02C5" w:rsidRDefault="00B0069A" w14:paraId="286E928B" w14:textId="7777777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High (peer-reviewed, large datasets)</w:t>
            </w:r>
          </w:p>
        </w:tc>
        <w:tc>
          <w:tcPr>
            <w:tcW w:w="0" w:type="auto"/>
            <w:hideMark/>
          </w:tcPr>
          <w:p w:rsidRPr="00A93B58" w:rsidR="00B0069A" w:rsidP="00CC02C5" w:rsidRDefault="00B0069A" w14:paraId="34F8A4B4" w14:textId="7777777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Quantifies economic + health costs of child poverty</w:t>
            </w:r>
          </w:p>
        </w:tc>
        <w:tc>
          <w:tcPr>
            <w:tcW w:w="0" w:type="auto"/>
            <w:hideMark/>
          </w:tcPr>
          <w:p w:rsidRPr="00A93B58" w:rsidR="00B0069A" w:rsidP="00CC02C5" w:rsidRDefault="00B0069A" w14:paraId="41D36ECC" w14:textId="7777777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Policy focus, not primary research</w:t>
            </w:r>
          </w:p>
        </w:tc>
        <w:tc>
          <w:tcPr>
            <w:tcW w:w="0" w:type="auto"/>
            <w:hideMark/>
          </w:tcPr>
          <w:p w:rsidRPr="00A93B58" w:rsidR="00B0069A" w:rsidP="00CC02C5" w:rsidRDefault="00B0069A" w14:paraId="674E670B" w14:textId="7777777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Child poverty costs UK £29bn/yr; eliminating could save 1,400 child lives annually; poorest UK children ×2 mortality under 5 vs Sweden</w:t>
            </w:r>
          </w:p>
        </w:tc>
        <w:tc>
          <w:tcPr>
            <w:tcW w:w="0" w:type="auto"/>
            <w:hideMark/>
          </w:tcPr>
          <w:p w:rsidRPr="00A93B58" w:rsidR="00B0069A" w:rsidP="00CC02C5" w:rsidRDefault="00B0069A" w14:paraId="45D3F028" w14:textId="7777777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Strong evidence-policy bridge for child health inequality</w:t>
            </w:r>
          </w:p>
        </w:tc>
        <w:tc>
          <w:tcPr>
            <w:tcW w:w="0" w:type="auto"/>
            <w:hideMark/>
          </w:tcPr>
          <w:p w:rsidRPr="00A93B58" w:rsidR="00B0069A" w:rsidP="00CC02C5" w:rsidRDefault="00B0069A" w14:paraId="6EB0FC3B" w14:textId="7777777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“Eliminating child poverty in the UK would save 1,400 child lives annually.”</w:t>
            </w:r>
          </w:p>
        </w:tc>
        <w:tc>
          <w:tcPr>
            <w:tcW w:w="0" w:type="auto"/>
            <w:hideMark/>
          </w:tcPr>
          <w:p w:rsidRPr="00A93B58" w:rsidR="00B0069A" w:rsidP="00CC02C5" w:rsidRDefault="00B0069A" w14:paraId="16C94B23" w14:textId="7777777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Economic costs, mortality, cross-national gaps</w:t>
            </w:r>
          </w:p>
        </w:tc>
      </w:tr>
      <w:tr w:rsidRPr="00B0069A" w:rsidR="00B0069A" w:rsidTr="00B0069A" w14:paraId="4D9F62E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Pr="00A93B58" w:rsidR="00B0069A" w:rsidP="00CC02C5" w:rsidRDefault="00B0069A" w14:paraId="122EDC9C" w14:textId="77777777">
            <w:pPr>
              <w:rPr>
                <w:rFonts w:ascii="Times New Roman" w:hAnsi="Times New Roman" w:cs="Times New Roman"/>
                <w:sz w:val="16"/>
                <w:szCs w:val="16"/>
                <w:lang w:eastAsia="en-GB"/>
              </w:rPr>
            </w:pPr>
            <w:r w:rsidRPr="00A93B58">
              <w:rPr>
                <w:rFonts w:ascii="Times New Roman" w:hAnsi="Times New Roman" w:cs="Times New Roman"/>
                <w:sz w:val="16"/>
                <w:szCs w:val="16"/>
                <w:lang w:eastAsia="en-GB"/>
              </w:rPr>
              <w:t>Hayre &amp; Pollock (2022)</w:t>
            </w:r>
          </w:p>
        </w:tc>
        <w:tc>
          <w:tcPr>
            <w:tcW w:w="0" w:type="auto"/>
            <w:hideMark/>
          </w:tcPr>
          <w:p w:rsidRPr="00A93B58" w:rsidR="00B0069A" w:rsidP="00CC02C5" w:rsidRDefault="00B0069A" w14:paraId="2AD2137B" w14:textId="7777777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Analyse rising UK child poverty and link to public health</w:t>
            </w:r>
          </w:p>
        </w:tc>
        <w:tc>
          <w:tcPr>
            <w:tcW w:w="0" w:type="auto"/>
            <w:hideMark/>
          </w:tcPr>
          <w:p w:rsidRPr="00A93B58" w:rsidR="00B0069A" w:rsidP="00CC02C5" w:rsidRDefault="00B0069A" w14:paraId="5842221C" w14:textId="7777777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UK; secondary analysis of ONS, NHS, UNICEF data</w:t>
            </w:r>
          </w:p>
        </w:tc>
        <w:tc>
          <w:tcPr>
            <w:tcW w:w="0" w:type="auto"/>
            <w:hideMark/>
          </w:tcPr>
          <w:p w:rsidRPr="00A93B58" w:rsidR="00B0069A" w:rsidP="00CC02C5" w:rsidRDefault="00B0069A" w14:paraId="7C23707F" w14:textId="7777777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Evidence synthesis, policy critique</w:t>
            </w:r>
          </w:p>
        </w:tc>
        <w:tc>
          <w:tcPr>
            <w:tcW w:w="0" w:type="auto"/>
            <w:hideMark/>
          </w:tcPr>
          <w:p w:rsidRPr="00A93B58" w:rsidR="00B0069A" w:rsidP="00CC02C5" w:rsidRDefault="00B0069A" w14:paraId="769FC0A7" w14:textId="7777777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Moderate-high (peer-reviewed, triangulation)</w:t>
            </w:r>
          </w:p>
        </w:tc>
        <w:tc>
          <w:tcPr>
            <w:tcW w:w="0" w:type="auto"/>
            <w:hideMark/>
          </w:tcPr>
          <w:p w:rsidRPr="00A93B58" w:rsidR="00B0069A" w:rsidP="00CC02C5" w:rsidRDefault="00B0069A" w14:paraId="69AEC4EC" w14:textId="7777777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Strong focus on inequalities, health links</w:t>
            </w:r>
          </w:p>
        </w:tc>
        <w:tc>
          <w:tcPr>
            <w:tcW w:w="0" w:type="auto"/>
            <w:hideMark/>
          </w:tcPr>
          <w:p w:rsidRPr="00A93B58" w:rsidR="00B0069A" w:rsidP="00CC02C5" w:rsidRDefault="00B0069A" w14:paraId="70C56E1E" w14:textId="7777777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Mainly secondary; lacks primary data</w:t>
            </w:r>
          </w:p>
        </w:tc>
        <w:tc>
          <w:tcPr>
            <w:tcW w:w="0" w:type="auto"/>
            <w:hideMark/>
          </w:tcPr>
          <w:p w:rsidRPr="00A93B58" w:rsidR="00B0069A" w:rsidP="00CC02C5" w:rsidRDefault="00B0069A" w14:paraId="611E73AD" w14:textId="7777777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 xml:space="preserve">Child poverty ↑ to 30% UK (2019); food insecurity linked to ↑ </w:t>
            </w:r>
            <w:r w:rsidRPr="00A93B58">
              <w:rPr>
                <w:rFonts w:ascii="Times New Roman" w:hAnsi="Times New Roman" w:cs="Times New Roman"/>
                <w:sz w:val="16"/>
                <w:szCs w:val="16"/>
                <w:lang w:eastAsia="en-GB"/>
              </w:rPr>
              <w:lastRenderedPageBreak/>
              <w:t>mental distress in children</w:t>
            </w:r>
          </w:p>
        </w:tc>
        <w:tc>
          <w:tcPr>
            <w:tcW w:w="0" w:type="auto"/>
            <w:hideMark/>
          </w:tcPr>
          <w:p w:rsidRPr="00A93B58" w:rsidR="00B0069A" w:rsidP="00CC02C5" w:rsidRDefault="00B0069A" w14:paraId="68489A92" w14:textId="7777777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lastRenderedPageBreak/>
              <w:t>Directly aligns poverty → health inequality → CAMHS pressure</w:t>
            </w:r>
          </w:p>
        </w:tc>
        <w:tc>
          <w:tcPr>
            <w:tcW w:w="0" w:type="auto"/>
            <w:hideMark/>
          </w:tcPr>
          <w:p w:rsidRPr="00A93B58" w:rsidR="00B0069A" w:rsidP="00CC02C5" w:rsidRDefault="00B0069A" w14:paraId="445ED45E" w14:textId="7777777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“Children in poverty: time for action to address rising inequalities in the UK.”</w:t>
            </w:r>
          </w:p>
        </w:tc>
        <w:tc>
          <w:tcPr>
            <w:tcW w:w="0" w:type="auto"/>
            <w:hideMark/>
          </w:tcPr>
          <w:p w:rsidRPr="00A93B58" w:rsidR="00B0069A" w:rsidP="00CC02C5" w:rsidRDefault="00B0069A" w14:paraId="0505E142" w14:textId="7777777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Child poverty, austerity, NHS inequality</w:t>
            </w:r>
          </w:p>
        </w:tc>
      </w:tr>
      <w:tr w:rsidRPr="00B0069A" w:rsidR="00B0069A" w:rsidTr="00B0069A" w14:paraId="4A719239" w14:textId="77777777">
        <w:tc>
          <w:tcPr>
            <w:cnfStyle w:val="001000000000" w:firstRow="0" w:lastRow="0" w:firstColumn="1" w:lastColumn="0" w:oddVBand="0" w:evenVBand="0" w:oddHBand="0" w:evenHBand="0" w:firstRowFirstColumn="0" w:firstRowLastColumn="0" w:lastRowFirstColumn="0" w:lastRowLastColumn="0"/>
            <w:tcW w:w="0" w:type="auto"/>
            <w:hideMark/>
          </w:tcPr>
          <w:p w:rsidRPr="00A93B58" w:rsidR="00B0069A" w:rsidP="00CC02C5" w:rsidRDefault="00B0069A" w14:paraId="76A27ED9" w14:textId="77777777">
            <w:pPr>
              <w:rPr>
                <w:rFonts w:ascii="Times New Roman" w:hAnsi="Times New Roman" w:cs="Times New Roman"/>
                <w:sz w:val="16"/>
                <w:szCs w:val="16"/>
                <w:lang w:eastAsia="en-GB"/>
              </w:rPr>
            </w:pPr>
            <w:r w:rsidRPr="00A93B58">
              <w:rPr>
                <w:rFonts w:ascii="Times New Roman" w:hAnsi="Times New Roman" w:cs="Times New Roman"/>
                <w:sz w:val="16"/>
                <w:szCs w:val="16"/>
                <w:lang w:eastAsia="en-GB"/>
              </w:rPr>
              <w:t xml:space="preserve">Buck &amp; </w:t>
            </w:r>
            <w:proofErr w:type="spellStart"/>
            <w:r w:rsidRPr="00A93B58">
              <w:rPr>
                <w:rFonts w:ascii="Times New Roman" w:hAnsi="Times New Roman" w:cs="Times New Roman"/>
                <w:sz w:val="16"/>
                <w:szCs w:val="16"/>
                <w:lang w:eastAsia="en-GB"/>
              </w:rPr>
              <w:t>Jabbal</w:t>
            </w:r>
            <w:proofErr w:type="spellEnd"/>
            <w:r w:rsidRPr="00A93B58">
              <w:rPr>
                <w:rFonts w:ascii="Times New Roman" w:hAnsi="Times New Roman" w:cs="Times New Roman"/>
                <w:sz w:val="16"/>
                <w:szCs w:val="16"/>
                <w:lang w:eastAsia="en-GB"/>
              </w:rPr>
              <w:t xml:space="preserve"> (2014)</w:t>
            </w:r>
          </w:p>
        </w:tc>
        <w:tc>
          <w:tcPr>
            <w:tcW w:w="0" w:type="auto"/>
            <w:hideMark/>
          </w:tcPr>
          <w:p w:rsidRPr="00A93B58" w:rsidR="00B0069A" w:rsidP="00CC02C5" w:rsidRDefault="00B0069A" w14:paraId="52E954D9" w14:textId="7777777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Examine NHS role in tackling poverty</w:t>
            </w:r>
          </w:p>
        </w:tc>
        <w:tc>
          <w:tcPr>
            <w:tcW w:w="0" w:type="auto"/>
            <w:hideMark/>
          </w:tcPr>
          <w:p w:rsidRPr="00A93B58" w:rsidR="00B0069A" w:rsidP="00CC02C5" w:rsidRDefault="00B0069A" w14:paraId="5C68F900" w14:textId="7777777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NHS England; commissioned by JRF</w:t>
            </w:r>
          </w:p>
        </w:tc>
        <w:tc>
          <w:tcPr>
            <w:tcW w:w="0" w:type="auto"/>
            <w:hideMark/>
          </w:tcPr>
          <w:p w:rsidRPr="00A93B58" w:rsidR="00B0069A" w:rsidP="00CC02C5" w:rsidRDefault="00B0069A" w14:paraId="42254B9E" w14:textId="7777777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Policy analysis; case studies; economic modelling</w:t>
            </w:r>
          </w:p>
        </w:tc>
        <w:tc>
          <w:tcPr>
            <w:tcW w:w="0" w:type="auto"/>
            <w:hideMark/>
          </w:tcPr>
          <w:p w:rsidRPr="00A93B58" w:rsidR="00B0069A" w:rsidP="00CC02C5" w:rsidRDefault="00B0069A" w14:paraId="2BD2C557" w14:textId="7777777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High (commissioned, transparent methods)</w:t>
            </w:r>
          </w:p>
        </w:tc>
        <w:tc>
          <w:tcPr>
            <w:tcW w:w="0" w:type="auto"/>
            <w:hideMark/>
          </w:tcPr>
          <w:p w:rsidRPr="00A93B58" w:rsidR="00B0069A" w:rsidP="00CC02C5" w:rsidRDefault="00B0069A" w14:paraId="4FE96562" w14:textId="7777777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NHS system-wide perspective; links health &amp; poverty</w:t>
            </w:r>
          </w:p>
        </w:tc>
        <w:tc>
          <w:tcPr>
            <w:tcW w:w="0" w:type="auto"/>
            <w:hideMark/>
          </w:tcPr>
          <w:p w:rsidRPr="00A93B58" w:rsidR="00B0069A" w:rsidP="00CC02C5" w:rsidRDefault="00B0069A" w14:paraId="47E34515" w14:textId="7777777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Focuses on service-level, not families</w:t>
            </w:r>
          </w:p>
        </w:tc>
        <w:tc>
          <w:tcPr>
            <w:tcW w:w="0" w:type="auto"/>
            <w:hideMark/>
          </w:tcPr>
          <w:p w:rsidRPr="00A93B58" w:rsidR="00B0069A" w:rsidP="00CC02C5" w:rsidRDefault="00B0069A" w14:paraId="74DE005B" w14:textId="7777777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 xml:space="preserve">NHS </w:t>
            </w:r>
            <w:proofErr w:type="gramStart"/>
            <w:r w:rsidRPr="00A93B58">
              <w:rPr>
                <w:rFonts w:ascii="Times New Roman" w:hAnsi="Times New Roman" w:cs="Times New Roman"/>
                <w:sz w:val="16"/>
                <w:szCs w:val="16"/>
                <w:lang w:eastAsia="en-GB"/>
              </w:rPr>
              <w:t>annual</w:t>
            </w:r>
            <w:proofErr w:type="gramEnd"/>
            <w:r w:rsidRPr="00A93B58">
              <w:rPr>
                <w:rFonts w:ascii="Times New Roman" w:hAnsi="Times New Roman" w:cs="Times New Roman"/>
                <w:sz w:val="16"/>
                <w:szCs w:val="16"/>
                <w:lang w:eastAsia="en-GB"/>
              </w:rPr>
              <w:t xml:space="preserve"> spend £104bn; poverty cuts 30% LA budgets (2008–15); NHS reduces poverty via universalism</w:t>
            </w:r>
          </w:p>
        </w:tc>
        <w:tc>
          <w:tcPr>
            <w:tcW w:w="0" w:type="auto"/>
            <w:hideMark/>
          </w:tcPr>
          <w:p w:rsidRPr="00A93B58" w:rsidR="00B0069A" w:rsidP="00CC02C5" w:rsidRDefault="00B0069A" w14:paraId="03C09913" w14:textId="7777777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Critical for role of health services in mitigating deprivation</w:t>
            </w:r>
          </w:p>
        </w:tc>
        <w:tc>
          <w:tcPr>
            <w:tcW w:w="0" w:type="auto"/>
            <w:hideMark/>
          </w:tcPr>
          <w:p w:rsidRPr="00A93B58" w:rsidR="00B0069A" w:rsidP="00CC02C5" w:rsidRDefault="00B0069A" w14:paraId="0EBD24AE" w14:textId="7777777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“The NHS can do more to positively tackle poverty” (p.12).</w:t>
            </w:r>
          </w:p>
        </w:tc>
        <w:tc>
          <w:tcPr>
            <w:tcW w:w="0" w:type="auto"/>
            <w:hideMark/>
          </w:tcPr>
          <w:p w:rsidRPr="00A93B58" w:rsidR="00B0069A" w:rsidP="00CC02C5" w:rsidRDefault="00B0069A" w14:paraId="0934D239" w14:textId="7777777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NHS universalism, inequality, service adaptation</w:t>
            </w:r>
          </w:p>
        </w:tc>
      </w:tr>
      <w:tr w:rsidRPr="00B0069A" w:rsidR="00B0069A" w:rsidTr="00B0069A" w14:paraId="4546EB24"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Pr="00A93B58" w:rsidR="00B0069A" w:rsidP="00CC02C5" w:rsidRDefault="00B0069A" w14:paraId="0203736C" w14:textId="77777777">
            <w:pPr>
              <w:rPr>
                <w:rFonts w:ascii="Times New Roman" w:hAnsi="Times New Roman" w:cs="Times New Roman"/>
                <w:sz w:val="16"/>
                <w:szCs w:val="16"/>
                <w:lang w:eastAsia="en-GB"/>
              </w:rPr>
            </w:pPr>
            <w:r w:rsidRPr="00A93B58">
              <w:rPr>
                <w:rFonts w:ascii="Times New Roman" w:hAnsi="Times New Roman" w:cs="Times New Roman"/>
                <w:sz w:val="16"/>
                <w:szCs w:val="16"/>
                <w:lang w:eastAsia="en-GB"/>
              </w:rPr>
              <w:t>Lloyd &amp; Potter (2014)</w:t>
            </w:r>
          </w:p>
        </w:tc>
        <w:tc>
          <w:tcPr>
            <w:tcW w:w="0" w:type="auto"/>
            <w:hideMark/>
          </w:tcPr>
          <w:p w:rsidRPr="00A93B58" w:rsidR="00B0069A" w:rsidP="00CC02C5" w:rsidRDefault="00B0069A" w14:paraId="596F9A20" w14:textId="7777777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Explore Early Childhood Education &amp; Care (ECEC) and poverty reduction</w:t>
            </w:r>
          </w:p>
        </w:tc>
        <w:tc>
          <w:tcPr>
            <w:tcW w:w="0" w:type="auto"/>
            <w:hideMark/>
          </w:tcPr>
          <w:p w:rsidRPr="00A93B58" w:rsidR="00B0069A" w:rsidP="00CC02C5" w:rsidRDefault="00B0069A" w14:paraId="297897B1" w14:textId="7777777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UK; review of 84 documents (ERIC, BEI, BSC) + JRF commission</w:t>
            </w:r>
          </w:p>
        </w:tc>
        <w:tc>
          <w:tcPr>
            <w:tcW w:w="0" w:type="auto"/>
            <w:hideMark/>
          </w:tcPr>
          <w:p w:rsidRPr="00A93B58" w:rsidR="00B0069A" w:rsidP="00CC02C5" w:rsidRDefault="00B0069A" w14:paraId="12603885" w14:textId="7777777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Rapid Evidence Assessment + synthesis</w:t>
            </w:r>
          </w:p>
        </w:tc>
        <w:tc>
          <w:tcPr>
            <w:tcW w:w="0" w:type="auto"/>
            <w:hideMark/>
          </w:tcPr>
          <w:p w:rsidRPr="00A93B58" w:rsidR="00B0069A" w:rsidP="00CC02C5" w:rsidRDefault="00B0069A" w14:paraId="10650A48" w14:textId="7777777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Moderate (not full systematic, broad coverage)</w:t>
            </w:r>
          </w:p>
        </w:tc>
        <w:tc>
          <w:tcPr>
            <w:tcW w:w="0" w:type="auto"/>
            <w:hideMark/>
          </w:tcPr>
          <w:p w:rsidRPr="00A93B58" w:rsidR="00B0069A" w:rsidP="00CC02C5" w:rsidRDefault="00B0069A" w14:paraId="0F4815F8" w14:textId="7777777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Strong early years focus; longitudinal cohort evidence</w:t>
            </w:r>
          </w:p>
        </w:tc>
        <w:tc>
          <w:tcPr>
            <w:tcW w:w="0" w:type="auto"/>
            <w:hideMark/>
          </w:tcPr>
          <w:p w:rsidRPr="00A93B58" w:rsidR="00B0069A" w:rsidP="00CC02C5" w:rsidRDefault="00B0069A" w14:paraId="5B7F8C35" w14:textId="7777777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Less robust than systematic review</w:t>
            </w:r>
          </w:p>
        </w:tc>
        <w:tc>
          <w:tcPr>
            <w:tcW w:w="0" w:type="auto"/>
            <w:hideMark/>
          </w:tcPr>
          <w:p w:rsidRPr="00A93B58" w:rsidR="00B0069A" w:rsidP="00CC02C5" w:rsidRDefault="00B0069A" w14:paraId="4732A12C" w14:textId="7777777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41% poorest quintile accessed formal childcare vs 68% richest; ECEC quality strongly predicts outcomes</w:t>
            </w:r>
          </w:p>
        </w:tc>
        <w:tc>
          <w:tcPr>
            <w:tcW w:w="0" w:type="auto"/>
            <w:hideMark/>
          </w:tcPr>
          <w:p w:rsidRPr="00A93B58" w:rsidR="00B0069A" w:rsidP="00CC02C5" w:rsidRDefault="00B0069A" w14:paraId="7C5DFF9B" w14:textId="7777777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Strongly relevant: ECEC → resilience, education → mental health</w:t>
            </w:r>
          </w:p>
        </w:tc>
        <w:tc>
          <w:tcPr>
            <w:tcW w:w="0" w:type="auto"/>
            <w:hideMark/>
          </w:tcPr>
          <w:p w:rsidRPr="00A93B58" w:rsidR="00B0069A" w:rsidP="00CC02C5" w:rsidRDefault="00B0069A" w14:paraId="3D23C95B" w14:textId="7777777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“Only good-quality ECEC has long-term beneficial effects for poor children.”</w:t>
            </w:r>
          </w:p>
        </w:tc>
        <w:tc>
          <w:tcPr>
            <w:tcW w:w="0" w:type="auto"/>
            <w:hideMark/>
          </w:tcPr>
          <w:p w:rsidRPr="00A93B58" w:rsidR="00B0069A" w:rsidP="00CC02C5" w:rsidRDefault="00B0069A" w14:paraId="20F07F0D" w14:textId="7777777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Education, childcare, poverty, resilience</w:t>
            </w:r>
          </w:p>
        </w:tc>
      </w:tr>
      <w:tr w:rsidRPr="00B0069A" w:rsidR="00B0069A" w:rsidTr="00B0069A" w14:paraId="39CDE718" w14:textId="77777777">
        <w:tc>
          <w:tcPr>
            <w:cnfStyle w:val="001000000000" w:firstRow="0" w:lastRow="0" w:firstColumn="1" w:lastColumn="0" w:oddVBand="0" w:evenVBand="0" w:oddHBand="0" w:evenHBand="0" w:firstRowFirstColumn="0" w:firstRowLastColumn="0" w:lastRowFirstColumn="0" w:lastRowLastColumn="0"/>
            <w:tcW w:w="0" w:type="auto"/>
            <w:hideMark/>
          </w:tcPr>
          <w:p w:rsidRPr="00A93B58" w:rsidR="00B0069A" w:rsidP="00CC02C5" w:rsidRDefault="00B0069A" w14:paraId="4CB7A09D" w14:textId="77777777">
            <w:pPr>
              <w:rPr>
                <w:rFonts w:ascii="Times New Roman" w:hAnsi="Times New Roman" w:cs="Times New Roman"/>
                <w:sz w:val="16"/>
                <w:szCs w:val="16"/>
                <w:lang w:eastAsia="en-GB"/>
              </w:rPr>
            </w:pPr>
            <w:r w:rsidRPr="00A93B58">
              <w:rPr>
                <w:rFonts w:ascii="Times New Roman" w:hAnsi="Times New Roman" w:cs="Times New Roman"/>
                <w:sz w:val="16"/>
                <w:szCs w:val="16"/>
                <w:lang w:eastAsia="en-GB"/>
              </w:rPr>
              <w:t>Taylor-Robinson et al. (2019)</w:t>
            </w:r>
          </w:p>
        </w:tc>
        <w:tc>
          <w:tcPr>
            <w:tcW w:w="0" w:type="auto"/>
            <w:hideMark/>
          </w:tcPr>
          <w:p w:rsidRPr="00A93B58" w:rsidR="00B0069A" w:rsidP="00CC02C5" w:rsidRDefault="00B0069A" w14:paraId="3B998D63" w14:textId="7777777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Link rising child poverty with infant mortality</w:t>
            </w:r>
          </w:p>
        </w:tc>
        <w:tc>
          <w:tcPr>
            <w:tcW w:w="0" w:type="auto"/>
            <w:hideMark/>
          </w:tcPr>
          <w:p w:rsidRPr="00A93B58" w:rsidR="00B0069A" w:rsidP="00CC02C5" w:rsidRDefault="00B0069A" w14:paraId="0CD1ED74" w14:textId="7777777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England; ONS data, 324 LAs, 2000–2017</w:t>
            </w:r>
          </w:p>
        </w:tc>
        <w:tc>
          <w:tcPr>
            <w:tcW w:w="0" w:type="auto"/>
            <w:hideMark/>
          </w:tcPr>
          <w:p w:rsidRPr="00A93B58" w:rsidR="00B0069A" w:rsidP="00CC02C5" w:rsidRDefault="00B0069A" w14:paraId="6C8F307D" w14:textId="7777777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Time-trend regression, fixed effects</w:t>
            </w:r>
          </w:p>
        </w:tc>
        <w:tc>
          <w:tcPr>
            <w:tcW w:w="0" w:type="auto"/>
            <w:hideMark/>
          </w:tcPr>
          <w:p w:rsidRPr="00A93B58" w:rsidR="00B0069A" w:rsidP="00CC02C5" w:rsidRDefault="00B0069A" w14:paraId="4C4411D6" w14:textId="7777777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Very high (large dataset, causal inference)</w:t>
            </w:r>
          </w:p>
        </w:tc>
        <w:tc>
          <w:tcPr>
            <w:tcW w:w="0" w:type="auto"/>
            <w:hideMark/>
          </w:tcPr>
          <w:p w:rsidRPr="00A93B58" w:rsidR="00B0069A" w:rsidP="00CC02C5" w:rsidRDefault="00B0069A" w14:paraId="6A6D2445" w14:textId="7777777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Robust stats; national scale</w:t>
            </w:r>
          </w:p>
        </w:tc>
        <w:tc>
          <w:tcPr>
            <w:tcW w:w="0" w:type="auto"/>
            <w:hideMark/>
          </w:tcPr>
          <w:p w:rsidRPr="00A93B58" w:rsidR="00B0069A" w:rsidP="00CC02C5" w:rsidRDefault="00B0069A" w14:paraId="7815499F" w14:textId="7777777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Ecological design; no individual-level</w:t>
            </w:r>
          </w:p>
        </w:tc>
        <w:tc>
          <w:tcPr>
            <w:tcW w:w="0" w:type="auto"/>
            <w:hideMark/>
          </w:tcPr>
          <w:p w:rsidRPr="00A93B58" w:rsidR="00B0069A" w:rsidP="00CC02C5" w:rsidRDefault="00B0069A" w14:paraId="63B661CE" w14:textId="7777777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Each 1% ↑ child poverty → 5.8 infant deaths / 100k; 572 excess deaths (2014–17); poorest quintile worst hit</w:t>
            </w:r>
          </w:p>
        </w:tc>
        <w:tc>
          <w:tcPr>
            <w:tcW w:w="0" w:type="auto"/>
            <w:hideMark/>
          </w:tcPr>
          <w:p w:rsidRPr="00A93B58" w:rsidR="00B0069A" w:rsidP="00CC02C5" w:rsidRDefault="00B0069A" w14:paraId="66D2FE37" w14:textId="7777777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Crucial evidence linking austerity to child health inequality</w:t>
            </w:r>
          </w:p>
        </w:tc>
        <w:tc>
          <w:tcPr>
            <w:tcW w:w="0" w:type="auto"/>
            <w:hideMark/>
          </w:tcPr>
          <w:p w:rsidRPr="00A93B58" w:rsidR="00B0069A" w:rsidP="00CC02C5" w:rsidRDefault="00B0069A" w14:paraId="476F70C7" w14:textId="7777777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“About a third of the increases in infant mortality…attributed to rising child poverty.”</w:t>
            </w:r>
          </w:p>
        </w:tc>
        <w:tc>
          <w:tcPr>
            <w:tcW w:w="0" w:type="auto"/>
            <w:hideMark/>
          </w:tcPr>
          <w:p w:rsidRPr="00A93B58" w:rsidR="00B0069A" w:rsidP="00CC02C5" w:rsidRDefault="00B0069A" w14:paraId="1946523F" w14:textId="7777777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Infant mortality, deprivation, austerity</w:t>
            </w:r>
          </w:p>
        </w:tc>
      </w:tr>
      <w:tr w:rsidRPr="00B0069A" w:rsidR="00B0069A" w:rsidTr="00B0069A" w14:paraId="72C1AEAC"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Pr="00A93B58" w:rsidR="00B0069A" w:rsidP="00CC02C5" w:rsidRDefault="00B0069A" w14:paraId="2B276401" w14:textId="77777777">
            <w:pPr>
              <w:rPr>
                <w:rFonts w:ascii="Times New Roman" w:hAnsi="Times New Roman" w:cs="Times New Roman"/>
                <w:sz w:val="16"/>
                <w:szCs w:val="16"/>
                <w:lang w:eastAsia="en-GB"/>
              </w:rPr>
            </w:pPr>
            <w:r w:rsidRPr="00A93B58">
              <w:rPr>
                <w:rFonts w:ascii="Times New Roman" w:hAnsi="Times New Roman" w:cs="Times New Roman"/>
                <w:sz w:val="16"/>
                <w:szCs w:val="16"/>
                <w:lang w:eastAsia="en-GB"/>
              </w:rPr>
              <w:lastRenderedPageBreak/>
              <w:t>Street (2021)</w:t>
            </w:r>
          </w:p>
        </w:tc>
        <w:tc>
          <w:tcPr>
            <w:tcW w:w="0" w:type="auto"/>
            <w:hideMark/>
          </w:tcPr>
          <w:p w:rsidRPr="00A93B58" w:rsidR="00B0069A" w:rsidP="00CC02C5" w:rsidRDefault="00B0069A" w14:paraId="21343D80" w14:textId="7777777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Theorise child wellbeing in ECE policy context</w:t>
            </w:r>
          </w:p>
        </w:tc>
        <w:tc>
          <w:tcPr>
            <w:tcW w:w="0" w:type="auto"/>
            <w:hideMark/>
          </w:tcPr>
          <w:p w:rsidRPr="00A93B58" w:rsidR="00B0069A" w:rsidP="00CC02C5" w:rsidRDefault="00B0069A" w14:paraId="6C2827BF" w14:textId="7777777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England; policy/theory analysis (EYFS, UNCRC)</w:t>
            </w:r>
          </w:p>
        </w:tc>
        <w:tc>
          <w:tcPr>
            <w:tcW w:w="0" w:type="auto"/>
            <w:hideMark/>
          </w:tcPr>
          <w:p w:rsidRPr="00A93B58" w:rsidR="00B0069A" w:rsidP="00CC02C5" w:rsidRDefault="00B0069A" w14:paraId="5B89B8D4" w14:textId="7777777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Conceptual framework (capability, relational, distributive wellbeing)</w:t>
            </w:r>
          </w:p>
        </w:tc>
        <w:tc>
          <w:tcPr>
            <w:tcW w:w="0" w:type="auto"/>
            <w:hideMark/>
          </w:tcPr>
          <w:p w:rsidRPr="00A93B58" w:rsidR="00B0069A" w:rsidP="00CC02C5" w:rsidRDefault="00B0069A" w14:paraId="4D84932D" w14:textId="7777777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Moderate (conceptual, not empirical)</w:t>
            </w:r>
          </w:p>
        </w:tc>
        <w:tc>
          <w:tcPr>
            <w:tcW w:w="0" w:type="auto"/>
            <w:hideMark/>
          </w:tcPr>
          <w:p w:rsidRPr="00A93B58" w:rsidR="00B0069A" w:rsidP="00CC02C5" w:rsidRDefault="00B0069A" w14:paraId="720F1058" w14:textId="7777777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Provides innovative framework; rights-based</w:t>
            </w:r>
          </w:p>
        </w:tc>
        <w:tc>
          <w:tcPr>
            <w:tcW w:w="0" w:type="auto"/>
            <w:hideMark/>
          </w:tcPr>
          <w:p w:rsidRPr="00A93B58" w:rsidR="00B0069A" w:rsidP="00CC02C5" w:rsidRDefault="00B0069A" w14:paraId="46F2E87E" w14:textId="7777777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Lacks empirical data; UK-only</w:t>
            </w:r>
          </w:p>
        </w:tc>
        <w:tc>
          <w:tcPr>
            <w:tcW w:w="0" w:type="auto"/>
            <w:hideMark/>
          </w:tcPr>
          <w:p w:rsidRPr="00A93B58" w:rsidR="00B0069A" w:rsidP="00CC02C5" w:rsidRDefault="00B0069A" w14:paraId="6FCE1298" w14:textId="7777777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EYFS conflates wellbeing with educational attainment → risks narrowing child experience</w:t>
            </w:r>
          </w:p>
        </w:tc>
        <w:tc>
          <w:tcPr>
            <w:tcW w:w="0" w:type="auto"/>
            <w:hideMark/>
          </w:tcPr>
          <w:p w:rsidRPr="00A93B58" w:rsidR="00B0069A" w:rsidP="00CC02C5" w:rsidRDefault="00B0069A" w14:paraId="4FAC55D7" w14:textId="7777777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Theoretical lens linking education, poverty, child rights</w:t>
            </w:r>
          </w:p>
        </w:tc>
        <w:tc>
          <w:tcPr>
            <w:tcW w:w="0" w:type="auto"/>
            <w:hideMark/>
          </w:tcPr>
          <w:p w:rsidRPr="00A93B58" w:rsidR="00B0069A" w:rsidP="00CC02C5" w:rsidRDefault="00B0069A" w14:paraId="21660647" w14:textId="7777777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“Children’s wellbeing is conflated with being ‘school-ready’.”</w:t>
            </w:r>
          </w:p>
        </w:tc>
        <w:tc>
          <w:tcPr>
            <w:tcW w:w="0" w:type="auto"/>
            <w:hideMark/>
          </w:tcPr>
          <w:p w:rsidRPr="00A93B58" w:rsidR="00B0069A" w:rsidP="00CC02C5" w:rsidRDefault="00B0069A" w14:paraId="620B9E38" w14:textId="7777777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Child rights, wellbeing, education policy</w:t>
            </w:r>
          </w:p>
        </w:tc>
      </w:tr>
      <w:tr w:rsidRPr="00B0069A" w:rsidR="00B0069A" w:rsidTr="00B0069A" w14:paraId="4BB90B78" w14:textId="77777777">
        <w:trPr>
          <w:trHeight w:val="180"/>
        </w:trPr>
        <w:tc>
          <w:tcPr>
            <w:cnfStyle w:val="001000000000" w:firstRow="0" w:lastRow="0" w:firstColumn="1" w:lastColumn="0" w:oddVBand="0" w:evenVBand="0" w:oddHBand="0" w:evenHBand="0" w:firstRowFirstColumn="0" w:firstRowLastColumn="0" w:lastRowFirstColumn="0" w:lastRowLastColumn="0"/>
            <w:tcW w:w="592" w:type="dxa"/>
            <w:hideMark/>
          </w:tcPr>
          <w:p w:rsidRPr="00A93B58" w:rsidR="00B0069A" w:rsidP="00CC02C5" w:rsidRDefault="00B0069A" w14:paraId="0B56DEA5" w14:textId="77777777">
            <w:pPr>
              <w:rPr>
                <w:rFonts w:ascii="Times New Roman" w:hAnsi="Times New Roman" w:cs="Times New Roman"/>
                <w:sz w:val="16"/>
                <w:szCs w:val="16"/>
                <w:lang w:eastAsia="en-GB"/>
              </w:rPr>
            </w:pPr>
            <w:r w:rsidRPr="00A93B58">
              <w:rPr>
                <w:rFonts w:ascii="Times New Roman" w:hAnsi="Times New Roman" w:cs="Times New Roman"/>
                <w:sz w:val="16"/>
                <w:szCs w:val="16"/>
                <w:lang w:eastAsia="en-GB"/>
              </w:rPr>
              <w:t>Dorling (2024)</w:t>
            </w:r>
          </w:p>
        </w:tc>
        <w:tc>
          <w:tcPr>
            <w:tcW w:w="968" w:type="dxa"/>
            <w:hideMark/>
          </w:tcPr>
          <w:p w:rsidRPr="00A93B58" w:rsidR="00B0069A" w:rsidP="00CC02C5" w:rsidRDefault="00B0069A" w14:paraId="1EA81179" w14:textId="7777777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Examine why the UK is an international outlier in child poverty and its health impacts.</w:t>
            </w:r>
          </w:p>
        </w:tc>
        <w:tc>
          <w:tcPr>
            <w:tcW w:w="775" w:type="dxa"/>
            <w:hideMark/>
          </w:tcPr>
          <w:p w:rsidRPr="00A93B58" w:rsidR="00B0069A" w:rsidP="00CC02C5" w:rsidRDefault="00B0069A" w14:paraId="30B304E8" w14:textId="7777777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UK, cross-country comparisons with 39 nations (UNICEF data).</w:t>
            </w:r>
          </w:p>
        </w:tc>
        <w:tc>
          <w:tcPr>
            <w:tcW w:w="686" w:type="dxa"/>
            <w:hideMark/>
          </w:tcPr>
          <w:p w:rsidRPr="00A93B58" w:rsidR="00B0069A" w:rsidP="00CC02C5" w:rsidRDefault="00B0069A" w14:paraId="5ED009BA" w14:textId="7777777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Statistical and geographic analysis of poverty data, UN and CPAG reports.</w:t>
            </w:r>
          </w:p>
        </w:tc>
        <w:tc>
          <w:tcPr>
            <w:tcW w:w="748" w:type="dxa"/>
            <w:hideMark/>
          </w:tcPr>
          <w:p w:rsidRPr="00A93B58" w:rsidR="00B0069A" w:rsidP="00CC02C5" w:rsidRDefault="00B0069A" w14:paraId="6E120F6A" w14:textId="7777777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High – robust UN/ONS data but limited causal inference.</w:t>
            </w:r>
          </w:p>
        </w:tc>
        <w:tc>
          <w:tcPr>
            <w:tcW w:w="932" w:type="dxa"/>
            <w:hideMark/>
          </w:tcPr>
          <w:p w:rsidRPr="00A93B58" w:rsidR="00B0069A" w:rsidP="00CC02C5" w:rsidRDefault="00B0069A" w14:paraId="45E65676" w14:textId="740B2E75">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 xml:space="preserve">Highlights </w:t>
            </w:r>
            <w:r w:rsidR="00CB3DFB">
              <w:rPr>
                <w:rFonts w:ascii="Times New Roman" w:hAnsi="Times New Roman" w:cs="Times New Roman"/>
                <w:sz w:val="16"/>
                <w:szCs w:val="16"/>
                <w:lang w:eastAsia="en-GB"/>
              </w:rPr>
              <w:t>the UK as the worst performer among OECD countries; links poverty to</w:t>
            </w:r>
            <w:r w:rsidRPr="00A93B58">
              <w:rPr>
                <w:rFonts w:ascii="Times New Roman" w:hAnsi="Times New Roman" w:cs="Times New Roman"/>
                <w:sz w:val="16"/>
                <w:szCs w:val="16"/>
                <w:lang w:eastAsia="en-GB"/>
              </w:rPr>
              <w:t xml:space="preserve"> child mortality trends.</w:t>
            </w:r>
          </w:p>
        </w:tc>
        <w:tc>
          <w:tcPr>
            <w:tcW w:w="885" w:type="dxa"/>
            <w:hideMark/>
          </w:tcPr>
          <w:p w:rsidRPr="00A93B58" w:rsidR="00B0069A" w:rsidP="00CC02C5" w:rsidRDefault="00B0069A" w14:paraId="308FB792" w14:textId="7777777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Mainly descriptive; lacks longitudinal cohort analysis.</w:t>
            </w:r>
          </w:p>
        </w:tc>
        <w:tc>
          <w:tcPr>
            <w:tcW w:w="838" w:type="dxa"/>
            <w:hideMark/>
          </w:tcPr>
          <w:p w:rsidRPr="00A93B58" w:rsidR="00B0069A" w:rsidP="00CC02C5" w:rsidRDefault="00B0069A" w14:paraId="1482398D" w14:textId="14B363E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UK child poverty rose fastest among OECD, reaching 20.7% (2019–21); 4.2</w:t>
            </w:r>
            <w:r w:rsidR="00CB3DFB">
              <w:rPr>
                <w:rFonts w:ascii="Times New Roman" w:hAnsi="Times New Roman" w:cs="Times New Roman"/>
                <w:sz w:val="16"/>
                <w:szCs w:val="16"/>
                <w:lang w:eastAsia="en-GB"/>
              </w:rPr>
              <w:t xml:space="preserve"> million</w:t>
            </w:r>
            <w:r w:rsidRPr="00A93B58">
              <w:rPr>
                <w:rFonts w:ascii="Times New Roman" w:hAnsi="Times New Roman" w:cs="Times New Roman"/>
                <w:sz w:val="16"/>
                <w:szCs w:val="16"/>
                <w:lang w:eastAsia="en-GB"/>
              </w:rPr>
              <w:t xml:space="preserve"> children in poverty (2022).</w:t>
            </w:r>
          </w:p>
        </w:tc>
        <w:tc>
          <w:tcPr>
            <w:tcW w:w="899" w:type="dxa"/>
            <w:hideMark/>
          </w:tcPr>
          <w:p w:rsidRPr="00A93B58" w:rsidR="00B0069A" w:rsidP="00CC02C5" w:rsidRDefault="00B0069A" w14:paraId="62E6A412" w14:textId="2C63408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 xml:space="preserve">Directly shows </w:t>
            </w:r>
            <w:r w:rsidR="00CB3DFB">
              <w:rPr>
                <w:rFonts w:ascii="Times New Roman" w:hAnsi="Times New Roman" w:cs="Times New Roman"/>
                <w:sz w:val="16"/>
                <w:szCs w:val="16"/>
                <w:lang w:eastAsia="en-GB"/>
              </w:rPr>
              <w:t xml:space="preserve">the worsening trajectory of UK child poverty and its health and </w:t>
            </w:r>
            <w:r w:rsidRPr="00A93B58">
              <w:rPr>
                <w:rFonts w:ascii="Times New Roman" w:hAnsi="Times New Roman" w:cs="Times New Roman"/>
                <w:sz w:val="16"/>
                <w:szCs w:val="16"/>
                <w:lang w:eastAsia="en-GB"/>
              </w:rPr>
              <w:t>social consequences.</w:t>
            </w:r>
          </w:p>
        </w:tc>
        <w:tc>
          <w:tcPr>
            <w:tcW w:w="927" w:type="dxa"/>
            <w:hideMark/>
          </w:tcPr>
          <w:p w:rsidRPr="00A93B58" w:rsidR="00B0069A" w:rsidP="00CC02C5" w:rsidRDefault="00B0069A" w14:paraId="45313C2D" w14:textId="2E73089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“Children in England are, on average, becoming shorter in height and child death rates are rising, almost certainly due to rising poverty and destitution.</w:t>
            </w:r>
            <w:r>
              <w:rPr>
                <w:rFonts w:ascii="Times New Roman" w:hAnsi="Times New Roman" w:cs="Times New Roman"/>
                <w:sz w:val="16"/>
                <w:szCs w:val="16"/>
                <w:lang w:eastAsia="en-GB"/>
              </w:rPr>
              <w:t>”</w:t>
            </w:r>
          </w:p>
        </w:tc>
        <w:tc>
          <w:tcPr>
            <w:tcW w:w="766" w:type="dxa"/>
            <w:hideMark/>
          </w:tcPr>
          <w:p w:rsidRPr="00A93B58" w:rsidR="00B0069A" w:rsidP="00CC02C5" w:rsidRDefault="00B0069A" w14:paraId="0CDE6AEF" w14:textId="65D038B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 xml:space="preserve">Geography of poverty, inequality, </w:t>
            </w:r>
            <w:r w:rsidR="00CB3DFB">
              <w:rPr>
                <w:rFonts w:ascii="Times New Roman" w:hAnsi="Times New Roman" w:cs="Times New Roman"/>
                <w:sz w:val="16"/>
                <w:szCs w:val="16"/>
                <w:lang w:eastAsia="en-GB"/>
              </w:rPr>
              <w:t>and destitution, with an impact on child health</w:t>
            </w:r>
            <w:r w:rsidRPr="00A93B58">
              <w:rPr>
                <w:rFonts w:ascii="Times New Roman" w:hAnsi="Times New Roman" w:cs="Times New Roman"/>
                <w:sz w:val="16"/>
                <w:szCs w:val="16"/>
                <w:lang w:eastAsia="en-GB"/>
              </w:rPr>
              <w:t>.</w:t>
            </w:r>
          </w:p>
        </w:tc>
      </w:tr>
      <w:tr w:rsidRPr="00B0069A" w:rsidR="00B0069A" w:rsidTr="00B0069A" w14:paraId="6232EC6D" w14:textId="77777777">
        <w:trPr>
          <w:cnfStyle w:val="000000100000" w:firstRow="0" w:lastRow="0" w:firstColumn="0" w:lastColumn="0" w:oddVBand="0" w:evenVBand="0" w:oddHBand="1" w:evenHBand="0" w:firstRowFirstColumn="0" w:firstRowLastColumn="0" w:lastRowFirstColumn="0" w:lastRowLastColumn="0"/>
          <w:trHeight w:val="165"/>
        </w:trPr>
        <w:tc>
          <w:tcPr>
            <w:cnfStyle w:val="001000000000" w:firstRow="0" w:lastRow="0" w:firstColumn="1" w:lastColumn="0" w:oddVBand="0" w:evenVBand="0" w:oddHBand="0" w:evenHBand="0" w:firstRowFirstColumn="0" w:firstRowLastColumn="0" w:lastRowFirstColumn="0" w:lastRowLastColumn="0"/>
            <w:tcW w:w="592" w:type="dxa"/>
            <w:hideMark/>
          </w:tcPr>
          <w:p w:rsidRPr="00A93B58" w:rsidR="00B0069A" w:rsidP="00CC02C5" w:rsidRDefault="00B0069A" w14:paraId="14F9E0B9" w14:textId="77777777">
            <w:pPr>
              <w:rPr>
                <w:rFonts w:ascii="Times New Roman" w:hAnsi="Times New Roman" w:cs="Times New Roman"/>
                <w:sz w:val="16"/>
                <w:szCs w:val="16"/>
                <w:lang w:eastAsia="en-GB"/>
              </w:rPr>
            </w:pPr>
            <w:r w:rsidRPr="00A93B58">
              <w:rPr>
                <w:rFonts w:ascii="Times New Roman" w:hAnsi="Times New Roman" w:cs="Times New Roman"/>
                <w:sz w:val="16"/>
                <w:szCs w:val="16"/>
                <w:lang w:eastAsia="en-GB"/>
              </w:rPr>
              <w:t>Main &amp; Bradshaw (2016)</w:t>
            </w:r>
          </w:p>
        </w:tc>
        <w:tc>
          <w:tcPr>
            <w:tcW w:w="968" w:type="dxa"/>
            <w:hideMark/>
          </w:tcPr>
          <w:p w:rsidRPr="00A93B58" w:rsidR="00B0069A" w:rsidP="00CC02C5" w:rsidRDefault="00B0069A" w14:paraId="512EE2C9" w14:textId="7777777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Assess child poverty prevalence, measures, and intra-household resource distribution in the UK.</w:t>
            </w:r>
          </w:p>
        </w:tc>
        <w:tc>
          <w:tcPr>
            <w:tcW w:w="775" w:type="dxa"/>
            <w:hideMark/>
          </w:tcPr>
          <w:p w:rsidRPr="00A93B58" w:rsidR="00B0069A" w:rsidP="00CC02C5" w:rsidRDefault="00B0069A" w14:paraId="0EBF2119" w14:textId="7777777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UK, Poverty and Social Exclusion Survey (2012) with 12,097 individuals and 3,101 children.</w:t>
            </w:r>
          </w:p>
        </w:tc>
        <w:tc>
          <w:tcPr>
            <w:tcW w:w="686" w:type="dxa"/>
            <w:hideMark/>
          </w:tcPr>
          <w:p w:rsidRPr="00A93B58" w:rsidR="00B0069A" w:rsidP="00CC02C5" w:rsidRDefault="00B0069A" w14:paraId="55657B05" w14:textId="7777777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Survey analysis using income poverty and PSE poverty measures.</w:t>
            </w:r>
          </w:p>
        </w:tc>
        <w:tc>
          <w:tcPr>
            <w:tcW w:w="748" w:type="dxa"/>
            <w:hideMark/>
          </w:tcPr>
          <w:p w:rsidRPr="00A93B58" w:rsidR="00B0069A" w:rsidP="00CC02C5" w:rsidRDefault="00B0069A" w14:paraId="312D5ED6" w14:textId="7777777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High – large dataset, strong comparative measures.</w:t>
            </w:r>
          </w:p>
        </w:tc>
        <w:tc>
          <w:tcPr>
            <w:tcW w:w="932" w:type="dxa"/>
            <w:hideMark/>
          </w:tcPr>
          <w:p w:rsidRPr="00A93B58" w:rsidR="00B0069A" w:rsidP="00CC02C5" w:rsidRDefault="00B0069A" w14:paraId="349C006C" w14:textId="7777777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Challenges cultural deficit theories; reveals parental sacrifice behaviours.</w:t>
            </w:r>
          </w:p>
        </w:tc>
        <w:tc>
          <w:tcPr>
            <w:tcW w:w="885" w:type="dxa"/>
            <w:hideMark/>
          </w:tcPr>
          <w:p w:rsidRPr="00A93B58" w:rsidR="00B0069A" w:rsidP="00CC02C5" w:rsidRDefault="00B0069A" w14:paraId="5FC9106A" w14:textId="7777777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Cross-sectional survey cannot capture changes over time.</w:t>
            </w:r>
          </w:p>
        </w:tc>
        <w:tc>
          <w:tcPr>
            <w:tcW w:w="838" w:type="dxa"/>
            <w:hideMark/>
          </w:tcPr>
          <w:p w:rsidRPr="00A93B58" w:rsidR="00B0069A" w:rsidP="00CC02C5" w:rsidRDefault="00B0069A" w14:paraId="3F87A2E7" w14:textId="5379CAB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 xml:space="preserve">33% of children </w:t>
            </w:r>
            <w:r w:rsidR="00CB3DFB">
              <w:rPr>
                <w:rFonts w:ascii="Times New Roman" w:hAnsi="Times New Roman" w:cs="Times New Roman"/>
                <w:sz w:val="16"/>
                <w:szCs w:val="16"/>
                <w:lang w:eastAsia="en-GB"/>
              </w:rPr>
              <w:t>live in poverty (2012); intra-household sacrifices are common, with parents often going</w:t>
            </w:r>
            <w:r w:rsidRPr="00A93B58">
              <w:rPr>
                <w:rFonts w:ascii="Times New Roman" w:hAnsi="Times New Roman" w:cs="Times New Roman"/>
                <w:sz w:val="16"/>
                <w:szCs w:val="16"/>
                <w:lang w:eastAsia="en-GB"/>
              </w:rPr>
              <w:t xml:space="preserve"> without necessities.</w:t>
            </w:r>
          </w:p>
        </w:tc>
        <w:tc>
          <w:tcPr>
            <w:tcW w:w="899" w:type="dxa"/>
            <w:hideMark/>
          </w:tcPr>
          <w:p w:rsidRPr="00A93B58" w:rsidR="00B0069A" w:rsidP="00CC02C5" w:rsidRDefault="00B0069A" w14:paraId="51813D13" w14:textId="7C2AF614">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 xml:space="preserve">Provides evidence on </w:t>
            </w:r>
            <w:r w:rsidR="00CB3DFB">
              <w:rPr>
                <w:rFonts w:ascii="Times New Roman" w:hAnsi="Times New Roman" w:cs="Times New Roman"/>
                <w:sz w:val="16"/>
                <w:szCs w:val="16"/>
                <w:lang w:eastAsia="en-GB"/>
              </w:rPr>
              <w:t>the lived experiences of poor children, linking to debates on mental health and poverty</w:t>
            </w:r>
            <w:r w:rsidRPr="00A93B58">
              <w:rPr>
                <w:rFonts w:ascii="Times New Roman" w:hAnsi="Times New Roman" w:cs="Times New Roman"/>
                <w:sz w:val="16"/>
                <w:szCs w:val="16"/>
                <w:lang w:eastAsia="en-GB"/>
              </w:rPr>
              <w:t>.</w:t>
            </w:r>
          </w:p>
        </w:tc>
        <w:tc>
          <w:tcPr>
            <w:tcW w:w="927" w:type="dxa"/>
            <w:hideMark/>
          </w:tcPr>
          <w:p w:rsidRPr="00A93B58" w:rsidR="00B0069A" w:rsidP="00CC02C5" w:rsidRDefault="00B0069A" w14:paraId="6610F4D7" w14:textId="02E3843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“33% of children were income poor, compared with 23% of adults.</w:t>
            </w:r>
            <w:r>
              <w:rPr>
                <w:rFonts w:ascii="Times New Roman" w:hAnsi="Times New Roman" w:cs="Times New Roman"/>
                <w:sz w:val="16"/>
                <w:szCs w:val="16"/>
                <w:lang w:eastAsia="en-GB"/>
              </w:rPr>
              <w:t>”</w:t>
            </w:r>
          </w:p>
        </w:tc>
        <w:tc>
          <w:tcPr>
            <w:tcW w:w="766" w:type="dxa"/>
            <w:hideMark/>
          </w:tcPr>
          <w:p w:rsidRPr="00A93B58" w:rsidR="00B0069A" w:rsidP="00CC02C5" w:rsidRDefault="00B0069A" w14:paraId="338DCE5F" w14:textId="7777777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Measurement of poverty, parental sacrifice, intra-household inequality.</w:t>
            </w:r>
          </w:p>
        </w:tc>
      </w:tr>
      <w:tr w:rsidRPr="00B0069A" w:rsidR="00B0069A" w:rsidTr="00B0069A" w14:paraId="25AA61CC" w14:textId="77777777">
        <w:trPr>
          <w:trHeight w:val="165"/>
        </w:trPr>
        <w:tc>
          <w:tcPr>
            <w:cnfStyle w:val="001000000000" w:firstRow="0" w:lastRow="0" w:firstColumn="1" w:lastColumn="0" w:oddVBand="0" w:evenVBand="0" w:oddHBand="0" w:evenHBand="0" w:firstRowFirstColumn="0" w:firstRowLastColumn="0" w:lastRowFirstColumn="0" w:lastRowLastColumn="0"/>
            <w:tcW w:w="592" w:type="dxa"/>
            <w:hideMark/>
          </w:tcPr>
          <w:p w:rsidRPr="00A93B58" w:rsidR="00B0069A" w:rsidP="00CC02C5" w:rsidRDefault="00B0069A" w14:paraId="56A4EA3D" w14:textId="77777777">
            <w:pPr>
              <w:rPr>
                <w:rFonts w:ascii="Times New Roman" w:hAnsi="Times New Roman" w:cs="Times New Roman"/>
                <w:sz w:val="16"/>
                <w:szCs w:val="16"/>
                <w:lang w:eastAsia="en-GB"/>
              </w:rPr>
            </w:pPr>
            <w:r w:rsidRPr="00A93B58">
              <w:rPr>
                <w:rFonts w:ascii="Times New Roman" w:hAnsi="Times New Roman" w:cs="Times New Roman"/>
                <w:sz w:val="16"/>
                <w:szCs w:val="16"/>
                <w:lang w:eastAsia="en-GB"/>
              </w:rPr>
              <w:t>Treanor (2020)</w:t>
            </w:r>
          </w:p>
        </w:tc>
        <w:tc>
          <w:tcPr>
            <w:tcW w:w="968" w:type="dxa"/>
            <w:hideMark/>
          </w:tcPr>
          <w:p w:rsidRPr="00A93B58" w:rsidR="00B0069A" w:rsidP="00CC02C5" w:rsidRDefault="00B0069A" w14:paraId="0FBAFB6F" w14:textId="7777777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 xml:space="preserve">Explore conflation of poverty with adverse childhood </w:t>
            </w:r>
            <w:r w:rsidRPr="00A93B58">
              <w:rPr>
                <w:rFonts w:ascii="Times New Roman" w:hAnsi="Times New Roman" w:cs="Times New Roman"/>
                <w:sz w:val="16"/>
                <w:szCs w:val="16"/>
                <w:lang w:eastAsia="en-GB"/>
              </w:rPr>
              <w:lastRenderedPageBreak/>
              <w:t>experiences (ACEs) during COVID-19 in Scotland.</w:t>
            </w:r>
          </w:p>
        </w:tc>
        <w:tc>
          <w:tcPr>
            <w:tcW w:w="775" w:type="dxa"/>
            <w:hideMark/>
          </w:tcPr>
          <w:p w:rsidRPr="00A93B58" w:rsidR="00B0069A" w:rsidP="00CC02C5" w:rsidRDefault="00B0069A" w14:paraId="134C7990" w14:textId="7777777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lastRenderedPageBreak/>
              <w:t xml:space="preserve">Scotland, COVID-19 crisis </w:t>
            </w:r>
            <w:r w:rsidRPr="00A93B58">
              <w:rPr>
                <w:rFonts w:ascii="Times New Roman" w:hAnsi="Times New Roman" w:cs="Times New Roman"/>
                <w:sz w:val="16"/>
                <w:szCs w:val="16"/>
                <w:lang w:eastAsia="en-GB"/>
              </w:rPr>
              <w:lastRenderedPageBreak/>
              <w:t>measures (Free School Meals, hubs for ‘vulnerable’ children).</w:t>
            </w:r>
          </w:p>
        </w:tc>
        <w:tc>
          <w:tcPr>
            <w:tcW w:w="686" w:type="dxa"/>
            <w:hideMark/>
          </w:tcPr>
          <w:p w:rsidRPr="00A93B58" w:rsidR="00B0069A" w:rsidP="00CC02C5" w:rsidRDefault="00B0069A" w14:paraId="77E0518A" w14:textId="7777777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lastRenderedPageBreak/>
              <w:t xml:space="preserve">Policy analysis and qualitative </w:t>
            </w:r>
            <w:r w:rsidRPr="00A93B58">
              <w:rPr>
                <w:rFonts w:ascii="Times New Roman" w:hAnsi="Times New Roman" w:cs="Times New Roman"/>
                <w:sz w:val="16"/>
                <w:szCs w:val="16"/>
                <w:lang w:eastAsia="en-GB"/>
              </w:rPr>
              <w:lastRenderedPageBreak/>
              <w:t>review of COVID-19 responses.</w:t>
            </w:r>
          </w:p>
        </w:tc>
        <w:tc>
          <w:tcPr>
            <w:tcW w:w="748" w:type="dxa"/>
            <w:hideMark/>
          </w:tcPr>
          <w:p w:rsidRPr="00A93B58" w:rsidR="00B0069A" w:rsidP="00CC02C5" w:rsidRDefault="00B0069A" w14:paraId="73A51F3B" w14:textId="7777777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lastRenderedPageBreak/>
              <w:t xml:space="preserve">Moderate – strong critique but limited </w:t>
            </w:r>
            <w:r w:rsidRPr="00A93B58">
              <w:rPr>
                <w:rFonts w:ascii="Times New Roman" w:hAnsi="Times New Roman" w:cs="Times New Roman"/>
                <w:sz w:val="16"/>
                <w:szCs w:val="16"/>
                <w:lang w:eastAsia="en-GB"/>
              </w:rPr>
              <w:lastRenderedPageBreak/>
              <w:t>quantitative evidence.</w:t>
            </w:r>
          </w:p>
        </w:tc>
        <w:tc>
          <w:tcPr>
            <w:tcW w:w="932" w:type="dxa"/>
            <w:hideMark/>
          </w:tcPr>
          <w:p w:rsidRPr="00A93B58" w:rsidR="00B0069A" w:rsidP="00CC02C5" w:rsidRDefault="00B0069A" w14:paraId="20ABFD44" w14:textId="111B968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lastRenderedPageBreak/>
              <w:t xml:space="preserve">Critiques </w:t>
            </w:r>
            <w:r w:rsidR="00CB3DFB">
              <w:rPr>
                <w:rFonts w:ascii="Times New Roman" w:hAnsi="Times New Roman" w:cs="Times New Roman"/>
                <w:sz w:val="16"/>
                <w:szCs w:val="16"/>
                <w:lang w:eastAsia="en-GB"/>
              </w:rPr>
              <w:t xml:space="preserve">the flawed framing of ACEs policy; </w:t>
            </w:r>
            <w:r w:rsidR="00CB3DFB">
              <w:rPr>
                <w:rFonts w:ascii="Times New Roman" w:hAnsi="Times New Roman" w:cs="Times New Roman"/>
                <w:sz w:val="16"/>
                <w:szCs w:val="16"/>
                <w:lang w:eastAsia="en-GB"/>
              </w:rPr>
              <w:lastRenderedPageBreak/>
              <w:t>highlights the</w:t>
            </w:r>
            <w:r w:rsidRPr="00A93B58">
              <w:rPr>
                <w:rFonts w:ascii="Times New Roman" w:hAnsi="Times New Roman" w:cs="Times New Roman"/>
                <w:sz w:val="16"/>
                <w:szCs w:val="16"/>
                <w:lang w:eastAsia="en-GB"/>
              </w:rPr>
              <w:t xml:space="preserve"> stigma in policy responses.</w:t>
            </w:r>
          </w:p>
        </w:tc>
        <w:tc>
          <w:tcPr>
            <w:tcW w:w="885" w:type="dxa"/>
            <w:hideMark/>
          </w:tcPr>
          <w:p w:rsidRPr="00A93B58" w:rsidR="00B0069A" w:rsidP="00CC02C5" w:rsidRDefault="00B0069A" w14:paraId="011FE3A9" w14:textId="7777777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lastRenderedPageBreak/>
              <w:t xml:space="preserve">Policy critique lacks large-scale </w:t>
            </w:r>
            <w:r w:rsidRPr="00A93B58">
              <w:rPr>
                <w:rFonts w:ascii="Times New Roman" w:hAnsi="Times New Roman" w:cs="Times New Roman"/>
                <w:sz w:val="16"/>
                <w:szCs w:val="16"/>
                <w:lang w:eastAsia="en-GB"/>
              </w:rPr>
              <w:lastRenderedPageBreak/>
              <w:t>quantitative backing.</w:t>
            </w:r>
          </w:p>
        </w:tc>
        <w:tc>
          <w:tcPr>
            <w:tcW w:w="838" w:type="dxa"/>
            <w:hideMark/>
          </w:tcPr>
          <w:p w:rsidRPr="00A93B58" w:rsidR="00B0069A" w:rsidP="00CC02C5" w:rsidRDefault="00B0069A" w14:paraId="3F6D8896" w14:textId="7777777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lastRenderedPageBreak/>
              <w:t xml:space="preserve">COVID-19 measures conflated </w:t>
            </w:r>
            <w:r w:rsidRPr="00A93B58">
              <w:rPr>
                <w:rFonts w:ascii="Times New Roman" w:hAnsi="Times New Roman" w:cs="Times New Roman"/>
                <w:sz w:val="16"/>
                <w:szCs w:val="16"/>
                <w:lang w:eastAsia="en-GB"/>
              </w:rPr>
              <w:lastRenderedPageBreak/>
              <w:t>poverty with adversity; FSM eligibility stigmatised families.</w:t>
            </w:r>
          </w:p>
        </w:tc>
        <w:tc>
          <w:tcPr>
            <w:tcW w:w="899" w:type="dxa"/>
            <w:hideMark/>
          </w:tcPr>
          <w:p w:rsidRPr="00A93B58" w:rsidR="00B0069A" w:rsidP="00CC02C5" w:rsidRDefault="00B0069A" w14:paraId="681DB330" w14:textId="7777777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lastRenderedPageBreak/>
              <w:t xml:space="preserve">Shows policy-level missteps in addressing poverty </w:t>
            </w:r>
            <w:r w:rsidRPr="00A93B58">
              <w:rPr>
                <w:rFonts w:ascii="Times New Roman" w:hAnsi="Times New Roman" w:cs="Times New Roman"/>
                <w:sz w:val="16"/>
                <w:szCs w:val="16"/>
                <w:lang w:eastAsia="en-GB"/>
              </w:rPr>
              <w:lastRenderedPageBreak/>
              <w:t>during crises – relevant to UK urban services.</w:t>
            </w:r>
          </w:p>
        </w:tc>
        <w:tc>
          <w:tcPr>
            <w:tcW w:w="927" w:type="dxa"/>
            <w:hideMark/>
          </w:tcPr>
          <w:p w:rsidRPr="00A93B58" w:rsidR="00B0069A" w:rsidP="00CC02C5" w:rsidRDefault="00B0069A" w14:paraId="567035CB" w14:textId="75802ED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lastRenderedPageBreak/>
              <w:t xml:space="preserve">“By assuming that parents living in poverty will </w:t>
            </w:r>
            <w:r w:rsidRPr="00A93B58">
              <w:rPr>
                <w:rFonts w:ascii="Times New Roman" w:hAnsi="Times New Roman" w:cs="Times New Roman"/>
                <w:sz w:val="16"/>
                <w:szCs w:val="16"/>
                <w:lang w:eastAsia="en-GB"/>
              </w:rPr>
              <w:lastRenderedPageBreak/>
              <w:t>misspend monies meant for children they conflate poverty with adversity.”</w:t>
            </w:r>
          </w:p>
        </w:tc>
        <w:tc>
          <w:tcPr>
            <w:tcW w:w="766" w:type="dxa"/>
            <w:hideMark/>
          </w:tcPr>
          <w:p w:rsidRPr="00A93B58" w:rsidR="00B0069A" w:rsidP="00CC02C5" w:rsidRDefault="00B0069A" w14:paraId="29CC822B" w14:textId="7777777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lastRenderedPageBreak/>
              <w:t xml:space="preserve">Policy framing, stigma, poverty vs adversity </w:t>
            </w:r>
            <w:r w:rsidRPr="00A93B58">
              <w:rPr>
                <w:rFonts w:ascii="Times New Roman" w:hAnsi="Times New Roman" w:cs="Times New Roman"/>
                <w:sz w:val="16"/>
                <w:szCs w:val="16"/>
                <w:lang w:eastAsia="en-GB"/>
              </w:rPr>
              <w:lastRenderedPageBreak/>
              <w:t>misinterpretation.</w:t>
            </w:r>
          </w:p>
        </w:tc>
      </w:tr>
      <w:tr w:rsidRPr="00B0069A" w:rsidR="00B0069A" w:rsidTr="00B0069A" w14:paraId="7CF94103" w14:textId="77777777">
        <w:trPr>
          <w:cnfStyle w:val="000000100000" w:firstRow="0" w:lastRow="0" w:firstColumn="0" w:lastColumn="0" w:oddVBand="0" w:evenVBand="0" w:oddHBand="1" w:evenHBand="0" w:firstRowFirstColumn="0" w:firstRowLastColumn="0" w:lastRowFirstColumn="0" w:lastRowLastColumn="0"/>
          <w:trHeight w:val="165"/>
        </w:trPr>
        <w:tc>
          <w:tcPr>
            <w:cnfStyle w:val="001000000000" w:firstRow="0" w:lastRow="0" w:firstColumn="1" w:lastColumn="0" w:oddVBand="0" w:evenVBand="0" w:oddHBand="0" w:evenHBand="0" w:firstRowFirstColumn="0" w:firstRowLastColumn="0" w:lastRowFirstColumn="0" w:lastRowLastColumn="0"/>
            <w:tcW w:w="592" w:type="dxa"/>
            <w:hideMark/>
          </w:tcPr>
          <w:p w:rsidRPr="00A93B58" w:rsidR="00B0069A" w:rsidP="00CC02C5" w:rsidRDefault="00B0069A" w14:paraId="14768F1A" w14:textId="77777777">
            <w:pPr>
              <w:rPr>
                <w:rFonts w:ascii="Times New Roman" w:hAnsi="Times New Roman" w:cs="Times New Roman"/>
                <w:sz w:val="16"/>
                <w:szCs w:val="16"/>
                <w:lang w:eastAsia="en-GB"/>
              </w:rPr>
            </w:pPr>
            <w:r w:rsidRPr="00A93B58">
              <w:rPr>
                <w:rFonts w:ascii="Times New Roman" w:hAnsi="Times New Roman" w:cs="Times New Roman"/>
                <w:sz w:val="16"/>
                <w:szCs w:val="16"/>
                <w:lang w:eastAsia="en-GB"/>
              </w:rPr>
              <w:t>Bennett et al. (2022)</w:t>
            </w:r>
          </w:p>
        </w:tc>
        <w:tc>
          <w:tcPr>
            <w:tcW w:w="968" w:type="dxa"/>
            <w:hideMark/>
          </w:tcPr>
          <w:p w:rsidRPr="00A93B58" w:rsidR="00B0069A" w:rsidP="00CC02C5" w:rsidRDefault="00B0069A" w14:paraId="235C9092" w14:textId="7777777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Analyse relationship between rising child poverty and children entering care in England.</w:t>
            </w:r>
          </w:p>
        </w:tc>
        <w:tc>
          <w:tcPr>
            <w:tcW w:w="775" w:type="dxa"/>
            <w:hideMark/>
          </w:tcPr>
          <w:p w:rsidRPr="00A93B58" w:rsidR="00B0069A" w:rsidP="00CC02C5" w:rsidRDefault="00B0069A" w14:paraId="3122E664" w14:textId="7777777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England, 147 local authorities, 2015–2020 panel data.</w:t>
            </w:r>
          </w:p>
        </w:tc>
        <w:tc>
          <w:tcPr>
            <w:tcW w:w="686" w:type="dxa"/>
            <w:hideMark/>
          </w:tcPr>
          <w:p w:rsidRPr="00A93B58" w:rsidR="00B0069A" w:rsidP="00CC02C5" w:rsidRDefault="00B0069A" w14:paraId="22ED4A65" w14:textId="7777777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Longitudinal ecological regression analysis of poverty vs. care entry.</w:t>
            </w:r>
          </w:p>
        </w:tc>
        <w:tc>
          <w:tcPr>
            <w:tcW w:w="748" w:type="dxa"/>
            <w:hideMark/>
          </w:tcPr>
          <w:p w:rsidRPr="00A93B58" w:rsidR="00B0069A" w:rsidP="00CC02C5" w:rsidRDefault="00B0069A" w14:paraId="044BC3C9" w14:textId="7777777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Very high – robust statistical modelling, national datasets.</w:t>
            </w:r>
          </w:p>
        </w:tc>
        <w:tc>
          <w:tcPr>
            <w:tcW w:w="932" w:type="dxa"/>
            <w:hideMark/>
          </w:tcPr>
          <w:p w:rsidRPr="00A93B58" w:rsidR="00B0069A" w:rsidP="00CC02C5" w:rsidRDefault="00B0069A" w14:paraId="69A2A73F" w14:textId="7777777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Quantifies 10,351 additional children entering care due to poverty rise; strong causal evidence.</w:t>
            </w:r>
          </w:p>
        </w:tc>
        <w:tc>
          <w:tcPr>
            <w:tcW w:w="885" w:type="dxa"/>
            <w:hideMark/>
          </w:tcPr>
          <w:p w:rsidRPr="00A93B58" w:rsidR="00B0069A" w:rsidP="00CC02C5" w:rsidRDefault="00B0069A" w14:paraId="1FF702B1" w14:textId="7777777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Ecological design cannot fully capture individual-level mechanisms.</w:t>
            </w:r>
          </w:p>
        </w:tc>
        <w:tc>
          <w:tcPr>
            <w:tcW w:w="838" w:type="dxa"/>
            <w:hideMark/>
          </w:tcPr>
          <w:p w:rsidRPr="00A93B58" w:rsidR="00B0069A" w:rsidP="00CC02C5" w:rsidRDefault="00B0069A" w14:paraId="622EFBDE" w14:textId="7777777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1% rise in poverty = +5 children per 100k entering care; £1.4bn social cost (2015–2020).</w:t>
            </w:r>
          </w:p>
        </w:tc>
        <w:tc>
          <w:tcPr>
            <w:tcW w:w="899" w:type="dxa"/>
            <w:hideMark/>
          </w:tcPr>
          <w:p w:rsidRPr="00A93B58" w:rsidR="00B0069A" w:rsidP="00CC02C5" w:rsidRDefault="00B0069A" w14:paraId="3F815CFF" w14:textId="7777777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Links poverty directly to child welfare outcomes – highly relevant for policy recommendations.</w:t>
            </w:r>
          </w:p>
        </w:tc>
        <w:tc>
          <w:tcPr>
            <w:tcW w:w="927" w:type="dxa"/>
            <w:hideMark/>
          </w:tcPr>
          <w:p w:rsidRPr="00A93B58" w:rsidR="00B0069A" w:rsidP="00CC02C5" w:rsidRDefault="00B0069A" w14:paraId="60D98B4F" w14:textId="7667A68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“Between 2015 and 2020, a 1 percentage point increase in child poverty was associated with an additional five children entering care per 100,000.”</w:t>
            </w:r>
          </w:p>
        </w:tc>
        <w:tc>
          <w:tcPr>
            <w:tcW w:w="766" w:type="dxa"/>
            <w:hideMark/>
          </w:tcPr>
          <w:p w:rsidRPr="00A93B58" w:rsidR="00B0069A" w:rsidP="00CC02C5" w:rsidRDefault="00B0069A" w14:paraId="14C24C63" w14:textId="77EFEF1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Child protection</w:t>
            </w:r>
            <w:r w:rsidR="00CB3DFB">
              <w:rPr>
                <w:rFonts w:ascii="Times New Roman" w:hAnsi="Times New Roman" w:cs="Times New Roman"/>
                <w:sz w:val="16"/>
                <w:szCs w:val="16"/>
                <w:lang w:eastAsia="en-GB"/>
              </w:rPr>
              <w:t xml:space="preserve"> and welfare system strain: the causal link between poverty and care</w:t>
            </w:r>
            <w:r w:rsidRPr="00A93B58">
              <w:rPr>
                <w:rFonts w:ascii="Times New Roman" w:hAnsi="Times New Roman" w:cs="Times New Roman"/>
                <w:sz w:val="16"/>
                <w:szCs w:val="16"/>
                <w:lang w:eastAsia="en-GB"/>
              </w:rPr>
              <w:t>.</w:t>
            </w:r>
          </w:p>
        </w:tc>
      </w:tr>
      <w:tr w:rsidRPr="00B0069A" w:rsidR="00B0069A" w:rsidTr="00B0069A" w14:paraId="15BE4687" w14:textId="77777777">
        <w:trPr>
          <w:trHeight w:val="165"/>
        </w:trPr>
        <w:tc>
          <w:tcPr>
            <w:cnfStyle w:val="001000000000" w:firstRow="0" w:lastRow="0" w:firstColumn="1" w:lastColumn="0" w:oddVBand="0" w:evenVBand="0" w:oddHBand="0" w:evenHBand="0" w:firstRowFirstColumn="0" w:firstRowLastColumn="0" w:lastRowFirstColumn="0" w:lastRowLastColumn="0"/>
            <w:tcW w:w="592" w:type="dxa"/>
            <w:hideMark/>
          </w:tcPr>
          <w:p w:rsidRPr="00A93B58" w:rsidR="00B0069A" w:rsidP="00CC02C5" w:rsidRDefault="00B0069A" w14:paraId="01400223" w14:textId="77777777">
            <w:pPr>
              <w:rPr>
                <w:rFonts w:ascii="Times New Roman" w:hAnsi="Times New Roman" w:cs="Times New Roman"/>
                <w:sz w:val="16"/>
                <w:szCs w:val="16"/>
                <w:lang w:eastAsia="en-GB"/>
              </w:rPr>
            </w:pPr>
            <w:r w:rsidRPr="00A93B58">
              <w:rPr>
                <w:rFonts w:ascii="Times New Roman" w:hAnsi="Times New Roman" w:cs="Times New Roman"/>
                <w:sz w:val="16"/>
                <w:szCs w:val="16"/>
                <w:lang w:eastAsia="en-GB"/>
              </w:rPr>
              <w:t>Castro-Ramirez et al. (2021)</w:t>
            </w:r>
          </w:p>
        </w:tc>
        <w:tc>
          <w:tcPr>
            <w:tcW w:w="968" w:type="dxa"/>
            <w:hideMark/>
          </w:tcPr>
          <w:p w:rsidRPr="00A93B58" w:rsidR="00B0069A" w:rsidP="00CC02C5" w:rsidRDefault="00B0069A" w14:paraId="0F9E975D" w14:textId="7777777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Investigate how racism and poverty act as barriers to youth mental health treatment.</w:t>
            </w:r>
          </w:p>
        </w:tc>
        <w:tc>
          <w:tcPr>
            <w:tcW w:w="775" w:type="dxa"/>
            <w:hideMark/>
          </w:tcPr>
          <w:p w:rsidRPr="00A93B58" w:rsidR="00B0069A" w:rsidP="00CC02C5" w:rsidRDefault="00B0069A" w14:paraId="5221896D" w14:textId="7777777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Narrative review of studies on systemic racism, poverty, and youth treatment access barriers.</w:t>
            </w:r>
          </w:p>
        </w:tc>
        <w:tc>
          <w:tcPr>
            <w:tcW w:w="686" w:type="dxa"/>
            <w:hideMark/>
          </w:tcPr>
          <w:p w:rsidRPr="00A93B58" w:rsidR="00B0069A" w:rsidP="00CC02C5" w:rsidRDefault="00B0069A" w14:paraId="6BA1FA3E" w14:textId="7777777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Narrative review and synthesis of quantitative and qualitative studies.</w:t>
            </w:r>
          </w:p>
        </w:tc>
        <w:tc>
          <w:tcPr>
            <w:tcW w:w="748" w:type="dxa"/>
            <w:hideMark/>
          </w:tcPr>
          <w:p w:rsidRPr="00A93B58" w:rsidR="00B0069A" w:rsidP="00CC02C5" w:rsidRDefault="00B0069A" w14:paraId="400A0460" w14:textId="7777777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Moderate – strong theoretical contribution but lacks primary data.</w:t>
            </w:r>
          </w:p>
        </w:tc>
        <w:tc>
          <w:tcPr>
            <w:tcW w:w="932" w:type="dxa"/>
            <w:hideMark/>
          </w:tcPr>
          <w:p w:rsidRPr="00A93B58" w:rsidR="00B0069A" w:rsidP="00CC02C5" w:rsidRDefault="00B0069A" w14:paraId="5B56A746" w14:textId="7777777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Exposes systemic racism and poverty as treatment moderators; policy-oriented recommendations.</w:t>
            </w:r>
          </w:p>
        </w:tc>
        <w:tc>
          <w:tcPr>
            <w:tcW w:w="885" w:type="dxa"/>
            <w:hideMark/>
          </w:tcPr>
          <w:p w:rsidRPr="00A93B58" w:rsidR="00B0069A" w:rsidP="00CC02C5" w:rsidRDefault="00B0069A" w14:paraId="265BFE73" w14:textId="7777777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Review only; lacks empirical testing or intervention trials.</w:t>
            </w:r>
          </w:p>
        </w:tc>
        <w:tc>
          <w:tcPr>
            <w:tcW w:w="838" w:type="dxa"/>
            <w:hideMark/>
          </w:tcPr>
          <w:p w:rsidRPr="00A93B58" w:rsidR="00B0069A" w:rsidP="00CC02C5" w:rsidRDefault="00B0069A" w14:paraId="323D4956" w14:textId="7777777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Systemic racism and poverty reduce treatment efficacy and access; mistrust in institutions increases disengagement.</w:t>
            </w:r>
          </w:p>
        </w:tc>
        <w:tc>
          <w:tcPr>
            <w:tcW w:w="899" w:type="dxa"/>
            <w:hideMark/>
          </w:tcPr>
          <w:p w:rsidRPr="00A93B58" w:rsidR="00B0069A" w:rsidP="00CC02C5" w:rsidRDefault="00B0069A" w14:paraId="74332D9F" w14:textId="5599E31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 xml:space="preserve">Connects poverty with access barriers to CAMHS and broader youth services – </w:t>
            </w:r>
            <w:r w:rsidR="00CB3DFB">
              <w:rPr>
                <w:rFonts w:ascii="Times New Roman" w:hAnsi="Times New Roman" w:cs="Times New Roman"/>
                <w:sz w:val="16"/>
                <w:szCs w:val="16"/>
                <w:lang w:eastAsia="en-GB"/>
              </w:rPr>
              <w:t>a critical area for</w:t>
            </w:r>
            <w:r w:rsidRPr="00A93B58">
              <w:rPr>
                <w:rFonts w:ascii="Times New Roman" w:hAnsi="Times New Roman" w:cs="Times New Roman"/>
                <w:sz w:val="16"/>
                <w:szCs w:val="16"/>
                <w:lang w:eastAsia="en-GB"/>
              </w:rPr>
              <w:t xml:space="preserve"> research.</w:t>
            </w:r>
          </w:p>
        </w:tc>
        <w:tc>
          <w:tcPr>
            <w:tcW w:w="927" w:type="dxa"/>
            <w:hideMark/>
          </w:tcPr>
          <w:p w:rsidRPr="00A93B58" w:rsidR="00B0069A" w:rsidP="00CC02C5" w:rsidRDefault="00B0069A" w14:paraId="6A6A349B" w14:textId="4F7D855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“Systemic problems such as racism and poverty increase the risk of developing complex health issues and decrease the likelihood of benefiting from treatment.”</w:t>
            </w:r>
          </w:p>
        </w:tc>
        <w:tc>
          <w:tcPr>
            <w:tcW w:w="766" w:type="dxa"/>
            <w:hideMark/>
          </w:tcPr>
          <w:p w:rsidRPr="00A93B58" w:rsidR="00B0069A" w:rsidP="00CC02C5" w:rsidRDefault="00B0069A" w14:paraId="0771044A" w14:textId="7777777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eastAsia="en-GB"/>
              </w:rPr>
            </w:pPr>
            <w:r w:rsidRPr="00A93B58">
              <w:rPr>
                <w:rFonts w:ascii="Times New Roman" w:hAnsi="Times New Roman" w:cs="Times New Roman"/>
                <w:sz w:val="16"/>
                <w:szCs w:val="16"/>
                <w:lang w:eastAsia="en-GB"/>
              </w:rPr>
              <w:t>Racism, structural inequality, barriers to youth mental health access.</w:t>
            </w:r>
          </w:p>
        </w:tc>
      </w:tr>
    </w:tbl>
    <w:p w:rsidRPr="00B0069A" w:rsidR="00B0069A" w:rsidP="00B0069A" w:rsidRDefault="00B0069A" w14:paraId="3C2142C3" w14:textId="77777777"/>
    <w:p w:rsidR="008C38C3" w:rsidP="004739A4" w:rsidRDefault="00B0069A" w14:paraId="438D3C08" w14:textId="4836D60C">
      <w:pPr>
        <w:pStyle w:val="Heading3"/>
      </w:pPr>
      <w:bookmarkStart w:name="_Toc208163517" w:id="51"/>
      <w:r>
        <w:t>6.2.3 Appendix C: Thematic Analysis</w:t>
      </w:r>
      <w:bookmarkEnd w:id="51"/>
    </w:p>
    <w:tbl>
      <w:tblPr>
        <w:tblW w:w="0" w:type="auto"/>
        <w:tblCellMar>
          <w:left w:w="0" w:type="dxa"/>
          <w:right w:w="0" w:type="dxa"/>
        </w:tblCellMar>
        <w:tblLook w:val="04A0" w:firstRow="1" w:lastRow="0" w:firstColumn="1" w:lastColumn="0" w:noHBand="0" w:noVBand="1"/>
      </w:tblPr>
      <w:tblGrid>
        <w:gridCol w:w="2040"/>
        <w:gridCol w:w="1812"/>
        <w:gridCol w:w="2455"/>
        <w:gridCol w:w="3347"/>
        <w:gridCol w:w="3139"/>
      </w:tblGrid>
      <w:tr w:rsidR="00B0069A" w:rsidTr="00B0069A" w14:paraId="0CF6C85F" w14:textId="77777777">
        <w:trPr>
          <w:trHeight w:val="156"/>
        </w:trPr>
        <w:tc>
          <w:tcPr>
            <w:tcW w:w="2040" w:type="dxa"/>
            <w:tcBorders>
              <w:top w:val="single" w:color="000000" w:sz="6" w:space="0"/>
              <w:left w:val="single" w:color="000000" w:sz="6" w:space="0"/>
              <w:bottom w:val="single" w:color="000000" w:sz="6" w:space="0"/>
              <w:right w:val="single" w:color="000000" w:sz="6" w:space="0"/>
            </w:tcBorders>
            <w:shd w:val="clear" w:color="auto" w:fill="B0B3B2"/>
            <w:tcMar>
              <w:top w:w="60" w:type="dxa"/>
              <w:left w:w="60" w:type="dxa"/>
              <w:bottom w:w="60" w:type="dxa"/>
              <w:right w:w="60" w:type="dxa"/>
            </w:tcMar>
            <w:hideMark/>
          </w:tcPr>
          <w:p w:rsidR="00B0069A" w:rsidP="00CC02C5" w:rsidRDefault="00B0069A" w14:paraId="5AD4FC78" w14:textId="77777777">
            <w:pPr>
              <w:pStyle w:val="NormalWeb"/>
              <w:spacing w:before="0" w:beforeAutospacing="0" w:after="0" w:afterAutospacing="0"/>
            </w:pPr>
            <w:r>
              <w:rPr>
                <w:rFonts w:ascii="Helvetica Neue" w:hAnsi="Helvetica Neue"/>
                <w:b/>
                <w:bCs/>
                <w:color w:val="000000"/>
                <w:sz w:val="15"/>
                <w:szCs w:val="15"/>
              </w:rPr>
              <w:t>Theme</w:t>
            </w:r>
          </w:p>
        </w:tc>
        <w:tc>
          <w:tcPr>
            <w:tcW w:w="1812" w:type="dxa"/>
            <w:tcBorders>
              <w:top w:val="single" w:color="000000" w:sz="6" w:space="0"/>
              <w:left w:val="single" w:color="000000" w:sz="6" w:space="0"/>
              <w:bottom w:val="single" w:color="000000" w:sz="6" w:space="0"/>
              <w:right w:val="single" w:color="000000" w:sz="6" w:space="0"/>
            </w:tcBorders>
            <w:shd w:val="clear" w:color="auto" w:fill="B0B3B2"/>
            <w:tcMar>
              <w:top w:w="60" w:type="dxa"/>
              <w:left w:w="60" w:type="dxa"/>
              <w:bottom w:w="60" w:type="dxa"/>
              <w:right w:w="60" w:type="dxa"/>
            </w:tcMar>
            <w:hideMark/>
          </w:tcPr>
          <w:p w:rsidR="00B0069A" w:rsidP="00CC02C5" w:rsidRDefault="00B0069A" w14:paraId="37E660D6" w14:textId="77777777">
            <w:pPr>
              <w:pStyle w:val="NormalWeb"/>
              <w:spacing w:before="0" w:beforeAutospacing="0" w:after="0" w:afterAutospacing="0"/>
            </w:pPr>
            <w:r>
              <w:rPr>
                <w:rFonts w:ascii="Helvetica Neue" w:hAnsi="Helvetica Neue"/>
                <w:b/>
                <w:bCs/>
                <w:color w:val="000000"/>
                <w:sz w:val="15"/>
                <w:szCs w:val="15"/>
              </w:rPr>
              <w:t>Code</w:t>
            </w:r>
          </w:p>
        </w:tc>
        <w:tc>
          <w:tcPr>
            <w:tcW w:w="2455" w:type="dxa"/>
            <w:tcBorders>
              <w:top w:val="single" w:color="000000" w:sz="6" w:space="0"/>
              <w:left w:val="single" w:color="000000" w:sz="6" w:space="0"/>
              <w:bottom w:val="single" w:color="000000" w:sz="6" w:space="0"/>
              <w:right w:val="single" w:color="000000" w:sz="6" w:space="0"/>
            </w:tcBorders>
            <w:shd w:val="clear" w:color="auto" w:fill="B0B3B2"/>
            <w:tcMar>
              <w:top w:w="60" w:type="dxa"/>
              <w:left w:w="60" w:type="dxa"/>
              <w:bottom w:w="60" w:type="dxa"/>
              <w:right w:w="60" w:type="dxa"/>
            </w:tcMar>
            <w:hideMark/>
          </w:tcPr>
          <w:p w:rsidR="00B0069A" w:rsidP="00CC02C5" w:rsidRDefault="00B0069A" w14:paraId="1C1DB208" w14:textId="77777777">
            <w:pPr>
              <w:pStyle w:val="NormalWeb"/>
              <w:spacing w:before="0" w:beforeAutospacing="0" w:after="0" w:afterAutospacing="0"/>
            </w:pPr>
            <w:r>
              <w:rPr>
                <w:rFonts w:ascii="Helvetica Neue" w:hAnsi="Helvetica Neue"/>
                <w:b/>
                <w:bCs/>
                <w:color w:val="000000"/>
                <w:sz w:val="15"/>
                <w:szCs w:val="15"/>
              </w:rPr>
              <w:t>Code Explanation</w:t>
            </w:r>
          </w:p>
        </w:tc>
        <w:tc>
          <w:tcPr>
            <w:tcW w:w="3347" w:type="dxa"/>
            <w:tcBorders>
              <w:top w:val="single" w:color="000000" w:sz="6" w:space="0"/>
              <w:left w:val="single" w:color="000000" w:sz="6" w:space="0"/>
              <w:bottom w:val="single" w:color="000000" w:sz="6" w:space="0"/>
              <w:right w:val="single" w:color="000000" w:sz="6" w:space="0"/>
            </w:tcBorders>
            <w:shd w:val="clear" w:color="auto" w:fill="B0B3B2"/>
            <w:tcMar>
              <w:top w:w="60" w:type="dxa"/>
              <w:left w:w="60" w:type="dxa"/>
              <w:bottom w:w="60" w:type="dxa"/>
              <w:right w:w="60" w:type="dxa"/>
            </w:tcMar>
            <w:hideMark/>
          </w:tcPr>
          <w:p w:rsidR="00B0069A" w:rsidP="00CC02C5" w:rsidRDefault="00B0069A" w14:paraId="3A43B0E7" w14:textId="77777777">
            <w:pPr>
              <w:pStyle w:val="NormalWeb"/>
              <w:spacing w:before="0" w:beforeAutospacing="0" w:after="0" w:afterAutospacing="0"/>
            </w:pPr>
            <w:r>
              <w:rPr>
                <w:rFonts w:ascii="Helvetica Neue" w:hAnsi="Helvetica Neue"/>
                <w:b/>
                <w:bCs/>
                <w:color w:val="000000"/>
                <w:sz w:val="15"/>
                <w:szCs w:val="15"/>
              </w:rPr>
              <w:t>Sample Quote</w:t>
            </w:r>
          </w:p>
        </w:tc>
        <w:tc>
          <w:tcPr>
            <w:tcW w:w="3139" w:type="dxa"/>
            <w:tcBorders>
              <w:top w:val="single" w:color="000000" w:sz="6" w:space="0"/>
              <w:left w:val="single" w:color="000000" w:sz="6" w:space="0"/>
              <w:bottom w:val="single" w:color="000000" w:sz="6" w:space="0"/>
              <w:right w:val="single" w:color="000000" w:sz="6" w:space="0"/>
            </w:tcBorders>
            <w:shd w:val="clear" w:color="auto" w:fill="B0B3B2"/>
            <w:tcMar>
              <w:top w:w="60" w:type="dxa"/>
              <w:left w:w="60" w:type="dxa"/>
              <w:bottom w:w="60" w:type="dxa"/>
              <w:right w:w="60" w:type="dxa"/>
            </w:tcMar>
            <w:hideMark/>
          </w:tcPr>
          <w:p w:rsidR="00B0069A" w:rsidP="00CC02C5" w:rsidRDefault="00B0069A" w14:paraId="51E65925" w14:textId="77777777">
            <w:pPr>
              <w:pStyle w:val="NormalWeb"/>
              <w:spacing w:before="0" w:beforeAutospacing="0" w:after="0" w:afterAutospacing="0"/>
            </w:pPr>
            <w:r>
              <w:rPr>
                <w:rFonts w:ascii="Helvetica Neue" w:hAnsi="Helvetica Neue"/>
                <w:b/>
                <w:bCs/>
                <w:color w:val="000000"/>
                <w:sz w:val="15"/>
                <w:szCs w:val="15"/>
              </w:rPr>
              <w:t>What does this mean for your Research?</w:t>
            </w:r>
          </w:p>
        </w:tc>
      </w:tr>
      <w:tr w:rsidR="00B0069A" w:rsidTr="00B0069A" w14:paraId="75372684" w14:textId="77777777">
        <w:trPr>
          <w:trHeight w:val="170"/>
        </w:trPr>
        <w:tc>
          <w:tcPr>
            <w:tcW w:w="2040" w:type="dxa"/>
            <w:vMerge w:val="restart"/>
            <w:tcBorders>
              <w:top w:val="single" w:color="000000" w:sz="6" w:space="0"/>
              <w:left w:val="single" w:color="000000" w:sz="6" w:space="0"/>
              <w:right w:val="single" w:color="000000" w:sz="6" w:space="0"/>
            </w:tcBorders>
            <w:shd w:val="clear" w:color="auto" w:fill="D4D4D4"/>
            <w:tcMar>
              <w:top w:w="60" w:type="dxa"/>
              <w:left w:w="60" w:type="dxa"/>
              <w:bottom w:w="60" w:type="dxa"/>
              <w:right w:w="60" w:type="dxa"/>
            </w:tcMar>
            <w:hideMark/>
          </w:tcPr>
          <w:p w:rsidR="00B0069A" w:rsidP="00CC02C5" w:rsidRDefault="00B0069A" w14:paraId="72719583" w14:textId="77777777">
            <w:pPr>
              <w:pStyle w:val="NormalWeb"/>
              <w:spacing w:before="0" w:beforeAutospacing="0" w:after="0" w:afterAutospacing="0"/>
            </w:pPr>
            <w:r>
              <w:rPr>
                <w:rFonts w:ascii="Helvetica Neue" w:hAnsi="Helvetica Neue"/>
                <w:b/>
                <w:bCs/>
                <w:color w:val="000000"/>
                <w:sz w:val="15"/>
                <w:szCs w:val="15"/>
              </w:rPr>
              <w:lastRenderedPageBreak/>
              <w:t>Barriers to Accessing Mental Health Services</w:t>
            </w:r>
          </w:p>
        </w:tc>
        <w:tc>
          <w:tcPr>
            <w:tcW w:w="1812" w:type="dxa"/>
            <w:tcBorders>
              <w:top w:val="single" w:color="000000" w:sz="6" w:space="0"/>
              <w:left w:val="single" w:color="000000" w:sz="6" w:space="0"/>
              <w:bottom w:val="single" w:color="000000" w:sz="6" w:space="0"/>
              <w:right w:val="single" w:color="000000" w:sz="6" w:space="0"/>
            </w:tcBorders>
            <w:tcMar>
              <w:top w:w="60" w:type="dxa"/>
              <w:left w:w="60" w:type="dxa"/>
              <w:bottom w:w="60" w:type="dxa"/>
              <w:right w:w="60" w:type="dxa"/>
            </w:tcMar>
            <w:hideMark/>
          </w:tcPr>
          <w:p w:rsidR="00B0069A" w:rsidP="00CC02C5" w:rsidRDefault="00B0069A" w14:paraId="0A81BADA" w14:textId="77777777">
            <w:pPr>
              <w:pStyle w:val="NormalWeb"/>
              <w:spacing w:before="0" w:beforeAutospacing="0" w:after="0" w:afterAutospacing="0"/>
            </w:pPr>
            <w:r>
              <w:rPr>
                <w:rFonts w:ascii="Helvetica Neue" w:hAnsi="Helvetica Neue"/>
                <w:color w:val="000000"/>
                <w:sz w:val="15"/>
                <w:szCs w:val="15"/>
              </w:rPr>
              <w:t>Stigma &amp; Mistrust</w:t>
            </w:r>
          </w:p>
        </w:tc>
        <w:tc>
          <w:tcPr>
            <w:tcW w:w="2455" w:type="dxa"/>
            <w:tcBorders>
              <w:top w:val="single" w:color="000000" w:sz="6" w:space="0"/>
              <w:left w:val="single" w:color="000000" w:sz="6" w:space="0"/>
              <w:bottom w:val="single" w:color="000000" w:sz="6" w:space="0"/>
              <w:right w:val="single" w:color="000000" w:sz="6" w:space="0"/>
            </w:tcBorders>
            <w:tcMar>
              <w:top w:w="60" w:type="dxa"/>
              <w:left w:w="60" w:type="dxa"/>
              <w:bottom w:w="60" w:type="dxa"/>
              <w:right w:w="60" w:type="dxa"/>
            </w:tcMar>
            <w:hideMark/>
          </w:tcPr>
          <w:p w:rsidR="00B0069A" w:rsidP="00CC02C5" w:rsidRDefault="00B0069A" w14:paraId="2DEA0534" w14:textId="77777777">
            <w:pPr>
              <w:pStyle w:val="NormalWeb"/>
              <w:spacing w:before="0" w:beforeAutospacing="0" w:after="0" w:afterAutospacing="0"/>
            </w:pPr>
            <w:r>
              <w:rPr>
                <w:rFonts w:ascii="Helvetica Neue" w:hAnsi="Helvetica Neue"/>
                <w:color w:val="000000"/>
                <w:sz w:val="15"/>
                <w:szCs w:val="15"/>
              </w:rPr>
              <w:t>Families avoid services due to stigma, shame, or mistrust of CAMHS and welfare institutions.</w:t>
            </w:r>
          </w:p>
        </w:tc>
        <w:tc>
          <w:tcPr>
            <w:tcW w:w="3347" w:type="dxa"/>
            <w:tcBorders>
              <w:top w:val="single" w:color="000000" w:sz="6" w:space="0"/>
              <w:left w:val="single" w:color="000000" w:sz="6" w:space="0"/>
              <w:bottom w:val="single" w:color="000000" w:sz="6" w:space="0"/>
              <w:right w:val="single" w:color="000000" w:sz="6" w:space="0"/>
            </w:tcBorders>
            <w:tcMar>
              <w:top w:w="60" w:type="dxa"/>
              <w:left w:w="60" w:type="dxa"/>
              <w:bottom w:w="60" w:type="dxa"/>
              <w:right w:w="60" w:type="dxa"/>
            </w:tcMar>
            <w:hideMark/>
          </w:tcPr>
          <w:p w:rsidR="00B0069A" w:rsidP="00CC02C5" w:rsidRDefault="00B0069A" w14:paraId="05D664BA" w14:textId="77777777">
            <w:pPr>
              <w:pStyle w:val="NormalWeb"/>
              <w:spacing w:before="0" w:beforeAutospacing="0" w:after="0" w:afterAutospacing="0"/>
            </w:pPr>
            <w:r>
              <w:rPr>
                <w:rFonts w:ascii="Helvetica Neue" w:hAnsi="Helvetica Neue"/>
                <w:color w:val="000000"/>
                <w:sz w:val="15"/>
                <w:szCs w:val="15"/>
              </w:rPr>
              <w:t>“Poverty is a terrible thing. I just cannot cope with what I am getting in income support.” (Rose &amp; McAuley, 2019)</w:t>
            </w:r>
          </w:p>
        </w:tc>
        <w:tc>
          <w:tcPr>
            <w:tcW w:w="3139" w:type="dxa"/>
            <w:tcBorders>
              <w:top w:val="single" w:color="000000" w:sz="6" w:space="0"/>
              <w:left w:val="single" w:color="000000" w:sz="6" w:space="0"/>
              <w:bottom w:val="single" w:color="000000" w:sz="6" w:space="0"/>
              <w:right w:val="single" w:color="000000" w:sz="6" w:space="0"/>
            </w:tcBorders>
            <w:tcMar>
              <w:top w:w="60" w:type="dxa"/>
              <w:left w:w="60" w:type="dxa"/>
              <w:bottom w:w="60" w:type="dxa"/>
              <w:right w:w="60" w:type="dxa"/>
            </w:tcMar>
            <w:hideMark/>
          </w:tcPr>
          <w:p w:rsidR="00B0069A" w:rsidP="00CC02C5" w:rsidRDefault="00B0069A" w14:paraId="0CE2D5F7" w14:textId="63E105EA">
            <w:pPr>
              <w:pStyle w:val="NormalWeb"/>
              <w:spacing w:before="0" w:beforeAutospacing="0" w:after="0" w:afterAutospacing="0"/>
            </w:pPr>
            <w:r>
              <w:rPr>
                <w:rFonts w:ascii="Helvetica Neue" w:hAnsi="Helvetica Neue"/>
                <w:color w:val="000000"/>
                <w:sz w:val="15"/>
                <w:szCs w:val="15"/>
              </w:rPr>
              <w:t xml:space="preserve">Demonstrates the role of stigma and mistrust in limiting service access, </w:t>
            </w:r>
            <w:r w:rsidR="00CB3DFB">
              <w:rPr>
                <w:rFonts w:ascii="Helvetica Neue" w:hAnsi="Helvetica Neue"/>
                <w:color w:val="000000"/>
                <w:sz w:val="15"/>
                <w:szCs w:val="15"/>
              </w:rPr>
              <w:t>highlighting the need for CAMHS to</w:t>
            </w:r>
            <w:r>
              <w:rPr>
                <w:rFonts w:ascii="Helvetica Neue" w:hAnsi="Helvetica Neue"/>
                <w:color w:val="000000"/>
                <w:sz w:val="15"/>
                <w:szCs w:val="15"/>
              </w:rPr>
              <w:t xml:space="preserve"> address cultural competence and trust-building.</w:t>
            </w:r>
          </w:p>
        </w:tc>
      </w:tr>
      <w:tr w:rsidR="00B0069A" w:rsidTr="00B0069A" w14:paraId="0C84AA4C" w14:textId="77777777">
        <w:trPr>
          <w:trHeight w:val="156"/>
        </w:trPr>
        <w:tc>
          <w:tcPr>
            <w:tcW w:w="2040" w:type="dxa"/>
            <w:vMerge/>
            <w:tcBorders>
              <w:left w:val="single" w:color="000000" w:sz="6" w:space="0"/>
              <w:right w:val="single" w:color="000000" w:sz="6" w:space="0"/>
            </w:tcBorders>
            <w:shd w:val="clear" w:color="auto" w:fill="D4D4D4"/>
            <w:tcMar>
              <w:top w:w="60" w:type="dxa"/>
              <w:left w:w="60" w:type="dxa"/>
              <w:bottom w:w="60" w:type="dxa"/>
              <w:right w:w="60" w:type="dxa"/>
            </w:tcMar>
            <w:hideMark/>
          </w:tcPr>
          <w:p w:rsidR="00B0069A" w:rsidP="00CC02C5" w:rsidRDefault="00B0069A" w14:paraId="5FCD8239" w14:textId="77777777">
            <w:pPr>
              <w:pStyle w:val="NormalWeb"/>
              <w:spacing w:before="0" w:beforeAutospacing="0" w:after="0" w:afterAutospacing="0"/>
            </w:pPr>
          </w:p>
        </w:tc>
        <w:tc>
          <w:tcPr>
            <w:tcW w:w="1812" w:type="dxa"/>
            <w:tcBorders>
              <w:top w:val="single" w:color="000000" w:sz="6" w:space="0"/>
              <w:left w:val="single" w:color="000000" w:sz="6" w:space="0"/>
              <w:bottom w:val="single" w:color="000000" w:sz="6" w:space="0"/>
              <w:right w:val="single" w:color="000000" w:sz="6" w:space="0"/>
            </w:tcBorders>
            <w:tcMar>
              <w:top w:w="60" w:type="dxa"/>
              <w:left w:w="60" w:type="dxa"/>
              <w:bottom w:w="60" w:type="dxa"/>
              <w:right w:w="60" w:type="dxa"/>
            </w:tcMar>
            <w:hideMark/>
          </w:tcPr>
          <w:p w:rsidR="00B0069A" w:rsidP="00CC02C5" w:rsidRDefault="00B0069A" w14:paraId="6A09B0AD" w14:textId="77777777">
            <w:pPr>
              <w:pStyle w:val="NormalWeb"/>
              <w:spacing w:before="0" w:beforeAutospacing="0" w:after="0" w:afterAutospacing="0"/>
            </w:pPr>
            <w:r>
              <w:rPr>
                <w:rFonts w:ascii="Helvetica Neue" w:hAnsi="Helvetica Neue"/>
                <w:color w:val="000000"/>
                <w:sz w:val="15"/>
                <w:szCs w:val="15"/>
              </w:rPr>
              <w:t>Waiting Lists &amp; Service Shortages</w:t>
            </w:r>
          </w:p>
        </w:tc>
        <w:tc>
          <w:tcPr>
            <w:tcW w:w="2455" w:type="dxa"/>
            <w:tcBorders>
              <w:top w:val="single" w:color="000000" w:sz="6" w:space="0"/>
              <w:left w:val="single" w:color="000000" w:sz="6" w:space="0"/>
              <w:bottom w:val="single" w:color="000000" w:sz="6" w:space="0"/>
              <w:right w:val="single" w:color="000000" w:sz="6" w:space="0"/>
            </w:tcBorders>
            <w:tcMar>
              <w:top w:w="60" w:type="dxa"/>
              <w:left w:w="60" w:type="dxa"/>
              <w:bottom w:w="60" w:type="dxa"/>
              <w:right w:w="60" w:type="dxa"/>
            </w:tcMar>
            <w:hideMark/>
          </w:tcPr>
          <w:p w:rsidR="00B0069A" w:rsidP="00CC02C5" w:rsidRDefault="00B0069A" w14:paraId="10CBD33D" w14:textId="61AC0E9D">
            <w:pPr>
              <w:pStyle w:val="NormalWeb"/>
              <w:spacing w:before="0" w:beforeAutospacing="0" w:after="0" w:afterAutospacing="0"/>
            </w:pPr>
            <w:r>
              <w:rPr>
                <w:rFonts w:ascii="Helvetica Neue" w:hAnsi="Helvetica Neue"/>
                <w:color w:val="000000"/>
                <w:sz w:val="15"/>
                <w:szCs w:val="15"/>
              </w:rPr>
              <w:t>Children face long waiting times for CAMHS due to s</w:t>
            </w:r>
            <w:r w:rsidR="00CB3DFB">
              <w:rPr>
                <w:rFonts w:ascii="Helvetica Neue" w:hAnsi="Helvetica Neue"/>
                <w:color w:val="000000"/>
                <w:sz w:val="15"/>
                <w:szCs w:val="15"/>
              </w:rPr>
              <w:t>taff and resource shortag</w:t>
            </w:r>
            <w:r>
              <w:rPr>
                <w:rFonts w:ascii="Helvetica Neue" w:hAnsi="Helvetica Neue"/>
                <w:color w:val="000000"/>
                <w:sz w:val="15"/>
                <w:szCs w:val="15"/>
              </w:rPr>
              <w:t>es.</w:t>
            </w:r>
          </w:p>
        </w:tc>
        <w:tc>
          <w:tcPr>
            <w:tcW w:w="3347" w:type="dxa"/>
            <w:tcBorders>
              <w:top w:val="single" w:color="000000" w:sz="6" w:space="0"/>
              <w:left w:val="single" w:color="000000" w:sz="6" w:space="0"/>
              <w:bottom w:val="single" w:color="000000" w:sz="6" w:space="0"/>
              <w:right w:val="single" w:color="000000" w:sz="6" w:space="0"/>
            </w:tcBorders>
            <w:tcMar>
              <w:top w:w="60" w:type="dxa"/>
              <w:left w:w="60" w:type="dxa"/>
              <w:bottom w:w="60" w:type="dxa"/>
              <w:right w:w="60" w:type="dxa"/>
            </w:tcMar>
            <w:hideMark/>
          </w:tcPr>
          <w:p w:rsidR="00B0069A" w:rsidP="00CC02C5" w:rsidRDefault="00B0069A" w14:paraId="76737E55" w14:textId="77777777">
            <w:pPr>
              <w:pStyle w:val="NormalWeb"/>
              <w:spacing w:before="0" w:beforeAutospacing="0" w:after="0" w:afterAutospacing="0"/>
            </w:pPr>
            <w:r>
              <w:rPr>
                <w:rFonts w:ascii="Helvetica Neue" w:hAnsi="Helvetica Neue"/>
                <w:color w:val="000000"/>
                <w:sz w:val="15"/>
                <w:szCs w:val="15"/>
              </w:rPr>
              <w:t>“First transition into income poverty was associated with deterioration in child and maternal mental health.” (Wickham et al., 2017)</w:t>
            </w:r>
          </w:p>
        </w:tc>
        <w:tc>
          <w:tcPr>
            <w:tcW w:w="3139" w:type="dxa"/>
            <w:tcBorders>
              <w:top w:val="single" w:color="000000" w:sz="6" w:space="0"/>
              <w:left w:val="single" w:color="000000" w:sz="6" w:space="0"/>
              <w:bottom w:val="single" w:color="000000" w:sz="6" w:space="0"/>
              <w:right w:val="single" w:color="000000" w:sz="6" w:space="0"/>
            </w:tcBorders>
            <w:tcMar>
              <w:top w:w="60" w:type="dxa"/>
              <w:left w:w="60" w:type="dxa"/>
              <w:bottom w:w="60" w:type="dxa"/>
              <w:right w:w="60" w:type="dxa"/>
            </w:tcMar>
            <w:hideMark/>
          </w:tcPr>
          <w:p w:rsidR="00B0069A" w:rsidP="00CC02C5" w:rsidRDefault="00B0069A" w14:paraId="47C28567" w14:textId="410BC485">
            <w:pPr>
              <w:pStyle w:val="NormalWeb"/>
              <w:spacing w:before="0" w:beforeAutospacing="0" w:after="0" w:afterAutospacing="0"/>
            </w:pPr>
            <w:r>
              <w:rPr>
                <w:rFonts w:ascii="Helvetica Neue" w:hAnsi="Helvetica Neue"/>
                <w:color w:val="000000"/>
                <w:sz w:val="15"/>
                <w:szCs w:val="15"/>
              </w:rPr>
              <w:t xml:space="preserve">Highlights systemic strain in CAMHS provision, reinforcing </w:t>
            </w:r>
            <w:r w:rsidR="00CB3DFB">
              <w:rPr>
                <w:rFonts w:ascii="Helvetica Neue" w:hAnsi="Helvetica Neue"/>
                <w:color w:val="000000"/>
                <w:sz w:val="15"/>
                <w:szCs w:val="15"/>
              </w:rPr>
              <w:t xml:space="preserve">the </w:t>
            </w:r>
            <w:proofErr w:type="gramStart"/>
            <w:r>
              <w:rPr>
                <w:rFonts w:ascii="Helvetica Neue" w:hAnsi="Helvetica Neue"/>
                <w:color w:val="000000"/>
                <w:sz w:val="15"/>
                <w:szCs w:val="15"/>
              </w:rPr>
              <w:t>barriers</w:t>
            </w:r>
            <w:proofErr w:type="gramEnd"/>
            <w:r>
              <w:rPr>
                <w:rFonts w:ascii="Helvetica Neue" w:hAnsi="Helvetica Neue"/>
                <w:color w:val="000000"/>
                <w:sz w:val="15"/>
                <w:szCs w:val="15"/>
              </w:rPr>
              <w:t xml:space="preserve"> theme and supporting policy change recommendations.</w:t>
            </w:r>
          </w:p>
        </w:tc>
      </w:tr>
      <w:tr w:rsidR="00B0069A" w:rsidTr="00B0069A" w14:paraId="41BE59BF" w14:textId="77777777">
        <w:trPr>
          <w:trHeight w:val="156"/>
        </w:trPr>
        <w:tc>
          <w:tcPr>
            <w:tcW w:w="2040" w:type="dxa"/>
            <w:vMerge/>
            <w:tcBorders>
              <w:left w:val="single" w:color="000000" w:sz="6" w:space="0"/>
              <w:right w:val="single" w:color="000000" w:sz="6" w:space="0"/>
            </w:tcBorders>
            <w:shd w:val="clear" w:color="auto" w:fill="D4D4D4"/>
            <w:tcMar>
              <w:top w:w="60" w:type="dxa"/>
              <w:left w:w="60" w:type="dxa"/>
              <w:bottom w:w="60" w:type="dxa"/>
              <w:right w:w="60" w:type="dxa"/>
            </w:tcMar>
            <w:hideMark/>
          </w:tcPr>
          <w:p w:rsidR="00B0069A" w:rsidP="00CC02C5" w:rsidRDefault="00B0069A" w14:paraId="5885CBF9" w14:textId="77777777">
            <w:pPr>
              <w:pStyle w:val="NormalWeb"/>
              <w:spacing w:before="0" w:beforeAutospacing="0" w:after="0" w:afterAutospacing="0"/>
            </w:pPr>
          </w:p>
        </w:tc>
        <w:tc>
          <w:tcPr>
            <w:tcW w:w="1812" w:type="dxa"/>
            <w:tcBorders>
              <w:top w:val="single" w:color="000000" w:sz="6" w:space="0"/>
              <w:left w:val="single" w:color="000000" w:sz="6" w:space="0"/>
              <w:bottom w:val="single" w:color="000000" w:sz="6" w:space="0"/>
              <w:right w:val="single" w:color="000000" w:sz="6" w:space="0"/>
            </w:tcBorders>
            <w:tcMar>
              <w:top w:w="60" w:type="dxa"/>
              <w:left w:w="60" w:type="dxa"/>
              <w:bottom w:w="60" w:type="dxa"/>
              <w:right w:w="60" w:type="dxa"/>
            </w:tcMar>
            <w:hideMark/>
          </w:tcPr>
          <w:p w:rsidR="00B0069A" w:rsidP="00CC02C5" w:rsidRDefault="00B0069A" w14:paraId="1FEEE94C" w14:textId="77777777">
            <w:pPr>
              <w:pStyle w:val="NormalWeb"/>
              <w:spacing w:before="0" w:beforeAutospacing="0" w:after="0" w:afterAutospacing="0"/>
            </w:pPr>
            <w:r>
              <w:rPr>
                <w:rFonts w:ascii="Helvetica Neue" w:hAnsi="Helvetica Neue"/>
                <w:color w:val="000000"/>
                <w:sz w:val="15"/>
                <w:szCs w:val="15"/>
              </w:rPr>
              <w:t>Housing Insecurity</w:t>
            </w:r>
          </w:p>
        </w:tc>
        <w:tc>
          <w:tcPr>
            <w:tcW w:w="2455" w:type="dxa"/>
            <w:tcBorders>
              <w:top w:val="single" w:color="000000" w:sz="6" w:space="0"/>
              <w:left w:val="single" w:color="000000" w:sz="6" w:space="0"/>
              <w:bottom w:val="single" w:color="000000" w:sz="6" w:space="0"/>
              <w:right w:val="single" w:color="000000" w:sz="6" w:space="0"/>
            </w:tcBorders>
            <w:tcMar>
              <w:top w:w="60" w:type="dxa"/>
              <w:left w:w="60" w:type="dxa"/>
              <w:bottom w:w="60" w:type="dxa"/>
              <w:right w:w="60" w:type="dxa"/>
            </w:tcMar>
            <w:hideMark/>
          </w:tcPr>
          <w:p w:rsidR="00B0069A" w:rsidP="00CC02C5" w:rsidRDefault="00B0069A" w14:paraId="2B78DA48" w14:textId="522EF59B">
            <w:pPr>
              <w:pStyle w:val="NormalWeb"/>
              <w:spacing w:before="0" w:beforeAutospacing="0" w:after="0" w:afterAutospacing="0"/>
            </w:pPr>
            <w:r>
              <w:rPr>
                <w:rFonts w:ascii="Helvetica Neue" w:hAnsi="Helvetica Neue"/>
                <w:color w:val="000000"/>
                <w:sz w:val="15"/>
                <w:szCs w:val="15"/>
              </w:rPr>
              <w:t>Overcrowding, eviction risks, and poor housing directly harm child</w:t>
            </w:r>
            <w:r w:rsidR="00CB3DFB">
              <w:rPr>
                <w:rFonts w:ascii="Helvetica Neue" w:hAnsi="Helvetica Neue"/>
                <w:color w:val="000000"/>
                <w:sz w:val="15"/>
                <w:szCs w:val="15"/>
              </w:rPr>
              <w:t>ren's</w:t>
            </w:r>
            <w:r>
              <w:rPr>
                <w:rFonts w:ascii="Helvetica Neue" w:hAnsi="Helvetica Neue"/>
                <w:color w:val="000000"/>
                <w:sz w:val="15"/>
                <w:szCs w:val="15"/>
              </w:rPr>
              <w:t xml:space="preserve"> mental well</w:t>
            </w:r>
            <w:r w:rsidR="00CB3DFB">
              <w:rPr>
                <w:rFonts w:ascii="Helvetica Neue" w:hAnsi="Helvetica Neue"/>
                <w:color w:val="000000"/>
                <w:sz w:val="15"/>
                <w:szCs w:val="15"/>
              </w:rPr>
              <w:t>-</w:t>
            </w:r>
            <w:r>
              <w:rPr>
                <w:rFonts w:ascii="Helvetica Neue" w:hAnsi="Helvetica Neue"/>
                <w:color w:val="000000"/>
                <w:sz w:val="15"/>
                <w:szCs w:val="15"/>
              </w:rPr>
              <w:t>being.</w:t>
            </w:r>
          </w:p>
        </w:tc>
        <w:tc>
          <w:tcPr>
            <w:tcW w:w="3347" w:type="dxa"/>
            <w:tcBorders>
              <w:top w:val="single" w:color="000000" w:sz="6" w:space="0"/>
              <w:left w:val="single" w:color="000000" w:sz="6" w:space="0"/>
              <w:bottom w:val="single" w:color="000000" w:sz="6" w:space="0"/>
              <w:right w:val="single" w:color="000000" w:sz="6" w:space="0"/>
            </w:tcBorders>
            <w:tcMar>
              <w:top w:w="60" w:type="dxa"/>
              <w:left w:w="60" w:type="dxa"/>
              <w:bottom w:w="60" w:type="dxa"/>
              <w:right w:w="60" w:type="dxa"/>
            </w:tcMar>
            <w:hideMark/>
          </w:tcPr>
          <w:p w:rsidR="00B0069A" w:rsidP="00CC02C5" w:rsidRDefault="00B0069A" w14:paraId="565AD58B" w14:textId="77777777">
            <w:pPr>
              <w:pStyle w:val="NormalWeb"/>
              <w:spacing w:before="0" w:beforeAutospacing="0" w:after="0" w:afterAutospacing="0"/>
            </w:pPr>
            <w:r>
              <w:rPr>
                <w:rFonts w:ascii="Helvetica Neue" w:hAnsi="Helvetica Neue"/>
                <w:color w:val="000000"/>
                <w:sz w:val="15"/>
                <w:szCs w:val="15"/>
              </w:rPr>
              <w:t>“One million renting households worry about being evicted in the next three months.” (Hock et al., 2024)</w:t>
            </w:r>
          </w:p>
        </w:tc>
        <w:tc>
          <w:tcPr>
            <w:tcW w:w="3139" w:type="dxa"/>
            <w:tcBorders>
              <w:top w:val="single" w:color="000000" w:sz="6" w:space="0"/>
              <w:left w:val="single" w:color="000000" w:sz="6" w:space="0"/>
              <w:bottom w:val="single" w:color="000000" w:sz="6" w:space="0"/>
              <w:right w:val="single" w:color="000000" w:sz="6" w:space="0"/>
            </w:tcBorders>
            <w:tcMar>
              <w:top w:w="60" w:type="dxa"/>
              <w:left w:w="60" w:type="dxa"/>
              <w:bottom w:w="60" w:type="dxa"/>
              <w:right w:w="60" w:type="dxa"/>
            </w:tcMar>
            <w:hideMark/>
          </w:tcPr>
          <w:p w:rsidR="00B0069A" w:rsidP="00CC02C5" w:rsidRDefault="00B0069A" w14:paraId="75BF2A15" w14:textId="77777777">
            <w:pPr>
              <w:pStyle w:val="NormalWeb"/>
              <w:spacing w:before="0" w:beforeAutospacing="0" w:after="0" w:afterAutospacing="0"/>
            </w:pPr>
            <w:r>
              <w:rPr>
                <w:rFonts w:ascii="Helvetica Neue" w:hAnsi="Helvetica Neue"/>
                <w:color w:val="000000"/>
                <w:sz w:val="15"/>
                <w:szCs w:val="15"/>
              </w:rPr>
              <w:t>Links poor housing to mental health outcomes, underscoring the need for housing reforms in addressing child wellbeing.</w:t>
            </w:r>
          </w:p>
        </w:tc>
      </w:tr>
      <w:tr w:rsidR="00B0069A" w:rsidTr="00B0069A" w14:paraId="5E9A61FD" w14:textId="77777777">
        <w:trPr>
          <w:trHeight w:val="156"/>
        </w:trPr>
        <w:tc>
          <w:tcPr>
            <w:tcW w:w="2040" w:type="dxa"/>
            <w:vMerge/>
            <w:tcBorders>
              <w:left w:val="single" w:color="000000" w:sz="6" w:space="0"/>
              <w:right w:val="single" w:color="000000" w:sz="6" w:space="0"/>
            </w:tcBorders>
            <w:shd w:val="clear" w:color="auto" w:fill="D4D4D4"/>
            <w:tcMar>
              <w:top w:w="60" w:type="dxa"/>
              <w:left w:w="60" w:type="dxa"/>
              <w:bottom w:w="60" w:type="dxa"/>
              <w:right w:w="60" w:type="dxa"/>
            </w:tcMar>
            <w:hideMark/>
          </w:tcPr>
          <w:p w:rsidR="00B0069A" w:rsidP="00CC02C5" w:rsidRDefault="00B0069A" w14:paraId="3E85C070" w14:textId="77777777">
            <w:pPr>
              <w:pStyle w:val="NormalWeb"/>
              <w:spacing w:before="0" w:beforeAutospacing="0" w:after="0" w:afterAutospacing="0"/>
            </w:pPr>
          </w:p>
        </w:tc>
        <w:tc>
          <w:tcPr>
            <w:tcW w:w="1812" w:type="dxa"/>
            <w:tcBorders>
              <w:top w:val="single" w:color="000000" w:sz="6" w:space="0"/>
              <w:left w:val="single" w:color="000000" w:sz="6" w:space="0"/>
              <w:bottom w:val="single" w:color="000000" w:sz="6" w:space="0"/>
              <w:right w:val="single" w:color="000000" w:sz="6" w:space="0"/>
            </w:tcBorders>
            <w:tcMar>
              <w:top w:w="60" w:type="dxa"/>
              <w:left w:w="60" w:type="dxa"/>
              <w:bottom w:w="60" w:type="dxa"/>
              <w:right w:w="60" w:type="dxa"/>
            </w:tcMar>
            <w:hideMark/>
          </w:tcPr>
          <w:p w:rsidR="00B0069A" w:rsidP="00CC02C5" w:rsidRDefault="00B0069A" w14:paraId="2C34708A" w14:textId="77777777">
            <w:pPr>
              <w:pStyle w:val="NormalWeb"/>
              <w:spacing w:before="0" w:beforeAutospacing="0" w:after="0" w:afterAutospacing="0"/>
            </w:pPr>
            <w:r>
              <w:rPr>
                <w:rFonts w:ascii="Helvetica Neue" w:hAnsi="Helvetica Neue"/>
                <w:color w:val="000000"/>
                <w:sz w:val="15"/>
                <w:szCs w:val="15"/>
              </w:rPr>
              <w:t>Systemic Racism</w:t>
            </w:r>
          </w:p>
        </w:tc>
        <w:tc>
          <w:tcPr>
            <w:tcW w:w="2455" w:type="dxa"/>
            <w:tcBorders>
              <w:top w:val="single" w:color="000000" w:sz="6" w:space="0"/>
              <w:left w:val="single" w:color="000000" w:sz="6" w:space="0"/>
              <w:bottom w:val="single" w:color="000000" w:sz="6" w:space="0"/>
              <w:right w:val="single" w:color="000000" w:sz="6" w:space="0"/>
            </w:tcBorders>
            <w:tcMar>
              <w:top w:w="60" w:type="dxa"/>
              <w:left w:w="60" w:type="dxa"/>
              <w:bottom w:w="60" w:type="dxa"/>
              <w:right w:w="60" w:type="dxa"/>
            </w:tcMar>
            <w:hideMark/>
          </w:tcPr>
          <w:p w:rsidR="00B0069A" w:rsidP="00CC02C5" w:rsidRDefault="00B0069A" w14:paraId="72CE2E87" w14:textId="77777777">
            <w:pPr>
              <w:pStyle w:val="NormalWeb"/>
              <w:spacing w:before="0" w:beforeAutospacing="0" w:after="0" w:afterAutospacing="0"/>
            </w:pPr>
            <w:r>
              <w:rPr>
                <w:rFonts w:ascii="Helvetica Neue" w:hAnsi="Helvetica Neue"/>
                <w:color w:val="000000"/>
                <w:sz w:val="15"/>
                <w:szCs w:val="15"/>
              </w:rPr>
              <w:t>Minority children face compounded barriers from racism and poverty in accessing services.</w:t>
            </w:r>
          </w:p>
        </w:tc>
        <w:tc>
          <w:tcPr>
            <w:tcW w:w="3347" w:type="dxa"/>
            <w:tcBorders>
              <w:top w:val="single" w:color="000000" w:sz="6" w:space="0"/>
              <w:left w:val="single" w:color="000000" w:sz="6" w:space="0"/>
              <w:bottom w:val="single" w:color="000000" w:sz="6" w:space="0"/>
              <w:right w:val="single" w:color="000000" w:sz="6" w:space="0"/>
            </w:tcBorders>
            <w:tcMar>
              <w:top w:w="60" w:type="dxa"/>
              <w:left w:w="60" w:type="dxa"/>
              <w:bottom w:w="60" w:type="dxa"/>
              <w:right w:w="60" w:type="dxa"/>
            </w:tcMar>
            <w:hideMark/>
          </w:tcPr>
          <w:p w:rsidR="00B0069A" w:rsidP="00CC02C5" w:rsidRDefault="00B0069A" w14:paraId="6ADBED6C" w14:textId="77777777">
            <w:pPr>
              <w:pStyle w:val="NormalWeb"/>
              <w:spacing w:before="0" w:beforeAutospacing="0" w:after="0" w:afterAutospacing="0"/>
            </w:pPr>
            <w:r>
              <w:rPr>
                <w:rFonts w:ascii="Helvetica Neue" w:hAnsi="Helvetica Neue"/>
                <w:color w:val="000000"/>
                <w:sz w:val="15"/>
                <w:szCs w:val="15"/>
              </w:rPr>
              <w:t>“Systemic problems such as racism and poverty increase the risk of developing complex health issues and decrease the likelihood of benefiting from treatment.” (Castro-Ramirez et al., 2021)</w:t>
            </w:r>
          </w:p>
        </w:tc>
        <w:tc>
          <w:tcPr>
            <w:tcW w:w="3139" w:type="dxa"/>
            <w:tcBorders>
              <w:top w:val="single" w:color="000000" w:sz="6" w:space="0"/>
              <w:left w:val="single" w:color="000000" w:sz="6" w:space="0"/>
              <w:bottom w:val="single" w:color="000000" w:sz="6" w:space="0"/>
              <w:right w:val="single" w:color="000000" w:sz="6" w:space="0"/>
            </w:tcBorders>
            <w:tcMar>
              <w:top w:w="60" w:type="dxa"/>
              <w:left w:w="60" w:type="dxa"/>
              <w:bottom w:w="60" w:type="dxa"/>
              <w:right w:w="60" w:type="dxa"/>
            </w:tcMar>
            <w:hideMark/>
          </w:tcPr>
          <w:p w:rsidR="00B0069A" w:rsidP="00CC02C5" w:rsidRDefault="00B0069A" w14:paraId="12303628" w14:textId="77777777">
            <w:pPr>
              <w:pStyle w:val="NormalWeb"/>
              <w:spacing w:before="0" w:beforeAutospacing="0" w:after="0" w:afterAutospacing="0"/>
            </w:pPr>
            <w:r>
              <w:rPr>
                <w:rFonts w:ascii="Helvetica Neue" w:hAnsi="Helvetica Neue"/>
                <w:color w:val="000000"/>
                <w:sz w:val="15"/>
                <w:szCs w:val="15"/>
              </w:rPr>
              <w:t>Shows intersectionality of racism and poverty in compounding barriers, critical for equitable service delivery.</w:t>
            </w:r>
          </w:p>
        </w:tc>
      </w:tr>
      <w:tr w:rsidR="00B0069A" w:rsidTr="00B0069A" w14:paraId="56649D82" w14:textId="77777777">
        <w:trPr>
          <w:trHeight w:val="156"/>
        </w:trPr>
        <w:tc>
          <w:tcPr>
            <w:tcW w:w="2040" w:type="dxa"/>
            <w:vMerge/>
            <w:tcBorders>
              <w:left w:val="single" w:color="000000" w:sz="6" w:space="0"/>
              <w:bottom w:val="single" w:color="000000" w:sz="6" w:space="0"/>
              <w:right w:val="single" w:color="000000" w:sz="6" w:space="0"/>
            </w:tcBorders>
            <w:shd w:val="clear" w:color="auto" w:fill="D4D4D4"/>
            <w:tcMar>
              <w:top w:w="60" w:type="dxa"/>
              <w:left w:w="60" w:type="dxa"/>
              <w:bottom w:w="60" w:type="dxa"/>
              <w:right w:w="60" w:type="dxa"/>
            </w:tcMar>
            <w:hideMark/>
          </w:tcPr>
          <w:p w:rsidR="00B0069A" w:rsidP="00CC02C5" w:rsidRDefault="00B0069A" w14:paraId="63AE0F5C" w14:textId="77777777">
            <w:pPr>
              <w:pStyle w:val="NormalWeb"/>
              <w:spacing w:before="0" w:beforeAutospacing="0" w:after="0" w:afterAutospacing="0"/>
            </w:pPr>
          </w:p>
        </w:tc>
        <w:tc>
          <w:tcPr>
            <w:tcW w:w="1812" w:type="dxa"/>
            <w:tcBorders>
              <w:top w:val="single" w:color="000000" w:sz="6" w:space="0"/>
              <w:left w:val="single" w:color="000000" w:sz="6" w:space="0"/>
              <w:bottom w:val="single" w:color="000000" w:sz="6" w:space="0"/>
              <w:right w:val="single" w:color="000000" w:sz="6" w:space="0"/>
            </w:tcBorders>
            <w:tcMar>
              <w:top w:w="60" w:type="dxa"/>
              <w:left w:w="60" w:type="dxa"/>
              <w:bottom w:w="60" w:type="dxa"/>
              <w:right w:w="60" w:type="dxa"/>
            </w:tcMar>
            <w:hideMark/>
          </w:tcPr>
          <w:p w:rsidR="00B0069A" w:rsidP="00CC02C5" w:rsidRDefault="00B0069A" w14:paraId="27901E35" w14:textId="77777777">
            <w:pPr>
              <w:pStyle w:val="NormalWeb"/>
              <w:spacing w:before="0" w:beforeAutospacing="0" w:after="0" w:afterAutospacing="0"/>
            </w:pPr>
            <w:r>
              <w:rPr>
                <w:rFonts w:ascii="Helvetica Neue" w:hAnsi="Helvetica Neue"/>
                <w:color w:val="000000"/>
                <w:sz w:val="15"/>
                <w:szCs w:val="15"/>
              </w:rPr>
              <w:t>Financial Barriers</w:t>
            </w:r>
          </w:p>
        </w:tc>
        <w:tc>
          <w:tcPr>
            <w:tcW w:w="2455" w:type="dxa"/>
            <w:tcBorders>
              <w:top w:val="single" w:color="000000" w:sz="6" w:space="0"/>
              <w:left w:val="single" w:color="000000" w:sz="6" w:space="0"/>
              <w:bottom w:val="single" w:color="000000" w:sz="6" w:space="0"/>
              <w:right w:val="single" w:color="000000" w:sz="6" w:space="0"/>
            </w:tcBorders>
            <w:tcMar>
              <w:top w:w="60" w:type="dxa"/>
              <w:left w:w="60" w:type="dxa"/>
              <w:bottom w:w="60" w:type="dxa"/>
              <w:right w:w="60" w:type="dxa"/>
            </w:tcMar>
            <w:hideMark/>
          </w:tcPr>
          <w:p w:rsidR="00B0069A" w:rsidP="00CC02C5" w:rsidRDefault="00B0069A" w14:paraId="5EE38C4D" w14:textId="77777777">
            <w:pPr>
              <w:pStyle w:val="NormalWeb"/>
              <w:spacing w:before="0" w:beforeAutospacing="0" w:after="0" w:afterAutospacing="0"/>
            </w:pPr>
            <w:r>
              <w:rPr>
                <w:rFonts w:ascii="Helvetica Neue" w:hAnsi="Helvetica Neue"/>
                <w:color w:val="000000"/>
                <w:sz w:val="15"/>
                <w:szCs w:val="15"/>
              </w:rPr>
              <w:t>High costs of childcare, transport, or hidden expenses limit access to health support.</w:t>
            </w:r>
          </w:p>
        </w:tc>
        <w:tc>
          <w:tcPr>
            <w:tcW w:w="3347" w:type="dxa"/>
            <w:tcBorders>
              <w:top w:val="single" w:color="000000" w:sz="6" w:space="0"/>
              <w:left w:val="single" w:color="000000" w:sz="6" w:space="0"/>
              <w:bottom w:val="single" w:color="000000" w:sz="6" w:space="0"/>
              <w:right w:val="single" w:color="000000" w:sz="6" w:space="0"/>
            </w:tcBorders>
            <w:tcMar>
              <w:top w:w="60" w:type="dxa"/>
              <w:left w:w="60" w:type="dxa"/>
              <w:bottom w:w="60" w:type="dxa"/>
              <w:right w:w="60" w:type="dxa"/>
            </w:tcMar>
            <w:hideMark/>
          </w:tcPr>
          <w:p w:rsidR="00B0069A" w:rsidP="00CC02C5" w:rsidRDefault="00B0069A" w14:paraId="5A8A56E3" w14:textId="77777777">
            <w:pPr>
              <w:pStyle w:val="NormalWeb"/>
              <w:spacing w:before="0" w:beforeAutospacing="0" w:after="0" w:afterAutospacing="0"/>
            </w:pPr>
            <w:r>
              <w:rPr>
                <w:rFonts w:ascii="Helvetica Neue" w:hAnsi="Helvetica Neue"/>
                <w:color w:val="000000"/>
                <w:sz w:val="15"/>
                <w:szCs w:val="15"/>
              </w:rPr>
              <w:t>“33% of children were income poor, compared with 23% of adults.” (Main &amp; Bradshaw, 2016)</w:t>
            </w:r>
          </w:p>
        </w:tc>
        <w:tc>
          <w:tcPr>
            <w:tcW w:w="3139" w:type="dxa"/>
            <w:tcBorders>
              <w:top w:val="single" w:color="000000" w:sz="6" w:space="0"/>
              <w:left w:val="single" w:color="000000" w:sz="6" w:space="0"/>
              <w:bottom w:val="single" w:color="000000" w:sz="6" w:space="0"/>
              <w:right w:val="single" w:color="000000" w:sz="6" w:space="0"/>
            </w:tcBorders>
            <w:tcMar>
              <w:top w:w="60" w:type="dxa"/>
              <w:left w:w="60" w:type="dxa"/>
              <w:bottom w:w="60" w:type="dxa"/>
              <w:right w:w="60" w:type="dxa"/>
            </w:tcMar>
            <w:hideMark/>
          </w:tcPr>
          <w:p w:rsidR="00B0069A" w:rsidP="00CC02C5" w:rsidRDefault="00B0069A" w14:paraId="08343868" w14:textId="77777777">
            <w:pPr>
              <w:pStyle w:val="NormalWeb"/>
              <w:spacing w:before="0" w:beforeAutospacing="0" w:after="0" w:afterAutospacing="0"/>
            </w:pPr>
            <w:r>
              <w:rPr>
                <w:rFonts w:ascii="Helvetica Neue" w:hAnsi="Helvetica Neue"/>
                <w:color w:val="000000"/>
                <w:sz w:val="15"/>
                <w:szCs w:val="15"/>
              </w:rPr>
              <w:t>Reveals intra-household sacrifices and hidden costs of poverty, emphasising stress transmission and long-term inequalities.</w:t>
            </w:r>
          </w:p>
        </w:tc>
      </w:tr>
      <w:tr w:rsidR="00B0069A" w:rsidTr="00B0069A" w14:paraId="37353BA3" w14:textId="77777777">
        <w:trPr>
          <w:trHeight w:val="156"/>
        </w:trPr>
        <w:tc>
          <w:tcPr>
            <w:tcW w:w="2040" w:type="dxa"/>
            <w:vMerge w:val="restart"/>
            <w:tcBorders>
              <w:top w:val="single" w:color="000000" w:sz="6" w:space="0"/>
              <w:left w:val="single" w:color="000000" w:sz="6" w:space="0"/>
              <w:right w:val="single" w:color="000000" w:sz="6" w:space="0"/>
            </w:tcBorders>
            <w:shd w:val="clear" w:color="auto" w:fill="D4D4D4"/>
            <w:tcMar>
              <w:top w:w="60" w:type="dxa"/>
              <w:left w:w="60" w:type="dxa"/>
              <w:bottom w:w="60" w:type="dxa"/>
              <w:right w:w="60" w:type="dxa"/>
            </w:tcMar>
            <w:hideMark/>
          </w:tcPr>
          <w:p w:rsidR="00B0069A" w:rsidP="00CC02C5" w:rsidRDefault="00B0069A" w14:paraId="6CFB791D" w14:textId="77777777">
            <w:pPr>
              <w:pStyle w:val="NormalWeb"/>
              <w:spacing w:before="0" w:beforeAutospacing="0" w:after="0" w:afterAutospacing="0"/>
            </w:pPr>
            <w:r>
              <w:rPr>
                <w:rFonts w:ascii="Helvetica Neue" w:hAnsi="Helvetica Neue"/>
                <w:b/>
                <w:bCs/>
                <w:color w:val="000000"/>
                <w:sz w:val="15"/>
                <w:szCs w:val="15"/>
              </w:rPr>
              <w:t>Policy and Service Gaps</w:t>
            </w:r>
          </w:p>
        </w:tc>
        <w:tc>
          <w:tcPr>
            <w:tcW w:w="1812" w:type="dxa"/>
            <w:tcBorders>
              <w:top w:val="single" w:color="000000" w:sz="6" w:space="0"/>
              <w:left w:val="single" w:color="000000" w:sz="6" w:space="0"/>
              <w:bottom w:val="single" w:color="000000" w:sz="6" w:space="0"/>
              <w:right w:val="single" w:color="000000" w:sz="6" w:space="0"/>
            </w:tcBorders>
            <w:tcMar>
              <w:top w:w="60" w:type="dxa"/>
              <w:left w:w="60" w:type="dxa"/>
              <w:bottom w:w="60" w:type="dxa"/>
              <w:right w:w="60" w:type="dxa"/>
            </w:tcMar>
            <w:hideMark/>
          </w:tcPr>
          <w:p w:rsidR="00B0069A" w:rsidP="00CC02C5" w:rsidRDefault="00B0069A" w14:paraId="0662352A" w14:textId="77777777">
            <w:pPr>
              <w:pStyle w:val="NormalWeb"/>
              <w:spacing w:before="0" w:beforeAutospacing="0" w:after="0" w:afterAutospacing="0"/>
            </w:pPr>
            <w:r>
              <w:rPr>
                <w:rFonts w:ascii="Helvetica Neue" w:hAnsi="Helvetica Neue"/>
                <w:color w:val="000000"/>
                <w:sz w:val="15"/>
                <w:szCs w:val="15"/>
              </w:rPr>
              <w:t>Austerity Cuts</w:t>
            </w:r>
          </w:p>
        </w:tc>
        <w:tc>
          <w:tcPr>
            <w:tcW w:w="2455" w:type="dxa"/>
            <w:tcBorders>
              <w:top w:val="single" w:color="000000" w:sz="6" w:space="0"/>
              <w:left w:val="single" w:color="000000" w:sz="6" w:space="0"/>
              <w:bottom w:val="single" w:color="000000" w:sz="6" w:space="0"/>
              <w:right w:val="single" w:color="000000" w:sz="6" w:space="0"/>
            </w:tcBorders>
            <w:tcMar>
              <w:top w:w="60" w:type="dxa"/>
              <w:left w:w="60" w:type="dxa"/>
              <w:bottom w:w="60" w:type="dxa"/>
              <w:right w:w="60" w:type="dxa"/>
            </w:tcMar>
            <w:hideMark/>
          </w:tcPr>
          <w:p w:rsidR="00B0069A" w:rsidP="00CC02C5" w:rsidRDefault="00B0069A" w14:paraId="009E47D4" w14:textId="77777777">
            <w:pPr>
              <w:pStyle w:val="NormalWeb"/>
              <w:spacing w:before="0" w:beforeAutospacing="0" w:after="0" w:afterAutospacing="0"/>
            </w:pPr>
            <w:r>
              <w:rPr>
                <w:rFonts w:ascii="Helvetica Neue" w:hAnsi="Helvetica Neue"/>
                <w:color w:val="000000"/>
                <w:sz w:val="15"/>
                <w:szCs w:val="15"/>
              </w:rPr>
              <w:t>Austerity measures reduced benefits and welfare provisions, worsening child poverty.</w:t>
            </w:r>
          </w:p>
        </w:tc>
        <w:tc>
          <w:tcPr>
            <w:tcW w:w="3347" w:type="dxa"/>
            <w:tcBorders>
              <w:top w:val="single" w:color="000000" w:sz="6" w:space="0"/>
              <w:left w:val="single" w:color="000000" w:sz="6" w:space="0"/>
              <w:bottom w:val="single" w:color="000000" w:sz="6" w:space="0"/>
              <w:right w:val="single" w:color="000000" w:sz="6" w:space="0"/>
            </w:tcBorders>
            <w:tcMar>
              <w:top w:w="60" w:type="dxa"/>
              <w:left w:w="60" w:type="dxa"/>
              <w:bottom w:w="60" w:type="dxa"/>
              <w:right w:w="60" w:type="dxa"/>
            </w:tcMar>
            <w:hideMark/>
          </w:tcPr>
          <w:p w:rsidR="00B0069A" w:rsidP="00CC02C5" w:rsidRDefault="00B0069A" w14:paraId="53365300" w14:textId="77777777">
            <w:pPr>
              <w:pStyle w:val="NormalWeb"/>
              <w:spacing w:before="0" w:beforeAutospacing="0" w:after="0" w:afterAutospacing="0"/>
            </w:pPr>
            <w:r>
              <w:rPr>
                <w:rFonts w:ascii="Helvetica Neue" w:hAnsi="Helvetica Neue"/>
                <w:color w:val="000000"/>
                <w:sz w:val="15"/>
                <w:szCs w:val="15"/>
              </w:rPr>
              <w:t>“Child poverty is a political choice, not an inevitability.” (Taylor, 2020)</w:t>
            </w:r>
          </w:p>
        </w:tc>
        <w:tc>
          <w:tcPr>
            <w:tcW w:w="3139" w:type="dxa"/>
            <w:tcBorders>
              <w:top w:val="single" w:color="000000" w:sz="6" w:space="0"/>
              <w:left w:val="single" w:color="000000" w:sz="6" w:space="0"/>
              <w:bottom w:val="single" w:color="000000" w:sz="6" w:space="0"/>
              <w:right w:val="single" w:color="000000" w:sz="6" w:space="0"/>
            </w:tcBorders>
            <w:tcMar>
              <w:top w:w="60" w:type="dxa"/>
              <w:left w:w="60" w:type="dxa"/>
              <w:bottom w:w="60" w:type="dxa"/>
              <w:right w:w="60" w:type="dxa"/>
            </w:tcMar>
            <w:hideMark/>
          </w:tcPr>
          <w:p w:rsidR="00B0069A" w:rsidP="00CC02C5" w:rsidRDefault="00B0069A" w14:paraId="661B0FAD" w14:textId="05ECE2BB">
            <w:pPr>
              <w:pStyle w:val="NormalWeb"/>
              <w:spacing w:before="0" w:beforeAutospacing="0" w:after="0" w:afterAutospacing="0"/>
            </w:pPr>
            <w:r>
              <w:rPr>
                <w:rFonts w:ascii="Helvetica Neue" w:hAnsi="Helvetica Neue"/>
                <w:color w:val="000000"/>
                <w:sz w:val="15"/>
                <w:szCs w:val="15"/>
              </w:rPr>
              <w:t xml:space="preserve">Confirms </w:t>
            </w:r>
            <w:r w:rsidR="00CB3DFB">
              <w:rPr>
                <w:rFonts w:ascii="Helvetica Neue" w:hAnsi="Helvetica Neue"/>
                <w:color w:val="000000"/>
                <w:sz w:val="15"/>
                <w:szCs w:val="15"/>
              </w:rPr>
              <w:t>that austerity has worsened child poverty, strengthening the</w:t>
            </w:r>
            <w:r>
              <w:rPr>
                <w:rFonts w:ascii="Helvetica Neue" w:hAnsi="Helvetica Neue"/>
                <w:color w:val="000000"/>
                <w:sz w:val="15"/>
                <w:szCs w:val="15"/>
              </w:rPr>
              <w:t xml:space="preserve"> arguments for structural welfare reform.</w:t>
            </w:r>
          </w:p>
        </w:tc>
      </w:tr>
      <w:tr w:rsidR="00B0069A" w:rsidTr="00B0069A" w14:paraId="07702E74" w14:textId="77777777">
        <w:trPr>
          <w:trHeight w:val="156"/>
        </w:trPr>
        <w:tc>
          <w:tcPr>
            <w:tcW w:w="2040" w:type="dxa"/>
            <w:vMerge/>
            <w:tcBorders>
              <w:left w:val="single" w:color="000000" w:sz="6" w:space="0"/>
              <w:right w:val="single" w:color="000000" w:sz="6" w:space="0"/>
            </w:tcBorders>
            <w:shd w:val="clear" w:color="auto" w:fill="D4D4D4"/>
            <w:tcMar>
              <w:top w:w="60" w:type="dxa"/>
              <w:left w:w="60" w:type="dxa"/>
              <w:bottom w:w="60" w:type="dxa"/>
              <w:right w:w="60" w:type="dxa"/>
            </w:tcMar>
            <w:hideMark/>
          </w:tcPr>
          <w:p w:rsidR="00B0069A" w:rsidP="00CC02C5" w:rsidRDefault="00B0069A" w14:paraId="103DA340" w14:textId="77777777">
            <w:pPr>
              <w:pStyle w:val="NormalWeb"/>
              <w:spacing w:before="0" w:beforeAutospacing="0" w:after="0" w:afterAutospacing="0"/>
            </w:pPr>
          </w:p>
        </w:tc>
        <w:tc>
          <w:tcPr>
            <w:tcW w:w="1812" w:type="dxa"/>
            <w:tcBorders>
              <w:top w:val="single" w:color="000000" w:sz="6" w:space="0"/>
              <w:left w:val="single" w:color="000000" w:sz="6" w:space="0"/>
              <w:bottom w:val="single" w:color="000000" w:sz="6" w:space="0"/>
              <w:right w:val="single" w:color="000000" w:sz="6" w:space="0"/>
            </w:tcBorders>
            <w:tcMar>
              <w:top w:w="60" w:type="dxa"/>
              <w:left w:w="60" w:type="dxa"/>
              <w:bottom w:w="60" w:type="dxa"/>
              <w:right w:w="60" w:type="dxa"/>
            </w:tcMar>
            <w:hideMark/>
          </w:tcPr>
          <w:p w:rsidR="00B0069A" w:rsidP="00CC02C5" w:rsidRDefault="00B0069A" w14:paraId="27AC8938" w14:textId="77777777">
            <w:pPr>
              <w:pStyle w:val="NormalWeb"/>
              <w:spacing w:before="0" w:beforeAutospacing="0" w:after="0" w:afterAutospacing="0"/>
            </w:pPr>
            <w:r>
              <w:rPr>
                <w:rFonts w:ascii="Helvetica Neue" w:hAnsi="Helvetica Neue"/>
                <w:color w:val="000000"/>
                <w:sz w:val="15"/>
                <w:szCs w:val="15"/>
              </w:rPr>
              <w:t>CAMHS Underfunding</w:t>
            </w:r>
          </w:p>
        </w:tc>
        <w:tc>
          <w:tcPr>
            <w:tcW w:w="2455" w:type="dxa"/>
            <w:tcBorders>
              <w:top w:val="single" w:color="000000" w:sz="6" w:space="0"/>
              <w:left w:val="single" w:color="000000" w:sz="6" w:space="0"/>
              <w:bottom w:val="single" w:color="000000" w:sz="6" w:space="0"/>
              <w:right w:val="single" w:color="000000" w:sz="6" w:space="0"/>
            </w:tcBorders>
            <w:tcMar>
              <w:top w:w="60" w:type="dxa"/>
              <w:left w:w="60" w:type="dxa"/>
              <w:bottom w:w="60" w:type="dxa"/>
              <w:right w:w="60" w:type="dxa"/>
            </w:tcMar>
            <w:hideMark/>
          </w:tcPr>
          <w:p w:rsidR="00B0069A" w:rsidP="00CC02C5" w:rsidRDefault="00B0069A" w14:paraId="21190150" w14:textId="0BF5CD20">
            <w:pPr>
              <w:pStyle w:val="NormalWeb"/>
              <w:spacing w:before="0" w:beforeAutospacing="0" w:after="0" w:afterAutospacing="0"/>
            </w:pPr>
            <w:r>
              <w:rPr>
                <w:rFonts w:ascii="Helvetica Neue" w:hAnsi="Helvetica Neue"/>
                <w:color w:val="000000"/>
                <w:sz w:val="15"/>
                <w:szCs w:val="15"/>
              </w:rPr>
              <w:t xml:space="preserve">CAMHS </w:t>
            </w:r>
            <w:r w:rsidR="00CB3DFB">
              <w:rPr>
                <w:rFonts w:ascii="Helvetica Neue" w:hAnsi="Helvetica Neue"/>
                <w:color w:val="000000"/>
                <w:sz w:val="15"/>
                <w:szCs w:val="15"/>
              </w:rPr>
              <w:t xml:space="preserve">is </w:t>
            </w:r>
            <w:r>
              <w:rPr>
                <w:rFonts w:ascii="Helvetica Neue" w:hAnsi="Helvetica Neue"/>
                <w:color w:val="000000"/>
                <w:sz w:val="15"/>
                <w:szCs w:val="15"/>
              </w:rPr>
              <w:t xml:space="preserve">underfunded and unable to meet demand, </w:t>
            </w:r>
            <w:r w:rsidR="00CB3DFB">
              <w:rPr>
                <w:rFonts w:ascii="Helvetica Neue" w:hAnsi="Helvetica Neue"/>
                <w:color w:val="000000"/>
                <w:sz w:val="15"/>
                <w:szCs w:val="15"/>
              </w:rPr>
              <w:t>resulting in limited,</w:t>
            </w:r>
            <w:r>
              <w:rPr>
                <w:rFonts w:ascii="Helvetica Neue" w:hAnsi="Helvetica Neue"/>
                <w:color w:val="000000"/>
                <w:sz w:val="15"/>
                <w:szCs w:val="15"/>
              </w:rPr>
              <w:t xml:space="preserve"> timely access for children.</w:t>
            </w:r>
          </w:p>
        </w:tc>
        <w:tc>
          <w:tcPr>
            <w:tcW w:w="3347" w:type="dxa"/>
            <w:tcBorders>
              <w:top w:val="single" w:color="000000" w:sz="6" w:space="0"/>
              <w:left w:val="single" w:color="000000" w:sz="6" w:space="0"/>
              <w:bottom w:val="single" w:color="000000" w:sz="6" w:space="0"/>
              <w:right w:val="single" w:color="000000" w:sz="6" w:space="0"/>
            </w:tcBorders>
            <w:tcMar>
              <w:top w:w="60" w:type="dxa"/>
              <w:left w:w="60" w:type="dxa"/>
              <w:bottom w:w="60" w:type="dxa"/>
              <w:right w:w="60" w:type="dxa"/>
            </w:tcMar>
            <w:hideMark/>
          </w:tcPr>
          <w:p w:rsidR="00B0069A" w:rsidP="00CC02C5" w:rsidRDefault="00B0069A" w14:paraId="575416FA" w14:textId="77777777">
            <w:pPr>
              <w:pStyle w:val="NormalWeb"/>
              <w:spacing w:before="0" w:beforeAutospacing="0" w:after="0" w:afterAutospacing="0"/>
            </w:pPr>
            <w:r>
              <w:rPr>
                <w:rFonts w:ascii="Helvetica Neue" w:hAnsi="Helvetica Neue"/>
                <w:color w:val="000000"/>
                <w:sz w:val="15"/>
                <w:szCs w:val="15"/>
              </w:rPr>
              <w:t>“Children in poverty: time for action to address rising inequalities in the UK.” (Hayre &amp; Pollock, 2022)</w:t>
            </w:r>
          </w:p>
        </w:tc>
        <w:tc>
          <w:tcPr>
            <w:tcW w:w="3139" w:type="dxa"/>
            <w:tcBorders>
              <w:top w:val="single" w:color="000000" w:sz="6" w:space="0"/>
              <w:left w:val="single" w:color="000000" w:sz="6" w:space="0"/>
              <w:bottom w:val="single" w:color="000000" w:sz="6" w:space="0"/>
              <w:right w:val="single" w:color="000000" w:sz="6" w:space="0"/>
            </w:tcBorders>
            <w:tcMar>
              <w:top w:w="60" w:type="dxa"/>
              <w:left w:w="60" w:type="dxa"/>
              <w:bottom w:w="60" w:type="dxa"/>
              <w:right w:w="60" w:type="dxa"/>
            </w:tcMar>
            <w:hideMark/>
          </w:tcPr>
          <w:p w:rsidR="00B0069A" w:rsidP="00CC02C5" w:rsidRDefault="00B0069A" w14:paraId="50026882" w14:textId="77777777">
            <w:pPr>
              <w:pStyle w:val="NormalWeb"/>
              <w:spacing w:before="0" w:beforeAutospacing="0" w:after="0" w:afterAutospacing="0"/>
            </w:pPr>
            <w:r>
              <w:rPr>
                <w:rFonts w:ascii="Helvetica Neue" w:hAnsi="Helvetica Neue"/>
                <w:color w:val="000000"/>
                <w:sz w:val="15"/>
                <w:szCs w:val="15"/>
              </w:rPr>
              <w:t>Demonstrates how underfunded services exacerbate poverty’s impact, linking directly to research objectives.</w:t>
            </w:r>
          </w:p>
        </w:tc>
      </w:tr>
      <w:tr w:rsidR="00B0069A" w:rsidTr="00B0069A" w14:paraId="315322F2" w14:textId="77777777">
        <w:trPr>
          <w:trHeight w:val="156"/>
        </w:trPr>
        <w:tc>
          <w:tcPr>
            <w:tcW w:w="2040" w:type="dxa"/>
            <w:vMerge/>
            <w:tcBorders>
              <w:left w:val="single" w:color="000000" w:sz="6" w:space="0"/>
              <w:right w:val="single" w:color="000000" w:sz="6" w:space="0"/>
            </w:tcBorders>
            <w:shd w:val="clear" w:color="auto" w:fill="D4D4D4"/>
            <w:tcMar>
              <w:top w:w="60" w:type="dxa"/>
              <w:left w:w="60" w:type="dxa"/>
              <w:bottom w:w="60" w:type="dxa"/>
              <w:right w:w="60" w:type="dxa"/>
            </w:tcMar>
            <w:hideMark/>
          </w:tcPr>
          <w:p w:rsidR="00B0069A" w:rsidP="00CC02C5" w:rsidRDefault="00B0069A" w14:paraId="75B2C8D7" w14:textId="77777777">
            <w:pPr>
              <w:pStyle w:val="NormalWeb"/>
              <w:spacing w:before="0" w:beforeAutospacing="0" w:after="0" w:afterAutospacing="0"/>
            </w:pPr>
          </w:p>
        </w:tc>
        <w:tc>
          <w:tcPr>
            <w:tcW w:w="1812" w:type="dxa"/>
            <w:tcBorders>
              <w:top w:val="single" w:color="000000" w:sz="6" w:space="0"/>
              <w:left w:val="single" w:color="000000" w:sz="6" w:space="0"/>
              <w:bottom w:val="single" w:color="000000" w:sz="6" w:space="0"/>
              <w:right w:val="single" w:color="000000" w:sz="6" w:space="0"/>
            </w:tcBorders>
            <w:tcMar>
              <w:top w:w="60" w:type="dxa"/>
              <w:left w:w="60" w:type="dxa"/>
              <w:bottom w:w="60" w:type="dxa"/>
              <w:right w:w="60" w:type="dxa"/>
            </w:tcMar>
            <w:hideMark/>
          </w:tcPr>
          <w:p w:rsidR="00B0069A" w:rsidP="00CC02C5" w:rsidRDefault="00B0069A" w14:paraId="66CFE2DA" w14:textId="77777777">
            <w:pPr>
              <w:pStyle w:val="NormalWeb"/>
              <w:spacing w:before="0" w:beforeAutospacing="0" w:after="0" w:afterAutospacing="0"/>
            </w:pPr>
            <w:r>
              <w:rPr>
                <w:rFonts w:ascii="Helvetica Neue" w:hAnsi="Helvetica Neue"/>
                <w:color w:val="000000"/>
                <w:sz w:val="15"/>
                <w:szCs w:val="15"/>
              </w:rPr>
              <w:t>Policy Failures</w:t>
            </w:r>
          </w:p>
        </w:tc>
        <w:tc>
          <w:tcPr>
            <w:tcW w:w="2455" w:type="dxa"/>
            <w:tcBorders>
              <w:top w:val="single" w:color="000000" w:sz="6" w:space="0"/>
              <w:left w:val="single" w:color="000000" w:sz="6" w:space="0"/>
              <w:bottom w:val="single" w:color="000000" w:sz="6" w:space="0"/>
              <w:right w:val="single" w:color="000000" w:sz="6" w:space="0"/>
            </w:tcBorders>
            <w:tcMar>
              <w:top w:w="60" w:type="dxa"/>
              <w:left w:w="60" w:type="dxa"/>
              <w:bottom w:w="60" w:type="dxa"/>
              <w:right w:w="60" w:type="dxa"/>
            </w:tcMar>
            <w:hideMark/>
          </w:tcPr>
          <w:p w:rsidR="00B0069A" w:rsidP="00CC02C5" w:rsidRDefault="00B0069A" w14:paraId="503EC40C" w14:textId="51D64298">
            <w:pPr>
              <w:pStyle w:val="NormalWeb"/>
              <w:spacing w:before="0" w:beforeAutospacing="0" w:after="0" w:afterAutospacing="0"/>
            </w:pPr>
            <w:r>
              <w:rPr>
                <w:rFonts w:ascii="Helvetica Neue" w:hAnsi="Helvetica Neue"/>
                <w:color w:val="000000"/>
                <w:sz w:val="15"/>
                <w:szCs w:val="15"/>
              </w:rPr>
              <w:t>Policy inaction and failure to meet child poverty targets worsen inequalities.</w:t>
            </w:r>
          </w:p>
        </w:tc>
        <w:tc>
          <w:tcPr>
            <w:tcW w:w="3347" w:type="dxa"/>
            <w:tcBorders>
              <w:top w:val="single" w:color="000000" w:sz="6" w:space="0"/>
              <w:left w:val="single" w:color="000000" w:sz="6" w:space="0"/>
              <w:bottom w:val="single" w:color="000000" w:sz="6" w:space="0"/>
              <w:right w:val="single" w:color="000000" w:sz="6" w:space="0"/>
            </w:tcBorders>
            <w:tcMar>
              <w:top w:w="60" w:type="dxa"/>
              <w:left w:w="60" w:type="dxa"/>
              <w:bottom w:w="60" w:type="dxa"/>
              <w:right w:w="60" w:type="dxa"/>
            </w:tcMar>
            <w:hideMark/>
          </w:tcPr>
          <w:p w:rsidR="00B0069A" w:rsidP="00CC02C5" w:rsidRDefault="00B0069A" w14:paraId="12F3EE0F" w14:textId="77777777">
            <w:pPr>
              <w:pStyle w:val="NormalWeb"/>
              <w:spacing w:before="0" w:beforeAutospacing="0" w:after="0" w:afterAutospacing="0"/>
            </w:pPr>
            <w:r>
              <w:rPr>
                <w:rFonts w:ascii="Helvetica Neue" w:hAnsi="Helvetica Neue"/>
                <w:color w:val="000000"/>
                <w:sz w:val="15"/>
                <w:szCs w:val="15"/>
              </w:rPr>
              <w:t>“Eliminating child poverty in the UK would save 1,400 child lives annually.” (Wickham et al., 2016)</w:t>
            </w:r>
          </w:p>
        </w:tc>
        <w:tc>
          <w:tcPr>
            <w:tcW w:w="3139" w:type="dxa"/>
            <w:tcBorders>
              <w:top w:val="single" w:color="000000" w:sz="6" w:space="0"/>
              <w:left w:val="single" w:color="000000" w:sz="6" w:space="0"/>
              <w:bottom w:val="single" w:color="000000" w:sz="6" w:space="0"/>
              <w:right w:val="single" w:color="000000" w:sz="6" w:space="0"/>
            </w:tcBorders>
            <w:tcMar>
              <w:top w:w="60" w:type="dxa"/>
              <w:left w:w="60" w:type="dxa"/>
              <w:bottom w:w="60" w:type="dxa"/>
              <w:right w:w="60" w:type="dxa"/>
            </w:tcMar>
            <w:hideMark/>
          </w:tcPr>
          <w:p w:rsidR="00B0069A" w:rsidP="00CC02C5" w:rsidRDefault="00B0069A" w14:paraId="330065EE" w14:textId="77777777">
            <w:pPr>
              <w:pStyle w:val="NormalWeb"/>
              <w:spacing w:before="0" w:beforeAutospacing="0" w:after="0" w:afterAutospacing="0"/>
            </w:pPr>
            <w:r>
              <w:rPr>
                <w:rFonts w:ascii="Helvetica Neue" w:hAnsi="Helvetica Neue"/>
                <w:color w:val="000000"/>
                <w:sz w:val="15"/>
                <w:szCs w:val="15"/>
              </w:rPr>
              <w:t>Highlights the role of political choices in shaping inequalities, reinforcing the call for accountability.</w:t>
            </w:r>
          </w:p>
        </w:tc>
      </w:tr>
      <w:tr w:rsidR="00B0069A" w:rsidTr="00B0069A" w14:paraId="5A66E6EC" w14:textId="77777777">
        <w:trPr>
          <w:trHeight w:val="156"/>
        </w:trPr>
        <w:tc>
          <w:tcPr>
            <w:tcW w:w="2040" w:type="dxa"/>
            <w:vMerge/>
            <w:tcBorders>
              <w:left w:val="single" w:color="000000" w:sz="6" w:space="0"/>
              <w:right w:val="single" w:color="000000" w:sz="6" w:space="0"/>
            </w:tcBorders>
            <w:shd w:val="clear" w:color="auto" w:fill="D4D4D4"/>
            <w:tcMar>
              <w:top w:w="60" w:type="dxa"/>
              <w:left w:w="60" w:type="dxa"/>
              <w:bottom w:w="60" w:type="dxa"/>
              <w:right w:w="60" w:type="dxa"/>
            </w:tcMar>
            <w:hideMark/>
          </w:tcPr>
          <w:p w:rsidR="00B0069A" w:rsidP="00CC02C5" w:rsidRDefault="00B0069A" w14:paraId="5D705C54" w14:textId="77777777">
            <w:pPr>
              <w:pStyle w:val="NormalWeb"/>
              <w:spacing w:before="0" w:beforeAutospacing="0" w:after="0" w:afterAutospacing="0"/>
            </w:pPr>
          </w:p>
        </w:tc>
        <w:tc>
          <w:tcPr>
            <w:tcW w:w="1812" w:type="dxa"/>
            <w:tcBorders>
              <w:top w:val="single" w:color="000000" w:sz="6" w:space="0"/>
              <w:left w:val="single" w:color="000000" w:sz="6" w:space="0"/>
              <w:bottom w:val="single" w:color="000000" w:sz="6" w:space="0"/>
              <w:right w:val="single" w:color="000000" w:sz="6" w:space="0"/>
            </w:tcBorders>
            <w:tcMar>
              <w:top w:w="60" w:type="dxa"/>
              <w:left w:w="60" w:type="dxa"/>
              <w:bottom w:w="60" w:type="dxa"/>
              <w:right w:w="60" w:type="dxa"/>
            </w:tcMar>
            <w:hideMark/>
          </w:tcPr>
          <w:p w:rsidR="00B0069A" w:rsidP="00CC02C5" w:rsidRDefault="00B0069A" w14:paraId="3A92E81E" w14:textId="77777777">
            <w:pPr>
              <w:pStyle w:val="NormalWeb"/>
              <w:spacing w:before="0" w:beforeAutospacing="0" w:after="0" w:afterAutospacing="0"/>
            </w:pPr>
            <w:r>
              <w:rPr>
                <w:rFonts w:ascii="Helvetica Neue" w:hAnsi="Helvetica Neue"/>
                <w:color w:val="000000"/>
                <w:sz w:val="15"/>
                <w:szCs w:val="15"/>
              </w:rPr>
              <w:t>ECEC Inequalities</w:t>
            </w:r>
          </w:p>
        </w:tc>
        <w:tc>
          <w:tcPr>
            <w:tcW w:w="2455" w:type="dxa"/>
            <w:tcBorders>
              <w:top w:val="single" w:color="000000" w:sz="6" w:space="0"/>
              <w:left w:val="single" w:color="000000" w:sz="6" w:space="0"/>
              <w:bottom w:val="single" w:color="000000" w:sz="6" w:space="0"/>
              <w:right w:val="single" w:color="000000" w:sz="6" w:space="0"/>
            </w:tcBorders>
            <w:tcMar>
              <w:top w:w="60" w:type="dxa"/>
              <w:left w:w="60" w:type="dxa"/>
              <w:bottom w:w="60" w:type="dxa"/>
              <w:right w:w="60" w:type="dxa"/>
            </w:tcMar>
            <w:hideMark/>
          </w:tcPr>
          <w:p w:rsidR="00B0069A" w:rsidP="00CC02C5" w:rsidRDefault="00B0069A" w14:paraId="30DFAC6D" w14:textId="77777777">
            <w:pPr>
              <w:pStyle w:val="NormalWeb"/>
              <w:spacing w:before="0" w:beforeAutospacing="0" w:after="0" w:afterAutospacing="0"/>
            </w:pPr>
            <w:r>
              <w:rPr>
                <w:rFonts w:ascii="Helvetica Neue" w:hAnsi="Helvetica Neue"/>
                <w:color w:val="000000"/>
                <w:sz w:val="15"/>
                <w:szCs w:val="15"/>
              </w:rPr>
              <w:t>Unequal access to early childhood education undermines long-term resilience and wellbeing.</w:t>
            </w:r>
          </w:p>
        </w:tc>
        <w:tc>
          <w:tcPr>
            <w:tcW w:w="3347" w:type="dxa"/>
            <w:tcBorders>
              <w:top w:val="single" w:color="000000" w:sz="6" w:space="0"/>
              <w:left w:val="single" w:color="000000" w:sz="6" w:space="0"/>
              <w:bottom w:val="single" w:color="000000" w:sz="6" w:space="0"/>
              <w:right w:val="single" w:color="000000" w:sz="6" w:space="0"/>
            </w:tcBorders>
            <w:tcMar>
              <w:top w:w="60" w:type="dxa"/>
              <w:left w:w="60" w:type="dxa"/>
              <w:bottom w:w="60" w:type="dxa"/>
              <w:right w:w="60" w:type="dxa"/>
            </w:tcMar>
            <w:hideMark/>
          </w:tcPr>
          <w:p w:rsidR="00B0069A" w:rsidP="00CC02C5" w:rsidRDefault="00B0069A" w14:paraId="0FE6B029" w14:textId="77777777">
            <w:pPr>
              <w:pStyle w:val="NormalWeb"/>
              <w:spacing w:before="0" w:beforeAutospacing="0" w:after="0" w:afterAutospacing="0"/>
            </w:pPr>
            <w:r>
              <w:rPr>
                <w:rFonts w:ascii="Helvetica Neue" w:hAnsi="Helvetica Neue"/>
                <w:color w:val="000000"/>
                <w:sz w:val="15"/>
                <w:szCs w:val="15"/>
              </w:rPr>
              <w:t>“Only good-quality ECEC has long-term beneficial effects for poor children.” (Lloyd &amp; Potter, 2014)</w:t>
            </w:r>
          </w:p>
        </w:tc>
        <w:tc>
          <w:tcPr>
            <w:tcW w:w="3139" w:type="dxa"/>
            <w:tcBorders>
              <w:top w:val="single" w:color="000000" w:sz="6" w:space="0"/>
              <w:left w:val="single" w:color="000000" w:sz="6" w:space="0"/>
              <w:bottom w:val="single" w:color="000000" w:sz="6" w:space="0"/>
              <w:right w:val="single" w:color="000000" w:sz="6" w:space="0"/>
            </w:tcBorders>
            <w:tcMar>
              <w:top w:w="60" w:type="dxa"/>
              <w:left w:w="60" w:type="dxa"/>
              <w:bottom w:w="60" w:type="dxa"/>
              <w:right w:w="60" w:type="dxa"/>
            </w:tcMar>
            <w:hideMark/>
          </w:tcPr>
          <w:p w:rsidR="00B0069A" w:rsidP="00CC02C5" w:rsidRDefault="00B0069A" w14:paraId="2000D137" w14:textId="77777777">
            <w:pPr>
              <w:pStyle w:val="NormalWeb"/>
              <w:spacing w:before="0" w:beforeAutospacing="0" w:after="0" w:afterAutospacing="0"/>
            </w:pPr>
            <w:r>
              <w:rPr>
                <w:rFonts w:ascii="Helvetica Neue" w:hAnsi="Helvetica Neue"/>
                <w:color w:val="000000"/>
                <w:sz w:val="15"/>
                <w:szCs w:val="15"/>
              </w:rPr>
              <w:t>Links early childhood education access with resilience, offering policy targets for long-term change.</w:t>
            </w:r>
          </w:p>
        </w:tc>
      </w:tr>
      <w:tr w:rsidR="00B0069A" w:rsidTr="00B0069A" w14:paraId="378FA320" w14:textId="77777777">
        <w:trPr>
          <w:trHeight w:val="156"/>
        </w:trPr>
        <w:tc>
          <w:tcPr>
            <w:tcW w:w="2040" w:type="dxa"/>
            <w:vMerge/>
            <w:tcBorders>
              <w:left w:val="single" w:color="000000" w:sz="6" w:space="0"/>
              <w:bottom w:val="single" w:color="000000" w:sz="6" w:space="0"/>
              <w:right w:val="single" w:color="000000" w:sz="6" w:space="0"/>
            </w:tcBorders>
            <w:shd w:val="clear" w:color="auto" w:fill="D4D4D4"/>
            <w:tcMar>
              <w:top w:w="60" w:type="dxa"/>
              <w:left w:w="60" w:type="dxa"/>
              <w:bottom w:w="60" w:type="dxa"/>
              <w:right w:w="60" w:type="dxa"/>
            </w:tcMar>
            <w:hideMark/>
          </w:tcPr>
          <w:p w:rsidR="00B0069A" w:rsidP="00CC02C5" w:rsidRDefault="00B0069A" w14:paraId="38B5D190" w14:textId="77777777">
            <w:pPr>
              <w:pStyle w:val="NormalWeb"/>
              <w:spacing w:before="0" w:beforeAutospacing="0" w:after="0" w:afterAutospacing="0"/>
            </w:pPr>
          </w:p>
        </w:tc>
        <w:tc>
          <w:tcPr>
            <w:tcW w:w="1812" w:type="dxa"/>
            <w:tcBorders>
              <w:top w:val="single" w:color="000000" w:sz="6" w:space="0"/>
              <w:left w:val="single" w:color="000000" w:sz="6" w:space="0"/>
              <w:bottom w:val="single" w:color="000000" w:sz="6" w:space="0"/>
              <w:right w:val="single" w:color="000000" w:sz="6" w:space="0"/>
            </w:tcBorders>
            <w:tcMar>
              <w:top w:w="60" w:type="dxa"/>
              <w:left w:w="60" w:type="dxa"/>
              <w:bottom w:w="60" w:type="dxa"/>
              <w:right w:w="60" w:type="dxa"/>
            </w:tcMar>
            <w:hideMark/>
          </w:tcPr>
          <w:p w:rsidR="00B0069A" w:rsidP="00CC02C5" w:rsidRDefault="00B0069A" w14:paraId="32355562" w14:textId="77777777">
            <w:pPr>
              <w:pStyle w:val="NormalWeb"/>
              <w:spacing w:before="0" w:beforeAutospacing="0" w:after="0" w:afterAutospacing="0"/>
            </w:pPr>
            <w:r>
              <w:rPr>
                <w:rFonts w:ascii="Helvetica Neue" w:hAnsi="Helvetica Neue"/>
                <w:color w:val="000000"/>
                <w:sz w:val="15"/>
                <w:szCs w:val="15"/>
              </w:rPr>
              <w:t>NHS Service Constraints</w:t>
            </w:r>
          </w:p>
        </w:tc>
        <w:tc>
          <w:tcPr>
            <w:tcW w:w="2455" w:type="dxa"/>
            <w:tcBorders>
              <w:top w:val="single" w:color="000000" w:sz="6" w:space="0"/>
              <w:left w:val="single" w:color="000000" w:sz="6" w:space="0"/>
              <w:bottom w:val="single" w:color="000000" w:sz="6" w:space="0"/>
              <w:right w:val="single" w:color="000000" w:sz="6" w:space="0"/>
            </w:tcBorders>
            <w:tcMar>
              <w:top w:w="60" w:type="dxa"/>
              <w:left w:w="60" w:type="dxa"/>
              <w:bottom w:w="60" w:type="dxa"/>
              <w:right w:w="60" w:type="dxa"/>
            </w:tcMar>
            <w:hideMark/>
          </w:tcPr>
          <w:p w:rsidR="00B0069A" w:rsidP="00CC02C5" w:rsidRDefault="00CB3DFB" w14:paraId="431962CC" w14:textId="2E6B7B57">
            <w:pPr>
              <w:pStyle w:val="NormalWeb"/>
              <w:spacing w:before="0" w:beforeAutospacing="0" w:after="0" w:afterAutospacing="0"/>
            </w:pPr>
            <w:r>
              <w:rPr>
                <w:rFonts w:ascii="Helvetica Neue" w:hAnsi="Helvetica Neue"/>
                <w:color w:val="000000"/>
                <w:sz w:val="15"/>
                <w:szCs w:val="15"/>
              </w:rPr>
              <w:t>The NHS's structural focus limits poverty reduction despite its</w:t>
            </w:r>
            <w:r w:rsidR="00B0069A">
              <w:rPr>
                <w:rFonts w:ascii="Helvetica Neue" w:hAnsi="Helvetica Neue"/>
                <w:color w:val="000000"/>
                <w:sz w:val="15"/>
                <w:szCs w:val="15"/>
              </w:rPr>
              <w:t xml:space="preserve"> universalism.</w:t>
            </w:r>
          </w:p>
        </w:tc>
        <w:tc>
          <w:tcPr>
            <w:tcW w:w="3347" w:type="dxa"/>
            <w:tcBorders>
              <w:top w:val="single" w:color="000000" w:sz="6" w:space="0"/>
              <w:left w:val="single" w:color="000000" w:sz="6" w:space="0"/>
              <w:bottom w:val="single" w:color="000000" w:sz="6" w:space="0"/>
              <w:right w:val="single" w:color="000000" w:sz="6" w:space="0"/>
            </w:tcBorders>
            <w:tcMar>
              <w:top w:w="60" w:type="dxa"/>
              <w:left w:w="60" w:type="dxa"/>
              <w:bottom w:w="60" w:type="dxa"/>
              <w:right w:w="60" w:type="dxa"/>
            </w:tcMar>
            <w:hideMark/>
          </w:tcPr>
          <w:p w:rsidR="00B0069A" w:rsidP="00CC02C5" w:rsidRDefault="00B0069A" w14:paraId="3FF00FEA" w14:textId="77777777">
            <w:pPr>
              <w:pStyle w:val="NormalWeb"/>
              <w:spacing w:before="0" w:beforeAutospacing="0" w:after="0" w:afterAutospacing="0"/>
            </w:pPr>
            <w:r>
              <w:rPr>
                <w:rFonts w:ascii="Helvetica Neue" w:hAnsi="Helvetica Neue"/>
                <w:color w:val="000000"/>
                <w:sz w:val="15"/>
                <w:szCs w:val="15"/>
              </w:rPr>
              <w:t xml:space="preserve">“The NHS can do more to positively tackle poverty.” (Buck &amp; </w:t>
            </w:r>
            <w:proofErr w:type="spellStart"/>
            <w:r>
              <w:rPr>
                <w:rFonts w:ascii="Helvetica Neue" w:hAnsi="Helvetica Neue"/>
                <w:color w:val="000000"/>
                <w:sz w:val="15"/>
                <w:szCs w:val="15"/>
              </w:rPr>
              <w:t>Jabbal</w:t>
            </w:r>
            <w:proofErr w:type="spellEnd"/>
            <w:r>
              <w:rPr>
                <w:rFonts w:ascii="Helvetica Neue" w:hAnsi="Helvetica Neue"/>
                <w:color w:val="000000"/>
                <w:sz w:val="15"/>
                <w:szCs w:val="15"/>
              </w:rPr>
              <w:t>, 2014)</w:t>
            </w:r>
          </w:p>
        </w:tc>
        <w:tc>
          <w:tcPr>
            <w:tcW w:w="3139" w:type="dxa"/>
            <w:tcBorders>
              <w:top w:val="single" w:color="000000" w:sz="6" w:space="0"/>
              <w:left w:val="single" w:color="000000" w:sz="6" w:space="0"/>
              <w:bottom w:val="single" w:color="000000" w:sz="6" w:space="0"/>
              <w:right w:val="single" w:color="000000" w:sz="6" w:space="0"/>
            </w:tcBorders>
            <w:tcMar>
              <w:top w:w="60" w:type="dxa"/>
              <w:left w:w="60" w:type="dxa"/>
              <w:bottom w:w="60" w:type="dxa"/>
              <w:right w:w="60" w:type="dxa"/>
            </w:tcMar>
            <w:hideMark/>
          </w:tcPr>
          <w:p w:rsidR="00B0069A" w:rsidP="00CC02C5" w:rsidRDefault="00B0069A" w14:paraId="779F5BBF" w14:textId="5B6CFC77">
            <w:pPr>
              <w:pStyle w:val="NormalWeb"/>
              <w:spacing w:before="0" w:beforeAutospacing="0" w:after="0" w:afterAutospacing="0"/>
            </w:pPr>
            <w:r>
              <w:rPr>
                <w:rFonts w:ascii="Helvetica Neue" w:hAnsi="Helvetica Neue"/>
                <w:color w:val="000000"/>
                <w:sz w:val="15"/>
                <w:szCs w:val="15"/>
              </w:rPr>
              <w:t xml:space="preserve">Positions </w:t>
            </w:r>
            <w:r w:rsidR="00CB3DFB">
              <w:rPr>
                <w:rFonts w:ascii="Helvetica Neue" w:hAnsi="Helvetica Neue"/>
                <w:color w:val="000000"/>
                <w:sz w:val="15"/>
                <w:szCs w:val="15"/>
              </w:rPr>
              <w:t>the NHS as both part of the problem and part of the solution, reinforcing the</w:t>
            </w:r>
            <w:r>
              <w:rPr>
                <w:rFonts w:ascii="Helvetica Neue" w:hAnsi="Helvetica Neue"/>
                <w:color w:val="000000"/>
                <w:sz w:val="15"/>
                <w:szCs w:val="15"/>
              </w:rPr>
              <w:t xml:space="preserve"> policy/service gap theme.</w:t>
            </w:r>
          </w:p>
        </w:tc>
      </w:tr>
      <w:tr w:rsidR="00B0069A" w:rsidTr="00B0069A" w14:paraId="083A118A" w14:textId="77777777">
        <w:trPr>
          <w:trHeight w:val="156"/>
        </w:trPr>
        <w:tc>
          <w:tcPr>
            <w:tcW w:w="2040" w:type="dxa"/>
            <w:vMerge w:val="restart"/>
            <w:tcBorders>
              <w:top w:val="single" w:color="000000" w:sz="6" w:space="0"/>
              <w:left w:val="single" w:color="000000" w:sz="6" w:space="0"/>
              <w:right w:val="single" w:color="000000" w:sz="6" w:space="0"/>
            </w:tcBorders>
            <w:shd w:val="clear" w:color="auto" w:fill="D4D4D4"/>
            <w:tcMar>
              <w:top w:w="60" w:type="dxa"/>
              <w:left w:w="60" w:type="dxa"/>
              <w:bottom w:w="60" w:type="dxa"/>
              <w:right w:w="60" w:type="dxa"/>
            </w:tcMar>
            <w:hideMark/>
          </w:tcPr>
          <w:p w:rsidR="00B0069A" w:rsidP="00CC02C5" w:rsidRDefault="00B0069A" w14:paraId="1C71DC51" w14:textId="77777777">
            <w:pPr>
              <w:pStyle w:val="NormalWeb"/>
              <w:spacing w:before="0" w:beforeAutospacing="0" w:after="0" w:afterAutospacing="0"/>
              <w:rPr>
                <w:rFonts w:ascii="Helvetica Neue" w:hAnsi="Helvetica Neue"/>
                <w:b/>
                <w:bCs/>
                <w:color w:val="000000"/>
                <w:sz w:val="15"/>
                <w:szCs w:val="15"/>
              </w:rPr>
            </w:pPr>
            <w:r>
              <w:rPr>
                <w:rFonts w:ascii="Helvetica Neue" w:hAnsi="Helvetica Neue"/>
                <w:b/>
                <w:bCs/>
                <w:color w:val="000000"/>
                <w:sz w:val="15"/>
                <w:szCs w:val="15"/>
              </w:rPr>
              <w:t>Socioeconomic Inequalities in Urban Settings</w:t>
            </w:r>
          </w:p>
          <w:p w:rsidR="00B0069A" w:rsidP="00CC02C5" w:rsidRDefault="00B0069A" w14:paraId="571DD329" w14:textId="77777777">
            <w:pPr>
              <w:pStyle w:val="NormalWeb"/>
              <w:spacing w:before="0" w:beforeAutospacing="0" w:after="0" w:afterAutospacing="0"/>
              <w:rPr>
                <w:rFonts w:ascii="Helvetica Neue" w:hAnsi="Helvetica Neue"/>
                <w:color w:val="000000"/>
                <w:sz w:val="15"/>
                <w:szCs w:val="15"/>
              </w:rPr>
            </w:pPr>
          </w:p>
          <w:p w:rsidR="00B0069A" w:rsidP="00CC02C5" w:rsidRDefault="00B0069A" w14:paraId="2E3AAD87" w14:textId="77777777">
            <w:pPr>
              <w:pStyle w:val="NormalWeb"/>
              <w:spacing w:before="0" w:beforeAutospacing="0" w:after="0" w:afterAutospacing="0"/>
              <w:rPr>
                <w:rFonts w:ascii="Helvetica Neue" w:hAnsi="Helvetica Neue"/>
                <w:color w:val="000000"/>
                <w:sz w:val="15"/>
                <w:szCs w:val="15"/>
              </w:rPr>
            </w:pPr>
          </w:p>
          <w:p w:rsidR="00B0069A" w:rsidP="00CC02C5" w:rsidRDefault="00B0069A" w14:paraId="1C1FE185" w14:textId="77777777">
            <w:pPr>
              <w:pStyle w:val="NormalWeb"/>
              <w:spacing w:before="0" w:beforeAutospacing="0" w:after="0" w:afterAutospacing="0"/>
              <w:rPr>
                <w:rFonts w:ascii="Helvetica Neue" w:hAnsi="Helvetica Neue"/>
                <w:color w:val="000000"/>
                <w:sz w:val="15"/>
                <w:szCs w:val="15"/>
              </w:rPr>
            </w:pPr>
          </w:p>
          <w:p w:rsidR="00B0069A" w:rsidP="00CC02C5" w:rsidRDefault="00B0069A" w14:paraId="0E1B7E1E" w14:textId="77777777">
            <w:pPr>
              <w:pStyle w:val="NormalWeb"/>
              <w:spacing w:before="0" w:beforeAutospacing="0" w:after="0" w:afterAutospacing="0"/>
              <w:rPr>
                <w:rFonts w:ascii="Helvetica Neue" w:hAnsi="Helvetica Neue"/>
                <w:color w:val="000000"/>
                <w:sz w:val="15"/>
                <w:szCs w:val="15"/>
              </w:rPr>
            </w:pPr>
          </w:p>
          <w:p w:rsidR="00B0069A" w:rsidP="00CC02C5" w:rsidRDefault="00B0069A" w14:paraId="4FC1ED5C" w14:textId="77777777">
            <w:pPr>
              <w:pStyle w:val="NormalWeb"/>
              <w:spacing w:before="0" w:beforeAutospacing="0" w:after="0" w:afterAutospacing="0"/>
              <w:rPr>
                <w:rFonts w:ascii="Helvetica Neue" w:hAnsi="Helvetica Neue"/>
                <w:color w:val="000000"/>
                <w:sz w:val="15"/>
                <w:szCs w:val="15"/>
              </w:rPr>
            </w:pPr>
          </w:p>
          <w:p w:rsidR="00B0069A" w:rsidP="00CC02C5" w:rsidRDefault="00B0069A" w14:paraId="5DBBBF8E" w14:textId="77777777">
            <w:pPr>
              <w:pStyle w:val="NormalWeb"/>
              <w:spacing w:before="0" w:beforeAutospacing="0" w:after="0" w:afterAutospacing="0"/>
              <w:rPr>
                <w:rFonts w:ascii="Helvetica Neue" w:hAnsi="Helvetica Neue"/>
                <w:color w:val="000000"/>
                <w:sz w:val="15"/>
                <w:szCs w:val="15"/>
              </w:rPr>
            </w:pPr>
          </w:p>
          <w:p w:rsidR="00B0069A" w:rsidP="00CC02C5" w:rsidRDefault="00B0069A" w14:paraId="06B0A253" w14:textId="77777777">
            <w:pPr>
              <w:pStyle w:val="NormalWeb"/>
              <w:spacing w:before="0" w:beforeAutospacing="0" w:after="0" w:afterAutospacing="0"/>
              <w:rPr>
                <w:rFonts w:ascii="Helvetica Neue" w:hAnsi="Helvetica Neue"/>
                <w:color w:val="000000"/>
                <w:sz w:val="15"/>
                <w:szCs w:val="15"/>
              </w:rPr>
            </w:pPr>
          </w:p>
          <w:p w:rsidR="00B0069A" w:rsidP="00CC02C5" w:rsidRDefault="00B0069A" w14:paraId="415007AB" w14:textId="77777777">
            <w:pPr>
              <w:pStyle w:val="NormalWeb"/>
              <w:spacing w:before="0" w:beforeAutospacing="0" w:after="0" w:afterAutospacing="0"/>
              <w:rPr>
                <w:rFonts w:ascii="Helvetica Neue" w:hAnsi="Helvetica Neue"/>
                <w:color w:val="000000"/>
                <w:sz w:val="15"/>
                <w:szCs w:val="15"/>
              </w:rPr>
            </w:pPr>
          </w:p>
          <w:p w:rsidR="00B0069A" w:rsidP="00CC02C5" w:rsidRDefault="00B0069A" w14:paraId="364309D5" w14:textId="77777777">
            <w:pPr>
              <w:pStyle w:val="NormalWeb"/>
              <w:spacing w:before="0" w:beforeAutospacing="0" w:after="0" w:afterAutospacing="0"/>
            </w:pPr>
          </w:p>
        </w:tc>
        <w:tc>
          <w:tcPr>
            <w:tcW w:w="1812" w:type="dxa"/>
            <w:tcBorders>
              <w:top w:val="single" w:color="000000" w:sz="6" w:space="0"/>
              <w:left w:val="single" w:color="000000" w:sz="6" w:space="0"/>
              <w:bottom w:val="single" w:color="000000" w:sz="6" w:space="0"/>
              <w:right w:val="single" w:color="000000" w:sz="6" w:space="0"/>
            </w:tcBorders>
            <w:tcMar>
              <w:top w:w="60" w:type="dxa"/>
              <w:left w:w="60" w:type="dxa"/>
              <w:bottom w:w="60" w:type="dxa"/>
              <w:right w:w="60" w:type="dxa"/>
            </w:tcMar>
            <w:hideMark/>
          </w:tcPr>
          <w:p w:rsidR="00B0069A" w:rsidP="00CC02C5" w:rsidRDefault="00B0069A" w14:paraId="44DCFAA2" w14:textId="77777777">
            <w:pPr>
              <w:pStyle w:val="NormalWeb"/>
              <w:spacing w:before="0" w:beforeAutospacing="0" w:after="0" w:afterAutospacing="0"/>
            </w:pPr>
            <w:r>
              <w:rPr>
                <w:rFonts w:ascii="Helvetica Neue" w:hAnsi="Helvetica Neue"/>
                <w:color w:val="000000"/>
                <w:sz w:val="15"/>
                <w:szCs w:val="15"/>
              </w:rPr>
              <w:lastRenderedPageBreak/>
              <w:t>Urban Deprivation</w:t>
            </w:r>
          </w:p>
        </w:tc>
        <w:tc>
          <w:tcPr>
            <w:tcW w:w="2455" w:type="dxa"/>
            <w:tcBorders>
              <w:top w:val="single" w:color="000000" w:sz="6" w:space="0"/>
              <w:left w:val="single" w:color="000000" w:sz="6" w:space="0"/>
              <w:bottom w:val="single" w:color="000000" w:sz="6" w:space="0"/>
              <w:right w:val="single" w:color="000000" w:sz="6" w:space="0"/>
            </w:tcBorders>
            <w:tcMar>
              <w:top w:w="60" w:type="dxa"/>
              <w:left w:w="60" w:type="dxa"/>
              <w:bottom w:w="60" w:type="dxa"/>
              <w:right w:w="60" w:type="dxa"/>
            </w:tcMar>
            <w:hideMark/>
          </w:tcPr>
          <w:p w:rsidR="00B0069A" w:rsidP="00CC02C5" w:rsidRDefault="00B0069A" w14:paraId="6C87F2EA" w14:textId="77777777">
            <w:pPr>
              <w:pStyle w:val="NormalWeb"/>
              <w:spacing w:before="0" w:beforeAutospacing="0" w:after="0" w:afterAutospacing="0"/>
            </w:pPr>
            <w:r>
              <w:rPr>
                <w:rFonts w:ascii="Helvetica Neue" w:hAnsi="Helvetica Neue"/>
                <w:color w:val="000000"/>
                <w:sz w:val="15"/>
                <w:szCs w:val="15"/>
              </w:rPr>
              <w:t>Urban poor areas face structural deprivation linked to worse mental health outcomes.</w:t>
            </w:r>
          </w:p>
        </w:tc>
        <w:tc>
          <w:tcPr>
            <w:tcW w:w="3347" w:type="dxa"/>
            <w:tcBorders>
              <w:top w:val="single" w:color="000000" w:sz="6" w:space="0"/>
              <w:left w:val="single" w:color="000000" w:sz="6" w:space="0"/>
              <w:bottom w:val="single" w:color="000000" w:sz="6" w:space="0"/>
              <w:right w:val="single" w:color="000000" w:sz="6" w:space="0"/>
            </w:tcBorders>
            <w:tcMar>
              <w:top w:w="60" w:type="dxa"/>
              <w:left w:w="60" w:type="dxa"/>
              <w:bottom w:w="60" w:type="dxa"/>
              <w:right w:w="60" w:type="dxa"/>
            </w:tcMar>
            <w:hideMark/>
          </w:tcPr>
          <w:p w:rsidR="00B0069A" w:rsidP="00CC02C5" w:rsidRDefault="00B0069A" w14:paraId="367EE196" w14:textId="77777777">
            <w:pPr>
              <w:pStyle w:val="NormalWeb"/>
              <w:spacing w:before="0" w:beforeAutospacing="0" w:after="0" w:afterAutospacing="0"/>
            </w:pPr>
            <w:r>
              <w:rPr>
                <w:rFonts w:ascii="Helvetica Neue" w:hAnsi="Helvetica Neue"/>
                <w:color w:val="000000"/>
                <w:sz w:val="15"/>
                <w:szCs w:val="15"/>
              </w:rPr>
              <w:t>“Children in England are, on average, becoming shorter in height and child death rates are rising, almost certainly due to rising poverty and destitution.” (Dorling, 2024)</w:t>
            </w:r>
          </w:p>
        </w:tc>
        <w:tc>
          <w:tcPr>
            <w:tcW w:w="3139" w:type="dxa"/>
            <w:tcBorders>
              <w:top w:val="single" w:color="000000" w:sz="6" w:space="0"/>
              <w:left w:val="single" w:color="000000" w:sz="6" w:space="0"/>
              <w:bottom w:val="single" w:color="000000" w:sz="6" w:space="0"/>
              <w:right w:val="single" w:color="000000" w:sz="6" w:space="0"/>
            </w:tcBorders>
            <w:tcMar>
              <w:top w:w="60" w:type="dxa"/>
              <w:left w:w="60" w:type="dxa"/>
              <w:bottom w:w="60" w:type="dxa"/>
              <w:right w:w="60" w:type="dxa"/>
            </w:tcMar>
            <w:hideMark/>
          </w:tcPr>
          <w:p w:rsidR="00B0069A" w:rsidP="00CC02C5" w:rsidRDefault="00B0069A" w14:paraId="3CA10498" w14:textId="485C55B9">
            <w:pPr>
              <w:pStyle w:val="NormalWeb"/>
              <w:spacing w:before="0" w:beforeAutospacing="0" w:after="0" w:afterAutospacing="0"/>
            </w:pPr>
            <w:r>
              <w:rPr>
                <w:rFonts w:ascii="Helvetica Neue" w:hAnsi="Helvetica Neue"/>
                <w:color w:val="000000"/>
                <w:sz w:val="15"/>
                <w:szCs w:val="15"/>
              </w:rPr>
              <w:t xml:space="preserve">Demonstrates entrenched urban inequalities and worsening health trajectories, </w:t>
            </w:r>
            <w:r w:rsidR="00CB3DFB">
              <w:rPr>
                <w:rFonts w:ascii="Helvetica Neue" w:hAnsi="Helvetica Neue"/>
                <w:color w:val="000000"/>
                <w:sz w:val="15"/>
                <w:szCs w:val="15"/>
              </w:rPr>
              <w:t>which are relevant to the focus on urban deprivation</w:t>
            </w:r>
            <w:r>
              <w:rPr>
                <w:rFonts w:ascii="Helvetica Neue" w:hAnsi="Helvetica Neue"/>
                <w:color w:val="000000"/>
                <w:sz w:val="15"/>
                <w:szCs w:val="15"/>
              </w:rPr>
              <w:t>.</w:t>
            </w:r>
          </w:p>
        </w:tc>
      </w:tr>
      <w:tr w:rsidR="00B0069A" w:rsidTr="00B0069A" w14:paraId="64DD6957" w14:textId="77777777">
        <w:trPr>
          <w:trHeight w:val="156"/>
        </w:trPr>
        <w:tc>
          <w:tcPr>
            <w:tcW w:w="2040" w:type="dxa"/>
            <w:vMerge/>
            <w:tcBorders>
              <w:left w:val="single" w:color="000000" w:sz="6" w:space="0"/>
              <w:right w:val="single" w:color="000000" w:sz="6" w:space="0"/>
            </w:tcBorders>
            <w:shd w:val="clear" w:color="auto" w:fill="D4D4D4"/>
            <w:tcMar>
              <w:top w:w="60" w:type="dxa"/>
              <w:left w:w="60" w:type="dxa"/>
              <w:bottom w:w="60" w:type="dxa"/>
              <w:right w:w="60" w:type="dxa"/>
            </w:tcMar>
            <w:hideMark/>
          </w:tcPr>
          <w:p w:rsidR="00B0069A" w:rsidP="00CC02C5" w:rsidRDefault="00B0069A" w14:paraId="36BF9833" w14:textId="77777777">
            <w:pPr>
              <w:pStyle w:val="NormalWeb"/>
              <w:spacing w:before="0" w:beforeAutospacing="0" w:after="0" w:afterAutospacing="0"/>
            </w:pPr>
          </w:p>
        </w:tc>
        <w:tc>
          <w:tcPr>
            <w:tcW w:w="1812" w:type="dxa"/>
            <w:tcBorders>
              <w:left w:val="single" w:color="000000" w:sz="6" w:space="0"/>
              <w:bottom w:val="single" w:color="000000" w:sz="6" w:space="0"/>
              <w:right w:val="single" w:color="000000" w:sz="6" w:space="0"/>
            </w:tcBorders>
            <w:tcMar>
              <w:top w:w="60" w:type="dxa"/>
              <w:left w:w="60" w:type="dxa"/>
              <w:bottom w:w="60" w:type="dxa"/>
              <w:right w:w="60" w:type="dxa"/>
            </w:tcMar>
            <w:hideMark/>
          </w:tcPr>
          <w:p w:rsidR="00B0069A" w:rsidP="00CC02C5" w:rsidRDefault="00B0069A" w14:paraId="6F3EB7CA" w14:textId="77777777">
            <w:pPr>
              <w:pStyle w:val="NormalWeb"/>
              <w:spacing w:before="0" w:beforeAutospacing="0" w:after="0" w:afterAutospacing="0"/>
            </w:pPr>
            <w:r>
              <w:rPr>
                <w:rFonts w:ascii="Helvetica Neue" w:hAnsi="Helvetica Neue"/>
                <w:color w:val="000000"/>
                <w:sz w:val="15"/>
                <w:szCs w:val="15"/>
              </w:rPr>
              <w:t>Parental Sacrifice</w:t>
            </w:r>
          </w:p>
        </w:tc>
        <w:tc>
          <w:tcPr>
            <w:tcW w:w="2455" w:type="dxa"/>
            <w:tcBorders>
              <w:left w:val="single" w:color="000000" w:sz="6" w:space="0"/>
              <w:bottom w:val="single" w:color="000000" w:sz="6" w:space="0"/>
              <w:right w:val="single" w:color="000000" w:sz="6" w:space="0"/>
            </w:tcBorders>
            <w:tcMar>
              <w:top w:w="60" w:type="dxa"/>
              <w:left w:w="60" w:type="dxa"/>
              <w:bottom w:w="60" w:type="dxa"/>
              <w:right w:w="60" w:type="dxa"/>
            </w:tcMar>
            <w:hideMark/>
          </w:tcPr>
          <w:p w:rsidR="00B0069A" w:rsidP="00CC02C5" w:rsidRDefault="00B0069A" w14:paraId="541DA35D" w14:textId="77777777">
            <w:pPr>
              <w:pStyle w:val="NormalWeb"/>
              <w:spacing w:before="0" w:beforeAutospacing="0" w:after="0" w:afterAutospacing="0"/>
            </w:pPr>
            <w:r>
              <w:rPr>
                <w:rFonts w:ascii="Helvetica Neue" w:hAnsi="Helvetica Neue"/>
                <w:color w:val="000000"/>
                <w:sz w:val="15"/>
                <w:szCs w:val="15"/>
              </w:rPr>
              <w:t>Parents in poverty forgo essentials to provide for children, worsening stress cycles.</w:t>
            </w:r>
          </w:p>
        </w:tc>
        <w:tc>
          <w:tcPr>
            <w:tcW w:w="3347" w:type="dxa"/>
            <w:tcBorders>
              <w:left w:val="single" w:color="000000" w:sz="6" w:space="0"/>
              <w:bottom w:val="single" w:color="000000" w:sz="6" w:space="0"/>
              <w:right w:val="single" w:color="000000" w:sz="6" w:space="0"/>
            </w:tcBorders>
            <w:tcMar>
              <w:top w:w="60" w:type="dxa"/>
              <w:left w:w="60" w:type="dxa"/>
              <w:bottom w:w="60" w:type="dxa"/>
              <w:right w:w="60" w:type="dxa"/>
            </w:tcMar>
            <w:hideMark/>
          </w:tcPr>
          <w:p w:rsidR="00B0069A" w:rsidP="00CC02C5" w:rsidRDefault="00B0069A" w14:paraId="1010FEAE" w14:textId="77777777">
            <w:pPr>
              <w:pStyle w:val="NormalWeb"/>
              <w:spacing w:before="0" w:beforeAutospacing="0" w:after="0" w:afterAutospacing="0"/>
            </w:pPr>
            <w:r>
              <w:rPr>
                <w:rFonts w:ascii="Helvetica Neue" w:hAnsi="Helvetica Neue"/>
                <w:color w:val="000000"/>
                <w:sz w:val="15"/>
                <w:szCs w:val="15"/>
              </w:rPr>
              <w:t>“33% of children were income poor, compared with 23% of adults.” (Main &amp; Bradshaw, 2016)</w:t>
            </w:r>
          </w:p>
        </w:tc>
        <w:tc>
          <w:tcPr>
            <w:tcW w:w="3139" w:type="dxa"/>
            <w:tcBorders>
              <w:left w:val="single" w:color="000000" w:sz="6" w:space="0"/>
              <w:bottom w:val="single" w:color="000000" w:sz="6" w:space="0"/>
              <w:right w:val="single" w:color="000000" w:sz="6" w:space="0"/>
            </w:tcBorders>
            <w:tcMar>
              <w:top w:w="60" w:type="dxa"/>
              <w:left w:w="60" w:type="dxa"/>
              <w:bottom w:w="60" w:type="dxa"/>
              <w:right w:w="60" w:type="dxa"/>
            </w:tcMar>
            <w:hideMark/>
          </w:tcPr>
          <w:p w:rsidR="00B0069A" w:rsidP="00CC02C5" w:rsidRDefault="00B0069A" w14:paraId="77070F28" w14:textId="77777777">
            <w:pPr>
              <w:pStyle w:val="NormalWeb"/>
              <w:spacing w:before="0" w:beforeAutospacing="0" w:after="0" w:afterAutospacing="0"/>
            </w:pPr>
            <w:r>
              <w:rPr>
                <w:rFonts w:ascii="Helvetica Neue" w:hAnsi="Helvetica Neue"/>
                <w:color w:val="000000"/>
                <w:sz w:val="15"/>
                <w:szCs w:val="15"/>
              </w:rPr>
              <w:t>Captures lived parental sacrifices under poverty, reinforcing intergenerational cycles of stress.</w:t>
            </w:r>
          </w:p>
        </w:tc>
      </w:tr>
      <w:tr w:rsidR="00B0069A" w:rsidTr="00B0069A" w14:paraId="47DA1536" w14:textId="77777777">
        <w:trPr>
          <w:trHeight w:val="156"/>
        </w:trPr>
        <w:tc>
          <w:tcPr>
            <w:tcW w:w="2040" w:type="dxa"/>
            <w:vMerge/>
            <w:tcBorders>
              <w:left w:val="single" w:color="000000" w:sz="6" w:space="0"/>
              <w:right w:val="single" w:color="000000" w:sz="6" w:space="0"/>
            </w:tcBorders>
            <w:shd w:val="clear" w:color="auto" w:fill="D4D4D4"/>
            <w:tcMar>
              <w:top w:w="60" w:type="dxa"/>
              <w:left w:w="60" w:type="dxa"/>
              <w:bottom w:w="60" w:type="dxa"/>
              <w:right w:w="60" w:type="dxa"/>
            </w:tcMar>
            <w:hideMark/>
          </w:tcPr>
          <w:p w:rsidR="00B0069A" w:rsidP="00CC02C5" w:rsidRDefault="00B0069A" w14:paraId="1D1F1988" w14:textId="77777777">
            <w:pPr>
              <w:pStyle w:val="NormalWeb"/>
              <w:spacing w:before="0" w:beforeAutospacing="0" w:after="0" w:afterAutospacing="0"/>
            </w:pPr>
          </w:p>
        </w:tc>
        <w:tc>
          <w:tcPr>
            <w:tcW w:w="1812" w:type="dxa"/>
            <w:tcBorders>
              <w:top w:val="single" w:color="000000" w:sz="6" w:space="0"/>
              <w:left w:val="single" w:color="000000" w:sz="6" w:space="0"/>
              <w:bottom w:val="single" w:color="000000" w:sz="6" w:space="0"/>
              <w:right w:val="single" w:color="000000" w:sz="6" w:space="0"/>
            </w:tcBorders>
            <w:tcMar>
              <w:top w:w="60" w:type="dxa"/>
              <w:left w:w="60" w:type="dxa"/>
              <w:bottom w:w="60" w:type="dxa"/>
              <w:right w:w="60" w:type="dxa"/>
            </w:tcMar>
            <w:hideMark/>
          </w:tcPr>
          <w:p w:rsidR="00B0069A" w:rsidP="00CC02C5" w:rsidRDefault="00B0069A" w14:paraId="4D233199" w14:textId="77777777">
            <w:pPr>
              <w:pStyle w:val="NormalWeb"/>
              <w:spacing w:before="0" w:beforeAutospacing="0" w:after="0" w:afterAutospacing="0"/>
            </w:pPr>
            <w:r>
              <w:rPr>
                <w:rFonts w:ascii="Helvetica Neue" w:hAnsi="Helvetica Neue"/>
                <w:color w:val="000000"/>
                <w:sz w:val="15"/>
                <w:szCs w:val="15"/>
              </w:rPr>
              <w:t>Child Mortality &amp; Morbidity</w:t>
            </w:r>
          </w:p>
        </w:tc>
        <w:tc>
          <w:tcPr>
            <w:tcW w:w="2455" w:type="dxa"/>
            <w:tcBorders>
              <w:top w:val="single" w:color="000000" w:sz="6" w:space="0"/>
              <w:left w:val="single" w:color="000000" w:sz="6" w:space="0"/>
              <w:bottom w:val="single" w:color="000000" w:sz="6" w:space="0"/>
              <w:right w:val="single" w:color="000000" w:sz="6" w:space="0"/>
            </w:tcBorders>
            <w:tcMar>
              <w:top w:w="60" w:type="dxa"/>
              <w:left w:w="60" w:type="dxa"/>
              <w:bottom w:w="60" w:type="dxa"/>
              <w:right w:w="60" w:type="dxa"/>
            </w:tcMar>
            <w:hideMark/>
          </w:tcPr>
          <w:p w:rsidR="00B0069A" w:rsidP="00CC02C5" w:rsidRDefault="00B0069A" w14:paraId="5A32A774" w14:textId="23C59511">
            <w:pPr>
              <w:pStyle w:val="NormalWeb"/>
              <w:spacing w:before="0" w:beforeAutospacing="0" w:after="0" w:afterAutospacing="0"/>
            </w:pPr>
            <w:r>
              <w:rPr>
                <w:rFonts w:ascii="Helvetica Neue" w:hAnsi="Helvetica Neue"/>
                <w:color w:val="000000"/>
                <w:sz w:val="15"/>
                <w:szCs w:val="15"/>
              </w:rPr>
              <w:t xml:space="preserve">Poverty doubles </w:t>
            </w:r>
            <w:r w:rsidR="00CB3DFB">
              <w:rPr>
                <w:rFonts w:ascii="Helvetica Neue" w:hAnsi="Helvetica Neue"/>
                <w:color w:val="000000"/>
                <w:sz w:val="15"/>
                <w:szCs w:val="15"/>
              </w:rPr>
              <w:t xml:space="preserve">the </w:t>
            </w:r>
            <w:r>
              <w:rPr>
                <w:rFonts w:ascii="Helvetica Neue" w:hAnsi="Helvetica Neue"/>
                <w:color w:val="000000"/>
                <w:sz w:val="15"/>
                <w:szCs w:val="15"/>
              </w:rPr>
              <w:t>risk of infant mortality and chronic illness in deprived children.</w:t>
            </w:r>
          </w:p>
        </w:tc>
        <w:tc>
          <w:tcPr>
            <w:tcW w:w="3347" w:type="dxa"/>
            <w:tcBorders>
              <w:top w:val="single" w:color="000000" w:sz="6" w:space="0"/>
              <w:left w:val="single" w:color="000000" w:sz="6" w:space="0"/>
              <w:bottom w:val="single" w:color="000000" w:sz="6" w:space="0"/>
              <w:right w:val="single" w:color="000000" w:sz="6" w:space="0"/>
            </w:tcBorders>
            <w:tcMar>
              <w:top w:w="60" w:type="dxa"/>
              <w:left w:w="60" w:type="dxa"/>
              <w:bottom w:w="60" w:type="dxa"/>
              <w:right w:w="60" w:type="dxa"/>
            </w:tcMar>
            <w:hideMark/>
          </w:tcPr>
          <w:p w:rsidR="00B0069A" w:rsidP="00CC02C5" w:rsidRDefault="00B0069A" w14:paraId="644EE40E" w14:textId="77777777">
            <w:pPr>
              <w:pStyle w:val="NormalWeb"/>
              <w:spacing w:before="0" w:beforeAutospacing="0" w:after="0" w:afterAutospacing="0"/>
            </w:pPr>
            <w:r>
              <w:rPr>
                <w:rFonts w:ascii="Helvetica Neue" w:hAnsi="Helvetica Neue"/>
                <w:color w:val="000000"/>
                <w:sz w:val="15"/>
                <w:szCs w:val="15"/>
              </w:rPr>
              <w:t>“Seven hundred fewer children might die per year if deprived had same mortality risk as least deprived.” (Lee et al., 2023)</w:t>
            </w:r>
          </w:p>
        </w:tc>
        <w:tc>
          <w:tcPr>
            <w:tcW w:w="3139" w:type="dxa"/>
            <w:tcBorders>
              <w:top w:val="single" w:color="000000" w:sz="6" w:space="0"/>
              <w:left w:val="single" w:color="000000" w:sz="6" w:space="0"/>
              <w:bottom w:val="single" w:color="000000" w:sz="6" w:space="0"/>
              <w:right w:val="single" w:color="000000" w:sz="6" w:space="0"/>
            </w:tcBorders>
            <w:tcMar>
              <w:top w:w="60" w:type="dxa"/>
              <w:left w:w="60" w:type="dxa"/>
              <w:bottom w:w="60" w:type="dxa"/>
              <w:right w:w="60" w:type="dxa"/>
            </w:tcMar>
            <w:hideMark/>
          </w:tcPr>
          <w:p w:rsidR="00B0069A" w:rsidP="00CC02C5" w:rsidRDefault="00B0069A" w14:paraId="418FE1E6" w14:textId="67BDA0EC">
            <w:pPr>
              <w:pStyle w:val="NormalWeb"/>
              <w:spacing w:before="0" w:beforeAutospacing="0" w:after="0" w:afterAutospacing="0"/>
            </w:pPr>
            <w:r>
              <w:rPr>
                <w:rFonts w:ascii="Helvetica Neue" w:hAnsi="Helvetica Neue"/>
                <w:color w:val="000000"/>
                <w:sz w:val="15"/>
                <w:szCs w:val="15"/>
              </w:rPr>
              <w:t xml:space="preserve">Provides concrete health statistics </w:t>
            </w:r>
            <w:r w:rsidR="00CB3DFB">
              <w:rPr>
                <w:rFonts w:ascii="Helvetica Neue" w:hAnsi="Helvetica Neue"/>
                <w:color w:val="000000"/>
                <w:sz w:val="15"/>
                <w:szCs w:val="15"/>
              </w:rPr>
              <w:t>that show direct causal links between poverty and poor health</w:t>
            </w:r>
            <w:r>
              <w:rPr>
                <w:rFonts w:ascii="Helvetica Neue" w:hAnsi="Helvetica Neue"/>
                <w:color w:val="000000"/>
                <w:sz w:val="15"/>
                <w:szCs w:val="15"/>
              </w:rPr>
              <w:t xml:space="preserve"> outcomes.</w:t>
            </w:r>
          </w:p>
        </w:tc>
      </w:tr>
      <w:tr w:rsidR="00B0069A" w:rsidTr="00B0069A" w14:paraId="12A9CE2B" w14:textId="77777777">
        <w:trPr>
          <w:trHeight w:val="156"/>
        </w:trPr>
        <w:tc>
          <w:tcPr>
            <w:tcW w:w="2040" w:type="dxa"/>
            <w:vMerge/>
            <w:tcBorders>
              <w:left w:val="single" w:color="000000" w:sz="6" w:space="0"/>
              <w:right w:val="single" w:color="000000" w:sz="6" w:space="0"/>
            </w:tcBorders>
            <w:shd w:val="clear" w:color="auto" w:fill="D4D4D4"/>
            <w:tcMar>
              <w:top w:w="60" w:type="dxa"/>
              <w:left w:w="60" w:type="dxa"/>
              <w:bottom w:w="60" w:type="dxa"/>
              <w:right w:w="60" w:type="dxa"/>
            </w:tcMar>
            <w:hideMark/>
          </w:tcPr>
          <w:p w:rsidR="00B0069A" w:rsidP="00CC02C5" w:rsidRDefault="00B0069A" w14:paraId="146C9E99" w14:textId="77777777">
            <w:pPr>
              <w:pStyle w:val="NormalWeb"/>
              <w:spacing w:before="0" w:beforeAutospacing="0" w:after="0" w:afterAutospacing="0"/>
            </w:pPr>
          </w:p>
        </w:tc>
        <w:tc>
          <w:tcPr>
            <w:tcW w:w="1812" w:type="dxa"/>
            <w:tcBorders>
              <w:top w:val="single" w:color="000000" w:sz="6" w:space="0"/>
              <w:left w:val="single" w:color="000000" w:sz="6" w:space="0"/>
              <w:bottom w:val="single" w:color="000000" w:sz="6" w:space="0"/>
              <w:right w:val="single" w:color="000000" w:sz="6" w:space="0"/>
            </w:tcBorders>
            <w:tcMar>
              <w:top w:w="60" w:type="dxa"/>
              <w:left w:w="60" w:type="dxa"/>
              <w:bottom w:w="60" w:type="dxa"/>
              <w:right w:w="60" w:type="dxa"/>
            </w:tcMar>
            <w:hideMark/>
          </w:tcPr>
          <w:p w:rsidR="00B0069A" w:rsidP="00CC02C5" w:rsidRDefault="00B0069A" w14:paraId="260D0F3A" w14:textId="77777777">
            <w:pPr>
              <w:pStyle w:val="NormalWeb"/>
              <w:spacing w:before="0" w:beforeAutospacing="0" w:after="0" w:afterAutospacing="0"/>
            </w:pPr>
            <w:r>
              <w:rPr>
                <w:rFonts w:ascii="Helvetica Neue" w:hAnsi="Helvetica Neue"/>
                <w:color w:val="000000"/>
                <w:sz w:val="15"/>
                <w:szCs w:val="15"/>
              </w:rPr>
              <w:t>Food &amp; Fuel Poverty</w:t>
            </w:r>
          </w:p>
        </w:tc>
        <w:tc>
          <w:tcPr>
            <w:tcW w:w="2455" w:type="dxa"/>
            <w:tcBorders>
              <w:top w:val="single" w:color="000000" w:sz="6" w:space="0"/>
              <w:left w:val="single" w:color="000000" w:sz="6" w:space="0"/>
              <w:bottom w:val="single" w:color="000000" w:sz="6" w:space="0"/>
              <w:right w:val="single" w:color="000000" w:sz="6" w:space="0"/>
            </w:tcBorders>
            <w:tcMar>
              <w:top w:w="60" w:type="dxa"/>
              <w:left w:w="60" w:type="dxa"/>
              <w:bottom w:w="60" w:type="dxa"/>
              <w:right w:w="60" w:type="dxa"/>
            </w:tcMar>
            <w:hideMark/>
          </w:tcPr>
          <w:p w:rsidR="00B0069A" w:rsidP="00CC02C5" w:rsidRDefault="00B0069A" w14:paraId="5E0DEE06" w14:textId="63B0EABF">
            <w:pPr>
              <w:pStyle w:val="NormalWeb"/>
              <w:spacing w:before="0" w:beforeAutospacing="0" w:after="0" w:afterAutospacing="0"/>
            </w:pPr>
            <w:r>
              <w:rPr>
                <w:rFonts w:ascii="Helvetica Neue" w:hAnsi="Helvetica Neue"/>
                <w:color w:val="000000"/>
                <w:sz w:val="15"/>
                <w:szCs w:val="15"/>
              </w:rPr>
              <w:t>Families in fuel/food poverty face anxiety, stress, and poor nutrition</w:t>
            </w:r>
            <w:r w:rsidR="00CB3DFB">
              <w:rPr>
                <w:rFonts w:ascii="Helvetica Neue" w:hAnsi="Helvetica Neue"/>
                <w:color w:val="000000"/>
                <w:sz w:val="15"/>
                <w:szCs w:val="15"/>
              </w:rPr>
              <w:t>, which</w:t>
            </w:r>
            <w:r>
              <w:rPr>
                <w:rFonts w:ascii="Helvetica Neue" w:hAnsi="Helvetica Neue"/>
                <w:color w:val="000000"/>
                <w:sz w:val="15"/>
                <w:szCs w:val="15"/>
              </w:rPr>
              <w:t xml:space="preserve"> impacts </w:t>
            </w:r>
            <w:r w:rsidR="00CB3DFB">
              <w:rPr>
                <w:rFonts w:ascii="Helvetica Neue" w:hAnsi="Helvetica Neue"/>
                <w:color w:val="000000"/>
                <w:sz w:val="15"/>
                <w:szCs w:val="15"/>
              </w:rPr>
              <w:t>their</w:t>
            </w:r>
            <w:r>
              <w:rPr>
                <w:rFonts w:ascii="Helvetica Neue" w:hAnsi="Helvetica Neue"/>
                <w:color w:val="000000"/>
                <w:sz w:val="15"/>
                <w:szCs w:val="15"/>
              </w:rPr>
              <w:t xml:space="preserve"> mental health.</w:t>
            </w:r>
          </w:p>
        </w:tc>
        <w:tc>
          <w:tcPr>
            <w:tcW w:w="3347" w:type="dxa"/>
            <w:tcBorders>
              <w:top w:val="single" w:color="000000" w:sz="6" w:space="0"/>
              <w:left w:val="single" w:color="000000" w:sz="6" w:space="0"/>
              <w:bottom w:val="single" w:color="000000" w:sz="6" w:space="0"/>
              <w:right w:val="single" w:color="000000" w:sz="6" w:space="0"/>
            </w:tcBorders>
            <w:tcMar>
              <w:top w:w="60" w:type="dxa"/>
              <w:left w:w="60" w:type="dxa"/>
              <w:bottom w:w="60" w:type="dxa"/>
              <w:right w:w="60" w:type="dxa"/>
            </w:tcMar>
            <w:hideMark/>
          </w:tcPr>
          <w:p w:rsidR="00B0069A" w:rsidP="00CC02C5" w:rsidRDefault="00B0069A" w14:paraId="577140BB" w14:textId="77777777">
            <w:pPr>
              <w:pStyle w:val="NormalWeb"/>
              <w:spacing w:before="0" w:beforeAutospacing="0" w:after="0" w:afterAutospacing="0"/>
            </w:pPr>
            <w:r>
              <w:rPr>
                <w:rFonts w:ascii="Helvetica Neue" w:hAnsi="Helvetica Neue"/>
                <w:color w:val="000000"/>
                <w:sz w:val="15"/>
                <w:szCs w:val="15"/>
              </w:rPr>
              <w:t>“Reports 3.9 million UK children in poverty (2014–15, 28%); food/fuel poverty linked to poor health.” (Rose &amp; McAuley, 2019)</w:t>
            </w:r>
          </w:p>
        </w:tc>
        <w:tc>
          <w:tcPr>
            <w:tcW w:w="3139" w:type="dxa"/>
            <w:tcBorders>
              <w:top w:val="single" w:color="000000" w:sz="6" w:space="0"/>
              <w:left w:val="single" w:color="000000" w:sz="6" w:space="0"/>
              <w:bottom w:val="single" w:color="000000" w:sz="6" w:space="0"/>
              <w:right w:val="single" w:color="000000" w:sz="6" w:space="0"/>
            </w:tcBorders>
            <w:tcMar>
              <w:top w:w="60" w:type="dxa"/>
              <w:left w:w="60" w:type="dxa"/>
              <w:bottom w:w="60" w:type="dxa"/>
              <w:right w:w="60" w:type="dxa"/>
            </w:tcMar>
            <w:hideMark/>
          </w:tcPr>
          <w:p w:rsidR="00B0069A" w:rsidP="00CC02C5" w:rsidRDefault="00B0069A" w14:paraId="2ECD3CFF" w14:textId="77777777">
            <w:pPr>
              <w:pStyle w:val="NormalWeb"/>
              <w:spacing w:before="0" w:beforeAutospacing="0" w:after="0" w:afterAutospacing="0"/>
            </w:pPr>
            <w:r>
              <w:rPr>
                <w:rFonts w:ascii="Helvetica Neue" w:hAnsi="Helvetica Neue"/>
                <w:color w:val="000000"/>
                <w:sz w:val="15"/>
                <w:szCs w:val="15"/>
              </w:rPr>
              <w:t>Connects food/fuel poverty with poor health, strengthening the case for targeted interventions.</w:t>
            </w:r>
          </w:p>
        </w:tc>
      </w:tr>
      <w:tr w:rsidR="00B0069A" w:rsidTr="00B0069A" w14:paraId="5EB9BC8C" w14:textId="77777777">
        <w:trPr>
          <w:trHeight w:val="706"/>
        </w:trPr>
        <w:tc>
          <w:tcPr>
            <w:tcW w:w="2040" w:type="dxa"/>
            <w:vMerge/>
            <w:tcBorders>
              <w:left w:val="single" w:color="000000" w:sz="6" w:space="0"/>
              <w:bottom w:val="single" w:color="000000" w:sz="6" w:space="0"/>
              <w:right w:val="single" w:color="000000" w:sz="6" w:space="0"/>
            </w:tcBorders>
            <w:shd w:val="clear" w:color="auto" w:fill="D4D4D4"/>
            <w:tcMar>
              <w:top w:w="60" w:type="dxa"/>
              <w:left w:w="60" w:type="dxa"/>
              <w:bottom w:w="60" w:type="dxa"/>
              <w:right w:w="60" w:type="dxa"/>
            </w:tcMar>
            <w:hideMark/>
          </w:tcPr>
          <w:p w:rsidR="00B0069A" w:rsidP="00CC02C5" w:rsidRDefault="00B0069A" w14:paraId="1756FEB2" w14:textId="77777777">
            <w:pPr>
              <w:pStyle w:val="NormalWeb"/>
              <w:spacing w:before="0" w:beforeAutospacing="0" w:after="0" w:afterAutospacing="0"/>
            </w:pPr>
          </w:p>
        </w:tc>
        <w:tc>
          <w:tcPr>
            <w:tcW w:w="1812" w:type="dxa"/>
            <w:tcBorders>
              <w:top w:val="single" w:color="000000" w:sz="6" w:space="0"/>
              <w:left w:val="single" w:color="000000" w:sz="6" w:space="0"/>
              <w:bottom w:val="single" w:color="000000" w:sz="6" w:space="0"/>
              <w:right w:val="single" w:color="000000" w:sz="6" w:space="0"/>
            </w:tcBorders>
            <w:tcMar>
              <w:top w:w="60" w:type="dxa"/>
              <w:left w:w="60" w:type="dxa"/>
              <w:bottom w:w="60" w:type="dxa"/>
              <w:right w:w="60" w:type="dxa"/>
            </w:tcMar>
            <w:hideMark/>
          </w:tcPr>
          <w:p w:rsidR="00B0069A" w:rsidP="00CC02C5" w:rsidRDefault="00B0069A" w14:paraId="7F75B98B" w14:textId="77777777">
            <w:pPr>
              <w:pStyle w:val="NormalWeb"/>
              <w:spacing w:before="0" w:beforeAutospacing="0" w:after="0" w:afterAutospacing="0"/>
            </w:pPr>
            <w:r>
              <w:rPr>
                <w:rFonts w:ascii="Helvetica Neue" w:hAnsi="Helvetica Neue"/>
                <w:color w:val="000000"/>
                <w:sz w:val="15"/>
                <w:szCs w:val="15"/>
              </w:rPr>
              <w:t>Neighbourhood Safety</w:t>
            </w:r>
          </w:p>
        </w:tc>
        <w:tc>
          <w:tcPr>
            <w:tcW w:w="2455" w:type="dxa"/>
            <w:tcBorders>
              <w:top w:val="single" w:color="000000" w:sz="6" w:space="0"/>
              <w:left w:val="single" w:color="000000" w:sz="6" w:space="0"/>
              <w:bottom w:val="single" w:color="000000" w:sz="6" w:space="0"/>
              <w:right w:val="single" w:color="000000" w:sz="6" w:space="0"/>
            </w:tcBorders>
            <w:tcMar>
              <w:top w:w="60" w:type="dxa"/>
              <w:left w:w="60" w:type="dxa"/>
              <w:bottom w:w="60" w:type="dxa"/>
              <w:right w:w="60" w:type="dxa"/>
            </w:tcMar>
            <w:hideMark/>
          </w:tcPr>
          <w:p w:rsidR="00B0069A" w:rsidP="00CC02C5" w:rsidRDefault="00B0069A" w14:paraId="625C0341" w14:textId="152A814C">
            <w:pPr>
              <w:pStyle w:val="NormalWeb"/>
              <w:spacing w:before="0" w:beforeAutospacing="0" w:after="0" w:afterAutospacing="0"/>
            </w:pPr>
            <w:r>
              <w:rPr>
                <w:rFonts w:ascii="Helvetica Neue" w:hAnsi="Helvetica Neue"/>
                <w:color w:val="000000"/>
                <w:sz w:val="15"/>
                <w:szCs w:val="15"/>
              </w:rPr>
              <w:t xml:space="preserve">Unsafe neighbourhoods and </w:t>
            </w:r>
            <w:r w:rsidR="00CB3DFB">
              <w:rPr>
                <w:rFonts w:ascii="Helvetica Neue" w:hAnsi="Helvetica Neue"/>
                <w:color w:val="000000"/>
                <w:sz w:val="15"/>
                <w:szCs w:val="15"/>
              </w:rPr>
              <w:t xml:space="preserve">a </w:t>
            </w:r>
            <w:r>
              <w:rPr>
                <w:rFonts w:ascii="Helvetica Neue" w:hAnsi="Helvetica Neue"/>
                <w:color w:val="000000"/>
                <w:sz w:val="15"/>
                <w:szCs w:val="15"/>
              </w:rPr>
              <w:t>lack of green space exacerbate child mental health challenges.</w:t>
            </w:r>
          </w:p>
        </w:tc>
        <w:tc>
          <w:tcPr>
            <w:tcW w:w="3347" w:type="dxa"/>
            <w:tcBorders>
              <w:top w:val="single" w:color="000000" w:sz="6" w:space="0"/>
              <w:left w:val="single" w:color="000000" w:sz="6" w:space="0"/>
              <w:bottom w:val="single" w:color="000000" w:sz="6" w:space="0"/>
              <w:right w:val="single" w:color="000000" w:sz="6" w:space="0"/>
            </w:tcBorders>
            <w:tcMar>
              <w:top w:w="60" w:type="dxa"/>
              <w:left w:w="60" w:type="dxa"/>
              <w:bottom w:w="60" w:type="dxa"/>
              <w:right w:w="60" w:type="dxa"/>
            </w:tcMar>
            <w:hideMark/>
          </w:tcPr>
          <w:p w:rsidR="00B0069A" w:rsidP="00CC02C5" w:rsidRDefault="00B0069A" w14:paraId="7EF5B4E5" w14:textId="77777777">
            <w:pPr>
              <w:pStyle w:val="NormalWeb"/>
              <w:spacing w:before="0" w:beforeAutospacing="0" w:after="0" w:afterAutospacing="0"/>
            </w:pPr>
            <w:r>
              <w:rPr>
                <w:rFonts w:ascii="Helvetica Neue" w:hAnsi="Helvetica Neue"/>
                <w:color w:val="000000"/>
                <w:sz w:val="15"/>
                <w:szCs w:val="15"/>
              </w:rPr>
              <w:t>“One of the biggest concerns in our area is overcrowding… children just not having enough space for study, for play.” (Ucci et al., 2022)</w:t>
            </w:r>
          </w:p>
        </w:tc>
        <w:tc>
          <w:tcPr>
            <w:tcW w:w="3139" w:type="dxa"/>
            <w:tcBorders>
              <w:top w:val="single" w:color="000000" w:sz="6" w:space="0"/>
              <w:left w:val="single" w:color="000000" w:sz="6" w:space="0"/>
              <w:bottom w:val="single" w:color="000000" w:sz="6" w:space="0"/>
              <w:right w:val="single" w:color="000000" w:sz="6" w:space="0"/>
            </w:tcBorders>
            <w:tcMar>
              <w:top w:w="60" w:type="dxa"/>
              <w:left w:w="60" w:type="dxa"/>
              <w:bottom w:w="60" w:type="dxa"/>
              <w:right w:w="60" w:type="dxa"/>
            </w:tcMar>
            <w:hideMark/>
          </w:tcPr>
          <w:p w:rsidR="00B0069A" w:rsidP="00CC02C5" w:rsidRDefault="00B0069A" w14:paraId="33299EB1" w14:textId="77777777">
            <w:pPr>
              <w:pStyle w:val="NormalWeb"/>
              <w:spacing w:before="0" w:beforeAutospacing="0" w:after="0" w:afterAutospacing="0"/>
            </w:pPr>
            <w:r>
              <w:rPr>
                <w:rFonts w:ascii="Helvetica Neue" w:hAnsi="Helvetica Neue"/>
                <w:color w:val="000000"/>
                <w:sz w:val="15"/>
                <w:szCs w:val="15"/>
              </w:rPr>
              <w:t>Highlights environmental deprivation (unsafe spaces, lack of play/study areas) as critical to child mental health.</w:t>
            </w:r>
          </w:p>
        </w:tc>
      </w:tr>
    </w:tbl>
    <w:p w:rsidRPr="00B0069A" w:rsidR="00B0069A" w:rsidP="00B0069A" w:rsidRDefault="00B0069A" w14:paraId="1B68CA15" w14:textId="77777777"/>
    <w:p w:rsidR="008C38C3" w:rsidP="00621776" w:rsidRDefault="008C38C3" w14:paraId="18FF6044" w14:textId="77777777"/>
    <w:p w:rsidR="008C38C3" w:rsidP="00621776" w:rsidRDefault="008C38C3" w14:paraId="268CFD1F" w14:textId="77777777"/>
    <w:p w:rsidR="008C38C3" w:rsidP="00621776" w:rsidRDefault="008C38C3" w14:paraId="2440A778" w14:textId="77777777"/>
    <w:p w:rsidR="008C38C3" w:rsidP="00621776" w:rsidRDefault="008C38C3" w14:paraId="5122D4D8" w14:textId="77777777"/>
    <w:p w:rsidR="008C38C3" w:rsidP="00621776" w:rsidRDefault="008C38C3" w14:paraId="4944E244" w14:textId="77777777"/>
    <w:p w:rsidR="008C38C3" w:rsidP="00621776" w:rsidRDefault="008C38C3" w14:paraId="5DA0FD87" w14:textId="77777777"/>
    <w:p w:rsidR="000264A2" w:rsidP="00621776" w:rsidRDefault="000264A2" w14:paraId="6ED1B63A" w14:textId="77777777"/>
    <w:p w:rsidRPr="008C38C3" w:rsidR="008C38C3" w:rsidP="008C38C3" w:rsidRDefault="008C38C3" w14:paraId="70C7CA0C" w14:textId="77777777"/>
    <w:sectPr w:rsidRPr="008C38C3" w:rsidR="008C38C3" w:rsidSect="00B0069A">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F3D6D" w:rsidP="00211184" w:rsidRDefault="00CF3D6D" w14:paraId="645E6989" w14:textId="77777777">
      <w:pPr>
        <w:spacing w:after="0" w:line="240" w:lineRule="auto"/>
      </w:pPr>
      <w:r>
        <w:separator/>
      </w:r>
    </w:p>
  </w:endnote>
  <w:endnote w:type="continuationSeparator" w:id="0">
    <w:p w:rsidR="00CF3D6D" w:rsidP="00211184" w:rsidRDefault="00CF3D6D" w14:paraId="43AEBC13"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Arial Unicode MS">
    <w:panose1 w:val="020B0604020202020204"/>
    <w:charset w:val="80"/>
    <w:family w:val="swiss"/>
    <w:pitch w:val="variable"/>
    <w:sig w:usb0="F7FFAFFF" w:usb1="E9DFFFFF" w:usb2="0000003F" w:usb3="00000000" w:csb0="003F01FF" w:csb1="00000000"/>
  </w:font>
  <w:font w:name="Helvetica Neue">
    <w:panose1 w:val="02000503000000020004"/>
    <w:charset w:val="00"/>
    <w:family w:val="auto"/>
    <w:pitch w:val="variable"/>
    <w:sig w:usb0="E50002FF" w:usb1="500079DB" w:usb2="00000010" w:usb3="00000000" w:csb0="00000001" w:csb1="00000000"/>
  </w:font>
  <w:font w:name="AppleSystemUIFont">
    <w:altName w:val="Calibri"/>
    <w:panose1 w:val="020B0604020202020204"/>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7049994"/>
      <w:docPartObj>
        <w:docPartGallery w:val="Page Numbers (Bottom of Page)"/>
        <w:docPartUnique/>
      </w:docPartObj>
    </w:sdtPr>
    <w:sdtEndPr>
      <w:rPr>
        <w:noProof/>
      </w:rPr>
    </w:sdtEndPr>
    <w:sdtContent>
      <w:p w:rsidR="002865F5" w:rsidRDefault="002865F5" w14:paraId="6B91657E" w14:textId="7B55D7C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211184" w:rsidRDefault="00211184" w14:paraId="2DC1A861"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F3D6D" w:rsidP="00211184" w:rsidRDefault="00CF3D6D" w14:paraId="445D4288" w14:textId="77777777">
      <w:pPr>
        <w:spacing w:after="0" w:line="240" w:lineRule="auto"/>
      </w:pPr>
      <w:r>
        <w:separator/>
      </w:r>
    </w:p>
  </w:footnote>
  <w:footnote w:type="continuationSeparator" w:id="0">
    <w:p w:rsidR="00CF3D6D" w:rsidP="00211184" w:rsidRDefault="00CF3D6D" w14:paraId="27DAFAB6"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2415F"/>
    <w:multiLevelType w:val="multilevel"/>
    <w:tmpl w:val="444A602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04031424"/>
    <w:multiLevelType w:val="hybridMultilevel"/>
    <w:tmpl w:val="BCF0DC5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5181A61"/>
    <w:multiLevelType w:val="multilevel"/>
    <w:tmpl w:val="604EEC4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05CA5657"/>
    <w:multiLevelType w:val="multilevel"/>
    <w:tmpl w:val="F9EED054"/>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4" w15:restartNumberingAfterBreak="0">
    <w:nsid w:val="060478E1"/>
    <w:multiLevelType w:val="multilevel"/>
    <w:tmpl w:val="6994F4D2"/>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5" w15:restartNumberingAfterBreak="0">
    <w:nsid w:val="06895C08"/>
    <w:multiLevelType w:val="hybridMultilevel"/>
    <w:tmpl w:val="C672B81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082645F3"/>
    <w:multiLevelType w:val="hybridMultilevel"/>
    <w:tmpl w:val="8564B626"/>
    <w:lvl w:ilvl="0" w:tplc="653069B0">
      <w:start w:val="1"/>
      <w:numFmt w:val="bullet"/>
      <w:lvlText w:val="•"/>
      <w:lvlJc w:val="left"/>
      <w:pPr>
        <w:tabs>
          <w:tab w:val="num" w:pos="720"/>
        </w:tabs>
        <w:ind w:left="720" w:hanging="360"/>
      </w:pPr>
      <w:rPr>
        <w:rFonts w:hint="default" w:ascii="Arial" w:hAnsi="Arial"/>
      </w:rPr>
    </w:lvl>
    <w:lvl w:ilvl="1" w:tplc="01E29FAC" w:tentative="1">
      <w:start w:val="1"/>
      <w:numFmt w:val="bullet"/>
      <w:lvlText w:val="•"/>
      <w:lvlJc w:val="left"/>
      <w:pPr>
        <w:tabs>
          <w:tab w:val="num" w:pos="1440"/>
        </w:tabs>
        <w:ind w:left="1440" w:hanging="360"/>
      </w:pPr>
      <w:rPr>
        <w:rFonts w:hint="default" w:ascii="Arial" w:hAnsi="Arial"/>
      </w:rPr>
    </w:lvl>
    <w:lvl w:ilvl="2" w:tplc="28743600" w:tentative="1">
      <w:start w:val="1"/>
      <w:numFmt w:val="bullet"/>
      <w:lvlText w:val="•"/>
      <w:lvlJc w:val="left"/>
      <w:pPr>
        <w:tabs>
          <w:tab w:val="num" w:pos="2160"/>
        </w:tabs>
        <w:ind w:left="2160" w:hanging="360"/>
      </w:pPr>
      <w:rPr>
        <w:rFonts w:hint="default" w:ascii="Arial" w:hAnsi="Arial"/>
      </w:rPr>
    </w:lvl>
    <w:lvl w:ilvl="3" w:tplc="216EF05E" w:tentative="1">
      <w:start w:val="1"/>
      <w:numFmt w:val="bullet"/>
      <w:lvlText w:val="•"/>
      <w:lvlJc w:val="left"/>
      <w:pPr>
        <w:tabs>
          <w:tab w:val="num" w:pos="2880"/>
        </w:tabs>
        <w:ind w:left="2880" w:hanging="360"/>
      </w:pPr>
      <w:rPr>
        <w:rFonts w:hint="default" w:ascii="Arial" w:hAnsi="Arial"/>
      </w:rPr>
    </w:lvl>
    <w:lvl w:ilvl="4" w:tplc="DB88998A" w:tentative="1">
      <w:start w:val="1"/>
      <w:numFmt w:val="bullet"/>
      <w:lvlText w:val="•"/>
      <w:lvlJc w:val="left"/>
      <w:pPr>
        <w:tabs>
          <w:tab w:val="num" w:pos="3600"/>
        </w:tabs>
        <w:ind w:left="3600" w:hanging="360"/>
      </w:pPr>
      <w:rPr>
        <w:rFonts w:hint="default" w:ascii="Arial" w:hAnsi="Arial"/>
      </w:rPr>
    </w:lvl>
    <w:lvl w:ilvl="5" w:tplc="EF1A6DA0" w:tentative="1">
      <w:start w:val="1"/>
      <w:numFmt w:val="bullet"/>
      <w:lvlText w:val="•"/>
      <w:lvlJc w:val="left"/>
      <w:pPr>
        <w:tabs>
          <w:tab w:val="num" w:pos="4320"/>
        </w:tabs>
        <w:ind w:left="4320" w:hanging="360"/>
      </w:pPr>
      <w:rPr>
        <w:rFonts w:hint="default" w:ascii="Arial" w:hAnsi="Arial"/>
      </w:rPr>
    </w:lvl>
    <w:lvl w:ilvl="6" w:tplc="359CFEE2" w:tentative="1">
      <w:start w:val="1"/>
      <w:numFmt w:val="bullet"/>
      <w:lvlText w:val="•"/>
      <w:lvlJc w:val="left"/>
      <w:pPr>
        <w:tabs>
          <w:tab w:val="num" w:pos="5040"/>
        </w:tabs>
        <w:ind w:left="5040" w:hanging="360"/>
      </w:pPr>
      <w:rPr>
        <w:rFonts w:hint="default" w:ascii="Arial" w:hAnsi="Arial"/>
      </w:rPr>
    </w:lvl>
    <w:lvl w:ilvl="7" w:tplc="CD466B2E" w:tentative="1">
      <w:start w:val="1"/>
      <w:numFmt w:val="bullet"/>
      <w:lvlText w:val="•"/>
      <w:lvlJc w:val="left"/>
      <w:pPr>
        <w:tabs>
          <w:tab w:val="num" w:pos="5760"/>
        </w:tabs>
        <w:ind w:left="5760" w:hanging="360"/>
      </w:pPr>
      <w:rPr>
        <w:rFonts w:hint="default" w:ascii="Arial" w:hAnsi="Arial"/>
      </w:rPr>
    </w:lvl>
    <w:lvl w:ilvl="8" w:tplc="5B2616E2" w:tentative="1">
      <w:start w:val="1"/>
      <w:numFmt w:val="bullet"/>
      <w:lvlText w:val="•"/>
      <w:lvlJc w:val="left"/>
      <w:pPr>
        <w:tabs>
          <w:tab w:val="num" w:pos="6480"/>
        </w:tabs>
        <w:ind w:left="6480" w:hanging="360"/>
      </w:pPr>
      <w:rPr>
        <w:rFonts w:hint="default" w:ascii="Arial" w:hAnsi="Arial"/>
      </w:rPr>
    </w:lvl>
  </w:abstractNum>
  <w:abstractNum w:abstractNumId="7" w15:restartNumberingAfterBreak="0">
    <w:nsid w:val="08BA6E48"/>
    <w:multiLevelType w:val="multilevel"/>
    <w:tmpl w:val="39EED390"/>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8" w15:restartNumberingAfterBreak="0">
    <w:nsid w:val="09570B1E"/>
    <w:multiLevelType w:val="multilevel"/>
    <w:tmpl w:val="84C292BA"/>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9" w15:restartNumberingAfterBreak="0">
    <w:nsid w:val="0C3924E5"/>
    <w:multiLevelType w:val="multilevel"/>
    <w:tmpl w:val="27BE327C"/>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0" w15:restartNumberingAfterBreak="0">
    <w:nsid w:val="0D8C5472"/>
    <w:multiLevelType w:val="multilevel"/>
    <w:tmpl w:val="CB5E8AD4"/>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1" w15:restartNumberingAfterBreak="0">
    <w:nsid w:val="0E0C1E88"/>
    <w:multiLevelType w:val="multilevel"/>
    <w:tmpl w:val="FE385B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0926AC3"/>
    <w:multiLevelType w:val="multilevel"/>
    <w:tmpl w:val="066251CC"/>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3" w15:restartNumberingAfterBreak="0">
    <w:nsid w:val="138F0049"/>
    <w:multiLevelType w:val="multilevel"/>
    <w:tmpl w:val="27FAEFAA"/>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4" w15:restartNumberingAfterBreak="0">
    <w:nsid w:val="138F7F47"/>
    <w:multiLevelType w:val="multilevel"/>
    <w:tmpl w:val="2CAAC94A"/>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5" w15:restartNumberingAfterBreak="0">
    <w:nsid w:val="14B22AFF"/>
    <w:multiLevelType w:val="multilevel"/>
    <w:tmpl w:val="6D14002E"/>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6" w15:restartNumberingAfterBreak="0">
    <w:nsid w:val="15591E36"/>
    <w:multiLevelType w:val="multilevel"/>
    <w:tmpl w:val="8A1E3148"/>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7" w15:restartNumberingAfterBreak="0">
    <w:nsid w:val="15ED63AE"/>
    <w:multiLevelType w:val="multilevel"/>
    <w:tmpl w:val="879E4B5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8" w15:restartNumberingAfterBreak="0">
    <w:nsid w:val="18A231DC"/>
    <w:multiLevelType w:val="multilevel"/>
    <w:tmpl w:val="FCE6A9D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9" w15:restartNumberingAfterBreak="0">
    <w:nsid w:val="1B6473D7"/>
    <w:multiLevelType w:val="multilevel"/>
    <w:tmpl w:val="87FA00DE"/>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20" w15:restartNumberingAfterBreak="0">
    <w:nsid w:val="1B820FA3"/>
    <w:multiLevelType w:val="multilevel"/>
    <w:tmpl w:val="3FCAACDA"/>
    <w:lvl w:ilvl="0">
      <w:start w:val="3"/>
      <w:numFmt w:val="decimal"/>
      <w:lvlText w:val="%1"/>
      <w:lvlJc w:val="left"/>
      <w:pPr>
        <w:ind w:left="390" w:hanging="390"/>
      </w:pPr>
      <w:rPr>
        <w:rFonts w:hint="default"/>
      </w:rPr>
    </w:lvl>
    <w:lvl w:ilvl="1">
      <w:start w:val="5"/>
      <w:numFmt w:val="decimal"/>
      <w:lvlText w:val="%1.%2"/>
      <w:lvlJc w:val="left"/>
      <w:pPr>
        <w:ind w:left="940" w:hanging="720"/>
      </w:pPr>
      <w:rPr>
        <w:rFonts w:hint="default"/>
      </w:rPr>
    </w:lvl>
    <w:lvl w:ilvl="2">
      <w:start w:val="1"/>
      <w:numFmt w:val="decimal"/>
      <w:lvlText w:val="%1.%2.%3"/>
      <w:lvlJc w:val="left"/>
      <w:pPr>
        <w:ind w:left="1160" w:hanging="720"/>
      </w:pPr>
      <w:rPr>
        <w:rFonts w:hint="default"/>
      </w:rPr>
    </w:lvl>
    <w:lvl w:ilvl="3">
      <w:start w:val="1"/>
      <w:numFmt w:val="decimal"/>
      <w:lvlText w:val="%1.%2.%3.%4"/>
      <w:lvlJc w:val="left"/>
      <w:pPr>
        <w:ind w:left="1740" w:hanging="1080"/>
      </w:pPr>
      <w:rPr>
        <w:rFonts w:hint="default"/>
      </w:rPr>
    </w:lvl>
    <w:lvl w:ilvl="4">
      <w:start w:val="1"/>
      <w:numFmt w:val="decimal"/>
      <w:lvlText w:val="%1.%2.%3.%4.%5"/>
      <w:lvlJc w:val="left"/>
      <w:pPr>
        <w:ind w:left="2320" w:hanging="1440"/>
      </w:pPr>
      <w:rPr>
        <w:rFonts w:hint="default"/>
      </w:rPr>
    </w:lvl>
    <w:lvl w:ilvl="5">
      <w:start w:val="1"/>
      <w:numFmt w:val="decimal"/>
      <w:lvlText w:val="%1.%2.%3.%4.%5.%6"/>
      <w:lvlJc w:val="left"/>
      <w:pPr>
        <w:ind w:left="2540" w:hanging="1440"/>
      </w:pPr>
      <w:rPr>
        <w:rFonts w:hint="default"/>
      </w:rPr>
    </w:lvl>
    <w:lvl w:ilvl="6">
      <w:start w:val="1"/>
      <w:numFmt w:val="decimal"/>
      <w:lvlText w:val="%1.%2.%3.%4.%5.%6.%7"/>
      <w:lvlJc w:val="left"/>
      <w:pPr>
        <w:ind w:left="3120" w:hanging="1800"/>
      </w:pPr>
      <w:rPr>
        <w:rFonts w:hint="default"/>
      </w:rPr>
    </w:lvl>
    <w:lvl w:ilvl="7">
      <w:start w:val="1"/>
      <w:numFmt w:val="decimal"/>
      <w:lvlText w:val="%1.%2.%3.%4.%5.%6.%7.%8"/>
      <w:lvlJc w:val="left"/>
      <w:pPr>
        <w:ind w:left="3340" w:hanging="1800"/>
      </w:pPr>
      <w:rPr>
        <w:rFonts w:hint="default"/>
      </w:rPr>
    </w:lvl>
    <w:lvl w:ilvl="8">
      <w:start w:val="1"/>
      <w:numFmt w:val="decimal"/>
      <w:lvlText w:val="%1.%2.%3.%4.%5.%6.%7.%8.%9"/>
      <w:lvlJc w:val="left"/>
      <w:pPr>
        <w:ind w:left="3920" w:hanging="2160"/>
      </w:pPr>
      <w:rPr>
        <w:rFonts w:hint="default"/>
      </w:rPr>
    </w:lvl>
  </w:abstractNum>
  <w:abstractNum w:abstractNumId="21" w15:restartNumberingAfterBreak="0">
    <w:nsid w:val="1BCB7CB9"/>
    <w:multiLevelType w:val="multilevel"/>
    <w:tmpl w:val="2340CFF0"/>
    <w:lvl w:ilvl="0">
      <w:start w:val="3"/>
      <w:numFmt w:val="decimal"/>
      <w:lvlText w:val="%1"/>
      <w:lvlJc w:val="left"/>
      <w:pPr>
        <w:ind w:left="555" w:hanging="555"/>
      </w:pPr>
      <w:rPr>
        <w:rFonts w:hint="default"/>
        <w:sz w:val="24"/>
      </w:rPr>
    </w:lvl>
    <w:lvl w:ilvl="1">
      <w:start w:val="2"/>
      <w:numFmt w:val="decimal"/>
      <w:lvlText w:val="%1.%2"/>
      <w:lvlJc w:val="left"/>
      <w:pPr>
        <w:ind w:left="720" w:hanging="720"/>
      </w:pPr>
      <w:rPr>
        <w:rFonts w:hint="default"/>
        <w:sz w:val="24"/>
      </w:rPr>
    </w:lvl>
    <w:lvl w:ilvl="2">
      <w:start w:val="4"/>
      <w:numFmt w:val="decimal"/>
      <w:lvlText w:val="%1.%2.%3"/>
      <w:lvlJc w:val="left"/>
      <w:pPr>
        <w:ind w:left="720" w:hanging="720"/>
      </w:pPr>
      <w:rPr>
        <w:rFonts w:hint="default"/>
        <w:sz w:val="24"/>
      </w:rPr>
    </w:lvl>
    <w:lvl w:ilvl="3">
      <w:start w:val="1"/>
      <w:numFmt w:val="decimal"/>
      <w:lvlText w:val="%1.%2.%3.%4"/>
      <w:lvlJc w:val="left"/>
      <w:pPr>
        <w:ind w:left="1080" w:hanging="1080"/>
      </w:pPr>
      <w:rPr>
        <w:rFonts w:hint="default"/>
        <w:sz w:val="24"/>
      </w:rPr>
    </w:lvl>
    <w:lvl w:ilvl="4">
      <w:start w:val="1"/>
      <w:numFmt w:val="decimal"/>
      <w:lvlText w:val="%1.%2.%3.%4.%5"/>
      <w:lvlJc w:val="left"/>
      <w:pPr>
        <w:ind w:left="1440" w:hanging="1440"/>
      </w:pPr>
      <w:rPr>
        <w:rFonts w:hint="default"/>
        <w:sz w:val="24"/>
      </w:rPr>
    </w:lvl>
    <w:lvl w:ilvl="5">
      <w:start w:val="1"/>
      <w:numFmt w:val="decimal"/>
      <w:lvlText w:val="%1.%2.%3.%4.%5.%6"/>
      <w:lvlJc w:val="left"/>
      <w:pPr>
        <w:ind w:left="1440" w:hanging="1440"/>
      </w:pPr>
      <w:rPr>
        <w:rFonts w:hint="default"/>
        <w:sz w:val="24"/>
      </w:rPr>
    </w:lvl>
    <w:lvl w:ilvl="6">
      <w:start w:val="1"/>
      <w:numFmt w:val="decimal"/>
      <w:lvlText w:val="%1.%2.%3.%4.%5.%6.%7"/>
      <w:lvlJc w:val="left"/>
      <w:pPr>
        <w:ind w:left="1800" w:hanging="1800"/>
      </w:pPr>
      <w:rPr>
        <w:rFonts w:hint="default"/>
        <w:sz w:val="24"/>
      </w:rPr>
    </w:lvl>
    <w:lvl w:ilvl="7">
      <w:start w:val="1"/>
      <w:numFmt w:val="decimal"/>
      <w:lvlText w:val="%1.%2.%3.%4.%5.%6.%7.%8"/>
      <w:lvlJc w:val="left"/>
      <w:pPr>
        <w:ind w:left="1800" w:hanging="1800"/>
      </w:pPr>
      <w:rPr>
        <w:rFonts w:hint="default"/>
        <w:sz w:val="24"/>
      </w:rPr>
    </w:lvl>
    <w:lvl w:ilvl="8">
      <w:start w:val="1"/>
      <w:numFmt w:val="decimal"/>
      <w:lvlText w:val="%1.%2.%3.%4.%5.%6.%7.%8.%9"/>
      <w:lvlJc w:val="left"/>
      <w:pPr>
        <w:ind w:left="2160" w:hanging="2160"/>
      </w:pPr>
      <w:rPr>
        <w:rFonts w:hint="default"/>
        <w:sz w:val="24"/>
      </w:rPr>
    </w:lvl>
  </w:abstractNum>
  <w:abstractNum w:abstractNumId="22" w15:restartNumberingAfterBreak="0">
    <w:nsid w:val="1BDA270C"/>
    <w:multiLevelType w:val="multilevel"/>
    <w:tmpl w:val="3D22AD8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3" w15:restartNumberingAfterBreak="0">
    <w:nsid w:val="1EFC6F05"/>
    <w:multiLevelType w:val="multilevel"/>
    <w:tmpl w:val="DC2866CE"/>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24" w15:restartNumberingAfterBreak="0">
    <w:nsid w:val="201F0034"/>
    <w:multiLevelType w:val="multilevel"/>
    <w:tmpl w:val="EB8036BC"/>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25" w15:restartNumberingAfterBreak="0">
    <w:nsid w:val="21987513"/>
    <w:multiLevelType w:val="multilevel"/>
    <w:tmpl w:val="3B3AA50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6" w15:restartNumberingAfterBreak="0">
    <w:nsid w:val="234C5796"/>
    <w:multiLevelType w:val="multilevel"/>
    <w:tmpl w:val="D926016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7" w15:restartNumberingAfterBreak="0">
    <w:nsid w:val="23790FA6"/>
    <w:multiLevelType w:val="hybridMultilevel"/>
    <w:tmpl w:val="1C4608F8"/>
    <w:lvl w:ilvl="0" w:tplc="62ACD164">
      <w:start w:val="1"/>
      <w:numFmt w:val="bullet"/>
      <w:lvlText w:val="•"/>
      <w:lvlJc w:val="left"/>
      <w:pPr>
        <w:ind w:left="720" w:hanging="360"/>
      </w:pPr>
      <w:rPr>
        <w:rFonts w:hint="default" w:ascii="Arial" w:hAnsi="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243677D1"/>
    <w:multiLevelType w:val="multilevel"/>
    <w:tmpl w:val="9BE05DF6"/>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29" w15:restartNumberingAfterBreak="0">
    <w:nsid w:val="25317DF2"/>
    <w:multiLevelType w:val="multilevel"/>
    <w:tmpl w:val="F432D1BE"/>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0" w15:restartNumberingAfterBreak="0">
    <w:nsid w:val="27EC5309"/>
    <w:multiLevelType w:val="multilevel"/>
    <w:tmpl w:val="92FEBB76"/>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31" w15:restartNumberingAfterBreak="0">
    <w:nsid w:val="29EB568D"/>
    <w:multiLevelType w:val="multilevel"/>
    <w:tmpl w:val="6A6887CA"/>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32" w15:restartNumberingAfterBreak="0">
    <w:nsid w:val="2EAE7F9E"/>
    <w:multiLevelType w:val="multilevel"/>
    <w:tmpl w:val="51906DBE"/>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33" w15:restartNumberingAfterBreak="0">
    <w:nsid w:val="2F411F60"/>
    <w:multiLevelType w:val="multilevel"/>
    <w:tmpl w:val="AEA0D9A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4" w15:restartNumberingAfterBreak="0">
    <w:nsid w:val="2FF51761"/>
    <w:multiLevelType w:val="multilevel"/>
    <w:tmpl w:val="315CE734"/>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35" w15:restartNumberingAfterBreak="0">
    <w:nsid w:val="302358D9"/>
    <w:multiLevelType w:val="multilevel"/>
    <w:tmpl w:val="678E4BA4"/>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36" w15:restartNumberingAfterBreak="0">
    <w:nsid w:val="312C2B3B"/>
    <w:multiLevelType w:val="multilevel"/>
    <w:tmpl w:val="6A78D61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7" w15:restartNumberingAfterBreak="0">
    <w:nsid w:val="320E7778"/>
    <w:multiLevelType w:val="multilevel"/>
    <w:tmpl w:val="032AB53C"/>
    <w:lvl w:ilvl="0">
      <w:start w:val="1"/>
      <w:numFmt w:val="bullet"/>
      <w:lvlText w:val=""/>
      <w:lvlJc w:val="left"/>
      <w:pPr>
        <w:tabs>
          <w:tab w:val="num" w:pos="360"/>
        </w:tabs>
        <w:ind w:left="360" w:hanging="360"/>
      </w:pPr>
      <w:rPr>
        <w:rFonts w:hint="default" w:ascii="Symbol" w:hAnsi="Symbol"/>
        <w:sz w:val="20"/>
      </w:rPr>
    </w:lvl>
    <w:lvl w:ilvl="1">
      <w:start w:val="1"/>
      <w:numFmt w:val="bullet"/>
      <w:lvlText w:val="o"/>
      <w:lvlJc w:val="left"/>
      <w:pPr>
        <w:tabs>
          <w:tab w:val="num" w:pos="1080"/>
        </w:tabs>
        <w:ind w:left="1080" w:hanging="360"/>
      </w:pPr>
      <w:rPr>
        <w:rFonts w:hint="default" w:ascii="Courier New" w:hAnsi="Courier New"/>
        <w:sz w:val="20"/>
      </w:rPr>
    </w:lvl>
    <w:lvl w:ilvl="2" w:tentative="1">
      <w:start w:val="1"/>
      <w:numFmt w:val="bullet"/>
      <w:lvlText w:val=""/>
      <w:lvlJc w:val="left"/>
      <w:pPr>
        <w:tabs>
          <w:tab w:val="num" w:pos="1800"/>
        </w:tabs>
        <w:ind w:left="1800" w:hanging="360"/>
      </w:pPr>
      <w:rPr>
        <w:rFonts w:hint="default" w:ascii="Wingdings" w:hAnsi="Wingdings"/>
        <w:sz w:val="20"/>
      </w:rPr>
    </w:lvl>
    <w:lvl w:ilvl="3" w:tentative="1">
      <w:start w:val="1"/>
      <w:numFmt w:val="bullet"/>
      <w:lvlText w:val=""/>
      <w:lvlJc w:val="left"/>
      <w:pPr>
        <w:tabs>
          <w:tab w:val="num" w:pos="2520"/>
        </w:tabs>
        <w:ind w:left="2520" w:hanging="360"/>
      </w:pPr>
      <w:rPr>
        <w:rFonts w:hint="default" w:ascii="Wingdings" w:hAnsi="Wingdings"/>
        <w:sz w:val="20"/>
      </w:rPr>
    </w:lvl>
    <w:lvl w:ilvl="4" w:tentative="1">
      <w:start w:val="1"/>
      <w:numFmt w:val="bullet"/>
      <w:lvlText w:val=""/>
      <w:lvlJc w:val="left"/>
      <w:pPr>
        <w:tabs>
          <w:tab w:val="num" w:pos="3240"/>
        </w:tabs>
        <w:ind w:left="3240" w:hanging="360"/>
      </w:pPr>
      <w:rPr>
        <w:rFonts w:hint="default" w:ascii="Wingdings" w:hAnsi="Wingdings"/>
        <w:sz w:val="20"/>
      </w:rPr>
    </w:lvl>
    <w:lvl w:ilvl="5" w:tentative="1">
      <w:start w:val="1"/>
      <w:numFmt w:val="bullet"/>
      <w:lvlText w:val=""/>
      <w:lvlJc w:val="left"/>
      <w:pPr>
        <w:tabs>
          <w:tab w:val="num" w:pos="3960"/>
        </w:tabs>
        <w:ind w:left="3960" w:hanging="360"/>
      </w:pPr>
      <w:rPr>
        <w:rFonts w:hint="default" w:ascii="Wingdings" w:hAnsi="Wingdings"/>
        <w:sz w:val="20"/>
      </w:rPr>
    </w:lvl>
    <w:lvl w:ilvl="6" w:tentative="1">
      <w:start w:val="1"/>
      <w:numFmt w:val="bullet"/>
      <w:lvlText w:val=""/>
      <w:lvlJc w:val="left"/>
      <w:pPr>
        <w:tabs>
          <w:tab w:val="num" w:pos="4680"/>
        </w:tabs>
        <w:ind w:left="4680" w:hanging="360"/>
      </w:pPr>
      <w:rPr>
        <w:rFonts w:hint="default" w:ascii="Wingdings" w:hAnsi="Wingdings"/>
        <w:sz w:val="20"/>
      </w:rPr>
    </w:lvl>
    <w:lvl w:ilvl="7" w:tentative="1">
      <w:start w:val="1"/>
      <w:numFmt w:val="bullet"/>
      <w:lvlText w:val=""/>
      <w:lvlJc w:val="left"/>
      <w:pPr>
        <w:tabs>
          <w:tab w:val="num" w:pos="5400"/>
        </w:tabs>
        <w:ind w:left="5400" w:hanging="360"/>
      </w:pPr>
      <w:rPr>
        <w:rFonts w:hint="default" w:ascii="Wingdings" w:hAnsi="Wingdings"/>
        <w:sz w:val="20"/>
      </w:rPr>
    </w:lvl>
    <w:lvl w:ilvl="8" w:tentative="1">
      <w:start w:val="1"/>
      <w:numFmt w:val="bullet"/>
      <w:lvlText w:val=""/>
      <w:lvlJc w:val="left"/>
      <w:pPr>
        <w:tabs>
          <w:tab w:val="num" w:pos="6120"/>
        </w:tabs>
        <w:ind w:left="6120" w:hanging="360"/>
      </w:pPr>
      <w:rPr>
        <w:rFonts w:hint="default" w:ascii="Wingdings" w:hAnsi="Wingdings"/>
        <w:sz w:val="20"/>
      </w:rPr>
    </w:lvl>
  </w:abstractNum>
  <w:abstractNum w:abstractNumId="38" w15:restartNumberingAfterBreak="0">
    <w:nsid w:val="380F495E"/>
    <w:multiLevelType w:val="multilevel"/>
    <w:tmpl w:val="A76A01A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9" w15:restartNumberingAfterBreak="0">
    <w:nsid w:val="3A8138F8"/>
    <w:multiLevelType w:val="multilevel"/>
    <w:tmpl w:val="6B285D52"/>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40" w15:restartNumberingAfterBreak="0">
    <w:nsid w:val="3C1A6F6B"/>
    <w:multiLevelType w:val="multilevel"/>
    <w:tmpl w:val="45683C6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1" w15:restartNumberingAfterBreak="0">
    <w:nsid w:val="3C2B08AA"/>
    <w:multiLevelType w:val="multilevel"/>
    <w:tmpl w:val="318C3982"/>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42" w15:restartNumberingAfterBreak="0">
    <w:nsid w:val="3DB33B74"/>
    <w:multiLevelType w:val="multilevel"/>
    <w:tmpl w:val="4860FA84"/>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43" w15:restartNumberingAfterBreak="0">
    <w:nsid w:val="40F8321F"/>
    <w:multiLevelType w:val="multilevel"/>
    <w:tmpl w:val="01D6AD56"/>
    <w:lvl w:ilvl="0">
      <w:start w:val="1"/>
      <w:numFmt w:val="bullet"/>
      <w:lvlText w:val=""/>
      <w:lvlJc w:val="left"/>
      <w:pPr>
        <w:tabs>
          <w:tab w:val="num" w:pos="360"/>
        </w:tabs>
        <w:ind w:left="360" w:hanging="360"/>
      </w:pPr>
      <w:rPr>
        <w:rFonts w:hint="default" w:ascii="Symbol" w:hAnsi="Symbol"/>
        <w:sz w:val="20"/>
      </w:rPr>
    </w:lvl>
    <w:lvl w:ilvl="1">
      <w:start w:val="1"/>
      <w:numFmt w:val="bullet"/>
      <w:lvlText w:val="o"/>
      <w:lvlJc w:val="left"/>
      <w:pPr>
        <w:tabs>
          <w:tab w:val="num" w:pos="1080"/>
        </w:tabs>
        <w:ind w:left="1080" w:hanging="360"/>
      </w:pPr>
      <w:rPr>
        <w:rFonts w:hint="default" w:ascii="Courier New" w:hAnsi="Courier New"/>
        <w:sz w:val="20"/>
      </w:rPr>
    </w:lvl>
    <w:lvl w:ilvl="2" w:tentative="1">
      <w:start w:val="1"/>
      <w:numFmt w:val="bullet"/>
      <w:lvlText w:val=""/>
      <w:lvlJc w:val="left"/>
      <w:pPr>
        <w:tabs>
          <w:tab w:val="num" w:pos="1800"/>
        </w:tabs>
        <w:ind w:left="1800" w:hanging="360"/>
      </w:pPr>
      <w:rPr>
        <w:rFonts w:hint="default" w:ascii="Wingdings" w:hAnsi="Wingdings"/>
        <w:sz w:val="20"/>
      </w:rPr>
    </w:lvl>
    <w:lvl w:ilvl="3" w:tentative="1">
      <w:start w:val="1"/>
      <w:numFmt w:val="bullet"/>
      <w:lvlText w:val=""/>
      <w:lvlJc w:val="left"/>
      <w:pPr>
        <w:tabs>
          <w:tab w:val="num" w:pos="2520"/>
        </w:tabs>
        <w:ind w:left="2520" w:hanging="360"/>
      </w:pPr>
      <w:rPr>
        <w:rFonts w:hint="default" w:ascii="Wingdings" w:hAnsi="Wingdings"/>
        <w:sz w:val="20"/>
      </w:rPr>
    </w:lvl>
    <w:lvl w:ilvl="4" w:tentative="1">
      <w:start w:val="1"/>
      <w:numFmt w:val="bullet"/>
      <w:lvlText w:val=""/>
      <w:lvlJc w:val="left"/>
      <w:pPr>
        <w:tabs>
          <w:tab w:val="num" w:pos="3240"/>
        </w:tabs>
        <w:ind w:left="3240" w:hanging="360"/>
      </w:pPr>
      <w:rPr>
        <w:rFonts w:hint="default" w:ascii="Wingdings" w:hAnsi="Wingdings"/>
        <w:sz w:val="20"/>
      </w:rPr>
    </w:lvl>
    <w:lvl w:ilvl="5" w:tentative="1">
      <w:start w:val="1"/>
      <w:numFmt w:val="bullet"/>
      <w:lvlText w:val=""/>
      <w:lvlJc w:val="left"/>
      <w:pPr>
        <w:tabs>
          <w:tab w:val="num" w:pos="3960"/>
        </w:tabs>
        <w:ind w:left="3960" w:hanging="360"/>
      </w:pPr>
      <w:rPr>
        <w:rFonts w:hint="default" w:ascii="Wingdings" w:hAnsi="Wingdings"/>
        <w:sz w:val="20"/>
      </w:rPr>
    </w:lvl>
    <w:lvl w:ilvl="6" w:tentative="1">
      <w:start w:val="1"/>
      <w:numFmt w:val="bullet"/>
      <w:lvlText w:val=""/>
      <w:lvlJc w:val="left"/>
      <w:pPr>
        <w:tabs>
          <w:tab w:val="num" w:pos="4680"/>
        </w:tabs>
        <w:ind w:left="4680" w:hanging="360"/>
      </w:pPr>
      <w:rPr>
        <w:rFonts w:hint="default" w:ascii="Wingdings" w:hAnsi="Wingdings"/>
        <w:sz w:val="20"/>
      </w:rPr>
    </w:lvl>
    <w:lvl w:ilvl="7" w:tentative="1">
      <w:start w:val="1"/>
      <w:numFmt w:val="bullet"/>
      <w:lvlText w:val=""/>
      <w:lvlJc w:val="left"/>
      <w:pPr>
        <w:tabs>
          <w:tab w:val="num" w:pos="5400"/>
        </w:tabs>
        <w:ind w:left="5400" w:hanging="360"/>
      </w:pPr>
      <w:rPr>
        <w:rFonts w:hint="default" w:ascii="Wingdings" w:hAnsi="Wingdings"/>
        <w:sz w:val="20"/>
      </w:rPr>
    </w:lvl>
    <w:lvl w:ilvl="8" w:tentative="1">
      <w:start w:val="1"/>
      <w:numFmt w:val="bullet"/>
      <w:lvlText w:val=""/>
      <w:lvlJc w:val="left"/>
      <w:pPr>
        <w:tabs>
          <w:tab w:val="num" w:pos="6120"/>
        </w:tabs>
        <w:ind w:left="6120" w:hanging="360"/>
      </w:pPr>
      <w:rPr>
        <w:rFonts w:hint="default" w:ascii="Wingdings" w:hAnsi="Wingdings"/>
        <w:sz w:val="20"/>
      </w:rPr>
    </w:lvl>
  </w:abstractNum>
  <w:abstractNum w:abstractNumId="44" w15:restartNumberingAfterBreak="0">
    <w:nsid w:val="42213F3B"/>
    <w:multiLevelType w:val="multilevel"/>
    <w:tmpl w:val="EBA01026"/>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45" w15:restartNumberingAfterBreak="0">
    <w:nsid w:val="42796801"/>
    <w:multiLevelType w:val="multilevel"/>
    <w:tmpl w:val="97C62D42"/>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46" w15:restartNumberingAfterBreak="0">
    <w:nsid w:val="47CF090E"/>
    <w:multiLevelType w:val="multilevel"/>
    <w:tmpl w:val="346EAB90"/>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47" w15:restartNumberingAfterBreak="0">
    <w:nsid w:val="485D6C0B"/>
    <w:multiLevelType w:val="multilevel"/>
    <w:tmpl w:val="41F02410"/>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48" w15:restartNumberingAfterBreak="0">
    <w:nsid w:val="490051F6"/>
    <w:multiLevelType w:val="hybridMultilevel"/>
    <w:tmpl w:val="2B142D0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9" w15:restartNumberingAfterBreak="0">
    <w:nsid w:val="49032E3D"/>
    <w:multiLevelType w:val="multilevel"/>
    <w:tmpl w:val="1EF28C42"/>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50" w15:restartNumberingAfterBreak="0">
    <w:nsid w:val="4C337D5E"/>
    <w:multiLevelType w:val="multilevel"/>
    <w:tmpl w:val="9DAAE99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1" w15:restartNumberingAfterBreak="0">
    <w:nsid w:val="4E013FF6"/>
    <w:multiLevelType w:val="hybridMultilevel"/>
    <w:tmpl w:val="13DAE0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2" w15:restartNumberingAfterBreak="0">
    <w:nsid w:val="4E7637EA"/>
    <w:multiLevelType w:val="multilevel"/>
    <w:tmpl w:val="AA283068"/>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53" w15:restartNumberingAfterBreak="0">
    <w:nsid w:val="4EC52549"/>
    <w:multiLevelType w:val="multilevel"/>
    <w:tmpl w:val="43A8DE3A"/>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54" w15:restartNumberingAfterBreak="0">
    <w:nsid w:val="505B67CD"/>
    <w:multiLevelType w:val="multilevel"/>
    <w:tmpl w:val="C7BCFED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5" w15:restartNumberingAfterBreak="0">
    <w:nsid w:val="53325985"/>
    <w:multiLevelType w:val="multilevel"/>
    <w:tmpl w:val="0052872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6" w15:restartNumberingAfterBreak="0">
    <w:nsid w:val="54503C68"/>
    <w:multiLevelType w:val="multilevel"/>
    <w:tmpl w:val="4BB4CB9E"/>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57" w15:restartNumberingAfterBreak="0">
    <w:nsid w:val="566F3735"/>
    <w:multiLevelType w:val="multilevel"/>
    <w:tmpl w:val="383E10B4"/>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58" w15:restartNumberingAfterBreak="0">
    <w:nsid w:val="56A96389"/>
    <w:multiLevelType w:val="multilevel"/>
    <w:tmpl w:val="97622CA6"/>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59" w15:restartNumberingAfterBreak="0">
    <w:nsid w:val="576F08EC"/>
    <w:multiLevelType w:val="multilevel"/>
    <w:tmpl w:val="E496CA0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0" w15:restartNumberingAfterBreak="0">
    <w:nsid w:val="57DD7443"/>
    <w:multiLevelType w:val="multilevel"/>
    <w:tmpl w:val="F2EE4864"/>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61" w15:restartNumberingAfterBreak="0">
    <w:nsid w:val="598B750B"/>
    <w:multiLevelType w:val="multilevel"/>
    <w:tmpl w:val="EFBA58A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2" w15:restartNumberingAfterBreak="0">
    <w:nsid w:val="59AD1C82"/>
    <w:multiLevelType w:val="multilevel"/>
    <w:tmpl w:val="BB66CFA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3" w15:restartNumberingAfterBreak="0">
    <w:nsid w:val="5B410EB4"/>
    <w:multiLevelType w:val="multilevel"/>
    <w:tmpl w:val="80F4955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4" w15:restartNumberingAfterBreak="0">
    <w:nsid w:val="5B910B97"/>
    <w:multiLevelType w:val="multilevel"/>
    <w:tmpl w:val="B98EEF04"/>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65" w15:restartNumberingAfterBreak="0">
    <w:nsid w:val="5BE36DFC"/>
    <w:multiLevelType w:val="multilevel"/>
    <w:tmpl w:val="31B0B14C"/>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66" w15:restartNumberingAfterBreak="0">
    <w:nsid w:val="5E4E1A18"/>
    <w:multiLevelType w:val="multilevel"/>
    <w:tmpl w:val="71AC6268"/>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67" w15:restartNumberingAfterBreak="0">
    <w:nsid w:val="5E70291B"/>
    <w:multiLevelType w:val="multilevel"/>
    <w:tmpl w:val="66C873C0"/>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68" w15:restartNumberingAfterBreak="0">
    <w:nsid w:val="5F7C621F"/>
    <w:multiLevelType w:val="multilevel"/>
    <w:tmpl w:val="0D46999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9" w15:restartNumberingAfterBreak="0">
    <w:nsid w:val="5FCD0933"/>
    <w:multiLevelType w:val="hybridMultilevel"/>
    <w:tmpl w:val="2826AF74"/>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0" w15:restartNumberingAfterBreak="0">
    <w:nsid w:val="61565D29"/>
    <w:multiLevelType w:val="multilevel"/>
    <w:tmpl w:val="7D440E8E"/>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71" w15:restartNumberingAfterBreak="0">
    <w:nsid w:val="632A7D07"/>
    <w:multiLevelType w:val="multilevel"/>
    <w:tmpl w:val="8578D152"/>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72" w15:restartNumberingAfterBreak="0">
    <w:nsid w:val="65437F6C"/>
    <w:multiLevelType w:val="multilevel"/>
    <w:tmpl w:val="642681F4"/>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3" w15:restartNumberingAfterBreak="0">
    <w:nsid w:val="6576206F"/>
    <w:multiLevelType w:val="multilevel"/>
    <w:tmpl w:val="08DADE26"/>
    <w:lvl w:ilvl="0">
      <w:start w:val="1"/>
      <w:numFmt w:val="bullet"/>
      <w:lvlText w:val=""/>
      <w:lvlJc w:val="left"/>
      <w:pPr>
        <w:tabs>
          <w:tab w:val="num" w:pos="360"/>
        </w:tabs>
        <w:ind w:left="360" w:hanging="360"/>
      </w:pPr>
      <w:rPr>
        <w:rFonts w:hint="default" w:ascii="Symbol" w:hAnsi="Symbol"/>
        <w:sz w:val="20"/>
      </w:rPr>
    </w:lvl>
    <w:lvl w:ilvl="1">
      <w:start w:val="1"/>
      <w:numFmt w:val="bullet"/>
      <w:lvlText w:val="o"/>
      <w:lvlJc w:val="left"/>
      <w:pPr>
        <w:tabs>
          <w:tab w:val="num" w:pos="1080"/>
        </w:tabs>
        <w:ind w:left="1080" w:hanging="360"/>
      </w:pPr>
      <w:rPr>
        <w:rFonts w:hint="default" w:ascii="Courier New" w:hAnsi="Courier New"/>
        <w:sz w:val="20"/>
      </w:rPr>
    </w:lvl>
    <w:lvl w:ilvl="2" w:tentative="1">
      <w:start w:val="1"/>
      <w:numFmt w:val="bullet"/>
      <w:lvlText w:val=""/>
      <w:lvlJc w:val="left"/>
      <w:pPr>
        <w:tabs>
          <w:tab w:val="num" w:pos="1800"/>
        </w:tabs>
        <w:ind w:left="1800" w:hanging="360"/>
      </w:pPr>
      <w:rPr>
        <w:rFonts w:hint="default" w:ascii="Wingdings" w:hAnsi="Wingdings"/>
        <w:sz w:val="20"/>
      </w:rPr>
    </w:lvl>
    <w:lvl w:ilvl="3" w:tentative="1">
      <w:start w:val="1"/>
      <w:numFmt w:val="bullet"/>
      <w:lvlText w:val=""/>
      <w:lvlJc w:val="left"/>
      <w:pPr>
        <w:tabs>
          <w:tab w:val="num" w:pos="2520"/>
        </w:tabs>
        <w:ind w:left="2520" w:hanging="360"/>
      </w:pPr>
      <w:rPr>
        <w:rFonts w:hint="default" w:ascii="Wingdings" w:hAnsi="Wingdings"/>
        <w:sz w:val="20"/>
      </w:rPr>
    </w:lvl>
    <w:lvl w:ilvl="4" w:tentative="1">
      <w:start w:val="1"/>
      <w:numFmt w:val="bullet"/>
      <w:lvlText w:val=""/>
      <w:lvlJc w:val="left"/>
      <w:pPr>
        <w:tabs>
          <w:tab w:val="num" w:pos="3240"/>
        </w:tabs>
        <w:ind w:left="3240" w:hanging="360"/>
      </w:pPr>
      <w:rPr>
        <w:rFonts w:hint="default" w:ascii="Wingdings" w:hAnsi="Wingdings"/>
        <w:sz w:val="20"/>
      </w:rPr>
    </w:lvl>
    <w:lvl w:ilvl="5" w:tentative="1">
      <w:start w:val="1"/>
      <w:numFmt w:val="bullet"/>
      <w:lvlText w:val=""/>
      <w:lvlJc w:val="left"/>
      <w:pPr>
        <w:tabs>
          <w:tab w:val="num" w:pos="3960"/>
        </w:tabs>
        <w:ind w:left="3960" w:hanging="360"/>
      </w:pPr>
      <w:rPr>
        <w:rFonts w:hint="default" w:ascii="Wingdings" w:hAnsi="Wingdings"/>
        <w:sz w:val="20"/>
      </w:rPr>
    </w:lvl>
    <w:lvl w:ilvl="6" w:tentative="1">
      <w:start w:val="1"/>
      <w:numFmt w:val="bullet"/>
      <w:lvlText w:val=""/>
      <w:lvlJc w:val="left"/>
      <w:pPr>
        <w:tabs>
          <w:tab w:val="num" w:pos="4680"/>
        </w:tabs>
        <w:ind w:left="4680" w:hanging="360"/>
      </w:pPr>
      <w:rPr>
        <w:rFonts w:hint="default" w:ascii="Wingdings" w:hAnsi="Wingdings"/>
        <w:sz w:val="20"/>
      </w:rPr>
    </w:lvl>
    <w:lvl w:ilvl="7" w:tentative="1">
      <w:start w:val="1"/>
      <w:numFmt w:val="bullet"/>
      <w:lvlText w:val=""/>
      <w:lvlJc w:val="left"/>
      <w:pPr>
        <w:tabs>
          <w:tab w:val="num" w:pos="5400"/>
        </w:tabs>
        <w:ind w:left="5400" w:hanging="360"/>
      </w:pPr>
      <w:rPr>
        <w:rFonts w:hint="default" w:ascii="Wingdings" w:hAnsi="Wingdings"/>
        <w:sz w:val="20"/>
      </w:rPr>
    </w:lvl>
    <w:lvl w:ilvl="8" w:tentative="1">
      <w:start w:val="1"/>
      <w:numFmt w:val="bullet"/>
      <w:lvlText w:val=""/>
      <w:lvlJc w:val="left"/>
      <w:pPr>
        <w:tabs>
          <w:tab w:val="num" w:pos="6120"/>
        </w:tabs>
        <w:ind w:left="6120" w:hanging="360"/>
      </w:pPr>
      <w:rPr>
        <w:rFonts w:hint="default" w:ascii="Wingdings" w:hAnsi="Wingdings"/>
        <w:sz w:val="20"/>
      </w:rPr>
    </w:lvl>
  </w:abstractNum>
  <w:abstractNum w:abstractNumId="74" w15:restartNumberingAfterBreak="0">
    <w:nsid w:val="65DE4F4F"/>
    <w:multiLevelType w:val="multilevel"/>
    <w:tmpl w:val="909E9DC0"/>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75" w15:restartNumberingAfterBreak="0">
    <w:nsid w:val="675D1599"/>
    <w:multiLevelType w:val="multilevel"/>
    <w:tmpl w:val="8B9C516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6" w15:restartNumberingAfterBreak="0">
    <w:nsid w:val="6A35444F"/>
    <w:multiLevelType w:val="multilevel"/>
    <w:tmpl w:val="75FA85E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7" w15:restartNumberingAfterBreak="0">
    <w:nsid w:val="6E1D255F"/>
    <w:multiLevelType w:val="multilevel"/>
    <w:tmpl w:val="DDD6F2F8"/>
    <w:lvl w:ilvl="0">
      <w:start w:val="1"/>
      <w:numFmt w:val="bullet"/>
      <w:lvlText w:val=""/>
      <w:lvlJc w:val="left"/>
      <w:pPr>
        <w:tabs>
          <w:tab w:val="num" w:pos="360"/>
        </w:tabs>
        <w:ind w:left="360" w:hanging="360"/>
      </w:pPr>
      <w:rPr>
        <w:rFonts w:hint="default" w:ascii="Symbol" w:hAnsi="Symbol"/>
        <w:sz w:val="20"/>
      </w:rPr>
    </w:lvl>
    <w:lvl w:ilvl="1">
      <w:start w:val="1"/>
      <w:numFmt w:val="bullet"/>
      <w:lvlText w:val="o"/>
      <w:lvlJc w:val="left"/>
      <w:pPr>
        <w:tabs>
          <w:tab w:val="num" w:pos="1080"/>
        </w:tabs>
        <w:ind w:left="1080" w:hanging="360"/>
      </w:pPr>
      <w:rPr>
        <w:rFonts w:hint="default" w:ascii="Courier New" w:hAnsi="Courier New"/>
        <w:sz w:val="20"/>
      </w:rPr>
    </w:lvl>
    <w:lvl w:ilvl="2" w:tentative="1">
      <w:start w:val="1"/>
      <w:numFmt w:val="bullet"/>
      <w:lvlText w:val=""/>
      <w:lvlJc w:val="left"/>
      <w:pPr>
        <w:tabs>
          <w:tab w:val="num" w:pos="1800"/>
        </w:tabs>
        <w:ind w:left="1800" w:hanging="360"/>
      </w:pPr>
      <w:rPr>
        <w:rFonts w:hint="default" w:ascii="Wingdings" w:hAnsi="Wingdings"/>
        <w:sz w:val="20"/>
      </w:rPr>
    </w:lvl>
    <w:lvl w:ilvl="3" w:tentative="1">
      <w:start w:val="1"/>
      <w:numFmt w:val="bullet"/>
      <w:lvlText w:val=""/>
      <w:lvlJc w:val="left"/>
      <w:pPr>
        <w:tabs>
          <w:tab w:val="num" w:pos="2520"/>
        </w:tabs>
        <w:ind w:left="2520" w:hanging="360"/>
      </w:pPr>
      <w:rPr>
        <w:rFonts w:hint="default" w:ascii="Wingdings" w:hAnsi="Wingdings"/>
        <w:sz w:val="20"/>
      </w:rPr>
    </w:lvl>
    <w:lvl w:ilvl="4" w:tentative="1">
      <w:start w:val="1"/>
      <w:numFmt w:val="bullet"/>
      <w:lvlText w:val=""/>
      <w:lvlJc w:val="left"/>
      <w:pPr>
        <w:tabs>
          <w:tab w:val="num" w:pos="3240"/>
        </w:tabs>
        <w:ind w:left="3240" w:hanging="360"/>
      </w:pPr>
      <w:rPr>
        <w:rFonts w:hint="default" w:ascii="Wingdings" w:hAnsi="Wingdings"/>
        <w:sz w:val="20"/>
      </w:rPr>
    </w:lvl>
    <w:lvl w:ilvl="5" w:tentative="1">
      <w:start w:val="1"/>
      <w:numFmt w:val="bullet"/>
      <w:lvlText w:val=""/>
      <w:lvlJc w:val="left"/>
      <w:pPr>
        <w:tabs>
          <w:tab w:val="num" w:pos="3960"/>
        </w:tabs>
        <w:ind w:left="3960" w:hanging="360"/>
      </w:pPr>
      <w:rPr>
        <w:rFonts w:hint="default" w:ascii="Wingdings" w:hAnsi="Wingdings"/>
        <w:sz w:val="20"/>
      </w:rPr>
    </w:lvl>
    <w:lvl w:ilvl="6" w:tentative="1">
      <w:start w:val="1"/>
      <w:numFmt w:val="bullet"/>
      <w:lvlText w:val=""/>
      <w:lvlJc w:val="left"/>
      <w:pPr>
        <w:tabs>
          <w:tab w:val="num" w:pos="4680"/>
        </w:tabs>
        <w:ind w:left="4680" w:hanging="360"/>
      </w:pPr>
      <w:rPr>
        <w:rFonts w:hint="default" w:ascii="Wingdings" w:hAnsi="Wingdings"/>
        <w:sz w:val="20"/>
      </w:rPr>
    </w:lvl>
    <w:lvl w:ilvl="7" w:tentative="1">
      <w:start w:val="1"/>
      <w:numFmt w:val="bullet"/>
      <w:lvlText w:val=""/>
      <w:lvlJc w:val="left"/>
      <w:pPr>
        <w:tabs>
          <w:tab w:val="num" w:pos="5400"/>
        </w:tabs>
        <w:ind w:left="5400" w:hanging="360"/>
      </w:pPr>
      <w:rPr>
        <w:rFonts w:hint="default" w:ascii="Wingdings" w:hAnsi="Wingdings"/>
        <w:sz w:val="20"/>
      </w:rPr>
    </w:lvl>
    <w:lvl w:ilvl="8" w:tentative="1">
      <w:start w:val="1"/>
      <w:numFmt w:val="bullet"/>
      <w:lvlText w:val=""/>
      <w:lvlJc w:val="left"/>
      <w:pPr>
        <w:tabs>
          <w:tab w:val="num" w:pos="6120"/>
        </w:tabs>
        <w:ind w:left="6120" w:hanging="360"/>
      </w:pPr>
      <w:rPr>
        <w:rFonts w:hint="default" w:ascii="Wingdings" w:hAnsi="Wingdings"/>
        <w:sz w:val="20"/>
      </w:rPr>
    </w:lvl>
  </w:abstractNum>
  <w:abstractNum w:abstractNumId="78" w15:restartNumberingAfterBreak="0">
    <w:nsid w:val="6FE97D51"/>
    <w:multiLevelType w:val="multilevel"/>
    <w:tmpl w:val="C3E8467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9" w15:restartNumberingAfterBreak="0">
    <w:nsid w:val="71B876A0"/>
    <w:multiLevelType w:val="hybridMultilevel"/>
    <w:tmpl w:val="6CE64AD6"/>
    <w:lvl w:ilvl="0" w:tplc="4986E816">
      <w:numFmt w:val="bullet"/>
      <w:lvlText w:val="•"/>
      <w:lvlJc w:val="left"/>
      <w:pPr>
        <w:ind w:left="720" w:hanging="360"/>
      </w:pPr>
      <w:rPr>
        <w:rFonts w:hint="default"/>
        <w:lang w:val="en-GB" w:eastAsia="en-GB" w:bidi="en-GB"/>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0" w15:restartNumberingAfterBreak="0">
    <w:nsid w:val="71D54AE4"/>
    <w:multiLevelType w:val="multilevel"/>
    <w:tmpl w:val="BC48AB6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1" w15:restartNumberingAfterBreak="0">
    <w:nsid w:val="72627D2F"/>
    <w:multiLevelType w:val="multilevel"/>
    <w:tmpl w:val="8DAEF198"/>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2" w15:restartNumberingAfterBreak="0">
    <w:nsid w:val="772346B4"/>
    <w:multiLevelType w:val="multilevel"/>
    <w:tmpl w:val="6A78E9A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3" w15:restartNumberingAfterBreak="0">
    <w:nsid w:val="7818155C"/>
    <w:multiLevelType w:val="multilevel"/>
    <w:tmpl w:val="42A0774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4" w15:restartNumberingAfterBreak="0">
    <w:nsid w:val="78FB7E6F"/>
    <w:multiLevelType w:val="multilevel"/>
    <w:tmpl w:val="6A304BB4"/>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85" w15:restartNumberingAfterBreak="0">
    <w:nsid w:val="78FD588A"/>
    <w:multiLevelType w:val="hybridMultilevel"/>
    <w:tmpl w:val="94748DB4"/>
    <w:lvl w:ilvl="0" w:tplc="2D56A8C8">
      <w:start w:val="6"/>
      <w:numFmt w:val="bullet"/>
      <w:lvlText w:val="-"/>
      <w:lvlJc w:val="left"/>
      <w:pPr>
        <w:ind w:left="720" w:hanging="360"/>
      </w:pPr>
      <w:rPr>
        <w:rFonts w:hint="default" w:ascii="Aptos" w:hAnsi="Aptos" w:eastAsiaTheme="minorEastAsia"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6" w15:restartNumberingAfterBreak="0">
    <w:nsid w:val="795E6223"/>
    <w:multiLevelType w:val="multilevel"/>
    <w:tmpl w:val="3CF4B0F8"/>
    <w:lvl w:ilvl="0">
      <w:start w:val="1"/>
      <w:numFmt w:val="bullet"/>
      <w:lvlText w:val=""/>
      <w:lvlJc w:val="left"/>
      <w:pPr>
        <w:tabs>
          <w:tab w:val="num" w:pos="360"/>
        </w:tabs>
        <w:ind w:left="360" w:hanging="360"/>
      </w:pPr>
      <w:rPr>
        <w:rFonts w:hint="default" w:ascii="Symbol" w:hAnsi="Symbol"/>
        <w:sz w:val="20"/>
      </w:rPr>
    </w:lvl>
    <w:lvl w:ilvl="1">
      <w:start w:val="1"/>
      <w:numFmt w:val="bullet"/>
      <w:lvlText w:val="o"/>
      <w:lvlJc w:val="left"/>
      <w:pPr>
        <w:tabs>
          <w:tab w:val="num" w:pos="1080"/>
        </w:tabs>
        <w:ind w:left="1080" w:hanging="360"/>
      </w:pPr>
      <w:rPr>
        <w:rFonts w:hint="default" w:ascii="Courier New" w:hAnsi="Courier New"/>
        <w:sz w:val="20"/>
      </w:rPr>
    </w:lvl>
    <w:lvl w:ilvl="2" w:tentative="1">
      <w:start w:val="1"/>
      <w:numFmt w:val="bullet"/>
      <w:lvlText w:val=""/>
      <w:lvlJc w:val="left"/>
      <w:pPr>
        <w:tabs>
          <w:tab w:val="num" w:pos="1800"/>
        </w:tabs>
        <w:ind w:left="1800" w:hanging="360"/>
      </w:pPr>
      <w:rPr>
        <w:rFonts w:hint="default" w:ascii="Wingdings" w:hAnsi="Wingdings"/>
        <w:sz w:val="20"/>
      </w:rPr>
    </w:lvl>
    <w:lvl w:ilvl="3" w:tentative="1">
      <w:start w:val="1"/>
      <w:numFmt w:val="bullet"/>
      <w:lvlText w:val=""/>
      <w:lvlJc w:val="left"/>
      <w:pPr>
        <w:tabs>
          <w:tab w:val="num" w:pos="2520"/>
        </w:tabs>
        <w:ind w:left="2520" w:hanging="360"/>
      </w:pPr>
      <w:rPr>
        <w:rFonts w:hint="default" w:ascii="Wingdings" w:hAnsi="Wingdings"/>
        <w:sz w:val="20"/>
      </w:rPr>
    </w:lvl>
    <w:lvl w:ilvl="4" w:tentative="1">
      <w:start w:val="1"/>
      <w:numFmt w:val="bullet"/>
      <w:lvlText w:val=""/>
      <w:lvlJc w:val="left"/>
      <w:pPr>
        <w:tabs>
          <w:tab w:val="num" w:pos="3240"/>
        </w:tabs>
        <w:ind w:left="3240" w:hanging="360"/>
      </w:pPr>
      <w:rPr>
        <w:rFonts w:hint="default" w:ascii="Wingdings" w:hAnsi="Wingdings"/>
        <w:sz w:val="20"/>
      </w:rPr>
    </w:lvl>
    <w:lvl w:ilvl="5" w:tentative="1">
      <w:start w:val="1"/>
      <w:numFmt w:val="bullet"/>
      <w:lvlText w:val=""/>
      <w:lvlJc w:val="left"/>
      <w:pPr>
        <w:tabs>
          <w:tab w:val="num" w:pos="3960"/>
        </w:tabs>
        <w:ind w:left="3960" w:hanging="360"/>
      </w:pPr>
      <w:rPr>
        <w:rFonts w:hint="default" w:ascii="Wingdings" w:hAnsi="Wingdings"/>
        <w:sz w:val="20"/>
      </w:rPr>
    </w:lvl>
    <w:lvl w:ilvl="6" w:tentative="1">
      <w:start w:val="1"/>
      <w:numFmt w:val="bullet"/>
      <w:lvlText w:val=""/>
      <w:lvlJc w:val="left"/>
      <w:pPr>
        <w:tabs>
          <w:tab w:val="num" w:pos="4680"/>
        </w:tabs>
        <w:ind w:left="4680" w:hanging="360"/>
      </w:pPr>
      <w:rPr>
        <w:rFonts w:hint="default" w:ascii="Wingdings" w:hAnsi="Wingdings"/>
        <w:sz w:val="20"/>
      </w:rPr>
    </w:lvl>
    <w:lvl w:ilvl="7" w:tentative="1">
      <w:start w:val="1"/>
      <w:numFmt w:val="bullet"/>
      <w:lvlText w:val=""/>
      <w:lvlJc w:val="left"/>
      <w:pPr>
        <w:tabs>
          <w:tab w:val="num" w:pos="5400"/>
        </w:tabs>
        <w:ind w:left="5400" w:hanging="360"/>
      </w:pPr>
      <w:rPr>
        <w:rFonts w:hint="default" w:ascii="Wingdings" w:hAnsi="Wingdings"/>
        <w:sz w:val="20"/>
      </w:rPr>
    </w:lvl>
    <w:lvl w:ilvl="8" w:tentative="1">
      <w:start w:val="1"/>
      <w:numFmt w:val="bullet"/>
      <w:lvlText w:val=""/>
      <w:lvlJc w:val="left"/>
      <w:pPr>
        <w:tabs>
          <w:tab w:val="num" w:pos="6120"/>
        </w:tabs>
        <w:ind w:left="6120" w:hanging="360"/>
      </w:pPr>
      <w:rPr>
        <w:rFonts w:hint="default" w:ascii="Wingdings" w:hAnsi="Wingdings"/>
        <w:sz w:val="20"/>
      </w:rPr>
    </w:lvl>
  </w:abstractNum>
  <w:abstractNum w:abstractNumId="87" w15:restartNumberingAfterBreak="0">
    <w:nsid w:val="796A3855"/>
    <w:multiLevelType w:val="multilevel"/>
    <w:tmpl w:val="86F4D50A"/>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88" w15:restartNumberingAfterBreak="0">
    <w:nsid w:val="79CC6774"/>
    <w:multiLevelType w:val="hybridMultilevel"/>
    <w:tmpl w:val="2E2469F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9" w15:restartNumberingAfterBreak="0">
    <w:nsid w:val="79D07D96"/>
    <w:multiLevelType w:val="multilevel"/>
    <w:tmpl w:val="5718C05C"/>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90" w15:restartNumberingAfterBreak="0">
    <w:nsid w:val="7A2E7F44"/>
    <w:multiLevelType w:val="multilevel"/>
    <w:tmpl w:val="5F82865A"/>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91" w15:restartNumberingAfterBreak="0">
    <w:nsid w:val="7AD93C5A"/>
    <w:multiLevelType w:val="multilevel"/>
    <w:tmpl w:val="022E1B40"/>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92" w15:restartNumberingAfterBreak="0">
    <w:nsid w:val="7C692CD8"/>
    <w:multiLevelType w:val="multilevel"/>
    <w:tmpl w:val="265043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3" w15:restartNumberingAfterBreak="0">
    <w:nsid w:val="7C73177A"/>
    <w:multiLevelType w:val="multilevel"/>
    <w:tmpl w:val="9320D3B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16cid:durableId="1222213107">
    <w:abstractNumId w:val="27"/>
  </w:num>
  <w:num w:numId="2" w16cid:durableId="1790927071">
    <w:abstractNumId w:val="20"/>
  </w:num>
  <w:num w:numId="3" w16cid:durableId="1092819689">
    <w:abstractNumId w:val="85"/>
  </w:num>
  <w:num w:numId="4" w16cid:durableId="1500121260">
    <w:abstractNumId w:val="48"/>
  </w:num>
  <w:num w:numId="5" w16cid:durableId="438111508">
    <w:abstractNumId w:val="79"/>
  </w:num>
  <w:num w:numId="6" w16cid:durableId="106121269">
    <w:abstractNumId w:val="18"/>
  </w:num>
  <w:num w:numId="7" w16cid:durableId="1859468656">
    <w:abstractNumId w:val="91"/>
  </w:num>
  <w:num w:numId="8" w16cid:durableId="407923627">
    <w:abstractNumId w:val="89"/>
  </w:num>
  <w:num w:numId="9" w16cid:durableId="1173763238">
    <w:abstractNumId w:val="59"/>
  </w:num>
  <w:num w:numId="10" w16cid:durableId="515197422">
    <w:abstractNumId w:val="42"/>
  </w:num>
  <w:num w:numId="11" w16cid:durableId="650984044">
    <w:abstractNumId w:val="15"/>
  </w:num>
  <w:num w:numId="12" w16cid:durableId="676225712">
    <w:abstractNumId w:val="82"/>
  </w:num>
  <w:num w:numId="13" w16cid:durableId="654647421">
    <w:abstractNumId w:val="58"/>
  </w:num>
  <w:num w:numId="14" w16cid:durableId="972827862">
    <w:abstractNumId w:val="60"/>
  </w:num>
  <w:num w:numId="15" w16cid:durableId="73359902">
    <w:abstractNumId w:val="40"/>
  </w:num>
  <w:num w:numId="16" w16cid:durableId="1233615214">
    <w:abstractNumId w:val="12"/>
  </w:num>
  <w:num w:numId="17" w16cid:durableId="1037585576">
    <w:abstractNumId w:val="87"/>
  </w:num>
  <w:num w:numId="18" w16cid:durableId="1454127918">
    <w:abstractNumId w:val="75"/>
  </w:num>
  <w:num w:numId="19" w16cid:durableId="1655717882">
    <w:abstractNumId w:val="31"/>
  </w:num>
  <w:num w:numId="20" w16cid:durableId="679818721">
    <w:abstractNumId w:val="8"/>
  </w:num>
  <w:num w:numId="21" w16cid:durableId="820851363">
    <w:abstractNumId w:val="2"/>
  </w:num>
  <w:num w:numId="22" w16cid:durableId="1752123437">
    <w:abstractNumId w:val="53"/>
  </w:num>
  <w:num w:numId="23" w16cid:durableId="776406381">
    <w:abstractNumId w:val="10"/>
  </w:num>
  <w:num w:numId="24" w16cid:durableId="2003772795">
    <w:abstractNumId w:val="92"/>
  </w:num>
  <w:num w:numId="25" w16cid:durableId="471214588">
    <w:abstractNumId w:val="9"/>
  </w:num>
  <w:num w:numId="26" w16cid:durableId="747188340">
    <w:abstractNumId w:val="78"/>
  </w:num>
  <w:num w:numId="27" w16cid:durableId="1617635105">
    <w:abstractNumId w:val="19"/>
  </w:num>
  <w:num w:numId="28" w16cid:durableId="1919750537">
    <w:abstractNumId w:val="83"/>
  </w:num>
  <w:num w:numId="29" w16cid:durableId="1917666381">
    <w:abstractNumId w:val="3"/>
  </w:num>
  <w:num w:numId="30" w16cid:durableId="836925604">
    <w:abstractNumId w:val="74"/>
  </w:num>
  <w:num w:numId="31" w16cid:durableId="881479433">
    <w:abstractNumId w:val="61"/>
  </w:num>
  <w:num w:numId="32" w16cid:durableId="164788852">
    <w:abstractNumId w:val="67"/>
  </w:num>
  <w:num w:numId="33" w16cid:durableId="735323509">
    <w:abstractNumId w:val="17"/>
  </w:num>
  <w:num w:numId="34" w16cid:durableId="1000431254">
    <w:abstractNumId w:val="39"/>
  </w:num>
  <w:num w:numId="35" w16cid:durableId="434404662">
    <w:abstractNumId w:val="24"/>
  </w:num>
  <w:num w:numId="36" w16cid:durableId="792409853">
    <w:abstractNumId w:val="46"/>
  </w:num>
  <w:num w:numId="37" w16cid:durableId="70469880">
    <w:abstractNumId w:val="50"/>
  </w:num>
  <w:num w:numId="38" w16cid:durableId="1255548974">
    <w:abstractNumId w:val="45"/>
  </w:num>
  <w:num w:numId="39" w16cid:durableId="509951972">
    <w:abstractNumId w:val="35"/>
  </w:num>
  <w:num w:numId="40" w16cid:durableId="1491873496">
    <w:abstractNumId w:val="55"/>
  </w:num>
  <w:num w:numId="41" w16cid:durableId="1277179892">
    <w:abstractNumId w:val="66"/>
  </w:num>
  <w:num w:numId="42" w16cid:durableId="1137721610">
    <w:abstractNumId w:val="52"/>
  </w:num>
  <w:num w:numId="43" w16cid:durableId="1569337486">
    <w:abstractNumId w:val="93"/>
  </w:num>
  <w:num w:numId="44" w16cid:durableId="1771851078">
    <w:abstractNumId w:val="4"/>
  </w:num>
  <w:num w:numId="45" w16cid:durableId="1096747610">
    <w:abstractNumId w:val="23"/>
  </w:num>
  <w:num w:numId="46" w16cid:durableId="1853105471">
    <w:abstractNumId w:val="76"/>
  </w:num>
  <w:num w:numId="47" w16cid:durableId="2016615092">
    <w:abstractNumId w:val="47"/>
  </w:num>
  <w:num w:numId="48" w16cid:durableId="439030946">
    <w:abstractNumId w:val="64"/>
  </w:num>
  <w:num w:numId="49" w16cid:durableId="315690756">
    <w:abstractNumId w:val="36"/>
  </w:num>
  <w:num w:numId="50" w16cid:durableId="1252278660">
    <w:abstractNumId w:val="14"/>
  </w:num>
  <w:num w:numId="51" w16cid:durableId="1719351677">
    <w:abstractNumId w:val="70"/>
  </w:num>
  <w:num w:numId="52" w16cid:durableId="1107427397">
    <w:abstractNumId w:val="26"/>
  </w:num>
  <w:num w:numId="53" w16cid:durableId="371266753">
    <w:abstractNumId w:val="65"/>
  </w:num>
  <w:num w:numId="54" w16cid:durableId="491869272">
    <w:abstractNumId w:val="30"/>
  </w:num>
  <w:num w:numId="55" w16cid:durableId="1351251430">
    <w:abstractNumId w:val="68"/>
  </w:num>
  <w:num w:numId="56" w16cid:durableId="1368607436">
    <w:abstractNumId w:val="84"/>
  </w:num>
  <w:num w:numId="57" w16cid:durableId="1588029100">
    <w:abstractNumId w:val="90"/>
  </w:num>
  <w:num w:numId="58" w16cid:durableId="415832180">
    <w:abstractNumId w:val="80"/>
  </w:num>
  <w:num w:numId="59" w16cid:durableId="1178735139">
    <w:abstractNumId w:val="41"/>
  </w:num>
  <w:num w:numId="60" w16cid:durableId="721834200">
    <w:abstractNumId w:val="49"/>
  </w:num>
  <w:num w:numId="61" w16cid:durableId="686251813">
    <w:abstractNumId w:val="0"/>
  </w:num>
  <w:num w:numId="62" w16cid:durableId="1960641414">
    <w:abstractNumId w:val="16"/>
  </w:num>
  <w:num w:numId="63" w16cid:durableId="39089564">
    <w:abstractNumId w:val="44"/>
  </w:num>
  <w:num w:numId="64" w16cid:durableId="1192718157">
    <w:abstractNumId w:val="22"/>
  </w:num>
  <w:num w:numId="65" w16cid:durableId="1777825955">
    <w:abstractNumId w:val="71"/>
  </w:num>
  <w:num w:numId="66" w16cid:durableId="286199487">
    <w:abstractNumId w:val="28"/>
  </w:num>
  <w:num w:numId="67" w16cid:durableId="1119490663">
    <w:abstractNumId w:val="54"/>
  </w:num>
  <w:num w:numId="68" w16cid:durableId="1353922786">
    <w:abstractNumId w:val="32"/>
  </w:num>
  <w:num w:numId="69" w16cid:durableId="492723980">
    <w:abstractNumId w:val="57"/>
  </w:num>
  <w:num w:numId="70" w16cid:durableId="526941613">
    <w:abstractNumId w:val="33"/>
  </w:num>
  <w:num w:numId="71" w16cid:durableId="320043301">
    <w:abstractNumId w:val="56"/>
  </w:num>
  <w:num w:numId="72" w16cid:durableId="2037610982">
    <w:abstractNumId w:val="7"/>
  </w:num>
  <w:num w:numId="73" w16cid:durableId="1079794559">
    <w:abstractNumId w:val="38"/>
  </w:num>
  <w:num w:numId="74" w16cid:durableId="503403534">
    <w:abstractNumId w:val="34"/>
  </w:num>
  <w:num w:numId="75" w16cid:durableId="194734275">
    <w:abstractNumId w:val="13"/>
  </w:num>
  <w:num w:numId="76" w16cid:durableId="424033359">
    <w:abstractNumId w:val="43"/>
  </w:num>
  <w:num w:numId="77" w16cid:durableId="1335066293">
    <w:abstractNumId w:val="77"/>
  </w:num>
  <w:num w:numId="78" w16cid:durableId="662587085">
    <w:abstractNumId w:val="37"/>
  </w:num>
  <w:num w:numId="79" w16cid:durableId="2071072074">
    <w:abstractNumId w:val="73"/>
  </w:num>
  <w:num w:numId="80" w16cid:durableId="1573662111">
    <w:abstractNumId w:val="86"/>
  </w:num>
  <w:num w:numId="81" w16cid:durableId="131678057">
    <w:abstractNumId w:val="81"/>
  </w:num>
  <w:num w:numId="82" w16cid:durableId="2103643901">
    <w:abstractNumId w:val="72"/>
  </w:num>
  <w:num w:numId="83" w16cid:durableId="99565733">
    <w:abstractNumId w:val="29"/>
  </w:num>
  <w:num w:numId="84" w16cid:durableId="834734195">
    <w:abstractNumId w:val="21"/>
  </w:num>
  <w:num w:numId="85" w16cid:durableId="1183402844">
    <w:abstractNumId w:val="25"/>
  </w:num>
  <w:num w:numId="86" w16cid:durableId="2044666972">
    <w:abstractNumId w:val="62"/>
  </w:num>
  <w:num w:numId="87" w16cid:durableId="1433667453">
    <w:abstractNumId w:val="63"/>
  </w:num>
  <w:num w:numId="88" w16cid:durableId="1939291148">
    <w:abstractNumId w:val="51"/>
  </w:num>
  <w:num w:numId="89" w16cid:durableId="1296109043">
    <w:abstractNumId w:val="69"/>
  </w:num>
  <w:num w:numId="90" w16cid:durableId="212468278">
    <w:abstractNumId w:val="6"/>
  </w:num>
  <w:num w:numId="91" w16cid:durableId="1597978800">
    <w:abstractNumId w:val="1"/>
  </w:num>
  <w:num w:numId="92" w16cid:durableId="905534500">
    <w:abstractNumId w:val="11"/>
  </w:num>
  <w:num w:numId="93" w16cid:durableId="322399161">
    <w:abstractNumId w:val="88"/>
  </w:num>
  <w:num w:numId="94" w16cid:durableId="943539791">
    <w:abstractNumId w:val="5"/>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removePersonalInformation/>
  <w:removeDateAndTime/>
  <w:hideSpellingErrors/>
  <w:hideGrammaticalErrors/>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LQwMjY0NzMzNDcxNjdS0lEKTi0uzszPAykwrAUAzLCTciwAAAA="/>
  </w:docVars>
  <w:rsids>
    <w:rsidRoot w:val="00BB65AC"/>
    <w:rsid w:val="000264A2"/>
    <w:rsid w:val="0005615A"/>
    <w:rsid w:val="00063B4C"/>
    <w:rsid w:val="000B4509"/>
    <w:rsid w:val="000C7190"/>
    <w:rsid w:val="000D05D8"/>
    <w:rsid w:val="000D0641"/>
    <w:rsid w:val="000D2B00"/>
    <w:rsid w:val="000F2598"/>
    <w:rsid w:val="00143AC3"/>
    <w:rsid w:val="001B5900"/>
    <w:rsid w:val="001C3AF6"/>
    <w:rsid w:val="001D1485"/>
    <w:rsid w:val="001D61BA"/>
    <w:rsid w:val="001F19A6"/>
    <w:rsid w:val="001F6EAD"/>
    <w:rsid w:val="00200B64"/>
    <w:rsid w:val="00211184"/>
    <w:rsid w:val="0021364B"/>
    <w:rsid w:val="00225E2E"/>
    <w:rsid w:val="00234A13"/>
    <w:rsid w:val="0025020C"/>
    <w:rsid w:val="00256951"/>
    <w:rsid w:val="002824BE"/>
    <w:rsid w:val="002865F5"/>
    <w:rsid w:val="00286DFB"/>
    <w:rsid w:val="00292A36"/>
    <w:rsid w:val="002B0DB0"/>
    <w:rsid w:val="002D64A3"/>
    <w:rsid w:val="002F5E53"/>
    <w:rsid w:val="003135AD"/>
    <w:rsid w:val="00393F39"/>
    <w:rsid w:val="003A66FD"/>
    <w:rsid w:val="003B1E32"/>
    <w:rsid w:val="004739A4"/>
    <w:rsid w:val="004813CB"/>
    <w:rsid w:val="004906CF"/>
    <w:rsid w:val="004D4021"/>
    <w:rsid w:val="005446BF"/>
    <w:rsid w:val="0055147E"/>
    <w:rsid w:val="005B6E67"/>
    <w:rsid w:val="005C5E80"/>
    <w:rsid w:val="005D3F8B"/>
    <w:rsid w:val="005D7A1E"/>
    <w:rsid w:val="005E1650"/>
    <w:rsid w:val="00602320"/>
    <w:rsid w:val="00604A87"/>
    <w:rsid w:val="00612FAC"/>
    <w:rsid w:val="00621776"/>
    <w:rsid w:val="00621872"/>
    <w:rsid w:val="00636D9A"/>
    <w:rsid w:val="006A3F0D"/>
    <w:rsid w:val="006A4515"/>
    <w:rsid w:val="006B4354"/>
    <w:rsid w:val="006C78AA"/>
    <w:rsid w:val="006F04D4"/>
    <w:rsid w:val="006F4AB2"/>
    <w:rsid w:val="007063BA"/>
    <w:rsid w:val="00730C3C"/>
    <w:rsid w:val="00730C56"/>
    <w:rsid w:val="0073280B"/>
    <w:rsid w:val="0077163A"/>
    <w:rsid w:val="00785752"/>
    <w:rsid w:val="00793A29"/>
    <w:rsid w:val="007A59C8"/>
    <w:rsid w:val="007A712E"/>
    <w:rsid w:val="007A78FA"/>
    <w:rsid w:val="007C246B"/>
    <w:rsid w:val="007C685B"/>
    <w:rsid w:val="007F547F"/>
    <w:rsid w:val="00804B94"/>
    <w:rsid w:val="00807B11"/>
    <w:rsid w:val="00880B2D"/>
    <w:rsid w:val="00883AB0"/>
    <w:rsid w:val="00894108"/>
    <w:rsid w:val="008B1DFA"/>
    <w:rsid w:val="008C38C3"/>
    <w:rsid w:val="008D6F0F"/>
    <w:rsid w:val="008E7B2E"/>
    <w:rsid w:val="00916814"/>
    <w:rsid w:val="00995444"/>
    <w:rsid w:val="009A653A"/>
    <w:rsid w:val="009D06C5"/>
    <w:rsid w:val="009D534C"/>
    <w:rsid w:val="009D728C"/>
    <w:rsid w:val="009E44F3"/>
    <w:rsid w:val="009E5B14"/>
    <w:rsid w:val="00A07F2D"/>
    <w:rsid w:val="00A90A7A"/>
    <w:rsid w:val="00AA1B1C"/>
    <w:rsid w:val="00AA437C"/>
    <w:rsid w:val="00AB78F0"/>
    <w:rsid w:val="00B0069A"/>
    <w:rsid w:val="00B01396"/>
    <w:rsid w:val="00B4101A"/>
    <w:rsid w:val="00B858A1"/>
    <w:rsid w:val="00B97906"/>
    <w:rsid w:val="00BA335D"/>
    <w:rsid w:val="00BB65AC"/>
    <w:rsid w:val="00BD2909"/>
    <w:rsid w:val="00BE447F"/>
    <w:rsid w:val="00C91479"/>
    <w:rsid w:val="00CA7B55"/>
    <w:rsid w:val="00CB3AF6"/>
    <w:rsid w:val="00CB3C13"/>
    <w:rsid w:val="00CB3DFB"/>
    <w:rsid w:val="00CE620E"/>
    <w:rsid w:val="00CF1ED5"/>
    <w:rsid w:val="00CF3D6D"/>
    <w:rsid w:val="00D13A82"/>
    <w:rsid w:val="00D13DB7"/>
    <w:rsid w:val="00DC00D1"/>
    <w:rsid w:val="00DD02A4"/>
    <w:rsid w:val="00DD2F94"/>
    <w:rsid w:val="00DE1A02"/>
    <w:rsid w:val="00E0039E"/>
    <w:rsid w:val="00E05C6C"/>
    <w:rsid w:val="00E157E1"/>
    <w:rsid w:val="00E2182C"/>
    <w:rsid w:val="00E40B0D"/>
    <w:rsid w:val="00E71420"/>
    <w:rsid w:val="00E94DA0"/>
    <w:rsid w:val="00EA0F79"/>
    <w:rsid w:val="00EA2A6A"/>
    <w:rsid w:val="00EA5CC3"/>
    <w:rsid w:val="00EF6341"/>
    <w:rsid w:val="00F0560A"/>
    <w:rsid w:val="00F14261"/>
    <w:rsid w:val="00F158D7"/>
    <w:rsid w:val="00F20EE5"/>
    <w:rsid w:val="00F373B5"/>
    <w:rsid w:val="00F44833"/>
    <w:rsid w:val="00F544B0"/>
    <w:rsid w:val="00F67C87"/>
    <w:rsid w:val="00F84C23"/>
    <w:rsid w:val="00FD3DE0"/>
    <w:rsid w:val="00FD7729"/>
    <w:rsid w:val="00FD7C22"/>
    <w:rsid w:val="00FE46E4"/>
    <w:rsid w:val="01F942AE"/>
    <w:rsid w:val="04CD1E76"/>
    <w:rsid w:val="0B034574"/>
    <w:rsid w:val="12C4A921"/>
    <w:rsid w:val="1546BD92"/>
    <w:rsid w:val="19AE7181"/>
    <w:rsid w:val="1AE66711"/>
    <w:rsid w:val="1F96AB25"/>
    <w:rsid w:val="2302A0EF"/>
    <w:rsid w:val="24455467"/>
    <w:rsid w:val="2465A4D8"/>
    <w:rsid w:val="2555E9C1"/>
    <w:rsid w:val="2EFB896B"/>
    <w:rsid w:val="383A7C4D"/>
    <w:rsid w:val="3DA692FC"/>
    <w:rsid w:val="4195CC5C"/>
    <w:rsid w:val="43E17327"/>
    <w:rsid w:val="44EC9C91"/>
    <w:rsid w:val="4591A5F0"/>
    <w:rsid w:val="49999F96"/>
    <w:rsid w:val="4E7CB7AB"/>
    <w:rsid w:val="4EB1C9D7"/>
    <w:rsid w:val="555F8176"/>
    <w:rsid w:val="5BBFB184"/>
    <w:rsid w:val="5C079897"/>
    <w:rsid w:val="5CC7CA57"/>
    <w:rsid w:val="6094BC1A"/>
    <w:rsid w:val="60FE7C2D"/>
    <w:rsid w:val="64D1BC2A"/>
    <w:rsid w:val="650F41E9"/>
    <w:rsid w:val="6704CDDB"/>
    <w:rsid w:val="683AB1C6"/>
    <w:rsid w:val="6BED2DE2"/>
    <w:rsid w:val="6D404E0E"/>
    <w:rsid w:val="6E8BBA47"/>
    <w:rsid w:val="764F6EBA"/>
    <w:rsid w:val="77690570"/>
    <w:rsid w:val="7E9B83E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2F6E2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63B4C"/>
    <w:pPr>
      <w:spacing w:line="360" w:lineRule="auto"/>
      <w:jc w:val="both"/>
    </w:pPr>
    <w:rPr>
      <w:rFonts w:ascii="Aptos" w:hAnsi="Aptos"/>
    </w:rPr>
  </w:style>
  <w:style w:type="paragraph" w:styleId="Heading1">
    <w:name w:val="heading 1"/>
    <w:basedOn w:val="Normal"/>
    <w:link w:val="Heading1Char"/>
    <w:uiPriority w:val="1"/>
    <w:qFormat/>
    <w:rsid w:val="00063B4C"/>
    <w:pPr>
      <w:widowControl w:val="0"/>
      <w:autoSpaceDE w:val="0"/>
      <w:autoSpaceDN w:val="0"/>
      <w:spacing w:after="0" w:line="240" w:lineRule="auto"/>
      <w:ind w:left="220"/>
      <w:jc w:val="left"/>
      <w:outlineLvl w:val="0"/>
    </w:pPr>
    <w:rPr>
      <w:rFonts w:ascii="Arial" w:hAnsi="Arial" w:eastAsia="Calibri Light" w:cs="Calibri Light"/>
      <w:b/>
      <w:kern w:val="0"/>
      <w:sz w:val="32"/>
      <w:szCs w:val="32"/>
      <w:lang w:eastAsia="en-GB" w:bidi="en-GB"/>
      <w14:ligatures w14:val="none"/>
    </w:rPr>
  </w:style>
  <w:style w:type="paragraph" w:styleId="Heading2">
    <w:name w:val="heading 2"/>
    <w:basedOn w:val="Normal"/>
    <w:next w:val="Normal"/>
    <w:link w:val="Heading2Char"/>
    <w:uiPriority w:val="9"/>
    <w:unhideWhenUsed/>
    <w:qFormat/>
    <w:rsid w:val="005D7A1E"/>
    <w:pPr>
      <w:keepNext/>
      <w:keepLines/>
      <w:spacing w:before="40" w:after="0"/>
      <w:outlineLvl w:val="1"/>
    </w:pPr>
    <w:rPr>
      <w:rFonts w:eastAsiaTheme="majorEastAsia" w:cstheme="majorBidi"/>
      <w:color w:val="2F5496" w:themeColor="accent1" w:themeShade="BF"/>
      <w:sz w:val="24"/>
      <w:szCs w:val="26"/>
    </w:rPr>
  </w:style>
  <w:style w:type="paragraph" w:styleId="Heading3">
    <w:name w:val="heading 3"/>
    <w:basedOn w:val="Normal"/>
    <w:next w:val="Normal"/>
    <w:link w:val="Heading3Char"/>
    <w:uiPriority w:val="9"/>
    <w:unhideWhenUsed/>
    <w:qFormat/>
    <w:rsid w:val="004813CB"/>
    <w:pPr>
      <w:keepNext/>
      <w:keepLines/>
      <w:spacing w:before="40" w:after="0"/>
      <w:outlineLvl w:val="2"/>
    </w:pPr>
    <w:rPr>
      <w:rFonts w:asciiTheme="majorHAnsi" w:hAnsiTheme="majorHAnsi" w:eastAsiaTheme="majorEastAsia"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7063BA"/>
    <w:pPr>
      <w:keepNext/>
      <w:keepLines/>
      <w:spacing w:before="40" w:after="0"/>
      <w:outlineLvl w:val="3"/>
    </w:pPr>
    <w:rPr>
      <w:rFonts w:asciiTheme="majorHAnsi" w:hAnsiTheme="majorHAnsi" w:eastAsiaTheme="majorEastAsia" w:cstheme="majorBidi"/>
      <w:i/>
      <w:iCs/>
      <w:color w:val="2F5496" w:themeColor="accent1"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
    <w:name w:val="Body Text"/>
    <w:basedOn w:val="Normal"/>
    <w:link w:val="BodyTextChar"/>
    <w:uiPriority w:val="1"/>
    <w:unhideWhenUsed/>
    <w:qFormat/>
    <w:rsid w:val="00063B4C"/>
    <w:pPr>
      <w:widowControl w:val="0"/>
      <w:autoSpaceDE w:val="0"/>
      <w:autoSpaceDN w:val="0"/>
      <w:spacing w:after="0" w:line="240" w:lineRule="auto"/>
      <w:jc w:val="left"/>
    </w:pPr>
    <w:rPr>
      <w:rFonts w:ascii="Arial" w:hAnsi="Arial" w:eastAsia="Calibri Light" w:cs="Calibri Light"/>
      <w:kern w:val="0"/>
      <w:lang w:eastAsia="en-GB" w:bidi="en-GB"/>
      <w14:ligatures w14:val="none"/>
    </w:rPr>
  </w:style>
  <w:style w:type="character" w:styleId="BodyTextChar" w:customStyle="1">
    <w:name w:val="Body Text Char"/>
    <w:basedOn w:val="DefaultParagraphFont"/>
    <w:link w:val="BodyText"/>
    <w:uiPriority w:val="1"/>
    <w:rsid w:val="00063B4C"/>
    <w:rPr>
      <w:rFonts w:ascii="Arial" w:hAnsi="Arial" w:eastAsia="Calibri Light" w:cs="Calibri Light"/>
      <w:kern w:val="0"/>
      <w:lang w:eastAsia="en-GB" w:bidi="en-GB"/>
      <w14:ligatures w14:val="none"/>
    </w:rPr>
  </w:style>
  <w:style w:type="character" w:styleId="Heading1Char" w:customStyle="1">
    <w:name w:val="Heading 1 Char"/>
    <w:basedOn w:val="DefaultParagraphFont"/>
    <w:link w:val="Heading1"/>
    <w:uiPriority w:val="1"/>
    <w:rsid w:val="00063B4C"/>
    <w:rPr>
      <w:rFonts w:ascii="Arial" w:hAnsi="Arial" w:eastAsia="Calibri Light" w:cs="Calibri Light"/>
      <w:b/>
      <w:kern w:val="0"/>
      <w:sz w:val="32"/>
      <w:szCs w:val="32"/>
      <w:lang w:eastAsia="en-GB" w:bidi="en-GB"/>
      <w14:ligatures w14:val="none"/>
    </w:rPr>
  </w:style>
  <w:style w:type="table" w:styleId="TableGrid">
    <w:name w:val="Table Grid"/>
    <w:basedOn w:val="TableNormal"/>
    <w:uiPriority w:val="39"/>
    <w:rsid w:val="00604A87"/>
    <w:pPr>
      <w:spacing w:after="0" w:line="240" w:lineRule="auto"/>
    </w:pPr>
    <w:rPr>
      <w:rFonts w:eastAsiaTheme="minorHAnsi"/>
      <w:kern w:val="0"/>
      <w:lang w:eastAsia="en-US"/>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rmalWeb">
    <w:name w:val="Normal (Web)"/>
    <w:basedOn w:val="Normal"/>
    <w:uiPriority w:val="99"/>
    <w:unhideWhenUsed/>
    <w:rsid w:val="00995444"/>
    <w:pPr>
      <w:spacing w:before="100" w:beforeAutospacing="1" w:after="100" w:afterAutospacing="1" w:line="240" w:lineRule="auto"/>
      <w:jc w:val="left"/>
    </w:pPr>
    <w:rPr>
      <w:rFonts w:ascii="Times New Roman" w:hAnsi="Times New Roman" w:eastAsia="Times New Roman" w:cs="Times New Roman"/>
      <w:kern w:val="0"/>
      <w:sz w:val="24"/>
      <w:szCs w:val="24"/>
      <w:lang w:eastAsia="en-GB"/>
      <w14:ligatures w14:val="none"/>
    </w:rPr>
  </w:style>
  <w:style w:type="paragraph" w:styleId="ListParagraph">
    <w:name w:val="List Paragraph"/>
    <w:basedOn w:val="Normal"/>
    <w:uiPriority w:val="34"/>
    <w:qFormat/>
    <w:rsid w:val="00CE620E"/>
    <w:pPr>
      <w:widowControl w:val="0"/>
      <w:autoSpaceDE w:val="0"/>
      <w:autoSpaceDN w:val="0"/>
      <w:spacing w:after="0" w:line="240" w:lineRule="auto"/>
      <w:ind w:left="940" w:hanging="360"/>
      <w:jc w:val="left"/>
    </w:pPr>
    <w:rPr>
      <w:rFonts w:ascii="Calibri Light" w:hAnsi="Calibri Light" w:eastAsia="Calibri Light" w:cs="Calibri Light"/>
      <w:kern w:val="0"/>
      <w:lang w:eastAsia="en-GB" w:bidi="en-GB"/>
      <w14:ligatures w14:val="none"/>
    </w:rPr>
  </w:style>
  <w:style w:type="character" w:styleId="Heading2Char" w:customStyle="1">
    <w:name w:val="Heading 2 Char"/>
    <w:basedOn w:val="DefaultParagraphFont"/>
    <w:link w:val="Heading2"/>
    <w:uiPriority w:val="9"/>
    <w:rsid w:val="005D7A1E"/>
    <w:rPr>
      <w:rFonts w:ascii="Aptos" w:hAnsi="Aptos" w:eastAsiaTheme="majorEastAsia" w:cstheme="majorBidi"/>
      <w:color w:val="2F5496" w:themeColor="accent1" w:themeShade="BF"/>
      <w:sz w:val="24"/>
      <w:szCs w:val="26"/>
    </w:rPr>
  </w:style>
  <w:style w:type="paragraph" w:styleId="Header">
    <w:name w:val="header"/>
    <w:basedOn w:val="Normal"/>
    <w:link w:val="HeaderChar"/>
    <w:uiPriority w:val="99"/>
    <w:unhideWhenUsed/>
    <w:rsid w:val="00211184"/>
    <w:pPr>
      <w:tabs>
        <w:tab w:val="center" w:pos="4513"/>
        <w:tab w:val="right" w:pos="9026"/>
      </w:tabs>
      <w:spacing w:after="0" w:line="240" w:lineRule="auto"/>
    </w:pPr>
  </w:style>
  <w:style w:type="character" w:styleId="HeaderChar" w:customStyle="1">
    <w:name w:val="Header Char"/>
    <w:basedOn w:val="DefaultParagraphFont"/>
    <w:link w:val="Header"/>
    <w:uiPriority w:val="99"/>
    <w:rsid w:val="00211184"/>
    <w:rPr>
      <w:rFonts w:ascii="Aptos" w:hAnsi="Aptos"/>
    </w:rPr>
  </w:style>
  <w:style w:type="paragraph" w:styleId="Footer">
    <w:name w:val="footer"/>
    <w:basedOn w:val="Normal"/>
    <w:link w:val="FooterChar"/>
    <w:uiPriority w:val="99"/>
    <w:unhideWhenUsed/>
    <w:rsid w:val="00211184"/>
    <w:pPr>
      <w:tabs>
        <w:tab w:val="center" w:pos="4513"/>
        <w:tab w:val="right" w:pos="9026"/>
      </w:tabs>
      <w:spacing w:after="0" w:line="240" w:lineRule="auto"/>
    </w:pPr>
  </w:style>
  <w:style w:type="character" w:styleId="FooterChar" w:customStyle="1">
    <w:name w:val="Footer Char"/>
    <w:basedOn w:val="DefaultParagraphFont"/>
    <w:link w:val="Footer"/>
    <w:uiPriority w:val="99"/>
    <w:rsid w:val="00211184"/>
    <w:rPr>
      <w:rFonts w:ascii="Aptos" w:hAnsi="Aptos"/>
    </w:rPr>
  </w:style>
  <w:style w:type="character" w:styleId="Hyperlink">
    <w:name w:val="Hyperlink"/>
    <w:basedOn w:val="DefaultParagraphFont"/>
    <w:uiPriority w:val="99"/>
    <w:unhideWhenUsed/>
    <w:rsid w:val="00621776"/>
    <w:rPr>
      <w:color w:val="0000FF"/>
      <w:u w:val="single"/>
    </w:rPr>
  </w:style>
  <w:style w:type="character" w:styleId="UnresolvedMention">
    <w:name w:val="Unresolved Mention"/>
    <w:basedOn w:val="DefaultParagraphFont"/>
    <w:uiPriority w:val="99"/>
    <w:semiHidden/>
    <w:unhideWhenUsed/>
    <w:rsid w:val="00621776"/>
    <w:rPr>
      <w:color w:val="605E5C"/>
      <w:shd w:val="clear" w:color="auto" w:fill="E1DFDD"/>
    </w:rPr>
  </w:style>
  <w:style w:type="paragraph" w:styleId="paragraph" w:customStyle="1">
    <w:name w:val="paragraph"/>
    <w:basedOn w:val="Normal"/>
    <w:rsid w:val="00BD2909"/>
    <w:pPr>
      <w:spacing w:before="100" w:beforeAutospacing="1" w:after="100" w:afterAutospacing="1" w:line="240" w:lineRule="auto"/>
      <w:jc w:val="left"/>
    </w:pPr>
    <w:rPr>
      <w:rFonts w:ascii="Times New Roman" w:hAnsi="Times New Roman" w:eastAsia="Times New Roman" w:cs="Times New Roman"/>
      <w:kern w:val="0"/>
      <w:sz w:val="24"/>
      <w:szCs w:val="24"/>
      <w14:ligatures w14:val="none"/>
    </w:rPr>
  </w:style>
  <w:style w:type="character" w:styleId="normaltextrun" w:customStyle="1">
    <w:name w:val="normaltextrun"/>
    <w:basedOn w:val="DefaultParagraphFont"/>
    <w:rsid w:val="00BD2909"/>
  </w:style>
  <w:style w:type="character" w:styleId="eop" w:customStyle="1">
    <w:name w:val="eop"/>
    <w:basedOn w:val="DefaultParagraphFont"/>
    <w:rsid w:val="00BD2909"/>
  </w:style>
  <w:style w:type="character" w:styleId="Heading4Char" w:customStyle="1">
    <w:name w:val="Heading 4 Char"/>
    <w:basedOn w:val="DefaultParagraphFont"/>
    <w:link w:val="Heading4"/>
    <w:uiPriority w:val="9"/>
    <w:semiHidden/>
    <w:rsid w:val="007063BA"/>
    <w:rPr>
      <w:rFonts w:asciiTheme="majorHAnsi" w:hAnsiTheme="majorHAnsi" w:eastAsiaTheme="majorEastAsia" w:cstheme="majorBidi"/>
      <w:i/>
      <w:iCs/>
      <w:color w:val="2F5496" w:themeColor="accent1" w:themeShade="BF"/>
    </w:rPr>
  </w:style>
  <w:style w:type="character" w:styleId="Strong">
    <w:name w:val="Strong"/>
    <w:basedOn w:val="DefaultParagraphFont"/>
    <w:uiPriority w:val="22"/>
    <w:qFormat/>
    <w:rsid w:val="007063BA"/>
    <w:rPr>
      <w:b/>
      <w:bCs/>
    </w:rPr>
  </w:style>
  <w:style w:type="character" w:styleId="Emphasis">
    <w:name w:val="Emphasis"/>
    <w:basedOn w:val="DefaultParagraphFont"/>
    <w:uiPriority w:val="20"/>
    <w:qFormat/>
    <w:rsid w:val="006B4354"/>
    <w:rPr>
      <w:i/>
      <w:iCs/>
    </w:rPr>
  </w:style>
  <w:style w:type="character" w:styleId="Heading3Char" w:customStyle="1">
    <w:name w:val="Heading 3 Char"/>
    <w:basedOn w:val="DefaultParagraphFont"/>
    <w:link w:val="Heading3"/>
    <w:uiPriority w:val="9"/>
    <w:rsid w:val="004813CB"/>
    <w:rPr>
      <w:rFonts w:asciiTheme="majorHAnsi" w:hAnsiTheme="majorHAnsi" w:eastAsiaTheme="majorEastAsia" w:cstheme="majorBidi"/>
      <w:color w:val="1F3763" w:themeColor="accent1" w:themeShade="7F"/>
      <w:sz w:val="24"/>
      <w:szCs w:val="24"/>
    </w:rPr>
  </w:style>
  <w:style w:type="table" w:styleId="GridTable5Dark">
    <w:name w:val="Grid Table 5 Dark"/>
    <w:basedOn w:val="TableNormal"/>
    <w:uiPriority w:val="50"/>
    <w:rsid w:val="00B0069A"/>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CCCCCC" w:themeFill="text1"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000000" w:themeFill="text1"/>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000000" w:themeFill="text1"/>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000000" w:themeFill="text1"/>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3">
    <w:name w:val="Grid Table 5 Dark Accent 3"/>
    <w:basedOn w:val="TableNormal"/>
    <w:uiPriority w:val="50"/>
    <w:rsid w:val="00B0069A"/>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EDEDED" w:themeFill="accent3"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A5A5A5" w:themeFill="accent3"/>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A5A5A5" w:themeFill="accent3"/>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A5A5A5" w:themeFill="accent3"/>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paragraph" w:styleId="TOCHeading">
    <w:name w:val="TOC Heading"/>
    <w:basedOn w:val="Heading1"/>
    <w:next w:val="Normal"/>
    <w:uiPriority w:val="39"/>
    <w:unhideWhenUsed/>
    <w:qFormat/>
    <w:rsid w:val="004739A4"/>
    <w:pPr>
      <w:keepNext/>
      <w:keepLines/>
      <w:widowControl/>
      <w:autoSpaceDE/>
      <w:autoSpaceDN/>
      <w:spacing w:before="480" w:line="276" w:lineRule="auto"/>
      <w:ind w:left="0"/>
      <w:outlineLvl w:val="9"/>
    </w:pPr>
    <w:rPr>
      <w:rFonts w:asciiTheme="majorHAnsi" w:hAnsiTheme="majorHAnsi" w:eastAsiaTheme="majorEastAsia" w:cstheme="majorBidi"/>
      <w:bCs/>
      <w:color w:val="2F5496" w:themeColor="accent1" w:themeShade="BF"/>
      <w:sz w:val="28"/>
      <w:szCs w:val="28"/>
      <w:lang w:val="en-US" w:eastAsia="en-US" w:bidi="ar-SA"/>
    </w:rPr>
  </w:style>
  <w:style w:type="paragraph" w:styleId="TOC1">
    <w:name w:val="toc 1"/>
    <w:basedOn w:val="Normal"/>
    <w:next w:val="Normal"/>
    <w:autoRedefine/>
    <w:uiPriority w:val="39"/>
    <w:unhideWhenUsed/>
    <w:rsid w:val="004739A4"/>
    <w:pPr>
      <w:spacing w:before="120" w:after="120"/>
      <w:jc w:val="left"/>
    </w:pPr>
    <w:rPr>
      <w:rFonts w:asciiTheme="minorHAnsi" w:hAnsiTheme="minorHAnsi" w:cstheme="minorHAnsi"/>
      <w:b/>
      <w:bCs/>
      <w:caps/>
      <w:sz w:val="20"/>
      <w:szCs w:val="20"/>
    </w:rPr>
  </w:style>
  <w:style w:type="paragraph" w:styleId="TOC2">
    <w:name w:val="toc 2"/>
    <w:basedOn w:val="Normal"/>
    <w:next w:val="Normal"/>
    <w:autoRedefine/>
    <w:uiPriority w:val="39"/>
    <w:unhideWhenUsed/>
    <w:rsid w:val="004739A4"/>
    <w:pPr>
      <w:spacing w:after="0"/>
      <w:ind w:left="220"/>
      <w:jc w:val="left"/>
    </w:pPr>
    <w:rPr>
      <w:rFonts w:asciiTheme="minorHAnsi" w:hAnsiTheme="minorHAnsi" w:cstheme="minorHAnsi"/>
      <w:smallCaps/>
      <w:sz w:val="20"/>
      <w:szCs w:val="20"/>
    </w:rPr>
  </w:style>
  <w:style w:type="paragraph" w:styleId="TOC3">
    <w:name w:val="toc 3"/>
    <w:basedOn w:val="Normal"/>
    <w:next w:val="Normal"/>
    <w:autoRedefine/>
    <w:uiPriority w:val="39"/>
    <w:unhideWhenUsed/>
    <w:rsid w:val="004739A4"/>
    <w:pPr>
      <w:spacing w:after="0"/>
      <w:ind w:left="440"/>
      <w:jc w:val="left"/>
    </w:pPr>
    <w:rPr>
      <w:rFonts w:asciiTheme="minorHAnsi" w:hAnsiTheme="minorHAnsi" w:cstheme="minorHAnsi"/>
      <w:i/>
      <w:iCs/>
      <w:sz w:val="20"/>
      <w:szCs w:val="20"/>
    </w:rPr>
  </w:style>
  <w:style w:type="paragraph" w:styleId="TOC4">
    <w:name w:val="toc 4"/>
    <w:basedOn w:val="Normal"/>
    <w:next w:val="Normal"/>
    <w:autoRedefine/>
    <w:uiPriority w:val="39"/>
    <w:semiHidden/>
    <w:unhideWhenUsed/>
    <w:rsid w:val="004739A4"/>
    <w:pPr>
      <w:spacing w:after="0"/>
      <w:ind w:left="660"/>
      <w:jc w:val="left"/>
    </w:pPr>
    <w:rPr>
      <w:rFonts w:asciiTheme="minorHAnsi" w:hAnsiTheme="minorHAnsi" w:cstheme="minorHAnsi"/>
      <w:sz w:val="18"/>
      <w:szCs w:val="18"/>
    </w:rPr>
  </w:style>
  <w:style w:type="paragraph" w:styleId="TOC5">
    <w:name w:val="toc 5"/>
    <w:basedOn w:val="Normal"/>
    <w:next w:val="Normal"/>
    <w:autoRedefine/>
    <w:uiPriority w:val="39"/>
    <w:semiHidden/>
    <w:unhideWhenUsed/>
    <w:rsid w:val="004739A4"/>
    <w:pPr>
      <w:spacing w:after="0"/>
      <w:ind w:left="880"/>
      <w:jc w:val="left"/>
    </w:pPr>
    <w:rPr>
      <w:rFonts w:asciiTheme="minorHAnsi" w:hAnsiTheme="minorHAnsi" w:cstheme="minorHAnsi"/>
      <w:sz w:val="18"/>
      <w:szCs w:val="18"/>
    </w:rPr>
  </w:style>
  <w:style w:type="paragraph" w:styleId="TOC6">
    <w:name w:val="toc 6"/>
    <w:basedOn w:val="Normal"/>
    <w:next w:val="Normal"/>
    <w:autoRedefine/>
    <w:uiPriority w:val="39"/>
    <w:semiHidden/>
    <w:unhideWhenUsed/>
    <w:rsid w:val="004739A4"/>
    <w:pPr>
      <w:spacing w:after="0"/>
      <w:ind w:left="1100"/>
      <w:jc w:val="left"/>
    </w:pPr>
    <w:rPr>
      <w:rFonts w:asciiTheme="minorHAnsi" w:hAnsiTheme="minorHAnsi" w:cstheme="minorHAnsi"/>
      <w:sz w:val="18"/>
      <w:szCs w:val="18"/>
    </w:rPr>
  </w:style>
  <w:style w:type="paragraph" w:styleId="TOC7">
    <w:name w:val="toc 7"/>
    <w:basedOn w:val="Normal"/>
    <w:next w:val="Normal"/>
    <w:autoRedefine/>
    <w:uiPriority w:val="39"/>
    <w:semiHidden/>
    <w:unhideWhenUsed/>
    <w:rsid w:val="004739A4"/>
    <w:pPr>
      <w:spacing w:after="0"/>
      <w:ind w:left="1320"/>
      <w:jc w:val="left"/>
    </w:pPr>
    <w:rPr>
      <w:rFonts w:asciiTheme="minorHAnsi" w:hAnsiTheme="minorHAnsi" w:cstheme="minorHAnsi"/>
      <w:sz w:val="18"/>
      <w:szCs w:val="18"/>
    </w:rPr>
  </w:style>
  <w:style w:type="paragraph" w:styleId="TOC8">
    <w:name w:val="toc 8"/>
    <w:basedOn w:val="Normal"/>
    <w:next w:val="Normal"/>
    <w:autoRedefine/>
    <w:uiPriority w:val="39"/>
    <w:semiHidden/>
    <w:unhideWhenUsed/>
    <w:rsid w:val="004739A4"/>
    <w:pPr>
      <w:spacing w:after="0"/>
      <w:ind w:left="1540"/>
      <w:jc w:val="left"/>
    </w:pPr>
    <w:rPr>
      <w:rFonts w:asciiTheme="minorHAnsi" w:hAnsiTheme="minorHAnsi" w:cstheme="minorHAnsi"/>
      <w:sz w:val="18"/>
      <w:szCs w:val="18"/>
    </w:rPr>
  </w:style>
  <w:style w:type="paragraph" w:styleId="TOC9">
    <w:name w:val="toc 9"/>
    <w:basedOn w:val="Normal"/>
    <w:next w:val="Normal"/>
    <w:autoRedefine/>
    <w:uiPriority w:val="39"/>
    <w:semiHidden/>
    <w:unhideWhenUsed/>
    <w:rsid w:val="004739A4"/>
    <w:pPr>
      <w:spacing w:after="0"/>
      <w:ind w:left="1760"/>
      <w:jc w:val="left"/>
    </w:pPr>
    <w:rPr>
      <w:rFonts w:asciiTheme="minorHAnsi" w:hAnsiTheme="minorHAnsi" w:cstheme="minorHAns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869363">
      <w:bodyDiv w:val="1"/>
      <w:marLeft w:val="0"/>
      <w:marRight w:val="0"/>
      <w:marTop w:val="0"/>
      <w:marBottom w:val="0"/>
      <w:divBdr>
        <w:top w:val="none" w:sz="0" w:space="0" w:color="auto"/>
        <w:left w:val="none" w:sz="0" w:space="0" w:color="auto"/>
        <w:bottom w:val="none" w:sz="0" w:space="0" w:color="auto"/>
        <w:right w:val="none" w:sz="0" w:space="0" w:color="auto"/>
      </w:divBdr>
      <w:divsChild>
        <w:div w:id="599801021">
          <w:marLeft w:val="0"/>
          <w:marRight w:val="0"/>
          <w:marTop w:val="0"/>
          <w:marBottom w:val="0"/>
          <w:divBdr>
            <w:top w:val="none" w:sz="0" w:space="0" w:color="auto"/>
            <w:left w:val="none" w:sz="0" w:space="0" w:color="auto"/>
            <w:bottom w:val="none" w:sz="0" w:space="0" w:color="auto"/>
            <w:right w:val="none" w:sz="0" w:space="0" w:color="auto"/>
          </w:divBdr>
          <w:divsChild>
            <w:div w:id="521018314">
              <w:marLeft w:val="0"/>
              <w:marRight w:val="0"/>
              <w:marTop w:val="0"/>
              <w:marBottom w:val="0"/>
              <w:divBdr>
                <w:top w:val="none" w:sz="0" w:space="0" w:color="auto"/>
                <w:left w:val="none" w:sz="0" w:space="0" w:color="auto"/>
                <w:bottom w:val="none" w:sz="0" w:space="0" w:color="auto"/>
                <w:right w:val="none" w:sz="0" w:space="0" w:color="auto"/>
              </w:divBdr>
            </w:div>
            <w:div w:id="1557887438">
              <w:marLeft w:val="0"/>
              <w:marRight w:val="0"/>
              <w:marTop w:val="0"/>
              <w:marBottom w:val="0"/>
              <w:divBdr>
                <w:top w:val="none" w:sz="0" w:space="0" w:color="auto"/>
                <w:left w:val="none" w:sz="0" w:space="0" w:color="auto"/>
                <w:bottom w:val="none" w:sz="0" w:space="0" w:color="auto"/>
                <w:right w:val="none" w:sz="0" w:space="0" w:color="auto"/>
              </w:divBdr>
            </w:div>
            <w:div w:id="639844470">
              <w:marLeft w:val="0"/>
              <w:marRight w:val="0"/>
              <w:marTop w:val="0"/>
              <w:marBottom w:val="0"/>
              <w:divBdr>
                <w:top w:val="none" w:sz="0" w:space="0" w:color="auto"/>
                <w:left w:val="none" w:sz="0" w:space="0" w:color="auto"/>
                <w:bottom w:val="none" w:sz="0" w:space="0" w:color="auto"/>
                <w:right w:val="none" w:sz="0" w:space="0" w:color="auto"/>
              </w:divBdr>
            </w:div>
            <w:div w:id="1252398928">
              <w:marLeft w:val="0"/>
              <w:marRight w:val="0"/>
              <w:marTop w:val="0"/>
              <w:marBottom w:val="0"/>
              <w:divBdr>
                <w:top w:val="none" w:sz="0" w:space="0" w:color="auto"/>
                <w:left w:val="none" w:sz="0" w:space="0" w:color="auto"/>
                <w:bottom w:val="none" w:sz="0" w:space="0" w:color="auto"/>
                <w:right w:val="none" w:sz="0" w:space="0" w:color="auto"/>
              </w:divBdr>
            </w:div>
            <w:div w:id="2028020813">
              <w:marLeft w:val="0"/>
              <w:marRight w:val="0"/>
              <w:marTop w:val="0"/>
              <w:marBottom w:val="0"/>
              <w:divBdr>
                <w:top w:val="none" w:sz="0" w:space="0" w:color="auto"/>
                <w:left w:val="none" w:sz="0" w:space="0" w:color="auto"/>
                <w:bottom w:val="none" w:sz="0" w:space="0" w:color="auto"/>
                <w:right w:val="none" w:sz="0" w:space="0" w:color="auto"/>
              </w:divBdr>
            </w:div>
            <w:div w:id="2074041378">
              <w:marLeft w:val="0"/>
              <w:marRight w:val="0"/>
              <w:marTop w:val="0"/>
              <w:marBottom w:val="0"/>
              <w:divBdr>
                <w:top w:val="none" w:sz="0" w:space="0" w:color="auto"/>
                <w:left w:val="none" w:sz="0" w:space="0" w:color="auto"/>
                <w:bottom w:val="none" w:sz="0" w:space="0" w:color="auto"/>
                <w:right w:val="none" w:sz="0" w:space="0" w:color="auto"/>
              </w:divBdr>
            </w:div>
            <w:div w:id="74667017">
              <w:marLeft w:val="0"/>
              <w:marRight w:val="0"/>
              <w:marTop w:val="0"/>
              <w:marBottom w:val="0"/>
              <w:divBdr>
                <w:top w:val="none" w:sz="0" w:space="0" w:color="auto"/>
                <w:left w:val="none" w:sz="0" w:space="0" w:color="auto"/>
                <w:bottom w:val="none" w:sz="0" w:space="0" w:color="auto"/>
                <w:right w:val="none" w:sz="0" w:space="0" w:color="auto"/>
              </w:divBdr>
            </w:div>
            <w:div w:id="1867214179">
              <w:marLeft w:val="0"/>
              <w:marRight w:val="0"/>
              <w:marTop w:val="0"/>
              <w:marBottom w:val="0"/>
              <w:divBdr>
                <w:top w:val="none" w:sz="0" w:space="0" w:color="auto"/>
                <w:left w:val="none" w:sz="0" w:space="0" w:color="auto"/>
                <w:bottom w:val="none" w:sz="0" w:space="0" w:color="auto"/>
                <w:right w:val="none" w:sz="0" w:space="0" w:color="auto"/>
              </w:divBdr>
            </w:div>
            <w:div w:id="434861844">
              <w:marLeft w:val="0"/>
              <w:marRight w:val="0"/>
              <w:marTop w:val="0"/>
              <w:marBottom w:val="0"/>
              <w:divBdr>
                <w:top w:val="none" w:sz="0" w:space="0" w:color="auto"/>
                <w:left w:val="none" w:sz="0" w:space="0" w:color="auto"/>
                <w:bottom w:val="none" w:sz="0" w:space="0" w:color="auto"/>
                <w:right w:val="none" w:sz="0" w:space="0" w:color="auto"/>
              </w:divBdr>
            </w:div>
            <w:div w:id="1125390897">
              <w:marLeft w:val="0"/>
              <w:marRight w:val="0"/>
              <w:marTop w:val="0"/>
              <w:marBottom w:val="0"/>
              <w:divBdr>
                <w:top w:val="none" w:sz="0" w:space="0" w:color="auto"/>
                <w:left w:val="none" w:sz="0" w:space="0" w:color="auto"/>
                <w:bottom w:val="none" w:sz="0" w:space="0" w:color="auto"/>
                <w:right w:val="none" w:sz="0" w:space="0" w:color="auto"/>
              </w:divBdr>
            </w:div>
            <w:div w:id="494995996">
              <w:marLeft w:val="0"/>
              <w:marRight w:val="0"/>
              <w:marTop w:val="0"/>
              <w:marBottom w:val="0"/>
              <w:divBdr>
                <w:top w:val="none" w:sz="0" w:space="0" w:color="auto"/>
                <w:left w:val="none" w:sz="0" w:space="0" w:color="auto"/>
                <w:bottom w:val="none" w:sz="0" w:space="0" w:color="auto"/>
                <w:right w:val="none" w:sz="0" w:space="0" w:color="auto"/>
              </w:divBdr>
            </w:div>
            <w:div w:id="1455714897">
              <w:marLeft w:val="0"/>
              <w:marRight w:val="0"/>
              <w:marTop w:val="0"/>
              <w:marBottom w:val="0"/>
              <w:divBdr>
                <w:top w:val="none" w:sz="0" w:space="0" w:color="auto"/>
                <w:left w:val="none" w:sz="0" w:space="0" w:color="auto"/>
                <w:bottom w:val="none" w:sz="0" w:space="0" w:color="auto"/>
                <w:right w:val="none" w:sz="0" w:space="0" w:color="auto"/>
              </w:divBdr>
            </w:div>
            <w:div w:id="1778407397">
              <w:marLeft w:val="0"/>
              <w:marRight w:val="0"/>
              <w:marTop w:val="0"/>
              <w:marBottom w:val="0"/>
              <w:divBdr>
                <w:top w:val="none" w:sz="0" w:space="0" w:color="auto"/>
                <w:left w:val="none" w:sz="0" w:space="0" w:color="auto"/>
                <w:bottom w:val="none" w:sz="0" w:space="0" w:color="auto"/>
                <w:right w:val="none" w:sz="0" w:space="0" w:color="auto"/>
              </w:divBdr>
            </w:div>
            <w:div w:id="1364404654">
              <w:marLeft w:val="0"/>
              <w:marRight w:val="0"/>
              <w:marTop w:val="0"/>
              <w:marBottom w:val="0"/>
              <w:divBdr>
                <w:top w:val="none" w:sz="0" w:space="0" w:color="auto"/>
                <w:left w:val="none" w:sz="0" w:space="0" w:color="auto"/>
                <w:bottom w:val="none" w:sz="0" w:space="0" w:color="auto"/>
                <w:right w:val="none" w:sz="0" w:space="0" w:color="auto"/>
              </w:divBdr>
            </w:div>
            <w:div w:id="114375707">
              <w:marLeft w:val="0"/>
              <w:marRight w:val="0"/>
              <w:marTop w:val="0"/>
              <w:marBottom w:val="0"/>
              <w:divBdr>
                <w:top w:val="none" w:sz="0" w:space="0" w:color="auto"/>
                <w:left w:val="none" w:sz="0" w:space="0" w:color="auto"/>
                <w:bottom w:val="none" w:sz="0" w:space="0" w:color="auto"/>
                <w:right w:val="none" w:sz="0" w:space="0" w:color="auto"/>
              </w:divBdr>
            </w:div>
            <w:div w:id="1812406804">
              <w:marLeft w:val="0"/>
              <w:marRight w:val="0"/>
              <w:marTop w:val="0"/>
              <w:marBottom w:val="0"/>
              <w:divBdr>
                <w:top w:val="none" w:sz="0" w:space="0" w:color="auto"/>
                <w:left w:val="none" w:sz="0" w:space="0" w:color="auto"/>
                <w:bottom w:val="none" w:sz="0" w:space="0" w:color="auto"/>
                <w:right w:val="none" w:sz="0" w:space="0" w:color="auto"/>
              </w:divBdr>
            </w:div>
            <w:div w:id="1673097275">
              <w:marLeft w:val="0"/>
              <w:marRight w:val="0"/>
              <w:marTop w:val="0"/>
              <w:marBottom w:val="0"/>
              <w:divBdr>
                <w:top w:val="none" w:sz="0" w:space="0" w:color="auto"/>
                <w:left w:val="none" w:sz="0" w:space="0" w:color="auto"/>
                <w:bottom w:val="none" w:sz="0" w:space="0" w:color="auto"/>
                <w:right w:val="none" w:sz="0" w:space="0" w:color="auto"/>
              </w:divBdr>
            </w:div>
            <w:div w:id="885802405">
              <w:marLeft w:val="0"/>
              <w:marRight w:val="0"/>
              <w:marTop w:val="0"/>
              <w:marBottom w:val="0"/>
              <w:divBdr>
                <w:top w:val="none" w:sz="0" w:space="0" w:color="auto"/>
                <w:left w:val="none" w:sz="0" w:space="0" w:color="auto"/>
                <w:bottom w:val="none" w:sz="0" w:space="0" w:color="auto"/>
                <w:right w:val="none" w:sz="0" w:space="0" w:color="auto"/>
              </w:divBdr>
            </w:div>
            <w:div w:id="246154078">
              <w:marLeft w:val="0"/>
              <w:marRight w:val="0"/>
              <w:marTop w:val="0"/>
              <w:marBottom w:val="0"/>
              <w:divBdr>
                <w:top w:val="none" w:sz="0" w:space="0" w:color="auto"/>
                <w:left w:val="none" w:sz="0" w:space="0" w:color="auto"/>
                <w:bottom w:val="none" w:sz="0" w:space="0" w:color="auto"/>
                <w:right w:val="none" w:sz="0" w:space="0" w:color="auto"/>
              </w:divBdr>
            </w:div>
          </w:divsChild>
        </w:div>
        <w:div w:id="2140565501">
          <w:marLeft w:val="0"/>
          <w:marRight w:val="0"/>
          <w:marTop w:val="0"/>
          <w:marBottom w:val="0"/>
          <w:divBdr>
            <w:top w:val="none" w:sz="0" w:space="0" w:color="auto"/>
            <w:left w:val="none" w:sz="0" w:space="0" w:color="auto"/>
            <w:bottom w:val="none" w:sz="0" w:space="0" w:color="auto"/>
            <w:right w:val="none" w:sz="0" w:space="0" w:color="auto"/>
          </w:divBdr>
          <w:divsChild>
            <w:div w:id="483475160">
              <w:marLeft w:val="0"/>
              <w:marRight w:val="0"/>
              <w:marTop w:val="0"/>
              <w:marBottom w:val="0"/>
              <w:divBdr>
                <w:top w:val="none" w:sz="0" w:space="0" w:color="auto"/>
                <w:left w:val="none" w:sz="0" w:space="0" w:color="auto"/>
                <w:bottom w:val="none" w:sz="0" w:space="0" w:color="auto"/>
                <w:right w:val="none" w:sz="0" w:space="0" w:color="auto"/>
              </w:divBdr>
            </w:div>
            <w:div w:id="995300680">
              <w:marLeft w:val="0"/>
              <w:marRight w:val="0"/>
              <w:marTop w:val="0"/>
              <w:marBottom w:val="0"/>
              <w:divBdr>
                <w:top w:val="none" w:sz="0" w:space="0" w:color="auto"/>
                <w:left w:val="none" w:sz="0" w:space="0" w:color="auto"/>
                <w:bottom w:val="none" w:sz="0" w:space="0" w:color="auto"/>
                <w:right w:val="none" w:sz="0" w:space="0" w:color="auto"/>
              </w:divBdr>
            </w:div>
            <w:div w:id="1396466880">
              <w:marLeft w:val="0"/>
              <w:marRight w:val="0"/>
              <w:marTop w:val="0"/>
              <w:marBottom w:val="0"/>
              <w:divBdr>
                <w:top w:val="none" w:sz="0" w:space="0" w:color="auto"/>
                <w:left w:val="none" w:sz="0" w:space="0" w:color="auto"/>
                <w:bottom w:val="none" w:sz="0" w:space="0" w:color="auto"/>
                <w:right w:val="none" w:sz="0" w:space="0" w:color="auto"/>
              </w:divBdr>
            </w:div>
            <w:div w:id="816917941">
              <w:marLeft w:val="0"/>
              <w:marRight w:val="0"/>
              <w:marTop w:val="0"/>
              <w:marBottom w:val="0"/>
              <w:divBdr>
                <w:top w:val="none" w:sz="0" w:space="0" w:color="auto"/>
                <w:left w:val="none" w:sz="0" w:space="0" w:color="auto"/>
                <w:bottom w:val="none" w:sz="0" w:space="0" w:color="auto"/>
                <w:right w:val="none" w:sz="0" w:space="0" w:color="auto"/>
              </w:divBdr>
            </w:div>
            <w:div w:id="1204248116">
              <w:marLeft w:val="0"/>
              <w:marRight w:val="0"/>
              <w:marTop w:val="0"/>
              <w:marBottom w:val="0"/>
              <w:divBdr>
                <w:top w:val="none" w:sz="0" w:space="0" w:color="auto"/>
                <w:left w:val="none" w:sz="0" w:space="0" w:color="auto"/>
                <w:bottom w:val="none" w:sz="0" w:space="0" w:color="auto"/>
                <w:right w:val="none" w:sz="0" w:space="0" w:color="auto"/>
              </w:divBdr>
            </w:div>
            <w:div w:id="166794459">
              <w:marLeft w:val="0"/>
              <w:marRight w:val="0"/>
              <w:marTop w:val="0"/>
              <w:marBottom w:val="0"/>
              <w:divBdr>
                <w:top w:val="none" w:sz="0" w:space="0" w:color="auto"/>
                <w:left w:val="none" w:sz="0" w:space="0" w:color="auto"/>
                <w:bottom w:val="none" w:sz="0" w:space="0" w:color="auto"/>
                <w:right w:val="none" w:sz="0" w:space="0" w:color="auto"/>
              </w:divBdr>
            </w:div>
            <w:div w:id="912853106">
              <w:marLeft w:val="0"/>
              <w:marRight w:val="0"/>
              <w:marTop w:val="0"/>
              <w:marBottom w:val="0"/>
              <w:divBdr>
                <w:top w:val="none" w:sz="0" w:space="0" w:color="auto"/>
                <w:left w:val="none" w:sz="0" w:space="0" w:color="auto"/>
                <w:bottom w:val="none" w:sz="0" w:space="0" w:color="auto"/>
                <w:right w:val="none" w:sz="0" w:space="0" w:color="auto"/>
              </w:divBdr>
            </w:div>
            <w:div w:id="671836891">
              <w:marLeft w:val="0"/>
              <w:marRight w:val="0"/>
              <w:marTop w:val="0"/>
              <w:marBottom w:val="0"/>
              <w:divBdr>
                <w:top w:val="none" w:sz="0" w:space="0" w:color="auto"/>
                <w:left w:val="none" w:sz="0" w:space="0" w:color="auto"/>
                <w:bottom w:val="none" w:sz="0" w:space="0" w:color="auto"/>
                <w:right w:val="none" w:sz="0" w:space="0" w:color="auto"/>
              </w:divBdr>
            </w:div>
            <w:div w:id="1386222976">
              <w:marLeft w:val="0"/>
              <w:marRight w:val="0"/>
              <w:marTop w:val="0"/>
              <w:marBottom w:val="0"/>
              <w:divBdr>
                <w:top w:val="none" w:sz="0" w:space="0" w:color="auto"/>
                <w:left w:val="none" w:sz="0" w:space="0" w:color="auto"/>
                <w:bottom w:val="none" w:sz="0" w:space="0" w:color="auto"/>
                <w:right w:val="none" w:sz="0" w:space="0" w:color="auto"/>
              </w:divBdr>
            </w:div>
            <w:div w:id="451635054">
              <w:marLeft w:val="0"/>
              <w:marRight w:val="0"/>
              <w:marTop w:val="0"/>
              <w:marBottom w:val="0"/>
              <w:divBdr>
                <w:top w:val="none" w:sz="0" w:space="0" w:color="auto"/>
                <w:left w:val="none" w:sz="0" w:space="0" w:color="auto"/>
                <w:bottom w:val="none" w:sz="0" w:space="0" w:color="auto"/>
                <w:right w:val="none" w:sz="0" w:space="0" w:color="auto"/>
              </w:divBdr>
            </w:div>
            <w:div w:id="1744449754">
              <w:marLeft w:val="0"/>
              <w:marRight w:val="0"/>
              <w:marTop w:val="0"/>
              <w:marBottom w:val="0"/>
              <w:divBdr>
                <w:top w:val="none" w:sz="0" w:space="0" w:color="auto"/>
                <w:left w:val="none" w:sz="0" w:space="0" w:color="auto"/>
                <w:bottom w:val="none" w:sz="0" w:space="0" w:color="auto"/>
                <w:right w:val="none" w:sz="0" w:space="0" w:color="auto"/>
              </w:divBdr>
            </w:div>
            <w:div w:id="658924485">
              <w:marLeft w:val="0"/>
              <w:marRight w:val="0"/>
              <w:marTop w:val="0"/>
              <w:marBottom w:val="0"/>
              <w:divBdr>
                <w:top w:val="none" w:sz="0" w:space="0" w:color="auto"/>
                <w:left w:val="none" w:sz="0" w:space="0" w:color="auto"/>
                <w:bottom w:val="none" w:sz="0" w:space="0" w:color="auto"/>
                <w:right w:val="none" w:sz="0" w:space="0" w:color="auto"/>
              </w:divBdr>
            </w:div>
            <w:div w:id="653726206">
              <w:marLeft w:val="0"/>
              <w:marRight w:val="0"/>
              <w:marTop w:val="0"/>
              <w:marBottom w:val="0"/>
              <w:divBdr>
                <w:top w:val="none" w:sz="0" w:space="0" w:color="auto"/>
                <w:left w:val="none" w:sz="0" w:space="0" w:color="auto"/>
                <w:bottom w:val="none" w:sz="0" w:space="0" w:color="auto"/>
                <w:right w:val="none" w:sz="0" w:space="0" w:color="auto"/>
              </w:divBdr>
            </w:div>
            <w:div w:id="1322927558">
              <w:marLeft w:val="0"/>
              <w:marRight w:val="0"/>
              <w:marTop w:val="0"/>
              <w:marBottom w:val="0"/>
              <w:divBdr>
                <w:top w:val="none" w:sz="0" w:space="0" w:color="auto"/>
                <w:left w:val="none" w:sz="0" w:space="0" w:color="auto"/>
                <w:bottom w:val="none" w:sz="0" w:space="0" w:color="auto"/>
                <w:right w:val="none" w:sz="0" w:space="0" w:color="auto"/>
              </w:divBdr>
            </w:div>
            <w:div w:id="1658193854">
              <w:marLeft w:val="0"/>
              <w:marRight w:val="0"/>
              <w:marTop w:val="0"/>
              <w:marBottom w:val="0"/>
              <w:divBdr>
                <w:top w:val="none" w:sz="0" w:space="0" w:color="auto"/>
                <w:left w:val="none" w:sz="0" w:space="0" w:color="auto"/>
                <w:bottom w:val="none" w:sz="0" w:space="0" w:color="auto"/>
                <w:right w:val="none" w:sz="0" w:space="0" w:color="auto"/>
              </w:divBdr>
            </w:div>
            <w:div w:id="456803044">
              <w:marLeft w:val="0"/>
              <w:marRight w:val="0"/>
              <w:marTop w:val="0"/>
              <w:marBottom w:val="0"/>
              <w:divBdr>
                <w:top w:val="none" w:sz="0" w:space="0" w:color="auto"/>
                <w:left w:val="none" w:sz="0" w:space="0" w:color="auto"/>
                <w:bottom w:val="none" w:sz="0" w:space="0" w:color="auto"/>
                <w:right w:val="none" w:sz="0" w:space="0" w:color="auto"/>
              </w:divBdr>
            </w:div>
            <w:div w:id="1347747956">
              <w:marLeft w:val="0"/>
              <w:marRight w:val="0"/>
              <w:marTop w:val="0"/>
              <w:marBottom w:val="0"/>
              <w:divBdr>
                <w:top w:val="none" w:sz="0" w:space="0" w:color="auto"/>
                <w:left w:val="none" w:sz="0" w:space="0" w:color="auto"/>
                <w:bottom w:val="none" w:sz="0" w:space="0" w:color="auto"/>
                <w:right w:val="none" w:sz="0" w:space="0" w:color="auto"/>
              </w:divBdr>
            </w:div>
            <w:div w:id="1652565061">
              <w:marLeft w:val="0"/>
              <w:marRight w:val="0"/>
              <w:marTop w:val="0"/>
              <w:marBottom w:val="0"/>
              <w:divBdr>
                <w:top w:val="none" w:sz="0" w:space="0" w:color="auto"/>
                <w:left w:val="none" w:sz="0" w:space="0" w:color="auto"/>
                <w:bottom w:val="none" w:sz="0" w:space="0" w:color="auto"/>
                <w:right w:val="none" w:sz="0" w:space="0" w:color="auto"/>
              </w:divBdr>
            </w:div>
            <w:div w:id="1841892058">
              <w:marLeft w:val="0"/>
              <w:marRight w:val="0"/>
              <w:marTop w:val="0"/>
              <w:marBottom w:val="0"/>
              <w:divBdr>
                <w:top w:val="none" w:sz="0" w:space="0" w:color="auto"/>
                <w:left w:val="none" w:sz="0" w:space="0" w:color="auto"/>
                <w:bottom w:val="none" w:sz="0" w:space="0" w:color="auto"/>
                <w:right w:val="none" w:sz="0" w:space="0" w:color="auto"/>
              </w:divBdr>
            </w:div>
            <w:div w:id="147090616">
              <w:marLeft w:val="0"/>
              <w:marRight w:val="0"/>
              <w:marTop w:val="0"/>
              <w:marBottom w:val="0"/>
              <w:divBdr>
                <w:top w:val="none" w:sz="0" w:space="0" w:color="auto"/>
                <w:left w:val="none" w:sz="0" w:space="0" w:color="auto"/>
                <w:bottom w:val="none" w:sz="0" w:space="0" w:color="auto"/>
                <w:right w:val="none" w:sz="0" w:space="0" w:color="auto"/>
              </w:divBdr>
            </w:div>
          </w:divsChild>
        </w:div>
        <w:div w:id="30813080">
          <w:marLeft w:val="0"/>
          <w:marRight w:val="0"/>
          <w:marTop w:val="0"/>
          <w:marBottom w:val="0"/>
          <w:divBdr>
            <w:top w:val="none" w:sz="0" w:space="0" w:color="auto"/>
            <w:left w:val="none" w:sz="0" w:space="0" w:color="auto"/>
            <w:bottom w:val="none" w:sz="0" w:space="0" w:color="auto"/>
            <w:right w:val="none" w:sz="0" w:space="0" w:color="auto"/>
          </w:divBdr>
          <w:divsChild>
            <w:div w:id="1102532035">
              <w:marLeft w:val="0"/>
              <w:marRight w:val="0"/>
              <w:marTop w:val="0"/>
              <w:marBottom w:val="0"/>
              <w:divBdr>
                <w:top w:val="none" w:sz="0" w:space="0" w:color="auto"/>
                <w:left w:val="none" w:sz="0" w:space="0" w:color="auto"/>
                <w:bottom w:val="none" w:sz="0" w:space="0" w:color="auto"/>
                <w:right w:val="none" w:sz="0" w:space="0" w:color="auto"/>
              </w:divBdr>
            </w:div>
            <w:div w:id="2010986760">
              <w:marLeft w:val="0"/>
              <w:marRight w:val="0"/>
              <w:marTop w:val="0"/>
              <w:marBottom w:val="0"/>
              <w:divBdr>
                <w:top w:val="none" w:sz="0" w:space="0" w:color="auto"/>
                <w:left w:val="none" w:sz="0" w:space="0" w:color="auto"/>
                <w:bottom w:val="none" w:sz="0" w:space="0" w:color="auto"/>
                <w:right w:val="none" w:sz="0" w:space="0" w:color="auto"/>
              </w:divBdr>
            </w:div>
            <w:div w:id="2009942144">
              <w:marLeft w:val="0"/>
              <w:marRight w:val="0"/>
              <w:marTop w:val="0"/>
              <w:marBottom w:val="0"/>
              <w:divBdr>
                <w:top w:val="none" w:sz="0" w:space="0" w:color="auto"/>
                <w:left w:val="none" w:sz="0" w:space="0" w:color="auto"/>
                <w:bottom w:val="none" w:sz="0" w:space="0" w:color="auto"/>
                <w:right w:val="none" w:sz="0" w:space="0" w:color="auto"/>
              </w:divBdr>
            </w:div>
            <w:div w:id="1710036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312590">
      <w:bodyDiv w:val="1"/>
      <w:marLeft w:val="0"/>
      <w:marRight w:val="0"/>
      <w:marTop w:val="0"/>
      <w:marBottom w:val="0"/>
      <w:divBdr>
        <w:top w:val="none" w:sz="0" w:space="0" w:color="auto"/>
        <w:left w:val="none" w:sz="0" w:space="0" w:color="auto"/>
        <w:bottom w:val="none" w:sz="0" w:space="0" w:color="auto"/>
        <w:right w:val="none" w:sz="0" w:space="0" w:color="auto"/>
      </w:divBdr>
      <w:divsChild>
        <w:div w:id="2068188862">
          <w:marLeft w:val="0"/>
          <w:marRight w:val="0"/>
          <w:marTop w:val="0"/>
          <w:marBottom w:val="0"/>
          <w:divBdr>
            <w:top w:val="none" w:sz="0" w:space="0" w:color="auto"/>
            <w:left w:val="none" w:sz="0" w:space="0" w:color="auto"/>
            <w:bottom w:val="none" w:sz="0" w:space="0" w:color="auto"/>
            <w:right w:val="none" w:sz="0" w:space="0" w:color="auto"/>
          </w:divBdr>
        </w:div>
        <w:div w:id="747002016">
          <w:marLeft w:val="0"/>
          <w:marRight w:val="0"/>
          <w:marTop w:val="0"/>
          <w:marBottom w:val="0"/>
          <w:divBdr>
            <w:top w:val="none" w:sz="0" w:space="0" w:color="auto"/>
            <w:left w:val="none" w:sz="0" w:space="0" w:color="auto"/>
            <w:bottom w:val="none" w:sz="0" w:space="0" w:color="auto"/>
            <w:right w:val="none" w:sz="0" w:space="0" w:color="auto"/>
          </w:divBdr>
        </w:div>
        <w:div w:id="152769638">
          <w:marLeft w:val="0"/>
          <w:marRight w:val="0"/>
          <w:marTop w:val="0"/>
          <w:marBottom w:val="0"/>
          <w:divBdr>
            <w:top w:val="none" w:sz="0" w:space="0" w:color="auto"/>
            <w:left w:val="none" w:sz="0" w:space="0" w:color="auto"/>
            <w:bottom w:val="none" w:sz="0" w:space="0" w:color="auto"/>
            <w:right w:val="none" w:sz="0" w:space="0" w:color="auto"/>
          </w:divBdr>
        </w:div>
        <w:div w:id="656541629">
          <w:marLeft w:val="0"/>
          <w:marRight w:val="0"/>
          <w:marTop w:val="0"/>
          <w:marBottom w:val="0"/>
          <w:divBdr>
            <w:top w:val="none" w:sz="0" w:space="0" w:color="auto"/>
            <w:left w:val="none" w:sz="0" w:space="0" w:color="auto"/>
            <w:bottom w:val="none" w:sz="0" w:space="0" w:color="auto"/>
            <w:right w:val="none" w:sz="0" w:space="0" w:color="auto"/>
          </w:divBdr>
          <w:divsChild>
            <w:div w:id="1164130810">
              <w:marLeft w:val="0"/>
              <w:marRight w:val="0"/>
              <w:marTop w:val="0"/>
              <w:marBottom w:val="0"/>
              <w:divBdr>
                <w:top w:val="none" w:sz="0" w:space="0" w:color="auto"/>
                <w:left w:val="none" w:sz="0" w:space="0" w:color="auto"/>
                <w:bottom w:val="none" w:sz="0" w:space="0" w:color="auto"/>
                <w:right w:val="none" w:sz="0" w:space="0" w:color="auto"/>
              </w:divBdr>
            </w:div>
            <w:div w:id="1635402170">
              <w:marLeft w:val="0"/>
              <w:marRight w:val="0"/>
              <w:marTop w:val="0"/>
              <w:marBottom w:val="0"/>
              <w:divBdr>
                <w:top w:val="none" w:sz="0" w:space="0" w:color="auto"/>
                <w:left w:val="none" w:sz="0" w:space="0" w:color="auto"/>
                <w:bottom w:val="none" w:sz="0" w:space="0" w:color="auto"/>
                <w:right w:val="none" w:sz="0" w:space="0" w:color="auto"/>
              </w:divBdr>
            </w:div>
            <w:div w:id="1556234570">
              <w:marLeft w:val="0"/>
              <w:marRight w:val="0"/>
              <w:marTop w:val="0"/>
              <w:marBottom w:val="0"/>
              <w:divBdr>
                <w:top w:val="none" w:sz="0" w:space="0" w:color="auto"/>
                <w:left w:val="none" w:sz="0" w:space="0" w:color="auto"/>
                <w:bottom w:val="none" w:sz="0" w:space="0" w:color="auto"/>
                <w:right w:val="none" w:sz="0" w:space="0" w:color="auto"/>
              </w:divBdr>
            </w:div>
            <w:div w:id="1486631787">
              <w:marLeft w:val="0"/>
              <w:marRight w:val="0"/>
              <w:marTop w:val="0"/>
              <w:marBottom w:val="0"/>
              <w:divBdr>
                <w:top w:val="none" w:sz="0" w:space="0" w:color="auto"/>
                <w:left w:val="none" w:sz="0" w:space="0" w:color="auto"/>
                <w:bottom w:val="none" w:sz="0" w:space="0" w:color="auto"/>
                <w:right w:val="none" w:sz="0" w:space="0" w:color="auto"/>
              </w:divBdr>
            </w:div>
            <w:div w:id="432096424">
              <w:marLeft w:val="0"/>
              <w:marRight w:val="0"/>
              <w:marTop w:val="0"/>
              <w:marBottom w:val="0"/>
              <w:divBdr>
                <w:top w:val="none" w:sz="0" w:space="0" w:color="auto"/>
                <w:left w:val="none" w:sz="0" w:space="0" w:color="auto"/>
                <w:bottom w:val="none" w:sz="0" w:space="0" w:color="auto"/>
                <w:right w:val="none" w:sz="0" w:space="0" w:color="auto"/>
              </w:divBdr>
            </w:div>
            <w:div w:id="2027291095">
              <w:marLeft w:val="0"/>
              <w:marRight w:val="0"/>
              <w:marTop w:val="0"/>
              <w:marBottom w:val="0"/>
              <w:divBdr>
                <w:top w:val="none" w:sz="0" w:space="0" w:color="auto"/>
                <w:left w:val="none" w:sz="0" w:space="0" w:color="auto"/>
                <w:bottom w:val="none" w:sz="0" w:space="0" w:color="auto"/>
                <w:right w:val="none" w:sz="0" w:space="0" w:color="auto"/>
              </w:divBdr>
            </w:div>
            <w:div w:id="353263071">
              <w:marLeft w:val="0"/>
              <w:marRight w:val="0"/>
              <w:marTop w:val="0"/>
              <w:marBottom w:val="0"/>
              <w:divBdr>
                <w:top w:val="none" w:sz="0" w:space="0" w:color="auto"/>
                <w:left w:val="none" w:sz="0" w:space="0" w:color="auto"/>
                <w:bottom w:val="none" w:sz="0" w:space="0" w:color="auto"/>
                <w:right w:val="none" w:sz="0" w:space="0" w:color="auto"/>
              </w:divBdr>
            </w:div>
            <w:div w:id="598223273">
              <w:marLeft w:val="0"/>
              <w:marRight w:val="0"/>
              <w:marTop w:val="0"/>
              <w:marBottom w:val="0"/>
              <w:divBdr>
                <w:top w:val="none" w:sz="0" w:space="0" w:color="auto"/>
                <w:left w:val="none" w:sz="0" w:space="0" w:color="auto"/>
                <w:bottom w:val="none" w:sz="0" w:space="0" w:color="auto"/>
                <w:right w:val="none" w:sz="0" w:space="0" w:color="auto"/>
              </w:divBdr>
            </w:div>
            <w:div w:id="862788187">
              <w:marLeft w:val="0"/>
              <w:marRight w:val="0"/>
              <w:marTop w:val="0"/>
              <w:marBottom w:val="0"/>
              <w:divBdr>
                <w:top w:val="none" w:sz="0" w:space="0" w:color="auto"/>
                <w:left w:val="none" w:sz="0" w:space="0" w:color="auto"/>
                <w:bottom w:val="none" w:sz="0" w:space="0" w:color="auto"/>
                <w:right w:val="none" w:sz="0" w:space="0" w:color="auto"/>
              </w:divBdr>
            </w:div>
            <w:div w:id="1543400408">
              <w:marLeft w:val="0"/>
              <w:marRight w:val="0"/>
              <w:marTop w:val="0"/>
              <w:marBottom w:val="0"/>
              <w:divBdr>
                <w:top w:val="none" w:sz="0" w:space="0" w:color="auto"/>
                <w:left w:val="none" w:sz="0" w:space="0" w:color="auto"/>
                <w:bottom w:val="none" w:sz="0" w:space="0" w:color="auto"/>
                <w:right w:val="none" w:sz="0" w:space="0" w:color="auto"/>
              </w:divBdr>
            </w:div>
            <w:div w:id="1393390379">
              <w:marLeft w:val="0"/>
              <w:marRight w:val="0"/>
              <w:marTop w:val="0"/>
              <w:marBottom w:val="0"/>
              <w:divBdr>
                <w:top w:val="none" w:sz="0" w:space="0" w:color="auto"/>
                <w:left w:val="none" w:sz="0" w:space="0" w:color="auto"/>
                <w:bottom w:val="none" w:sz="0" w:space="0" w:color="auto"/>
                <w:right w:val="none" w:sz="0" w:space="0" w:color="auto"/>
              </w:divBdr>
            </w:div>
            <w:div w:id="1356348909">
              <w:marLeft w:val="0"/>
              <w:marRight w:val="0"/>
              <w:marTop w:val="0"/>
              <w:marBottom w:val="0"/>
              <w:divBdr>
                <w:top w:val="none" w:sz="0" w:space="0" w:color="auto"/>
                <w:left w:val="none" w:sz="0" w:space="0" w:color="auto"/>
                <w:bottom w:val="none" w:sz="0" w:space="0" w:color="auto"/>
                <w:right w:val="none" w:sz="0" w:space="0" w:color="auto"/>
              </w:divBdr>
            </w:div>
            <w:div w:id="1493645434">
              <w:marLeft w:val="0"/>
              <w:marRight w:val="0"/>
              <w:marTop w:val="0"/>
              <w:marBottom w:val="0"/>
              <w:divBdr>
                <w:top w:val="none" w:sz="0" w:space="0" w:color="auto"/>
                <w:left w:val="none" w:sz="0" w:space="0" w:color="auto"/>
                <w:bottom w:val="none" w:sz="0" w:space="0" w:color="auto"/>
                <w:right w:val="none" w:sz="0" w:space="0" w:color="auto"/>
              </w:divBdr>
            </w:div>
            <w:div w:id="962351336">
              <w:marLeft w:val="0"/>
              <w:marRight w:val="0"/>
              <w:marTop w:val="0"/>
              <w:marBottom w:val="0"/>
              <w:divBdr>
                <w:top w:val="none" w:sz="0" w:space="0" w:color="auto"/>
                <w:left w:val="none" w:sz="0" w:space="0" w:color="auto"/>
                <w:bottom w:val="none" w:sz="0" w:space="0" w:color="auto"/>
                <w:right w:val="none" w:sz="0" w:space="0" w:color="auto"/>
              </w:divBdr>
            </w:div>
            <w:div w:id="1791509614">
              <w:marLeft w:val="0"/>
              <w:marRight w:val="0"/>
              <w:marTop w:val="0"/>
              <w:marBottom w:val="0"/>
              <w:divBdr>
                <w:top w:val="none" w:sz="0" w:space="0" w:color="auto"/>
                <w:left w:val="none" w:sz="0" w:space="0" w:color="auto"/>
                <w:bottom w:val="none" w:sz="0" w:space="0" w:color="auto"/>
                <w:right w:val="none" w:sz="0" w:space="0" w:color="auto"/>
              </w:divBdr>
            </w:div>
            <w:div w:id="1207179288">
              <w:marLeft w:val="0"/>
              <w:marRight w:val="0"/>
              <w:marTop w:val="0"/>
              <w:marBottom w:val="0"/>
              <w:divBdr>
                <w:top w:val="none" w:sz="0" w:space="0" w:color="auto"/>
                <w:left w:val="none" w:sz="0" w:space="0" w:color="auto"/>
                <w:bottom w:val="none" w:sz="0" w:space="0" w:color="auto"/>
                <w:right w:val="none" w:sz="0" w:space="0" w:color="auto"/>
              </w:divBdr>
            </w:div>
            <w:div w:id="1688628965">
              <w:marLeft w:val="0"/>
              <w:marRight w:val="0"/>
              <w:marTop w:val="0"/>
              <w:marBottom w:val="0"/>
              <w:divBdr>
                <w:top w:val="none" w:sz="0" w:space="0" w:color="auto"/>
                <w:left w:val="none" w:sz="0" w:space="0" w:color="auto"/>
                <w:bottom w:val="none" w:sz="0" w:space="0" w:color="auto"/>
                <w:right w:val="none" w:sz="0" w:space="0" w:color="auto"/>
              </w:divBdr>
            </w:div>
            <w:div w:id="1933008806">
              <w:marLeft w:val="0"/>
              <w:marRight w:val="0"/>
              <w:marTop w:val="0"/>
              <w:marBottom w:val="0"/>
              <w:divBdr>
                <w:top w:val="none" w:sz="0" w:space="0" w:color="auto"/>
                <w:left w:val="none" w:sz="0" w:space="0" w:color="auto"/>
                <w:bottom w:val="none" w:sz="0" w:space="0" w:color="auto"/>
                <w:right w:val="none" w:sz="0" w:space="0" w:color="auto"/>
              </w:divBdr>
            </w:div>
            <w:div w:id="821391579">
              <w:marLeft w:val="0"/>
              <w:marRight w:val="0"/>
              <w:marTop w:val="0"/>
              <w:marBottom w:val="0"/>
              <w:divBdr>
                <w:top w:val="none" w:sz="0" w:space="0" w:color="auto"/>
                <w:left w:val="none" w:sz="0" w:space="0" w:color="auto"/>
                <w:bottom w:val="none" w:sz="0" w:space="0" w:color="auto"/>
                <w:right w:val="none" w:sz="0" w:space="0" w:color="auto"/>
              </w:divBdr>
            </w:div>
            <w:div w:id="1130973463">
              <w:marLeft w:val="0"/>
              <w:marRight w:val="0"/>
              <w:marTop w:val="0"/>
              <w:marBottom w:val="0"/>
              <w:divBdr>
                <w:top w:val="none" w:sz="0" w:space="0" w:color="auto"/>
                <w:left w:val="none" w:sz="0" w:space="0" w:color="auto"/>
                <w:bottom w:val="none" w:sz="0" w:space="0" w:color="auto"/>
                <w:right w:val="none" w:sz="0" w:space="0" w:color="auto"/>
              </w:divBdr>
            </w:div>
          </w:divsChild>
        </w:div>
        <w:div w:id="1461723541">
          <w:marLeft w:val="0"/>
          <w:marRight w:val="0"/>
          <w:marTop w:val="0"/>
          <w:marBottom w:val="0"/>
          <w:divBdr>
            <w:top w:val="none" w:sz="0" w:space="0" w:color="auto"/>
            <w:left w:val="none" w:sz="0" w:space="0" w:color="auto"/>
            <w:bottom w:val="none" w:sz="0" w:space="0" w:color="auto"/>
            <w:right w:val="none" w:sz="0" w:space="0" w:color="auto"/>
          </w:divBdr>
          <w:divsChild>
            <w:div w:id="267857331">
              <w:marLeft w:val="0"/>
              <w:marRight w:val="0"/>
              <w:marTop w:val="0"/>
              <w:marBottom w:val="0"/>
              <w:divBdr>
                <w:top w:val="none" w:sz="0" w:space="0" w:color="auto"/>
                <w:left w:val="none" w:sz="0" w:space="0" w:color="auto"/>
                <w:bottom w:val="none" w:sz="0" w:space="0" w:color="auto"/>
                <w:right w:val="none" w:sz="0" w:space="0" w:color="auto"/>
              </w:divBdr>
            </w:div>
            <w:div w:id="656685576">
              <w:marLeft w:val="0"/>
              <w:marRight w:val="0"/>
              <w:marTop w:val="0"/>
              <w:marBottom w:val="0"/>
              <w:divBdr>
                <w:top w:val="none" w:sz="0" w:space="0" w:color="auto"/>
                <w:left w:val="none" w:sz="0" w:space="0" w:color="auto"/>
                <w:bottom w:val="none" w:sz="0" w:space="0" w:color="auto"/>
                <w:right w:val="none" w:sz="0" w:space="0" w:color="auto"/>
              </w:divBdr>
            </w:div>
            <w:div w:id="1313175578">
              <w:marLeft w:val="0"/>
              <w:marRight w:val="0"/>
              <w:marTop w:val="0"/>
              <w:marBottom w:val="0"/>
              <w:divBdr>
                <w:top w:val="none" w:sz="0" w:space="0" w:color="auto"/>
                <w:left w:val="none" w:sz="0" w:space="0" w:color="auto"/>
                <w:bottom w:val="none" w:sz="0" w:space="0" w:color="auto"/>
                <w:right w:val="none" w:sz="0" w:space="0" w:color="auto"/>
              </w:divBdr>
            </w:div>
            <w:div w:id="889539336">
              <w:marLeft w:val="0"/>
              <w:marRight w:val="0"/>
              <w:marTop w:val="0"/>
              <w:marBottom w:val="0"/>
              <w:divBdr>
                <w:top w:val="none" w:sz="0" w:space="0" w:color="auto"/>
                <w:left w:val="none" w:sz="0" w:space="0" w:color="auto"/>
                <w:bottom w:val="none" w:sz="0" w:space="0" w:color="auto"/>
                <w:right w:val="none" w:sz="0" w:space="0" w:color="auto"/>
              </w:divBdr>
            </w:div>
            <w:div w:id="846098803">
              <w:marLeft w:val="0"/>
              <w:marRight w:val="0"/>
              <w:marTop w:val="0"/>
              <w:marBottom w:val="0"/>
              <w:divBdr>
                <w:top w:val="none" w:sz="0" w:space="0" w:color="auto"/>
                <w:left w:val="none" w:sz="0" w:space="0" w:color="auto"/>
                <w:bottom w:val="none" w:sz="0" w:space="0" w:color="auto"/>
                <w:right w:val="none" w:sz="0" w:space="0" w:color="auto"/>
              </w:divBdr>
            </w:div>
            <w:div w:id="962924132">
              <w:marLeft w:val="0"/>
              <w:marRight w:val="0"/>
              <w:marTop w:val="0"/>
              <w:marBottom w:val="0"/>
              <w:divBdr>
                <w:top w:val="none" w:sz="0" w:space="0" w:color="auto"/>
                <w:left w:val="none" w:sz="0" w:space="0" w:color="auto"/>
                <w:bottom w:val="none" w:sz="0" w:space="0" w:color="auto"/>
                <w:right w:val="none" w:sz="0" w:space="0" w:color="auto"/>
              </w:divBdr>
            </w:div>
            <w:div w:id="449209182">
              <w:marLeft w:val="0"/>
              <w:marRight w:val="0"/>
              <w:marTop w:val="0"/>
              <w:marBottom w:val="0"/>
              <w:divBdr>
                <w:top w:val="none" w:sz="0" w:space="0" w:color="auto"/>
                <w:left w:val="none" w:sz="0" w:space="0" w:color="auto"/>
                <w:bottom w:val="none" w:sz="0" w:space="0" w:color="auto"/>
                <w:right w:val="none" w:sz="0" w:space="0" w:color="auto"/>
              </w:divBdr>
            </w:div>
            <w:div w:id="993950259">
              <w:marLeft w:val="0"/>
              <w:marRight w:val="0"/>
              <w:marTop w:val="0"/>
              <w:marBottom w:val="0"/>
              <w:divBdr>
                <w:top w:val="none" w:sz="0" w:space="0" w:color="auto"/>
                <w:left w:val="none" w:sz="0" w:space="0" w:color="auto"/>
                <w:bottom w:val="none" w:sz="0" w:space="0" w:color="auto"/>
                <w:right w:val="none" w:sz="0" w:space="0" w:color="auto"/>
              </w:divBdr>
            </w:div>
            <w:div w:id="499470599">
              <w:marLeft w:val="0"/>
              <w:marRight w:val="0"/>
              <w:marTop w:val="0"/>
              <w:marBottom w:val="0"/>
              <w:divBdr>
                <w:top w:val="none" w:sz="0" w:space="0" w:color="auto"/>
                <w:left w:val="none" w:sz="0" w:space="0" w:color="auto"/>
                <w:bottom w:val="none" w:sz="0" w:space="0" w:color="auto"/>
                <w:right w:val="none" w:sz="0" w:space="0" w:color="auto"/>
              </w:divBdr>
            </w:div>
            <w:div w:id="37441657">
              <w:marLeft w:val="0"/>
              <w:marRight w:val="0"/>
              <w:marTop w:val="0"/>
              <w:marBottom w:val="0"/>
              <w:divBdr>
                <w:top w:val="none" w:sz="0" w:space="0" w:color="auto"/>
                <w:left w:val="none" w:sz="0" w:space="0" w:color="auto"/>
                <w:bottom w:val="none" w:sz="0" w:space="0" w:color="auto"/>
                <w:right w:val="none" w:sz="0" w:space="0" w:color="auto"/>
              </w:divBdr>
            </w:div>
            <w:div w:id="1576627392">
              <w:marLeft w:val="0"/>
              <w:marRight w:val="0"/>
              <w:marTop w:val="0"/>
              <w:marBottom w:val="0"/>
              <w:divBdr>
                <w:top w:val="none" w:sz="0" w:space="0" w:color="auto"/>
                <w:left w:val="none" w:sz="0" w:space="0" w:color="auto"/>
                <w:bottom w:val="none" w:sz="0" w:space="0" w:color="auto"/>
                <w:right w:val="none" w:sz="0" w:space="0" w:color="auto"/>
              </w:divBdr>
            </w:div>
            <w:div w:id="210770765">
              <w:marLeft w:val="0"/>
              <w:marRight w:val="0"/>
              <w:marTop w:val="0"/>
              <w:marBottom w:val="0"/>
              <w:divBdr>
                <w:top w:val="none" w:sz="0" w:space="0" w:color="auto"/>
                <w:left w:val="none" w:sz="0" w:space="0" w:color="auto"/>
                <w:bottom w:val="none" w:sz="0" w:space="0" w:color="auto"/>
                <w:right w:val="none" w:sz="0" w:space="0" w:color="auto"/>
              </w:divBdr>
            </w:div>
            <w:div w:id="1104569915">
              <w:marLeft w:val="0"/>
              <w:marRight w:val="0"/>
              <w:marTop w:val="0"/>
              <w:marBottom w:val="0"/>
              <w:divBdr>
                <w:top w:val="none" w:sz="0" w:space="0" w:color="auto"/>
                <w:left w:val="none" w:sz="0" w:space="0" w:color="auto"/>
                <w:bottom w:val="none" w:sz="0" w:space="0" w:color="auto"/>
                <w:right w:val="none" w:sz="0" w:space="0" w:color="auto"/>
              </w:divBdr>
            </w:div>
            <w:div w:id="646520934">
              <w:marLeft w:val="0"/>
              <w:marRight w:val="0"/>
              <w:marTop w:val="0"/>
              <w:marBottom w:val="0"/>
              <w:divBdr>
                <w:top w:val="none" w:sz="0" w:space="0" w:color="auto"/>
                <w:left w:val="none" w:sz="0" w:space="0" w:color="auto"/>
                <w:bottom w:val="none" w:sz="0" w:space="0" w:color="auto"/>
                <w:right w:val="none" w:sz="0" w:space="0" w:color="auto"/>
              </w:divBdr>
            </w:div>
            <w:div w:id="260917159">
              <w:marLeft w:val="0"/>
              <w:marRight w:val="0"/>
              <w:marTop w:val="0"/>
              <w:marBottom w:val="0"/>
              <w:divBdr>
                <w:top w:val="none" w:sz="0" w:space="0" w:color="auto"/>
                <w:left w:val="none" w:sz="0" w:space="0" w:color="auto"/>
                <w:bottom w:val="none" w:sz="0" w:space="0" w:color="auto"/>
                <w:right w:val="none" w:sz="0" w:space="0" w:color="auto"/>
              </w:divBdr>
            </w:div>
            <w:div w:id="1587641871">
              <w:marLeft w:val="0"/>
              <w:marRight w:val="0"/>
              <w:marTop w:val="0"/>
              <w:marBottom w:val="0"/>
              <w:divBdr>
                <w:top w:val="none" w:sz="0" w:space="0" w:color="auto"/>
                <w:left w:val="none" w:sz="0" w:space="0" w:color="auto"/>
                <w:bottom w:val="none" w:sz="0" w:space="0" w:color="auto"/>
                <w:right w:val="none" w:sz="0" w:space="0" w:color="auto"/>
              </w:divBdr>
            </w:div>
            <w:div w:id="2094080127">
              <w:marLeft w:val="0"/>
              <w:marRight w:val="0"/>
              <w:marTop w:val="0"/>
              <w:marBottom w:val="0"/>
              <w:divBdr>
                <w:top w:val="none" w:sz="0" w:space="0" w:color="auto"/>
                <w:left w:val="none" w:sz="0" w:space="0" w:color="auto"/>
                <w:bottom w:val="none" w:sz="0" w:space="0" w:color="auto"/>
                <w:right w:val="none" w:sz="0" w:space="0" w:color="auto"/>
              </w:divBdr>
            </w:div>
            <w:div w:id="1156647781">
              <w:marLeft w:val="0"/>
              <w:marRight w:val="0"/>
              <w:marTop w:val="0"/>
              <w:marBottom w:val="0"/>
              <w:divBdr>
                <w:top w:val="none" w:sz="0" w:space="0" w:color="auto"/>
                <w:left w:val="none" w:sz="0" w:space="0" w:color="auto"/>
                <w:bottom w:val="none" w:sz="0" w:space="0" w:color="auto"/>
                <w:right w:val="none" w:sz="0" w:space="0" w:color="auto"/>
              </w:divBdr>
            </w:div>
            <w:div w:id="624392946">
              <w:marLeft w:val="0"/>
              <w:marRight w:val="0"/>
              <w:marTop w:val="0"/>
              <w:marBottom w:val="0"/>
              <w:divBdr>
                <w:top w:val="none" w:sz="0" w:space="0" w:color="auto"/>
                <w:left w:val="none" w:sz="0" w:space="0" w:color="auto"/>
                <w:bottom w:val="none" w:sz="0" w:space="0" w:color="auto"/>
                <w:right w:val="none" w:sz="0" w:space="0" w:color="auto"/>
              </w:divBdr>
            </w:div>
            <w:div w:id="1356879086">
              <w:marLeft w:val="0"/>
              <w:marRight w:val="0"/>
              <w:marTop w:val="0"/>
              <w:marBottom w:val="0"/>
              <w:divBdr>
                <w:top w:val="none" w:sz="0" w:space="0" w:color="auto"/>
                <w:left w:val="none" w:sz="0" w:space="0" w:color="auto"/>
                <w:bottom w:val="none" w:sz="0" w:space="0" w:color="auto"/>
                <w:right w:val="none" w:sz="0" w:space="0" w:color="auto"/>
              </w:divBdr>
            </w:div>
          </w:divsChild>
        </w:div>
        <w:div w:id="1262450864">
          <w:marLeft w:val="0"/>
          <w:marRight w:val="0"/>
          <w:marTop w:val="0"/>
          <w:marBottom w:val="0"/>
          <w:divBdr>
            <w:top w:val="none" w:sz="0" w:space="0" w:color="auto"/>
            <w:left w:val="none" w:sz="0" w:space="0" w:color="auto"/>
            <w:bottom w:val="none" w:sz="0" w:space="0" w:color="auto"/>
            <w:right w:val="none" w:sz="0" w:space="0" w:color="auto"/>
          </w:divBdr>
          <w:divsChild>
            <w:div w:id="1627464273">
              <w:marLeft w:val="0"/>
              <w:marRight w:val="0"/>
              <w:marTop w:val="0"/>
              <w:marBottom w:val="0"/>
              <w:divBdr>
                <w:top w:val="none" w:sz="0" w:space="0" w:color="auto"/>
                <w:left w:val="none" w:sz="0" w:space="0" w:color="auto"/>
                <w:bottom w:val="none" w:sz="0" w:space="0" w:color="auto"/>
                <w:right w:val="none" w:sz="0" w:space="0" w:color="auto"/>
              </w:divBdr>
            </w:div>
            <w:div w:id="1636833415">
              <w:marLeft w:val="0"/>
              <w:marRight w:val="0"/>
              <w:marTop w:val="0"/>
              <w:marBottom w:val="0"/>
              <w:divBdr>
                <w:top w:val="none" w:sz="0" w:space="0" w:color="auto"/>
                <w:left w:val="none" w:sz="0" w:space="0" w:color="auto"/>
                <w:bottom w:val="none" w:sz="0" w:space="0" w:color="auto"/>
                <w:right w:val="none" w:sz="0" w:space="0" w:color="auto"/>
              </w:divBdr>
            </w:div>
            <w:div w:id="1262420667">
              <w:marLeft w:val="0"/>
              <w:marRight w:val="0"/>
              <w:marTop w:val="0"/>
              <w:marBottom w:val="0"/>
              <w:divBdr>
                <w:top w:val="none" w:sz="0" w:space="0" w:color="auto"/>
                <w:left w:val="none" w:sz="0" w:space="0" w:color="auto"/>
                <w:bottom w:val="none" w:sz="0" w:space="0" w:color="auto"/>
                <w:right w:val="none" w:sz="0" w:space="0" w:color="auto"/>
              </w:divBdr>
            </w:div>
            <w:div w:id="738480178">
              <w:marLeft w:val="0"/>
              <w:marRight w:val="0"/>
              <w:marTop w:val="0"/>
              <w:marBottom w:val="0"/>
              <w:divBdr>
                <w:top w:val="none" w:sz="0" w:space="0" w:color="auto"/>
                <w:left w:val="none" w:sz="0" w:space="0" w:color="auto"/>
                <w:bottom w:val="none" w:sz="0" w:space="0" w:color="auto"/>
                <w:right w:val="none" w:sz="0" w:space="0" w:color="auto"/>
              </w:divBdr>
            </w:div>
            <w:div w:id="646786851">
              <w:marLeft w:val="0"/>
              <w:marRight w:val="0"/>
              <w:marTop w:val="0"/>
              <w:marBottom w:val="0"/>
              <w:divBdr>
                <w:top w:val="none" w:sz="0" w:space="0" w:color="auto"/>
                <w:left w:val="none" w:sz="0" w:space="0" w:color="auto"/>
                <w:bottom w:val="none" w:sz="0" w:space="0" w:color="auto"/>
                <w:right w:val="none" w:sz="0" w:space="0" w:color="auto"/>
              </w:divBdr>
            </w:div>
            <w:div w:id="1318418545">
              <w:marLeft w:val="0"/>
              <w:marRight w:val="0"/>
              <w:marTop w:val="0"/>
              <w:marBottom w:val="0"/>
              <w:divBdr>
                <w:top w:val="none" w:sz="0" w:space="0" w:color="auto"/>
                <w:left w:val="none" w:sz="0" w:space="0" w:color="auto"/>
                <w:bottom w:val="none" w:sz="0" w:space="0" w:color="auto"/>
                <w:right w:val="none" w:sz="0" w:space="0" w:color="auto"/>
              </w:divBdr>
            </w:div>
            <w:div w:id="1776516587">
              <w:marLeft w:val="0"/>
              <w:marRight w:val="0"/>
              <w:marTop w:val="0"/>
              <w:marBottom w:val="0"/>
              <w:divBdr>
                <w:top w:val="none" w:sz="0" w:space="0" w:color="auto"/>
                <w:left w:val="none" w:sz="0" w:space="0" w:color="auto"/>
                <w:bottom w:val="none" w:sz="0" w:space="0" w:color="auto"/>
                <w:right w:val="none" w:sz="0" w:space="0" w:color="auto"/>
              </w:divBdr>
            </w:div>
            <w:div w:id="579558501">
              <w:marLeft w:val="0"/>
              <w:marRight w:val="0"/>
              <w:marTop w:val="0"/>
              <w:marBottom w:val="0"/>
              <w:divBdr>
                <w:top w:val="none" w:sz="0" w:space="0" w:color="auto"/>
                <w:left w:val="none" w:sz="0" w:space="0" w:color="auto"/>
                <w:bottom w:val="none" w:sz="0" w:space="0" w:color="auto"/>
                <w:right w:val="none" w:sz="0" w:space="0" w:color="auto"/>
              </w:divBdr>
            </w:div>
            <w:div w:id="2097438939">
              <w:marLeft w:val="0"/>
              <w:marRight w:val="0"/>
              <w:marTop w:val="0"/>
              <w:marBottom w:val="0"/>
              <w:divBdr>
                <w:top w:val="none" w:sz="0" w:space="0" w:color="auto"/>
                <w:left w:val="none" w:sz="0" w:space="0" w:color="auto"/>
                <w:bottom w:val="none" w:sz="0" w:space="0" w:color="auto"/>
                <w:right w:val="none" w:sz="0" w:space="0" w:color="auto"/>
              </w:divBdr>
            </w:div>
            <w:div w:id="752703788">
              <w:marLeft w:val="0"/>
              <w:marRight w:val="0"/>
              <w:marTop w:val="0"/>
              <w:marBottom w:val="0"/>
              <w:divBdr>
                <w:top w:val="none" w:sz="0" w:space="0" w:color="auto"/>
                <w:left w:val="none" w:sz="0" w:space="0" w:color="auto"/>
                <w:bottom w:val="none" w:sz="0" w:space="0" w:color="auto"/>
                <w:right w:val="none" w:sz="0" w:space="0" w:color="auto"/>
              </w:divBdr>
            </w:div>
            <w:div w:id="210922336">
              <w:marLeft w:val="0"/>
              <w:marRight w:val="0"/>
              <w:marTop w:val="0"/>
              <w:marBottom w:val="0"/>
              <w:divBdr>
                <w:top w:val="none" w:sz="0" w:space="0" w:color="auto"/>
                <w:left w:val="none" w:sz="0" w:space="0" w:color="auto"/>
                <w:bottom w:val="none" w:sz="0" w:space="0" w:color="auto"/>
                <w:right w:val="none" w:sz="0" w:space="0" w:color="auto"/>
              </w:divBdr>
            </w:div>
            <w:div w:id="1793665295">
              <w:marLeft w:val="0"/>
              <w:marRight w:val="0"/>
              <w:marTop w:val="0"/>
              <w:marBottom w:val="0"/>
              <w:divBdr>
                <w:top w:val="none" w:sz="0" w:space="0" w:color="auto"/>
                <w:left w:val="none" w:sz="0" w:space="0" w:color="auto"/>
                <w:bottom w:val="none" w:sz="0" w:space="0" w:color="auto"/>
                <w:right w:val="none" w:sz="0" w:space="0" w:color="auto"/>
              </w:divBdr>
            </w:div>
            <w:div w:id="1257637232">
              <w:marLeft w:val="0"/>
              <w:marRight w:val="0"/>
              <w:marTop w:val="0"/>
              <w:marBottom w:val="0"/>
              <w:divBdr>
                <w:top w:val="none" w:sz="0" w:space="0" w:color="auto"/>
                <w:left w:val="none" w:sz="0" w:space="0" w:color="auto"/>
                <w:bottom w:val="none" w:sz="0" w:space="0" w:color="auto"/>
                <w:right w:val="none" w:sz="0" w:space="0" w:color="auto"/>
              </w:divBdr>
            </w:div>
            <w:div w:id="997804226">
              <w:marLeft w:val="0"/>
              <w:marRight w:val="0"/>
              <w:marTop w:val="0"/>
              <w:marBottom w:val="0"/>
              <w:divBdr>
                <w:top w:val="none" w:sz="0" w:space="0" w:color="auto"/>
                <w:left w:val="none" w:sz="0" w:space="0" w:color="auto"/>
                <w:bottom w:val="none" w:sz="0" w:space="0" w:color="auto"/>
                <w:right w:val="none" w:sz="0" w:space="0" w:color="auto"/>
              </w:divBdr>
            </w:div>
            <w:div w:id="1189952213">
              <w:marLeft w:val="0"/>
              <w:marRight w:val="0"/>
              <w:marTop w:val="0"/>
              <w:marBottom w:val="0"/>
              <w:divBdr>
                <w:top w:val="none" w:sz="0" w:space="0" w:color="auto"/>
                <w:left w:val="none" w:sz="0" w:space="0" w:color="auto"/>
                <w:bottom w:val="none" w:sz="0" w:space="0" w:color="auto"/>
                <w:right w:val="none" w:sz="0" w:space="0" w:color="auto"/>
              </w:divBdr>
            </w:div>
            <w:div w:id="1104887177">
              <w:marLeft w:val="0"/>
              <w:marRight w:val="0"/>
              <w:marTop w:val="0"/>
              <w:marBottom w:val="0"/>
              <w:divBdr>
                <w:top w:val="none" w:sz="0" w:space="0" w:color="auto"/>
                <w:left w:val="none" w:sz="0" w:space="0" w:color="auto"/>
                <w:bottom w:val="none" w:sz="0" w:space="0" w:color="auto"/>
                <w:right w:val="none" w:sz="0" w:space="0" w:color="auto"/>
              </w:divBdr>
            </w:div>
            <w:div w:id="1431655431">
              <w:marLeft w:val="0"/>
              <w:marRight w:val="0"/>
              <w:marTop w:val="0"/>
              <w:marBottom w:val="0"/>
              <w:divBdr>
                <w:top w:val="none" w:sz="0" w:space="0" w:color="auto"/>
                <w:left w:val="none" w:sz="0" w:space="0" w:color="auto"/>
                <w:bottom w:val="none" w:sz="0" w:space="0" w:color="auto"/>
                <w:right w:val="none" w:sz="0" w:space="0" w:color="auto"/>
              </w:divBdr>
            </w:div>
            <w:div w:id="1399130533">
              <w:marLeft w:val="0"/>
              <w:marRight w:val="0"/>
              <w:marTop w:val="0"/>
              <w:marBottom w:val="0"/>
              <w:divBdr>
                <w:top w:val="none" w:sz="0" w:space="0" w:color="auto"/>
                <w:left w:val="none" w:sz="0" w:space="0" w:color="auto"/>
                <w:bottom w:val="none" w:sz="0" w:space="0" w:color="auto"/>
                <w:right w:val="none" w:sz="0" w:space="0" w:color="auto"/>
              </w:divBdr>
            </w:div>
            <w:div w:id="1225020596">
              <w:marLeft w:val="0"/>
              <w:marRight w:val="0"/>
              <w:marTop w:val="0"/>
              <w:marBottom w:val="0"/>
              <w:divBdr>
                <w:top w:val="none" w:sz="0" w:space="0" w:color="auto"/>
                <w:left w:val="none" w:sz="0" w:space="0" w:color="auto"/>
                <w:bottom w:val="none" w:sz="0" w:space="0" w:color="auto"/>
                <w:right w:val="none" w:sz="0" w:space="0" w:color="auto"/>
              </w:divBdr>
            </w:div>
            <w:div w:id="613559141">
              <w:marLeft w:val="0"/>
              <w:marRight w:val="0"/>
              <w:marTop w:val="0"/>
              <w:marBottom w:val="0"/>
              <w:divBdr>
                <w:top w:val="none" w:sz="0" w:space="0" w:color="auto"/>
                <w:left w:val="none" w:sz="0" w:space="0" w:color="auto"/>
                <w:bottom w:val="none" w:sz="0" w:space="0" w:color="auto"/>
                <w:right w:val="none" w:sz="0" w:space="0" w:color="auto"/>
              </w:divBdr>
            </w:div>
          </w:divsChild>
        </w:div>
        <w:div w:id="584068066">
          <w:marLeft w:val="0"/>
          <w:marRight w:val="0"/>
          <w:marTop w:val="0"/>
          <w:marBottom w:val="0"/>
          <w:divBdr>
            <w:top w:val="none" w:sz="0" w:space="0" w:color="auto"/>
            <w:left w:val="none" w:sz="0" w:space="0" w:color="auto"/>
            <w:bottom w:val="none" w:sz="0" w:space="0" w:color="auto"/>
            <w:right w:val="none" w:sz="0" w:space="0" w:color="auto"/>
          </w:divBdr>
        </w:div>
      </w:divsChild>
    </w:div>
    <w:div w:id="485753919">
      <w:bodyDiv w:val="1"/>
      <w:marLeft w:val="0"/>
      <w:marRight w:val="0"/>
      <w:marTop w:val="0"/>
      <w:marBottom w:val="0"/>
      <w:divBdr>
        <w:top w:val="none" w:sz="0" w:space="0" w:color="auto"/>
        <w:left w:val="none" w:sz="0" w:space="0" w:color="auto"/>
        <w:bottom w:val="none" w:sz="0" w:space="0" w:color="auto"/>
        <w:right w:val="none" w:sz="0" w:space="0" w:color="auto"/>
      </w:divBdr>
    </w:div>
    <w:div w:id="630981279">
      <w:bodyDiv w:val="1"/>
      <w:marLeft w:val="0"/>
      <w:marRight w:val="0"/>
      <w:marTop w:val="0"/>
      <w:marBottom w:val="0"/>
      <w:divBdr>
        <w:top w:val="none" w:sz="0" w:space="0" w:color="auto"/>
        <w:left w:val="none" w:sz="0" w:space="0" w:color="auto"/>
        <w:bottom w:val="none" w:sz="0" w:space="0" w:color="auto"/>
        <w:right w:val="none" w:sz="0" w:space="0" w:color="auto"/>
      </w:divBdr>
    </w:div>
    <w:div w:id="694694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jrf.org.uk/uk-poverty-2023-the-essential-guide-to-understanding-poverty-in-the-uk" TargetMode="External" Id="rId13" /><Relationship Type="http://schemas.openxmlformats.org/officeDocument/2006/relationships/diagramQuickStyle" Target="diagrams/quickStyle1.xml" Id="rId18" /><Relationship Type="http://schemas.openxmlformats.org/officeDocument/2006/relationships/styles" Target="styles.xml" Id="rId3" /><Relationship Type="http://schemas.openxmlformats.org/officeDocument/2006/relationships/fontTable" Target="fontTable.xml" Id="rId21" /><Relationship Type="http://schemas.openxmlformats.org/officeDocument/2006/relationships/endnotes" Target="endnotes.xml" Id="rId7" /><Relationship Type="http://schemas.openxmlformats.org/officeDocument/2006/relationships/hyperlink" Target="https://www.bera.ac.uk/publication/ethical-guidelines-for-educational-research-fifth-edition-2024" TargetMode="External" Id="rId12" /><Relationship Type="http://schemas.openxmlformats.org/officeDocument/2006/relationships/diagramLayout" Target="diagrams/layout1.xml" Id="rId17" /><Relationship Type="http://schemas.openxmlformats.org/officeDocument/2006/relationships/numbering" Target="numbering.xml" Id="rId2" /><Relationship Type="http://schemas.openxmlformats.org/officeDocument/2006/relationships/diagramData" Target="diagrams/data1.xml" Id="rId16" /><Relationship Type="http://schemas.microsoft.com/office/2007/relationships/diagramDrawing" Target="diagrams/drawing1.xml" Id="rId20"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2.png" Id="rId11" /><Relationship Type="http://schemas.openxmlformats.org/officeDocument/2006/relationships/webSettings" Target="webSettings.xml" Id="rId5" /><Relationship Type="http://schemas.openxmlformats.org/officeDocument/2006/relationships/image" Target="media/image4.png" Id="rId15" /><Relationship Type="http://schemas.openxmlformats.org/officeDocument/2006/relationships/hyperlink" Target="http://gov.uk" TargetMode="External" Id="rId10" /><Relationship Type="http://schemas.openxmlformats.org/officeDocument/2006/relationships/diagramColors" Target="diagrams/colors1.xml" Id="rId19" /><Relationship Type="http://schemas.openxmlformats.org/officeDocument/2006/relationships/settings" Target="settings.xml" Id="rId4" /><Relationship Type="http://schemas.openxmlformats.org/officeDocument/2006/relationships/footer" Target="footer1.xml" Id="rId9" /><Relationship Type="http://schemas.openxmlformats.org/officeDocument/2006/relationships/image" Target="media/image3.png" Id="rId14" /><Relationship Type="http://schemas.openxmlformats.org/officeDocument/2006/relationships/theme" Target="theme/theme1.xml" Id="rId22" /></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634D104-7D93-4DC9-AA78-CFDC22EB2B7D}" type="doc">
      <dgm:prSet loTypeId="urn:microsoft.com/office/officeart/2005/8/layout/hList1" loCatId="list" qsTypeId="urn:microsoft.com/office/officeart/2005/8/quickstyle/simple1" qsCatId="simple" csTypeId="urn:microsoft.com/office/officeart/2005/8/colors/accent1_2" csCatId="accent1" phldr="1"/>
      <dgm:spPr/>
      <dgm:t>
        <a:bodyPr/>
        <a:lstStyle/>
        <a:p>
          <a:endParaRPr lang="en-GB"/>
        </a:p>
      </dgm:t>
    </dgm:pt>
    <dgm:pt modelId="{D895BCAF-11FD-4161-9460-71155FF594D5}">
      <dgm:prSet/>
      <dgm:spPr/>
      <dgm:t>
        <a:bodyPr/>
        <a:lstStyle/>
        <a:p>
          <a:pPr>
            <a:lnSpc>
              <a:spcPct val="150000"/>
            </a:lnSpc>
          </a:pPr>
          <a:r>
            <a:rPr lang="en-GB" b="1" i="0">
              <a:latin typeface="Aptos" panose="020B0004020202020204" pitchFamily="34" charset="0"/>
            </a:rPr>
            <a:t>Respect for Intellectual Property:</a:t>
          </a:r>
          <a:endParaRPr lang="en-GB">
            <a:latin typeface="Aptos" panose="020B0004020202020204" pitchFamily="34" charset="0"/>
          </a:endParaRPr>
        </a:p>
      </dgm:t>
    </dgm:pt>
    <dgm:pt modelId="{55C24B6C-44F8-45FA-AE8C-D7852F8F756E}" type="parTrans" cxnId="{56DD223B-87BE-41AD-A123-502044CB6C82}">
      <dgm:prSet/>
      <dgm:spPr/>
      <dgm:t>
        <a:bodyPr/>
        <a:lstStyle/>
        <a:p>
          <a:pPr>
            <a:lnSpc>
              <a:spcPct val="150000"/>
            </a:lnSpc>
          </a:pPr>
          <a:endParaRPr lang="en-GB">
            <a:latin typeface="Aptos" panose="020B0004020202020204" pitchFamily="34" charset="0"/>
          </a:endParaRPr>
        </a:p>
      </dgm:t>
    </dgm:pt>
    <dgm:pt modelId="{1D8F6D8C-F89F-400C-A451-06369F630D13}" type="sibTrans" cxnId="{56DD223B-87BE-41AD-A123-502044CB6C82}">
      <dgm:prSet/>
      <dgm:spPr/>
      <dgm:t>
        <a:bodyPr/>
        <a:lstStyle/>
        <a:p>
          <a:pPr>
            <a:lnSpc>
              <a:spcPct val="150000"/>
            </a:lnSpc>
          </a:pPr>
          <a:endParaRPr lang="en-GB">
            <a:latin typeface="Aptos" panose="020B0004020202020204" pitchFamily="34" charset="0"/>
          </a:endParaRPr>
        </a:p>
      </dgm:t>
    </dgm:pt>
    <dgm:pt modelId="{DD8DD7F7-557F-4529-952E-996BE575A6CC}">
      <dgm:prSet/>
      <dgm:spPr/>
      <dgm:t>
        <a:bodyPr/>
        <a:lstStyle/>
        <a:p>
          <a:pPr>
            <a:lnSpc>
              <a:spcPct val="150000"/>
            </a:lnSpc>
          </a:pPr>
          <a:r>
            <a:rPr lang="en-GB" b="0" i="0" dirty="0">
              <a:latin typeface="Aptos" panose="020B0004020202020204" pitchFamily="34" charset="0"/>
            </a:rPr>
            <a:t>Properly cite and reference original sources (Hart, 2001). </a:t>
          </a:r>
          <a:endParaRPr lang="en-GB" dirty="0">
            <a:latin typeface="Aptos" panose="020B0004020202020204" pitchFamily="34" charset="0"/>
          </a:endParaRPr>
        </a:p>
      </dgm:t>
    </dgm:pt>
    <dgm:pt modelId="{898A7FBF-8854-4FCD-8F75-6D0A10D342BF}" type="parTrans" cxnId="{DA224816-7824-4FE5-9CD1-3E0ECE27E8A0}">
      <dgm:prSet/>
      <dgm:spPr/>
      <dgm:t>
        <a:bodyPr/>
        <a:lstStyle/>
        <a:p>
          <a:pPr>
            <a:lnSpc>
              <a:spcPct val="150000"/>
            </a:lnSpc>
          </a:pPr>
          <a:endParaRPr lang="en-GB">
            <a:latin typeface="Aptos" panose="020B0004020202020204" pitchFamily="34" charset="0"/>
          </a:endParaRPr>
        </a:p>
      </dgm:t>
    </dgm:pt>
    <dgm:pt modelId="{069345D4-AF17-4BE2-BEFD-16AAD453ED22}" type="sibTrans" cxnId="{DA224816-7824-4FE5-9CD1-3E0ECE27E8A0}">
      <dgm:prSet/>
      <dgm:spPr/>
      <dgm:t>
        <a:bodyPr/>
        <a:lstStyle/>
        <a:p>
          <a:pPr>
            <a:lnSpc>
              <a:spcPct val="150000"/>
            </a:lnSpc>
          </a:pPr>
          <a:endParaRPr lang="en-GB">
            <a:latin typeface="Aptos" panose="020B0004020202020204" pitchFamily="34" charset="0"/>
          </a:endParaRPr>
        </a:p>
      </dgm:t>
    </dgm:pt>
    <dgm:pt modelId="{D2F35989-0D76-4707-8851-E95507DAC780}">
      <dgm:prSet/>
      <dgm:spPr/>
      <dgm:t>
        <a:bodyPr/>
        <a:lstStyle/>
        <a:p>
          <a:pPr>
            <a:lnSpc>
              <a:spcPct val="150000"/>
            </a:lnSpc>
          </a:pPr>
          <a:r>
            <a:rPr lang="en-GB" b="1" i="0">
              <a:latin typeface="Aptos" panose="020B0004020202020204" pitchFamily="34" charset="0"/>
            </a:rPr>
            <a:t>Privacy and Confidentiality:</a:t>
          </a:r>
          <a:endParaRPr lang="en-GB">
            <a:latin typeface="Aptos" panose="020B0004020202020204" pitchFamily="34" charset="0"/>
          </a:endParaRPr>
        </a:p>
      </dgm:t>
    </dgm:pt>
    <dgm:pt modelId="{95A47F62-7CA1-4144-B825-A44483178729}" type="parTrans" cxnId="{CB93FF67-74EB-4163-A9EC-6469F10734D1}">
      <dgm:prSet/>
      <dgm:spPr/>
      <dgm:t>
        <a:bodyPr/>
        <a:lstStyle/>
        <a:p>
          <a:pPr>
            <a:lnSpc>
              <a:spcPct val="150000"/>
            </a:lnSpc>
          </a:pPr>
          <a:endParaRPr lang="en-GB">
            <a:latin typeface="Aptos" panose="020B0004020202020204" pitchFamily="34" charset="0"/>
          </a:endParaRPr>
        </a:p>
      </dgm:t>
    </dgm:pt>
    <dgm:pt modelId="{B96B68E4-E5AE-4BB2-A658-AF9FA9406E6C}" type="sibTrans" cxnId="{CB93FF67-74EB-4163-A9EC-6469F10734D1}">
      <dgm:prSet/>
      <dgm:spPr/>
      <dgm:t>
        <a:bodyPr/>
        <a:lstStyle/>
        <a:p>
          <a:pPr>
            <a:lnSpc>
              <a:spcPct val="150000"/>
            </a:lnSpc>
          </a:pPr>
          <a:endParaRPr lang="en-GB">
            <a:latin typeface="Aptos" panose="020B0004020202020204" pitchFamily="34" charset="0"/>
          </a:endParaRPr>
        </a:p>
      </dgm:t>
    </dgm:pt>
    <dgm:pt modelId="{B8AA4B07-C565-4CCF-9950-02D7DCC3515C}">
      <dgm:prSet/>
      <dgm:spPr/>
      <dgm:t>
        <a:bodyPr/>
        <a:lstStyle/>
        <a:p>
          <a:pPr>
            <a:lnSpc>
              <a:spcPct val="150000"/>
            </a:lnSpc>
          </a:pPr>
          <a:r>
            <a:rPr lang="en-GB" b="0" i="0">
              <a:latin typeface="Aptos" panose="020B0004020202020204" pitchFamily="34" charset="0"/>
            </a:rPr>
            <a:t>Protect the privacy and confidentiality of individuals when using data with sensitive or identifiable information (Bell et al., 2022).</a:t>
          </a:r>
          <a:endParaRPr lang="en-GB">
            <a:latin typeface="Aptos" panose="020B0004020202020204" pitchFamily="34" charset="0"/>
          </a:endParaRPr>
        </a:p>
      </dgm:t>
    </dgm:pt>
    <dgm:pt modelId="{7CE0ECD8-FF60-40FC-834A-69289342858B}" type="parTrans" cxnId="{54E1D1F9-2D03-4A36-ADEB-7EC8EB0F85F9}">
      <dgm:prSet/>
      <dgm:spPr/>
      <dgm:t>
        <a:bodyPr/>
        <a:lstStyle/>
        <a:p>
          <a:pPr>
            <a:lnSpc>
              <a:spcPct val="150000"/>
            </a:lnSpc>
          </a:pPr>
          <a:endParaRPr lang="en-GB">
            <a:latin typeface="Aptos" panose="020B0004020202020204" pitchFamily="34" charset="0"/>
          </a:endParaRPr>
        </a:p>
      </dgm:t>
    </dgm:pt>
    <dgm:pt modelId="{BA44317E-0141-443D-B3B3-5D8A23F7257D}" type="sibTrans" cxnId="{54E1D1F9-2D03-4A36-ADEB-7EC8EB0F85F9}">
      <dgm:prSet/>
      <dgm:spPr/>
      <dgm:t>
        <a:bodyPr/>
        <a:lstStyle/>
        <a:p>
          <a:pPr>
            <a:lnSpc>
              <a:spcPct val="150000"/>
            </a:lnSpc>
          </a:pPr>
          <a:endParaRPr lang="en-GB">
            <a:latin typeface="Aptos" panose="020B0004020202020204" pitchFamily="34" charset="0"/>
          </a:endParaRPr>
        </a:p>
      </dgm:t>
    </dgm:pt>
    <dgm:pt modelId="{5674B894-A55E-4559-8EA7-028C3F32E4B2}">
      <dgm:prSet/>
      <dgm:spPr/>
      <dgm:t>
        <a:bodyPr/>
        <a:lstStyle/>
        <a:p>
          <a:pPr>
            <a:lnSpc>
              <a:spcPct val="150000"/>
            </a:lnSpc>
          </a:pPr>
          <a:r>
            <a:rPr lang="en-GB" b="1" i="0">
              <a:latin typeface="Aptos" panose="020B0004020202020204" pitchFamily="34" charset="0"/>
            </a:rPr>
            <a:t>Data Integrity and Reliability:</a:t>
          </a:r>
          <a:r>
            <a:rPr lang="en-GB">
              <a:latin typeface="Aptos" panose="020B0004020202020204" pitchFamily="34" charset="0"/>
            </a:rPr>
            <a:t> </a:t>
          </a:r>
        </a:p>
      </dgm:t>
    </dgm:pt>
    <dgm:pt modelId="{CF4D6B60-7FC7-4A9C-B7E1-C22EA10EB381}" type="parTrans" cxnId="{8A48955A-FF8F-4776-99D4-D2F9A35739B0}">
      <dgm:prSet/>
      <dgm:spPr/>
      <dgm:t>
        <a:bodyPr/>
        <a:lstStyle/>
        <a:p>
          <a:pPr>
            <a:lnSpc>
              <a:spcPct val="150000"/>
            </a:lnSpc>
          </a:pPr>
          <a:endParaRPr lang="en-GB">
            <a:latin typeface="Aptos" panose="020B0004020202020204" pitchFamily="34" charset="0"/>
          </a:endParaRPr>
        </a:p>
      </dgm:t>
    </dgm:pt>
    <dgm:pt modelId="{94E754A5-C7C4-42B9-A350-BD17338F58B9}" type="sibTrans" cxnId="{8A48955A-FF8F-4776-99D4-D2F9A35739B0}">
      <dgm:prSet/>
      <dgm:spPr/>
      <dgm:t>
        <a:bodyPr/>
        <a:lstStyle/>
        <a:p>
          <a:pPr>
            <a:lnSpc>
              <a:spcPct val="150000"/>
            </a:lnSpc>
          </a:pPr>
          <a:endParaRPr lang="en-GB">
            <a:latin typeface="Aptos" panose="020B0004020202020204" pitchFamily="34" charset="0"/>
          </a:endParaRPr>
        </a:p>
      </dgm:t>
    </dgm:pt>
    <dgm:pt modelId="{DED7677A-A811-4E99-A359-AF267F66CB3B}">
      <dgm:prSet/>
      <dgm:spPr/>
      <dgm:t>
        <a:bodyPr/>
        <a:lstStyle/>
        <a:p>
          <a:pPr>
            <a:lnSpc>
              <a:spcPct val="150000"/>
            </a:lnSpc>
          </a:pPr>
          <a:r>
            <a:rPr lang="en-GB" b="1" i="0" dirty="0">
              <a:latin typeface="Aptos" panose="020B0004020202020204" pitchFamily="34" charset="0"/>
            </a:rPr>
            <a:t>Compliance with Laws and Regulations:</a:t>
          </a:r>
          <a:endParaRPr lang="en-GB" dirty="0">
            <a:latin typeface="Aptos" panose="020B0004020202020204" pitchFamily="34" charset="0"/>
          </a:endParaRPr>
        </a:p>
      </dgm:t>
    </dgm:pt>
    <dgm:pt modelId="{F38EF5EE-50CB-434C-B7C2-9D5B46BCDA7A}" type="parTrans" cxnId="{81E8ED4A-9C61-4261-A97E-A8FB2B721822}">
      <dgm:prSet/>
      <dgm:spPr/>
      <dgm:t>
        <a:bodyPr/>
        <a:lstStyle/>
        <a:p>
          <a:pPr>
            <a:lnSpc>
              <a:spcPct val="150000"/>
            </a:lnSpc>
          </a:pPr>
          <a:endParaRPr lang="en-GB">
            <a:latin typeface="Aptos" panose="020B0004020202020204" pitchFamily="34" charset="0"/>
          </a:endParaRPr>
        </a:p>
      </dgm:t>
    </dgm:pt>
    <dgm:pt modelId="{9F4A521B-0AB9-4C49-8D3E-A4522CDAC745}" type="sibTrans" cxnId="{81E8ED4A-9C61-4261-A97E-A8FB2B721822}">
      <dgm:prSet/>
      <dgm:spPr/>
      <dgm:t>
        <a:bodyPr/>
        <a:lstStyle/>
        <a:p>
          <a:pPr>
            <a:lnSpc>
              <a:spcPct val="150000"/>
            </a:lnSpc>
          </a:pPr>
          <a:endParaRPr lang="en-GB">
            <a:latin typeface="Aptos" panose="020B0004020202020204" pitchFamily="34" charset="0"/>
          </a:endParaRPr>
        </a:p>
      </dgm:t>
    </dgm:pt>
    <dgm:pt modelId="{F5AC5549-675B-444B-905D-2F1D9FDC1779}">
      <dgm:prSet/>
      <dgm:spPr/>
      <dgm:t>
        <a:bodyPr/>
        <a:lstStyle/>
        <a:p>
          <a:pPr>
            <a:lnSpc>
              <a:spcPct val="150000"/>
            </a:lnSpc>
          </a:pPr>
          <a:r>
            <a:rPr lang="en-GB" b="1" i="0" dirty="0">
              <a:latin typeface="Aptos" panose="020B0004020202020204" pitchFamily="34" charset="0"/>
            </a:rPr>
            <a:t>Informed Consent</a:t>
          </a:r>
          <a:endParaRPr lang="en-GB" dirty="0">
            <a:latin typeface="Aptos" panose="020B0004020202020204" pitchFamily="34" charset="0"/>
          </a:endParaRPr>
        </a:p>
      </dgm:t>
    </dgm:pt>
    <dgm:pt modelId="{AC81EE79-FF8C-4405-963A-7F74BE293A69}" type="parTrans" cxnId="{F047993C-E79F-4DF4-8E68-009CE95435BF}">
      <dgm:prSet/>
      <dgm:spPr/>
      <dgm:t>
        <a:bodyPr/>
        <a:lstStyle/>
        <a:p>
          <a:pPr>
            <a:lnSpc>
              <a:spcPct val="150000"/>
            </a:lnSpc>
          </a:pPr>
          <a:endParaRPr lang="en-GB">
            <a:latin typeface="Aptos" panose="020B0004020202020204" pitchFamily="34" charset="0"/>
          </a:endParaRPr>
        </a:p>
      </dgm:t>
    </dgm:pt>
    <dgm:pt modelId="{B7249222-7390-4801-8772-10BB94E221D0}" type="sibTrans" cxnId="{F047993C-E79F-4DF4-8E68-009CE95435BF}">
      <dgm:prSet/>
      <dgm:spPr/>
      <dgm:t>
        <a:bodyPr/>
        <a:lstStyle/>
        <a:p>
          <a:pPr>
            <a:lnSpc>
              <a:spcPct val="150000"/>
            </a:lnSpc>
          </a:pPr>
          <a:endParaRPr lang="en-GB">
            <a:latin typeface="Aptos" panose="020B0004020202020204" pitchFamily="34" charset="0"/>
          </a:endParaRPr>
        </a:p>
      </dgm:t>
    </dgm:pt>
    <dgm:pt modelId="{31ECEDD7-80EF-414B-BE50-B610D566367B}">
      <dgm:prSet/>
      <dgm:spPr/>
      <dgm:t>
        <a:bodyPr/>
        <a:lstStyle/>
        <a:p>
          <a:pPr>
            <a:lnSpc>
              <a:spcPct val="150000"/>
            </a:lnSpc>
          </a:pPr>
          <a:r>
            <a:rPr lang="en-GB" b="0" i="0">
              <a:latin typeface="Aptos" panose="020B0004020202020204" pitchFamily="34" charset="0"/>
            </a:rPr>
            <a:t>Use reliable and valid data sources. Assess the quality and integrity of sources (Creswell and Poth, 2016).</a:t>
          </a:r>
          <a:endParaRPr lang="en-GB">
            <a:latin typeface="Aptos" panose="020B0004020202020204" pitchFamily="34" charset="0"/>
          </a:endParaRPr>
        </a:p>
      </dgm:t>
    </dgm:pt>
    <dgm:pt modelId="{20439AF7-F994-4596-8154-7958604637F8}" type="parTrans" cxnId="{7B9CB682-0DC9-4815-951A-E787AB7CD2FE}">
      <dgm:prSet/>
      <dgm:spPr/>
      <dgm:t>
        <a:bodyPr/>
        <a:lstStyle/>
        <a:p>
          <a:pPr>
            <a:lnSpc>
              <a:spcPct val="150000"/>
            </a:lnSpc>
          </a:pPr>
          <a:endParaRPr lang="en-GB">
            <a:latin typeface="Aptos" panose="020B0004020202020204" pitchFamily="34" charset="0"/>
          </a:endParaRPr>
        </a:p>
      </dgm:t>
    </dgm:pt>
    <dgm:pt modelId="{BAE7B1D5-018D-43C6-93C5-0E28100285E0}" type="sibTrans" cxnId="{7B9CB682-0DC9-4815-951A-E787AB7CD2FE}">
      <dgm:prSet/>
      <dgm:spPr/>
      <dgm:t>
        <a:bodyPr/>
        <a:lstStyle/>
        <a:p>
          <a:pPr>
            <a:lnSpc>
              <a:spcPct val="150000"/>
            </a:lnSpc>
          </a:pPr>
          <a:endParaRPr lang="en-GB">
            <a:latin typeface="Aptos" panose="020B0004020202020204" pitchFamily="34" charset="0"/>
          </a:endParaRPr>
        </a:p>
      </dgm:t>
    </dgm:pt>
    <dgm:pt modelId="{7D9AB477-3831-4B66-903C-51888FAB2EF1}">
      <dgm:prSet/>
      <dgm:spPr/>
      <dgm:t>
        <a:bodyPr/>
        <a:lstStyle/>
        <a:p>
          <a:pPr>
            <a:lnSpc>
              <a:spcPct val="150000"/>
            </a:lnSpc>
          </a:pPr>
          <a:r>
            <a:rPr lang="en-GB" b="0" i="0">
              <a:latin typeface="Aptos" panose="020B0004020202020204" pitchFamily="34" charset="0"/>
            </a:rPr>
            <a:t>Adhere to relevant laws and regulations governing data use and research (e.g. GDPR) (James and Busher, 2015). </a:t>
          </a:r>
          <a:endParaRPr lang="en-GB">
            <a:latin typeface="Aptos" panose="020B0004020202020204" pitchFamily="34" charset="0"/>
          </a:endParaRPr>
        </a:p>
      </dgm:t>
    </dgm:pt>
    <dgm:pt modelId="{1C5BF6D7-9EA3-4496-9259-CCFB570AB9BC}" type="parTrans" cxnId="{62CB3FEB-664D-43E7-89EF-51AA5774E707}">
      <dgm:prSet/>
      <dgm:spPr/>
      <dgm:t>
        <a:bodyPr/>
        <a:lstStyle/>
        <a:p>
          <a:pPr>
            <a:lnSpc>
              <a:spcPct val="150000"/>
            </a:lnSpc>
          </a:pPr>
          <a:endParaRPr lang="en-GB">
            <a:latin typeface="Aptos" panose="020B0004020202020204" pitchFamily="34" charset="0"/>
          </a:endParaRPr>
        </a:p>
      </dgm:t>
    </dgm:pt>
    <dgm:pt modelId="{13866862-3E71-49D6-8E54-5828906B8520}" type="sibTrans" cxnId="{62CB3FEB-664D-43E7-89EF-51AA5774E707}">
      <dgm:prSet/>
      <dgm:spPr/>
      <dgm:t>
        <a:bodyPr/>
        <a:lstStyle/>
        <a:p>
          <a:pPr>
            <a:lnSpc>
              <a:spcPct val="150000"/>
            </a:lnSpc>
          </a:pPr>
          <a:endParaRPr lang="en-GB">
            <a:latin typeface="Aptos" panose="020B0004020202020204" pitchFamily="34" charset="0"/>
          </a:endParaRPr>
        </a:p>
      </dgm:t>
    </dgm:pt>
    <dgm:pt modelId="{D0F2A51A-8617-4842-9A50-755676DCD3DD}">
      <dgm:prSet/>
      <dgm:spPr/>
      <dgm:t>
        <a:bodyPr/>
        <a:lstStyle/>
        <a:p>
          <a:pPr>
            <a:lnSpc>
              <a:spcPct val="150000"/>
            </a:lnSpc>
          </a:pPr>
          <a:r>
            <a:rPr lang="en-GB" b="0" i="0">
              <a:latin typeface="Aptos" panose="020B0004020202020204" pitchFamily="34" charset="0"/>
            </a:rPr>
            <a:t>Comply with informed consent agreements when using data that requires it or ensuring that if you have used primary research sources, the participants have provided their consent. </a:t>
          </a:r>
          <a:endParaRPr lang="en-GB">
            <a:latin typeface="Aptos" panose="020B0004020202020204" pitchFamily="34" charset="0"/>
          </a:endParaRPr>
        </a:p>
      </dgm:t>
    </dgm:pt>
    <dgm:pt modelId="{DD30637A-3765-4C05-B6F7-B47484906C94}" type="parTrans" cxnId="{19EBC273-BE40-4DF3-AD90-42CF3D009016}">
      <dgm:prSet/>
      <dgm:spPr/>
      <dgm:t>
        <a:bodyPr/>
        <a:lstStyle/>
        <a:p>
          <a:pPr>
            <a:lnSpc>
              <a:spcPct val="150000"/>
            </a:lnSpc>
          </a:pPr>
          <a:endParaRPr lang="en-GB">
            <a:latin typeface="Aptos" panose="020B0004020202020204" pitchFamily="34" charset="0"/>
          </a:endParaRPr>
        </a:p>
      </dgm:t>
    </dgm:pt>
    <dgm:pt modelId="{6BC62B7F-2BE1-4735-BEF1-C93E581063AE}" type="sibTrans" cxnId="{19EBC273-BE40-4DF3-AD90-42CF3D009016}">
      <dgm:prSet/>
      <dgm:spPr/>
      <dgm:t>
        <a:bodyPr/>
        <a:lstStyle/>
        <a:p>
          <a:pPr>
            <a:lnSpc>
              <a:spcPct val="150000"/>
            </a:lnSpc>
          </a:pPr>
          <a:endParaRPr lang="en-GB">
            <a:latin typeface="Aptos" panose="020B0004020202020204" pitchFamily="34" charset="0"/>
          </a:endParaRPr>
        </a:p>
      </dgm:t>
    </dgm:pt>
    <dgm:pt modelId="{C265F219-E085-47C1-B4E3-8FDDFA25F889}">
      <dgm:prSet/>
      <dgm:spPr/>
      <dgm:t>
        <a:bodyPr/>
        <a:lstStyle/>
        <a:p>
          <a:pPr>
            <a:lnSpc>
              <a:spcPct val="150000"/>
            </a:lnSpc>
          </a:pPr>
          <a:r>
            <a:rPr lang="en-GB" b="0" i="0" dirty="0">
              <a:latin typeface="Aptos" panose="020B0004020202020204" pitchFamily="34" charset="0"/>
            </a:rPr>
            <a:t>Avoid plagiarism.</a:t>
          </a:r>
          <a:endParaRPr lang="en-GB" dirty="0">
            <a:latin typeface="Aptos" panose="020B0004020202020204" pitchFamily="34" charset="0"/>
          </a:endParaRPr>
        </a:p>
      </dgm:t>
    </dgm:pt>
    <dgm:pt modelId="{CFB48789-B765-4BE4-8DB6-CD599F6A3E37}" type="parTrans" cxnId="{54D0ECD0-EE84-49E7-8142-950C154DBDA3}">
      <dgm:prSet/>
      <dgm:spPr/>
      <dgm:t>
        <a:bodyPr/>
        <a:lstStyle/>
        <a:p>
          <a:endParaRPr lang="en-GB"/>
        </a:p>
      </dgm:t>
    </dgm:pt>
    <dgm:pt modelId="{19FFA166-1C07-47F4-A622-03A6AB1AE0CC}" type="sibTrans" cxnId="{54D0ECD0-EE84-49E7-8142-950C154DBDA3}">
      <dgm:prSet/>
      <dgm:spPr/>
      <dgm:t>
        <a:bodyPr/>
        <a:lstStyle/>
        <a:p>
          <a:endParaRPr lang="en-GB"/>
        </a:p>
      </dgm:t>
    </dgm:pt>
    <dgm:pt modelId="{15D7D02F-9806-4A7F-A42D-FE7E83343FED}" type="pres">
      <dgm:prSet presAssocID="{7634D104-7D93-4DC9-AA78-CFDC22EB2B7D}" presName="Name0" presStyleCnt="0">
        <dgm:presLayoutVars>
          <dgm:dir/>
          <dgm:animLvl val="lvl"/>
          <dgm:resizeHandles val="exact"/>
        </dgm:presLayoutVars>
      </dgm:prSet>
      <dgm:spPr/>
    </dgm:pt>
    <dgm:pt modelId="{060EE54F-9EBC-4508-90E0-A71D8106BA41}" type="pres">
      <dgm:prSet presAssocID="{D895BCAF-11FD-4161-9460-71155FF594D5}" presName="composite" presStyleCnt="0"/>
      <dgm:spPr/>
    </dgm:pt>
    <dgm:pt modelId="{5E4A68E9-45A9-433C-B39E-FA98BC5055EA}" type="pres">
      <dgm:prSet presAssocID="{D895BCAF-11FD-4161-9460-71155FF594D5}" presName="parTx" presStyleLbl="alignNode1" presStyleIdx="0" presStyleCnt="5">
        <dgm:presLayoutVars>
          <dgm:chMax val="0"/>
          <dgm:chPref val="0"/>
          <dgm:bulletEnabled val="1"/>
        </dgm:presLayoutVars>
      </dgm:prSet>
      <dgm:spPr/>
    </dgm:pt>
    <dgm:pt modelId="{0916EB88-9427-4C81-A0D0-B1BC4D25BFB9}" type="pres">
      <dgm:prSet presAssocID="{D895BCAF-11FD-4161-9460-71155FF594D5}" presName="desTx" presStyleLbl="alignAccFollowNode1" presStyleIdx="0" presStyleCnt="5">
        <dgm:presLayoutVars>
          <dgm:bulletEnabled val="1"/>
        </dgm:presLayoutVars>
      </dgm:prSet>
      <dgm:spPr/>
    </dgm:pt>
    <dgm:pt modelId="{5A8A88A5-B4F4-47DC-BABC-220E75C6B14E}" type="pres">
      <dgm:prSet presAssocID="{1D8F6D8C-F89F-400C-A451-06369F630D13}" presName="space" presStyleCnt="0"/>
      <dgm:spPr/>
    </dgm:pt>
    <dgm:pt modelId="{ABE7DA82-7937-4173-A683-867FD7F4045F}" type="pres">
      <dgm:prSet presAssocID="{D2F35989-0D76-4707-8851-E95507DAC780}" presName="composite" presStyleCnt="0"/>
      <dgm:spPr/>
    </dgm:pt>
    <dgm:pt modelId="{0F07604D-46A6-4ADA-B996-B9E43A897BA8}" type="pres">
      <dgm:prSet presAssocID="{D2F35989-0D76-4707-8851-E95507DAC780}" presName="parTx" presStyleLbl="alignNode1" presStyleIdx="1" presStyleCnt="5">
        <dgm:presLayoutVars>
          <dgm:chMax val="0"/>
          <dgm:chPref val="0"/>
          <dgm:bulletEnabled val="1"/>
        </dgm:presLayoutVars>
      </dgm:prSet>
      <dgm:spPr/>
    </dgm:pt>
    <dgm:pt modelId="{D9C43641-36D4-43D5-A2FD-0F9F6D2C43BC}" type="pres">
      <dgm:prSet presAssocID="{D2F35989-0D76-4707-8851-E95507DAC780}" presName="desTx" presStyleLbl="alignAccFollowNode1" presStyleIdx="1" presStyleCnt="5">
        <dgm:presLayoutVars>
          <dgm:bulletEnabled val="1"/>
        </dgm:presLayoutVars>
      </dgm:prSet>
      <dgm:spPr/>
    </dgm:pt>
    <dgm:pt modelId="{8D77E0EF-A152-4EF7-A7FC-CC6FAF7F6B43}" type="pres">
      <dgm:prSet presAssocID="{B96B68E4-E5AE-4BB2-A658-AF9FA9406E6C}" presName="space" presStyleCnt="0"/>
      <dgm:spPr/>
    </dgm:pt>
    <dgm:pt modelId="{D3157F63-FA9E-47B4-8FF4-EE6DAC4A8479}" type="pres">
      <dgm:prSet presAssocID="{5674B894-A55E-4559-8EA7-028C3F32E4B2}" presName="composite" presStyleCnt="0"/>
      <dgm:spPr/>
    </dgm:pt>
    <dgm:pt modelId="{594F44BC-596E-4978-9BF4-2F7DCCF10A7F}" type="pres">
      <dgm:prSet presAssocID="{5674B894-A55E-4559-8EA7-028C3F32E4B2}" presName="parTx" presStyleLbl="alignNode1" presStyleIdx="2" presStyleCnt="5">
        <dgm:presLayoutVars>
          <dgm:chMax val="0"/>
          <dgm:chPref val="0"/>
          <dgm:bulletEnabled val="1"/>
        </dgm:presLayoutVars>
      </dgm:prSet>
      <dgm:spPr/>
    </dgm:pt>
    <dgm:pt modelId="{B4F89DDA-DC7D-4C4E-967D-E22B07A05DB1}" type="pres">
      <dgm:prSet presAssocID="{5674B894-A55E-4559-8EA7-028C3F32E4B2}" presName="desTx" presStyleLbl="alignAccFollowNode1" presStyleIdx="2" presStyleCnt="5">
        <dgm:presLayoutVars>
          <dgm:bulletEnabled val="1"/>
        </dgm:presLayoutVars>
      </dgm:prSet>
      <dgm:spPr/>
    </dgm:pt>
    <dgm:pt modelId="{3A60D635-F235-4B71-8993-A550528BFBFB}" type="pres">
      <dgm:prSet presAssocID="{94E754A5-C7C4-42B9-A350-BD17338F58B9}" presName="space" presStyleCnt="0"/>
      <dgm:spPr/>
    </dgm:pt>
    <dgm:pt modelId="{F2A85F99-7F33-46A4-9E84-7525455EC96E}" type="pres">
      <dgm:prSet presAssocID="{DED7677A-A811-4E99-A359-AF267F66CB3B}" presName="composite" presStyleCnt="0"/>
      <dgm:spPr/>
    </dgm:pt>
    <dgm:pt modelId="{4B0BA49E-53FB-4A48-8A53-1DCC68267D3A}" type="pres">
      <dgm:prSet presAssocID="{DED7677A-A811-4E99-A359-AF267F66CB3B}" presName="parTx" presStyleLbl="alignNode1" presStyleIdx="3" presStyleCnt="5">
        <dgm:presLayoutVars>
          <dgm:chMax val="0"/>
          <dgm:chPref val="0"/>
          <dgm:bulletEnabled val="1"/>
        </dgm:presLayoutVars>
      </dgm:prSet>
      <dgm:spPr/>
    </dgm:pt>
    <dgm:pt modelId="{0426731F-8A3C-42F1-804E-8F6D7BF28D02}" type="pres">
      <dgm:prSet presAssocID="{DED7677A-A811-4E99-A359-AF267F66CB3B}" presName="desTx" presStyleLbl="alignAccFollowNode1" presStyleIdx="3" presStyleCnt="5">
        <dgm:presLayoutVars>
          <dgm:bulletEnabled val="1"/>
        </dgm:presLayoutVars>
      </dgm:prSet>
      <dgm:spPr/>
    </dgm:pt>
    <dgm:pt modelId="{D9831088-02B0-4486-B332-594DEF4AFDB7}" type="pres">
      <dgm:prSet presAssocID="{9F4A521B-0AB9-4C49-8D3E-A4522CDAC745}" presName="space" presStyleCnt="0"/>
      <dgm:spPr/>
    </dgm:pt>
    <dgm:pt modelId="{25E0243E-9C63-48E2-BDA9-959F204AC029}" type="pres">
      <dgm:prSet presAssocID="{F5AC5549-675B-444B-905D-2F1D9FDC1779}" presName="composite" presStyleCnt="0"/>
      <dgm:spPr/>
    </dgm:pt>
    <dgm:pt modelId="{527B8B4B-D6E7-4EB7-86F6-6A7D2579D756}" type="pres">
      <dgm:prSet presAssocID="{F5AC5549-675B-444B-905D-2F1D9FDC1779}" presName="parTx" presStyleLbl="alignNode1" presStyleIdx="4" presStyleCnt="5">
        <dgm:presLayoutVars>
          <dgm:chMax val="0"/>
          <dgm:chPref val="0"/>
          <dgm:bulletEnabled val="1"/>
        </dgm:presLayoutVars>
      </dgm:prSet>
      <dgm:spPr/>
    </dgm:pt>
    <dgm:pt modelId="{3FAC58C7-563C-4DE2-B8E2-03C2F5DF4A75}" type="pres">
      <dgm:prSet presAssocID="{F5AC5549-675B-444B-905D-2F1D9FDC1779}" presName="desTx" presStyleLbl="alignAccFollowNode1" presStyleIdx="4" presStyleCnt="5">
        <dgm:presLayoutVars>
          <dgm:bulletEnabled val="1"/>
        </dgm:presLayoutVars>
      </dgm:prSet>
      <dgm:spPr/>
    </dgm:pt>
  </dgm:ptLst>
  <dgm:cxnLst>
    <dgm:cxn modelId="{1D40D500-2967-46E3-817F-582348E97C84}" type="presOf" srcId="{D0F2A51A-8617-4842-9A50-755676DCD3DD}" destId="{3FAC58C7-563C-4DE2-B8E2-03C2F5DF4A75}" srcOrd="0" destOrd="0" presId="urn:microsoft.com/office/officeart/2005/8/layout/hList1"/>
    <dgm:cxn modelId="{DA224816-7824-4FE5-9CD1-3E0ECE27E8A0}" srcId="{D895BCAF-11FD-4161-9460-71155FF594D5}" destId="{DD8DD7F7-557F-4529-952E-996BE575A6CC}" srcOrd="0" destOrd="0" parTransId="{898A7FBF-8854-4FCD-8F75-6D0A10D342BF}" sibTransId="{069345D4-AF17-4BE2-BEFD-16AAD453ED22}"/>
    <dgm:cxn modelId="{56DD223B-87BE-41AD-A123-502044CB6C82}" srcId="{7634D104-7D93-4DC9-AA78-CFDC22EB2B7D}" destId="{D895BCAF-11FD-4161-9460-71155FF594D5}" srcOrd="0" destOrd="0" parTransId="{55C24B6C-44F8-45FA-AE8C-D7852F8F756E}" sibTransId="{1D8F6D8C-F89F-400C-A451-06369F630D13}"/>
    <dgm:cxn modelId="{F047993C-E79F-4DF4-8E68-009CE95435BF}" srcId="{7634D104-7D93-4DC9-AA78-CFDC22EB2B7D}" destId="{F5AC5549-675B-444B-905D-2F1D9FDC1779}" srcOrd="4" destOrd="0" parTransId="{AC81EE79-FF8C-4405-963A-7F74BE293A69}" sibTransId="{B7249222-7390-4801-8772-10BB94E221D0}"/>
    <dgm:cxn modelId="{81E8ED4A-9C61-4261-A97E-A8FB2B721822}" srcId="{7634D104-7D93-4DC9-AA78-CFDC22EB2B7D}" destId="{DED7677A-A811-4E99-A359-AF267F66CB3B}" srcOrd="3" destOrd="0" parTransId="{F38EF5EE-50CB-434C-B7C2-9D5B46BCDA7A}" sibTransId="{9F4A521B-0AB9-4C49-8D3E-A4522CDAC745}"/>
    <dgm:cxn modelId="{F0545359-5F04-43E8-A631-131816166571}" type="presOf" srcId="{7D9AB477-3831-4B66-903C-51888FAB2EF1}" destId="{0426731F-8A3C-42F1-804E-8F6D7BF28D02}" srcOrd="0" destOrd="0" presId="urn:microsoft.com/office/officeart/2005/8/layout/hList1"/>
    <dgm:cxn modelId="{8A48955A-FF8F-4776-99D4-D2F9A35739B0}" srcId="{7634D104-7D93-4DC9-AA78-CFDC22EB2B7D}" destId="{5674B894-A55E-4559-8EA7-028C3F32E4B2}" srcOrd="2" destOrd="0" parTransId="{CF4D6B60-7FC7-4A9C-B7E1-C22EA10EB381}" sibTransId="{94E754A5-C7C4-42B9-A350-BD17338F58B9}"/>
    <dgm:cxn modelId="{399E6863-0942-4C7F-888F-D5A856FD2535}" type="presOf" srcId="{D2F35989-0D76-4707-8851-E95507DAC780}" destId="{0F07604D-46A6-4ADA-B996-B9E43A897BA8}" srcOrd="0" destOrd="0" presId="urn:microsoft.com/office/officeart/2005/8/layout/hList1"/>
    <dgm:cxn modelId="{5EDB3766-A34E-4BF8-AAD2-7E410EE2BF08}" type="presOf" srcId="{C265F219-E085-47C1-B4E3-8FDDFA25F889}" destId="{0916EB88-9427-4C81-A0D0-B1BC4D25BFB9}" srcOrd="0" destOrd="1" presId="urn:microsoft.com/office/officeart/2005/8/layout/hList1"/>
    <dgm:cxn modelId="{CB93FF67-74EB-4163-A9EC-6469F10734D1}" srcId="{7634D104-7D93-4DC9-AA78-CFDC22EB2B7D}" destId="{D2F35989-0D76-4707-8851-E95507DAC780}" srcOrd="1" destOrd="0" parTransId="{95A47F62-7CA1-4144-B825-A44483178729}" sibTransId="{B96B68E4-E5AE-4BB2-A658-AF9FA9406E6C}"/>
    <dgm:cxn modelId="{6D02BE70-8BF6-45CD-ABFA-06108FDCC6B4}" type="presOf" srcId="{B8AA4B07-C565-4CCF-9950-02D7DCC3515C}" destId="{D9C43641-36D4-43D5-A2FD-0F9F6D2C43BC}" srcOrd="0" destOrd="0" presId="urn:microsoft.com/office/officeart/2005/8/layout/hList1"/>
    <dgm:cxn modelId="{19EBC273-BE40-4DF3-AD90-42CF3D009016}" srcId="{F5AC5549-675B-444B-905D-2F1D9FDC1779}" destId="{D0F2A51A-8617-4842-9A50-755676DCD3DD}" srcOrd="0" destOrd="0" parTransId="{DD30637A-3765-4C05-B6F7-B47484906C94}" sibTransId="{6BC62B7F-2BE1-4735-BEF1-C93E581063AE}"/>
    <dgm:cxn modelId="{7B9CB682-0DC9-4815-951A-E787AB7CD2FE}" srcId="{5674B894-A55E-4559-8EA7-028C3F32E4B2}" destId="{31ECEDD7-80EF-414B-BE50-B610D566367B}" srcOrd="0" destOrd="0" parTransId="{20439AF7-F994-4596-8154-7958604637F8}" sibTransId="{BAE7B1D5-018D-43C6-93C5-0E28100285E0}"/>
    <dgm:cxn modelId="{9835A583-CD6D-42A3-B319-63D857434C2F}" type="presOf" srcId="{5674B894-A55E-4559-8EA7-028C3F32E4B2}" destId="{594F44BC-596E-4978-9BF4-2F7DCCF10A7F}" srcOrd="0" destOrd="0" presId="urn:microsoft.com/office/officeart/2005/8/layout/hList1"/>
    <dgm:cxn modelId="{E184228C-34B7-4DE5-A1F8-16A52B0ADA2D}" type="presOf" srcId="{7634D104-7D93-4DC9-AA78-CFDC22EB2B7D}" destId="{15D7D02F-9806-4A7F-A42D-FE7E83343FED}" srcOrd="0" destOrd="0" presId="urn:microsoft.com/office/officeart/2005/8/layout/hList1"/>
    <dgm:cxn modelId="{BE8BA2AF-7358-466A-818A-8E689518B231}" type="presOf" srcId="{DED7677A-A811-4E99-A359-AF267F66CB3B}" destId="{4B0BA49E-53FB-4A48-8A53-1DCC68267D3A}" srcOrd="0" destOrd="0" presId="urn:microsoft.com/office/officeart/2005/8/layout/hList1"/>
    <dgm:cxn modelId="{4A6AD1C3-5816-4962-BB6E-DFFD66292B92}" type="presOf" srcId="{F5AC5549-675B-444B-905D-2F1D9FDC1779}" destId="{527B8B4B-D6E7-4EB7-86F6-6A7D2579D756}" srcOrd="0" destOrd="0" presId="urn:microsoft.com/office/officeart/2005/8/layout/hList1"/>
    <dgm:cxn modelId="{0347E8C6-F21E-4852-9890-A625EBCAFF9A}" type="presOf" srcId="{D895BCAF-11FD-4161-9460-71155FF594D5}" destId="{5E4A68E9-45A9-433C-B39E-FA98BC5055EA}" srcOrd="0" destOrd="0" presId="urn:microsoft.com/office/officeart/2005/8/layout/hList1"/>
    <dgm:cxn modelId="{54D0ECD0-EE84-49E7-8142-950C154DBDA3}" srcId="{D895BCAF-11FD-4161-9460-71155FF594D5}" destId="{C265F219-E085-47C1-B4E3-8FDDFA25F889}" srcOrd="1" destOrd="0" parTransId="{CFB48789-B765-4BE4-8DB6-CD599F6A3E37}" sibTransId="{19FFA166-1C07-47F4-A622-03A6AB1AE0CC}"/>
    <dgm:cxn modelId="{69B898E8-8AC1-49BC-ACDC-C481A18F83F5}" type="presOf" srcId="{DD8DD7F7-557F-4529-952E-996BE575A6CC}" destId="{0916EB88-9427-4C81-A0D0-B1BC4D25BFB9}" srcOrd="0" destOrd="0" presId="urn:microsoft.com/office/officeart/2005/8/layout/hList1"/>
    <dgm:cxn modelId="{62CB3FEB-664D-43E7-89EF-51AA5774E707}" srcId="{DED7677A-A811-4E99-A359-AF267F66CB3B}" destId="{7D9AB477-3831-4B66-903C-51888FAB2EF1}" srcOrd="0" destOrd="0" parTransId="{1C5BF6D7-9EA3-4496-9259-CCFB570AB9BC}" sibTransId="{13866862-3E71-49D6-8E54-5828906B8520}"/>
    <dgm:cxn modelId="{6BE8E3EC-C2A7-498E-A235-A16E4F8BFFEE}" type="presOf" srcId="{31ECEDD7-80EF-414B-BE50-B610D566367B}" destId="{B4F89DDA-DC7D-4C4E-967D-E22B07A05DB1}" srcOrd="0" destOrd="0" presId="urn:microsoft.com/office/officeart/2005/8/layout/hList1"/>
    <dgm:cxn modelId="{54E1D1F9-2D03-4A36-ADEB-7EC8EB0F85F9}" srcId="{D2F35989-0D76-4707-8851-E95507DAC780}" destId="{B8AA4B07-C565-4CCF-9950-02D7DCC3515C}" srcOrd="0" destOrd="0" parTransId="{7CE0ECD8-FF60-40FC-834A-69289342858B}" sibTransId="{BA44317E-0141-443D-B3B3-5D8A23F7257D}"/>
    <dgm:cxn modelId="{D2721AD5-678A-4F64-B8C6-E3935F754701}" type="presParOf" srcId="{15D7D02F-9806-4A7F-A42D-FE7E83343FED}" destId="{060EE54F-9EBC-4508-90E0-A71D8106BA41}" srcOrd="0" destOrd="0" presId="urn:microsoft.com/office/officeart/2005/8/layout/hList1"/>
    <dgm:cxn modelId="{EEF4B7C3-F2D6-42E9-91ED-4BC363CA8724}" type="presParOf" srcId="{060EE54F-9EBC-4508-90E0-A71D8106BA41}" destId="{5E4A68E9-45A9-433C-B39E-FA98BC5055EA}" srcOrd="0" destOrd="0" presId="urn:microsoft.com/office/officeart/2005/8/layout/hList1"/>
    <dgm:cxn modelId="{7C7A81B5-FB86-439D-BAB5-BF9CACFD41A4}" type="presParOf" srcId="{060EE54F-9EBC-4508-90E0-A71D8106BA41}" destId="{0916EB88-9427-4C81-A0D0-B1BC4D25BFB9}" srcOrd="1" destOrd="0" presId="urn:microsoft.com/office/officeart/2005/8/layout/hList1"/>
    <dgm:cxn modelId="{AE1E55F4-BCBA-4F89-BEEC-DC69CC502B51}" type="presParOf" srcId="{15D7D02F-9806-4A7F-A42D-FE7E83343FED}" destId="{5A8A88A5-B4F4-47DC-BABC-220E75C6B14E}" srcOrd="1" destOrd="0" presId="urn:microsoft.com/office/officeart/2005/8/layout/hList1"/>
    <dgm:cxn modelId="{8CD2570A-1DB5-4713-8ECD-C3D1706E5888}" type="presParOf" srcId="{15D7D02F-9806-4A7F-A42D-FE7E83343FED}" destId="{ABE7DA82-7937-4173-A683-867FD7F4045F}" srcOrd="2" destOrd="0" presId="urn:microsoft.com/office/officeart/2005/8/layout/hList1"/>
    <dgm:cxn modelId="{1ED1A475-0814-4B15-8A8C-467C10F19746}" type="presParOf" srcId="{ABE7DA82-7937-4173-A683-867FD7F4045F}" destId="{0F07604D-46A6-4ADA-B996-B9E43A897BA8}" srcOrd="0" destOrd="0" presId="urn:microsoft.com/office/officeart/2005/8/layout/hList1"/>
    <dgm:cxn modelId="{00619DFD-61E0-4F5F-BDA6-AAFE0C663138}" type="presParOf" srcId="{ABE7DA82-7937-4173-A683-867FD7F4045F}" destId="{D9C43641-36D4-43D5-A2FD-0F9F6D2C43BC}" srcOrd="1" destOrd="0" presId="urn:microsoft.com/office/officeart/2005/8/layout/hList1"/>
    <dgm:cxn modelId="{9EC54B59-14EE-4AAC-BEB8-245DACFF5D57}" type="presParOf" srcId="{15D7D02F-9806-4A7F-A42D-FE7E83343FED}" destId="{8D77E0EF-A152-4EF7-A7FC-CC6FAF7F6B43}" srcOrd="3" destOrd="0" presId="urn:microsoft.com/office/officeart/2005/8/layout/hList1"/>
    <dgm:cxn modelId="{C415C117-14BC-4407-B987-447450AB1CBE}" type="presParOf" srcId="{15D7D02F-9806-4A7F-A42D-FE7E83343FED}" destId="{D3157F63-FA9E-47B4-8FF4-EE6DAC4A8479}" srcOrd="4" destOrd="0" presId="urn:microsoft.com/office/officeart/2005/8/layout/hList1"/>
    <dgm:cxn modelId="{19B97481-E48F-43F3-A077-97AA9B37C348}" type="presParOf" srcId="{D3157F63-FA9E-47B4-8FF4-EE6DAC4A8479}" destId="{594F44BC-596E-4978-9BF4-2F7DCCF10A7F}" srcOrd="0" destOrd="0" presId="urn:microsoft.com/office/officeart/2005/8/layout/hList1"/>
    <dgm:cxn modelId="{B1886AD7-B1E8-4153-BF70-4C17CC2F5B8C}" type="presParOf" srcId="{D3157F63-FA9E-47B4-8FF4-EE6DAC4A8479}" destId="{B4F89DDA-DC7D-4C4E-967D-E22B07A05DB1}" srcOrd="1" destOrd="0" presId="urn:microsoft.com/office/officeart/2005/8/layout/hList1"/>
    <dgm:cxn modelId="{34069BD4-39E5-46B5-812D-488EA03F16BC}" type="presParOf" srcId="{15D7D02F-9806-4A7F-A42D-FE7E83343FED}" destId="{3A60D635-F235-4B71-8993-A550528BFBFB}" srcOrd="5" destOrd="0" presId="urn:microsoft.com/office/officeart/2005/8/layout/hList1"/>
    <dgm:cxn modelId="{F67628F1-777E-458A-ABC5-61A0314751DF}" type="presParOf" srcId="{15D7D02F-9806-4A7F-A42D-FE7E83343FED}" destId="{F2A85F99-7F33-46A4-9E84-7525455EC96E}" srcOrd="6" destOrd="0" presId="urn:microsoft.com/office/officeart/2005/8/layout/hList1"/>
    <dgm:cxn modelId="{3170DE25-156A-4863-BC4C-8C91C9A5D814}" type="presParOf" srcId="{F2A85F99-7F33-46A4-9E84-7525455EC96E}" destId="{4B0BA49E-53FB-4A48-8A53-1DCC68267D3A}" srcOrd="0" destOrd="0" presId="urn:microsoft.com/office/officeart/2005/8/layout/hList1"/>
    <dgm:cxn modelId="{70DC27C0-6B04-49DC-9116-F0D087BAE3E5}" type="presParOf" srcId="{F2A85F99-7F33-46A4-9E84-7525455EC96E}" destId="{0426731F-8A3C-42F1-804E-8F6D7BF28D02}" srcOrd="1" destOrd="0" presId="urn:microsoft.com/office/officeart/2005/8/layout/hList1"/>
    <dgm:cxn modelId="{0A3D3E68-E253-4BBB-93FE-D0529826BEE8}" type="presParOf" srcId="{15D7D02F-9806-4A7F-A42D-FE7E83343FED}" destId="{D9831088-02B0-4486-B332-594DEF4AFDB7}" srcOrd="7" destOrd="0" presId="urn:microsoft.com/office/officeart/2005/8/layout/hList1"/>
    <dgm:cxn modelId="{59A3EAA2-7F04-462A-B61D-E06E4901F47A}" type="presParOf" srcId="{15D7D02F-9806-4A7F-A42D-FE7E83343FED}" destId="{25E0243E-9C63-48E2-BDA9-959F204AC029}" srcOrd="8" destOrd="0" presId="urn:microsoft.com/office/officeart/2005/8/layout/hList1"/>
    <dgm:cxn modelId="{18B45B99-086B-4028-98E6-CEEE9E130CCE}" type="presParOf" srcId="{25E0243E-9C63-48E2-BDA9-959F204AC029}" destId="{527B8B4B-D6E7-4EB7-86F6-6A7D2579D756}" srcOrd="0" destOrd="0" presId="urn:microsoft.com/office/officeart/2005/8/layout/hList1"/>
    <dgm:cxn modelId="{BCF933E7-95C5-4DB2-AAEE-46F81520A954}" type="presParOf" srcId="{25E0243E-9C63-48E2-BDA9-959F204AC029}" destId="{3FAC58C7-563C-4DE2-B8E2-03C2F5DF4A75}" srcOrd="1" destOrd="0" presId="urn:microsoft.com/office/officeart/2005/8/layout/hList1"/>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E4A68E9-45A9-433C-B39E-FA98BC5055EA}">
      <dsp:nvSpPr>
        <dsp:cNvPr id="0" name=""/>
        <dsp:cNvSpPr/>
      </dsp:nvSpPr>
      <dsp:spPr>
        <a:xfrm>
          <a:off x="4165" y="36132"/>
          <a:ext cx="1596851" cy="472691"/>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36576" rIns="64008" bIns="36576" numCol="1" spcCol="1270" anchor="ctr" anchorCtr="0">
          <a:noAutofit/>
        </a:bodyPr>
        <a:lstStyle/>
        <a:p>
          <a:pPr marL="0" lvl="0" indent="0" algn="ctr" defTabSz="400050">
            <a:lnSpc>
              <a:spcPct val="150000"/>
            </a:lnSpc>
            <a:spcBef>
              <a:spcPct val="0"/>
            </a:spcBef>
            <a:spcAft>
              <a:spcPct val="35000"/>
            </a:spcAft>
            <a:buNone/>
          </a:pPr>
          <a:r>
            <a:rPr lang="en-GB" sz="900" b="1" i="0" kern="1200">
              <a:latin typeface="Aptos" panose="020B0004020202020204" pitchFamily="34" charset="0"/>
            </a:rPr>
            <a:t>Respect for Intellectual Property:</a:t>
          </a:r>
          <a:endParaRPr lang="en-GB" sz="900" kern="1200">
            <a:latin typeface="Aptos" panose="020B0004020202020204" pitchFamily="34" charset="0"/>
          </a:endParaRPr>
        </a:p>
      </dsp:txBody>
      <dsp:txXfrm>
        <a:off x="4165" y="36132"/>
        <a:ext cx="1596851" cy="472691"/>
      </dsp:txXfrm>
    </dsp:sp>
    <dsp:sp modelId="{0916EB88-9427-4C81-A0D0-B1BC4D25BFB9}">
      <dsp:nvSpPr>
        <dsp:cNvPr id="0" name=""/>
        <dsp:cNvSpPr/>
      </dsp:nvSpPr>
      <dsp:spPr>
        <a:xfrm>
          <a:off x="4165" y="508824"/>
          <a:ext cx="1596851" cy="1579117"/>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8006" tIns="48006" rIns="64008" bIns="72009" numCol="1" spcCol="1270" anchor="t" anchorCtr="0">
          <a:noAutofit/>
        </a:bodyPr>
        <a:lstStyle/>
        <a:p>
          <a:pPr marL="57150" lvl="1" indent="-57150" algn="l" defTabSz="400050">
            <a:lnSpc>
              <a:spcPct val="150000"/>
            </a:lnSpc>
            <a:spcBef>
              <a:spcPct val="0"/>
            </a:spcBef>
            <a:spcAft>
              <a:spcPct val="15000"/>
            </a:spcAft>
            <a:buChar char="•"/>
          </a:pPr>
          <a:r>
            <a:rPr lang="en-GB" sz="900" b="0" i="0" kern="1200" dirty="0">
              <a:latin typeface="Aptos" panose="020B0004020202020204" pitchFamily="34" charset="0"/>
            </a:rPr>
            <a:t>Properly cite and reference original sources (Hart, 2001). </a:t>
          </a:r>
          <a:endParaRPr lang="en-GB" sz="900" kern="1200" dirty="0">
            <a:latin typeface="Aptos" panose="020B0004020202020204" pitchFamily="34" charset="0"/>
          </a:endParaRPr>
        </a:p>
        <a:p>
          <a:pPr marL="57150" lvl="1" indent="-57150" algn="l" defTabSz="400050">
            <a:lnSpc>
              <a:spcPct val="150000"/>
            </a:lnSpc>
            <a:spcBef>
              <a:spcPct val="0"/>
            </a:spcBef>
            <a:spcAft>
              <a:spcPct val="15000"/>
            </a:spcAft>
            <a:buChar char="•"/>
          </a:pPr>
          <a:r>
            <a:rPr lang="en-GB" sz="900" b="0" i="0" kern="1200" dirty="0">
              <a:latin typeface="Aptos" panose="020B0004020202020204" pitchFamily="34" charset="0"/>
            </a:rPr>
            <a:t>Avoid plagiarism.</a:t>
          </a:r>
          <a:endParaRPr lang="en-GB" sz="900" kern="1200" dirty="0">
            <a:latin typeface="Aptos" panose="020B0004020202020204" pitchFamily="34" charset="0"/>
          </a:endParaRPr>
        </a:p>
      </dsp:txBody>
      <dsp:txXfrm>
        <a:off x="4165" y="508824"/>
        <a:ext cx="1596851" cy="1579117"/>
      </dsp:txXfrm>
    </dsp:sp>
    <dsp:sp modelId="{0F07604D-46A6-4ADA-B996-B9E43A897BA8}">
      <dsp:nvSpPr>
        <dsp:cNvPr id="0" name=""/>
        <dsp:cNvSpPr/>
      </dsp:nvSpPr>
      <dsp:spPr>
        <a:xfrm>
          <a:off x="1824576" y="36132"/>
          <a:ext cx="1596851" cy="472691"/>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36576" rIns="64008" bIns="36576" numCol="1" spcCol="1270" anchor="ctr" anchorCtr="0">
          <a:noAutofit/>
        </a:bodyPr>
        <a:lstStyle/>
        <a:p>
          <a:pPr marL="0" lvl="0" indent="0" algn="ctr" defTabSz="400050">
            <a:lnSpc>
              <a:spcPct val="150000"/>
            </a:lnSpc>
            <a:spcBef>
              <a:spcPct val="0"/>
            </a:spcBef>
            <a:spcAft>
              <a:spcPct val="35000"/>
            </a:spcAft>
            <a:buNone/>
          </a:pPr>
          <a:r>
            <a:rPr lang="en-GB" sz="900" b="1" i="0" kern="1200">
              <a:latin typeface="Aptos" panose="020B0004020202020204" pitchFamily="34" charset="0"/>
            </a:rPr>
            <a:t>Privacy and Confidentiality:</a:t>
          </a:r>
          <a:endParaRPr lang="en-GB" sz="900" kern="1200">
            <a:latin typeface="Aptos" panose="020B0004020202020204" pitchFamily="34" charset="0"/>
          </a:endParaRPr>
        </a:p>
      </dsp:txBody>
      <dsp:txXfrm>
        <a:off x="1824576" y="36132"/>
        <a:ext cx="1596851" cy="472691"/>
      </dsp:txXfrm>
    </dsp:sp>
    <dsp:sp modelId="{D9C43641-36D4-43D5-A2FD-0F9F6D2C43BC}">
      <dsp:nvSpPr>
        <dsp:cNvPr id="0" name=""/>
        <dsp:cNvSpPr/>
      </dsp:nvSpPr>
      <dsp:spPr>
        <a:xfrm>
          <a:off x="1824576" y="508824"/>
          <a:ext cx="1596851" cy="1579117"/>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8006" tIns="48006" rIns="64008" bIns="72009" numCol="1" spcCol="1270" anchor="t" anchorCtr="0">
          <a:noAutofit/>
        </a:bodyPr>
        <a:lstStyle/>
        <a:p>
          <a:pPr marL="57150" lvl="1" indent="-57150" algn="l" defTabSz="400050">
            <a:lnSpc>
              <a:spcPct val="150000"/>
            </a:lnSpc>
            <a:spcBef>
              <a:spcPct val="0"/>
            </a:spcBef>
            <a:spcAft>
              <a:spcPct val="15000"/>
            </a:spcAft>
            <a:buChar char="•"/>
          </a:pPr>
          <a:r>
            <a:rPr lang="en-GB" sz="900" b="0" i="0" kern="1200">
              <a:latin typeface="Aptos" panose="020B0004020202020204" pitchFamily="34" charset="0"/>
            </a:rPr>
            <a:t>Protect the privacy and confidentiality of individuals when using data with sensitive or identifiable information (Bell et al., 2022).</a:t>
          </a:r>
          <a:endParaRPr lang="en-GB" sz="900" kern="1200">
            <a:latin typeface="Aptos" panose="020B0004020202020204" pitchFamily="34" charset="0"/>
          </a:endParaRPr>
        </a:p>
      </dsp:txBody>
      <dsp:txXfrm>
        <a:off x="1824576" y="508824"/>
        <a:ext cx="1596851" cy="1579117"/>
      </dsp:txXfrm>
    </dsp:sp>
    <dsp:sp modelId="{594F44BC-596E-4978-9BF4-2F7DCCF10A7F}">
      <dsp:nvSpPr>
        <dsp:cNvPr id="0" name=""/>
        <dsp:cNvSpPr/>
      </dsp:nvSpPr>
      <dsp:spPr>
        <a:xfrm>
          <a:off x="3644986" y="36132"/>
          <a:ext cx="1596851" cy="472691"/>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36576" rIns="64008" bIns="36576" numCol="1" spcCol="1270" anchor="ctr" anchorCtr="0">
          <a:noAutofit/>
        </a:bodyPr>
        <a:lstStyle/>
        <a:p>
          <a:pPr marL="0" lvl="0" indent="0" algn="ctr" defTabSz="400050">
            <a:lnSpc>
              <a:spcPct val="150000"/>
            </a:lnSpc>
            <a:spcBef>
              <a:spcPct val="0"/>
            </a:spcBef>
            <a:spcAft>
              <a:spcPct val="35000"/>
            </a:spcAft>
            <a:buNone/>
          </a:pPr>
          <a:r>
            <a:rPr lang="en-GB" sz="900" b="1" i="0" kern="1200">
              <a:latin typeface="Aptos" panose="020B0004020202020204" pitchFamily="34" charset="0"/>
            </a:rPr>
            <a:t>Data Integrity and Reliability:</a:t>
          </a:r>
          <a:r>
            <a:rPr lang="en-GB" sz="900" kern="1200">
              <a:latin typeface="Aptos" panose="020B0004020202020204" pitchFamily="34" charset="0"/>
            </a:rPr>
            <a:t> </a:t>
          </a:r>
        </a:p>
      </dsp:txBody>
      <dsp:txXfrm>
        <a:off x="3644986" y="36132"/>
        <a:ext cx="1596851" cy="472691"/>
      </dsp:txXfrm>
    </dsp:sp>
    <dsp:sp modelId="{B4F89DDA-DC7D-4C4E-967D-E22B07A05DB1}">
      <dsp:nvSpPr>
        <dsp:cNvPr id="0" name=""/>
        <dsp:cNvSpPr/>
      </dsp:nvSpPr>
      <dsp:spPr>
        <a:xfrm>
          <a:off x="3644986" y="508824"/>
          <a:ext cx="1596851" cy="1579117"/>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8006" tIns="48006" rIns="64008" bIns="72009" numCol="1" spcCol="1270" anchor="t" anchorCtr="0">
          <a:noAutofit/>
        </a:bodyPr>
        <a:lstStyle/>
        <a:p>
          <a:pPr marL="57150" lvl="1" indent="-57150" algn="l" defTabSz="400050">
            <a:lnSpc>
              <a:spcPct val="150000"/>
            </a:lnSpc>
            <a:spcBef>
              <a:spcPct val="0"/>
            </a:spcBef>
            <a:spcAft>
              <a:spcPct val="15000"/>
            </a:spcAft>
            <a:buChar char="•"/>
          </a:pPr>
          <a:r>
            <a:rPr lang="en-GB" sz="900" b="0" i="0" kern="1200">
              <a:latin typeface="Aptos" panose="020B0004020202020204" pitchFamily="34" charset="0"/>
            </a:rPr>
            <a:t>Use reliable and valid data sources. Assess the quality and integrity of sources (Creswell and Poth, 2016).</a:t>
          </a:r>
          <a:endParaRPr lang="en-GB" sz="900" kern="1200">
            <a:latin typeface="Aptos" panose="020B0004020202020204" pitchFamily="34" charset="0"/>
          </a:endParaRPr>
        </a:p>
      </dsp:txBody>
      <dsp:txXfrm>
        <a:off x="3644986" y="508824"/>
        <a:ext cx="1596851" cy="1579117"/>
      </dsp:txXfrm>
    </dsp:sp>
    <dsp:sp modelId="{4B0BA49E-53FB-4A48-8A53-1DCC68267D3A}">
      <dsp:nvSpPr>
        <dsp:cNvPr id="0" name=""/>
        <dsp:cNvSpPr/>
      </dsp:nvSpPr>
      <dsp:spPr>
        <a:xfrm>
          <a:off x="5465397" y="36132"/>
          <a:ext cx="1596851" cy="472691"/>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36576" rIns="64008" bIns="36576" numCol="1" spcCol="1270" anchor="ctr" anchorCtr="0">
          <a:noAutofit/>
        </a:bodyPr>
        <a:lstStyle/>
        <a:p>
          <a:pPr marL="0" lvl="0" indent="0" algn="ctr" defTabSz="400050">
            <a:lnSpc>
              <a:spcPct val="150000"/>
            </a:lnSpc>
            <a:spcBef>
              <a:spcPct val="0"/>
            </a:spcBef>
            <a:spcAft>
              <a:spcPct val="35000"/>
            </a:spcAft>
            <a:buNone/>
          </a:pPr>
          <a:r>
            <a:rPr lang="en-GB" sz="900" b="1" i="0" kern="1200" dirty="0">
              <a:latin typeface="Aptos" panose="020B0004020202020204" pitchFamily="34" charset="0"/>
            </a:rPr>
            <a:t>Compliance with Laws and Regulations:</a:t>
          </a:r>
          <a:endParaRPr lang="en-GB" sz="900" kern="1200" dirty="0">
            <a:latin typeface="Aptos" panose="020B0004020202020204" pitchFamily="34" charset="0"/>
          </a:endParaRPr>
        </a:p>
      </dsp:txBody>
      <dsp:txXfrm>
        <a:off x="5465397" y="36132"/>
        <a:ext cx="1596851" cy="472691"/>
      </dsp:txXfrm>
    </dsp:sp>
    <dsp:sp modelId="{0426731F-8A3C-42F1-804E-8F6D7BF28D02}">
      <dsp:nvSpPr>
        <dsp:cNvPr id="0" name=""/>
        <dsp:cNvSpPr/>
      </dsp:nvSpPr>
      <dsp:spPr>
        <a:xfrm>
          <a:off x="5465397" y="508824"/>
          <a:ext cx="1596851" cy="1579117"/>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8006" tIns="48006" rIns="64008" bIns="72009" numCol="1" spcCol="1270" anchor="t" anchorCtr="0">
          <a:noAutofit/>
        </a:bodyPr>
        <a:lstStyle/>
        <a:p>
          <a:pPr marL="57150" lvl="1" indent="-57150" algn="l" defTabSz="400050">
            <a:lnSpc>
              <a:spcPct val="150000"/>
            </a:lnSpc>
            <a:spcBef>
              <a:spcPct val="0"/>
            </a:spcBef>
            <a:spcAft>
              <a:spcPct val="15000"/>
            </a:spcAft>
            <a:buChar char="•"/>
          </a:pPr>
          <a:r>
            <a:rPr lang="en-GB" sz="900" b="0" i="0" kern="1200">
              <a:latin typeface="Aptos" panose="020B0004020202020204" pitchFamily="34" charset="0"/>
            </a:rPr>
            <a:t>Adhere to relevant laws and regulations governing data use and research (e.g. GDPR) (James and Busher, 2015). </a:t>
          </a:r>
          <a:endParaRPr lang="en-GB" sz="900" kern="1200">
            <a:latin typeface="Aptos" panose="020B0004020202020204" pitchFamily="34" charset="0"/>
          </a:endParaRPr>
        </a:p>
      </dsp:txBody>
      <dsp:txXfrm>
        <a:off x="5465397" y="508824"/>
        <a:ext cx="1596851" cy="1579117"/>
      </dsp:txXfrm>
    </dsp:sp>
    <dsp:sp modelId="{527B8B4B-D6E7-4EB7-86F6-6A7D2579D756}">
      <dsp:nvSpPr>
        <dsp:cNvPr id="0" name=""/>
        <dsp:cNvSpPr/>
      </dsp:nvSpPr>
      <dsp:spPr>
        <a:xfrm>
          <a:off x="7285807" y="36132"/>
          <a:ext cx="1596851" cy="472691"/>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36576" rIns="64008" bIns="36576" numCol="1" spcCol="1270" anchor="ctr" anchorCtr="0">
          <a:noAutofit/>
        </a:bodyPr>
        <a:lstStyle/>
        <a:p>
          <a:pPr marL="0" lvl="0" indent="0" algn="ctr" defTabSz="400050">
            <a:lnSpc>
              <a:spcPct val="150000"/>
            </a:lnSpc>
            <a:spcBef>
              <a:spcPct val="0"/>
            </a:spcBef>
            <a:spcAft>
              <a:spcPct val="35000"/>
            </a:spcAft>
            <a:buNone/>
          </a:pPr>
          <a:r>
            <a:rPr lang="en-GB" sz="900" b="1" i="0" kern="1200" dirty="0">
              <a:latin typeface="Aptos" panose="020B0004020202020204" pitchFamily="34" charset="0"/>
            </a:rPr>
            <a:t>Informed Consent</a:t>
          </a:r>
          <a:endParaRPr lang="en-GB" sz="900" kern="1200" dirty="0">
            <a:latin typeface="Aptos" panose="020B0004020202020204" pitchFamily="34" charset="0"/>
          </a:endParaRPr>
        </a:p>
      </dsp:txBody>
      <dsp:txXfrm>
        <a:off x="7285807" y="36132"/>
        <a:ext cx="1596851" cy="472691"/>
      </dsp:txXfrm>
    </dsp:sp>
    <dsp:sp modelId="{3FAC58C7-563C-4DE2-B8E2-03C2F5DF4A75}">
      <dsp:nvSpPr>
        <dsp:cNvPr id="0" name=""/>
        <dsp:cNvSpPr/>
      </dsp:nvSpPr>
      <dsp:spPr>
        <a:xfrm>
          <a:off x="7285807" y="508824"/>
          <a:ext cx="1596851" cy="1579117"/>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8006" tIns="48006" rIns="64008" bIns="72009" numCol="1" spcCol="1270" anchor="t" anchorCtr="0">
          <a:noAutofit/>
        </a:bodyPr>
        <a:lstStyle/>
        <a:p>
          <a:pPr marL="57150" lvl="1" indent="-57150" algn="l" defTabSz="400050">
            <a:lnSpc>
              <a:spcPct val="150000"/>
            </a:lnSpc>
            <a:spcBef>
              <a:spcPct val="0"/>
            </a:spcBef>
            <a:spcAft>
              <a:spcPct val="15000"/>
            </a:spcAft>
            <a:buChar char="•"/>
          </a:pPr>
          <a:r>
            <a:rPr lang="en-GB" sz="900" b="0" i="0" kern="1200">
              <a:latin typeface="Aptos" panose="020B0004020202020204" pitchFamily="34" charset="0"/>
            </a:rPr>
            <a:t>Comply with informed consent agreements when using data that requires it or ensuring that if you have used primary research sources, the participants have provided their consent. </a:t>
          </a:r>
          <a:endParaRPr lang="en-GB" sz="900" kern="1200">
            <a:latin typeface="Aptos" panose="020B0004020202020204" pitchFamily="34" charset="0"/>
          </a:endParaRPr>
        </a:p>
      </dsp:txBody>
      <dsp:txXfrm>
        <a:off x="7285807" y="508824"/>
        <a:ext cx="1596851" cy="1579117"/>
      </dsp:txXfrm>
    </dsp:sp>
  </dsp:spTree>
</dsp:drawing>
</file>

<file path=word/diagrams/layout1.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652794-EADF-462C-9136-107FA6993AC0}">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Manager/>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Shazia Malik (2127945)</lastModifiedBy>
  <revision>7</revision>
  <dcterms:created xsi:type="dcterms:W3CDTF">2025-05-12T11:15:00.0000000Z</dcterms:created>
  <dcterms:modified xsi:type="dcterms:W3CDTF">2025-12-01T16:47:53.7443943Z</dcterms:modified>
</coreProperties>
</file>