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AB5885" w14:textId="77777777" w:rsidR="008007DB" w:rsidRDefault="008007DB" w:rsidP="008007DB">
      <w:r>
        <w:rPr>
          <w:noProof/>
          <w:sz w:val="52"/>
          <w:szCs w:val="52"/>
        </w:rPr>
        <w:drawing>
          <wp:anchor distT="0" distB="0" distL="114300" distR="114300" simplePos="0" relativeHeight="251659264" behindDoc="0" locked="0" layoutInCell="1" allowOverlap="1" wp14:anchorId="20EC5FF6" wp14:editId="272A3304">
            <wp:simplePos x="0" y="0"/>
            <wp:positionH relativeFrom="column">
              <wp:posOffset>1209627</wp:posOffset>
            </wp:positionH>
            <wp:positionV relativeFrom="paragraph">
              <wp:posOffset>407670</wp:posOffset>
            </wp:positionV>
            <wp:extent cx="3361690" cy="1301115"/>
            <wp:effectExtent l="0" t="0" r="0" b="0"/>
            <wp:wrapTopAndBottom/>
            <wp:docPr id="51852623" name="Picture 3"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3361690" cy="130111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516FA7CE" w14:textId="77777777" w:rsidR="008007DB" w:rsidRPr="001E40D3" w:rsidRDefault="008007DB" w:rsidP="008007DB"/>
    <w:p w14:paraId="43855A3C" w14:textId="77777777" w:rsidR="008007DB" w:rsidRDefault="008007DB" w:rsidP="008007DB"/>
    <w:p w14:paraId="6DE385D0" w14:textId="77777777" w:rsidR="008007DB" w:rsidRDefault="008007DB" w:rsidP="008007DB"/>
    <w:p w14:paraId="4C916A7B" w14:textId="77777777" w:rsidR="008007DB" w:rsidRDefault="008007DB" w:rsidP="008007DB"/>
    <w:p w14:paraId="01AEDC82" w14:textId="77777777" w:rsidR="008007DB" w:rsidRDefault="008007DB" w:rsidP="008007DB">
      <w:pPr>
        <w:spacing w:after="0"/>
        <w:ind w:left="730" w:hanging="370"/>
        <w:rPr>
          <w:rFonts w:ascii="Arial" w:hAnsi="Arial" w:cs="Arial"/>
          <w:sz w:val="32"/>
          <w:szCs w:val="32"/>
        </w:rPr>
      </w:pPr>
      <w:r>
        <w:rPr>
          <w:rFonts w:ascii="Arial" w:hAnsi="Arial" w:cs="Arial"/>
          <w:sz w:val="32"/>
          <w:szCs w:val="32"/>
        </w:rPr>
        <w:t xml:space="preserve">Assignment 2 title: </w:t>
      </w:r>
      <w:r w:rsidRPr="00264E46">
        <w:rPr>
          <w:rFonts w:ascii="Arial" w:hAnsi="Arial" w:cs="Arial"/>
          <w:sz w:val="32"/>
          <w:szCs w:val="32"/>
        </w:rPr>
        <w:t xml:space="preserve">Individual Report </w:t>
      </w:r>
    </w:p>
    <w:p w14:paraId="2C4E2951" w14:textId="77777777" w:rsidR="008007DB" w:rsidRDefault="008007DB" w:rsidP="008007DB">
      <w:pPr>
        <w:spacing w:after="0"/>
        <w:ind w:left="730" w:hanging="370"/>
        <w:rPr>
          <w:rFonts w:ascii="Arial" w:hAnsi="Arial" w:cs="Arial"/>
          <w:sz w:val="32"/>
          <w:szCs w:val="32"/>
        </w:rPr>
      </w:pPr>
      <w:r>
        <w:rPr>
          <w:rFonts w:ascii="Arial" w:hAnsi="Arial" w:cs="Arial"/>
          <w:sz w:val="32"/>
          <w:szCs w:val="32"/>
        </w:rPr>
        <w:t>Name: Diane Scolari</w:t>
      </w:r>
    </w:p>
    <w:p w14:paraId="4D93C3D9" w14:textId="77777777" w:rsidR="008007DB" w:rsidRDefault="008007DB" w:rsidP="008007DB">
      <w:pPr>
        <w:spacing w:after="0"/>
        <w:ind w:left="730" w:hanging="370"/>
        <w:rPr>
          <w:rFonts w:ascii="Arial" w:hAnsi="Arial" w:cs="Arial"/>
          <w:sz w:val="32"/>
          <w:szCs w:val="32"/>
        </w:rPr>
      </w:pPr>
      <w:r>
        <w:rPr>
          <w:rFonts w:ascii="Arial" w:hAnsi="Arial" w:cs="Arial"/>
          <w:sz w:val="32"/>
          <w:szCs w:val="32"/>
        </w:rPr>
        <w:t>Student Number: 2412035</w:t>
      </w:r>
    </w:p>
    <w:p w14:paraId="38CD27E3" w14:textId="77777777" w:rsidR="008007DB" w:rsidRDefault="008007DB" w:rsidP="008007DB">
      <w:pPr>
        <w:spacing w:after="0"/>
        <w:ind w:left="730" w:hanging="370"/>
        <w:rPr>
          <w:rFonts w:ascii="Arial" w:hAnsi="Arial" w:cs="Arial"/>
          <w:sz w:val="32"/>
          <w:szCs w:val="32"/>
        </w:rPr>
      </w:pPr>
      <w:r>
        <w:rPr>
          <w:rFonts w:ascii="Arial" w:hAnsi="Arial" w:cs="Arial"/>
          <w:sz w:val="32"/>
          <w:szCs w:val="32"/>
        </w:rPr>
        <w:t xml:space="preserve">Lecturer’s name: </w:t>
      </w:r>
      <w:r w:rsidRPr="001E40D3">
        <w:rPr>
          <w:rFonts w:ascii="Arial" w:hAnsi="Arial" w:cs="Arial"/>
          <w:sz w:val="32"/>
          <w:szCs w:val="32"/>
        </w:rPr>
        <w:t xml:space="preserve">Amer Kareem </w:t>
      </w:r>
    </w:p>
    <w:p w14:paraId="317FF0F4" w14:textId="77777777" w:rsidR="008007DB" w:rsidRDefault="008007DB" w:rsidP="008007DB">
      <w:pPr>
        <w:spacing w:after="0"/>
        <w:ind w:left="730" w:hanging="370"/>
        <w:rPr>
          <w:rFonts w:ascii="Arial" w:hAnsi="Arial" w:cs="Arial"/>
          <w:sz w:val="32"/>
          <w:szCs w:val="32"/>
        </w:rPr>
      </w:pPr>
      <w:r>
        <w:rPr>
          <w:rFonts w:ascii="Arial" w:hAnsi="Arial" w:cs="Arial"/>
          <w:sz w:val="32"/>
          <w:szCs w:val="32"/>
        </w:rPr>
        <w:t xml:space="preserve">Module name: </w:t>
      </w:r>
      <w:r w:rsidRPr="00264E46">
        <w:rPr>
          <w:rFonts w:ascii="Arial" w:hAnsi="Arial" w:cs="Arial"/>
          <w:sz w:val="32"/>
          <w:szCs w:val="32"/>
        </w:rPr>
        <w:t>Developing and Managing Individuals and Teams</w:t>
      </w:r>
    </w:p>
    <w:p w14:paraId="144B910B" w14:textId="77777777" w:rsidR="008007DB" w:rsidRDefault="008007DB" w:rsidP="008007DB">
      <w:pPr>
        <w:spacing w:after="0"/>
        <w:ind w:left="730" w:hanging="370"/>
        <w:rPr>
          <w:rFonts w:ascii="Arial" w:hAnsi="Arial" w:cs="Arial"/>
          <w:sz w:val="32"/>
          <w:szCs w:val="32"/>
        </w:rPr>
      </w:pPr>
      <w:r>
        <w:rPr>
          <w:rFonts w:ascii="Arial" w:hAnsi="Arial" w:cs="Arial"/>
          <w:sz w:val="32"/>
          <w:szCs w:val="32"/>
        </w:rPr>
        <w:t xml:space="preserve">Module code: </w:t>
      </w:r>
      <w:r w:rsidRPr="001E40D3">
        <w:rPr>
          <w:rFonts w:ascii="Arial" w:hAnsi="Arial" w:cs="Arial"/>
          <w:sz w:val="32"/>
          <w:szCs w:val="32"/>
        </w:rPr>
        <w:t>LCLM5002</w:t>
      </w:r>
      <w:r>
        <w:rPr>
          <w:rFonts w:ascii="Arial" w:hAnsi="Arial" w:cs="Arial"/>
          <w:sz w:val="32"/>
          <w:szCs w:val="32"/>
        </w:rPr>
        <w:t xml:space="preserve"> </w:t>
      </w:r>
    </w:p>
    <w:p w14:paraId="320802A7" w14:textId="77777777" w:rsidR="008007DB" w:rsidRPr="001E40D3" w:rsidRDefault="008007DB" w:rsidP="008007DB"/>
    <w:p w14:paraId="785A8839" w14:textId="77777777" w:rsidR="008007DB" w:rsidRPr="001E40D3" w:rsidRDefault="008007DB" w:rsidP="008007DB"/>
    <w:p w14:paraId="4428DE74" w14:textId="77777777" w:rsidR="008007DB" w:rsidRPr="001E40D3" w:rsidRDefault="008007DB" w:rsidP="008007DB"/>
    <w:p w14:paraId="6EEAE9C5" w14:textId="77777777" w:rsidR="008007DB" w:rsidRDefault="008007DB" w:rsidP="008007DB"/>
    <w:p w14:paraId="45171E68" w14:textId="77777777" w:rsidR="008007DB" w:rsidRDefault="008007DB" w:rsidP="008007DB"/>
    <w:p w14:paraId="22F64EBB" w14:textId="77777777" w:rsidR="008007DB" w:rsidRDefault="008007DB" w:rsidP="008007DB"/>
    <w:p w14:paraId="5E371254" w14:textId="77777777" w:rsidR="008007DB" w:rsidRDefault="008007DB" w:rsidP="008007DB"/>
    <w:p w14:paraId="01C71BC7" w14:textId="77777777" w:rsidR="008007DB" w:rsidRDefault="008007DB" w:rsidP="008007DB"/>
    <w:p w14:paraId="4E814D0D" w14:textId="77777777" w:rsidR="008007DB" w:rsidRDefault="008007DB" w:rsidP="008007DB"/>
    <w:p w14:paraId="5175C88F" w14:textId="77777777" w:rsidR="008007DB" w:rsidRDefault="008007DB" w:rsidP="008007DB"/>
    <w:p w14:paraId="2E9C08D1" w14:textId="77777777" w:rsidR="008007DB" w:rsidRDefault="008007DB" w:rsidP="008007DB"/>
    <w:p w14:paraId="330AFEDC" w14:textId="77777777" w:rsidR="008007DB" w:rsidRDefault="008007DB" w:rsidP="008007DB"/>
    <w:p w14:paraId="47E01BF5" w14:textId="77777777" w:rsidR="008007DB" w:rsidRDefault="008007DB" w:rsidP="008007DB">
      <w:pPr>
        <w:rPr>
          <w:rFonts w:ascii="Arial" w:hAnsi="Arial" w:cs="Arial"/>
          <w:b/>
          <w:bCs/>
        </w:rPr>
      </w:pPr>
    </w:p>
    <w:p w14:paraId="7B9D5E44" w14:textId="77777777" w:rsidR="008007DB" w:rsidRPr="005705F2" w:rsidRDefault="008007DB" w:rsidP="008007DB">
      <w:pPr>
        <w:rPr>
          <w:rFonts w:ascii="Arial" w:hAnsi="Arial" w:cs="Arial"/>
          <w:b/>
          <w:bCs/>
        </w:rPr>
      </w:pPr>
      <w:r w:rsidRPr="005705F2">
        <w:rPr>
          <w:rFonts w:ascii="Arial" w:hAnsi="Arial" w:cs="Arial"/>
          <w:b/>
          <w:bCs/>
        </w:rPr>
        <w:lastRenderedPageBreak/>
        <w:t>TABLE CONTENT</w:t>
      </w:r>
    </w:p>
    <w:p w14:paraId="5F3655DB" w14:textId="77777777" w:rsidR="008007DB" w:rsidRPr="002D3850" w:rsidRDefault="008007DB" w:rsidP="008007DB">
      <w:pPr>
        <w:spacing w:line="360" w:lineRule="auto"/>
        <w:rPr>
          <w:rFonts w:ascii="Arial" w:hAnsi="Arial" w:cs="Arial"/>
          <w:b/>
          <w:bCs/>
          <w:sz w:val="22"/>
          <w:szCs w:val="22"/>
        </w:rPr>
      </w:pPr>
      <w:r w:rsidRPr="002D3850">
        <w:rPr>
          <w:rFonts w:ascii="Arial" w:hAnsi="Arial" w:cs="Arial"/>
          <w:b/>
          <w:bCs/>
          <w:sz w:val="22"/>
          <w:szCs w:val="22"/>
        </w:rPr>
        <w:t>Introduction</w:t>
      </w:r>
    </w:p>
    <w:p w14:paraId="428895D7" w14:textId="77777777" w:rsidR="008007DB" w:rsidRPr="002D3850" w:rsidRDefault="008007DB" w:rsidP="008007DB">
      <w:pPr>
        <w:spacing w:line="360" w:lineRule="auto"/>
        <w:rPr>
          <w:rFonts w:ascii="Arial" w:hAnsi="Arial" w:cs="Arial"/>
          <w:b/>
          <w:bCs/>
          <w:sz w:val="22"/>
          <w:szCs w:val="22"/>
        </w:rPr>
      </w:pPr>
      <w:r w:rsidRPr="002D3850">
        <w:rPr>
          <w:rFonts w:ascii="Arial" w:hAnsi="Arial" w:cs="Arial"/>
          <w:b/>
          <w:bCs/>
          <w:sz w:val="22"/>
          <w:szCs w:val="22"/>
        </w:rPr>
        <w:t>1. Explanation of Key Factors</w:t>
      </w:r>
    </w:p>
    <w:p w14:paraId="0CE9266F" w14:textId="77777777" w:rsidR="008007DB" w:rsidRPr="002D3850" w:rsidRDefault="008007DB" w:rsidP="008007DB">
      <w:pPr>
        <w:spacing w:line="360" w:lineRule="auto"/>
        <w:rPr>
          <w:rFonts w:ascii="Arial" w:hAnsi="Arial" w:cs="Arial"/>
          <w:sz w:val="22"/>
          <w:szCs w:val="22"/>
        </w:rPr>
      </w:pPr>
      <w:r w:rsidRPr="002D3850">
        <w:rPr>
          <w:rFonts w:ascii="Arial" w:hAnsi="Arial" w:cs="Arial"/>
          <w:sz w:val="22"/>
          <w:szCs w:val="22"/>
        </w:rPr>
        <w:t xml:space="preserve">   1.1 Adapting to Technological Advancements</w:t>
      </w:r>
    </w:p>
    <w:p w14:paraId="6774352E" w14:textId="77777777" w:rsidR="008007DB" w:rsidRPr="002D3850" w:rsidRDefault="008007DB" w:rsidP="008007DB">
      <w:pPr>
        <w:pStyle w:val="ListParagraph"/>
        <w:numPr>
          <w:ilvl w:val="0"/>
          <w:numId w:val="1"/>
        </w:numPr>
        <w:spacing w:line="360" w:lineRule="auto"/>
        <w:rPr>
          <w:rFonts w:ascii="Arial" w:hAnsi="Arial" w:cs="Arial"/>
          <w:sz w:val="22"/>
          <w:szCs w:val="22"/>
        </w:rPr>
      </w:pPr>
      <w:r w:rsidRPr="002D3850">
        <w:rPr>
          <w:rFonts w:ascii="Arial" w:hAnsi="Arial" w:cs="Arial"/>
          <w:sz w:val="22"/>
          <w:szCs w:val="22"/>
        </w:rPr>
        <w:t>Figure 1: Lewin's Change Management Model (Unfreeze → Change → Refreeze).</w:t>
      </w:r>
    </w:p>
    <w:p w14:paraId="70292323" w14:textId="77777777" w:rsidR="008007DB" w:rsidRPr="002D3850" w:rsidRDefault="008007DB" w:rsidP="008007DB">
      <w:pPr>
        <w:spacing w:line="360" w:lineRule="auto"/>
        <w:rPr>
          <w:rFonts w:ascii="Arial" w:hAnsi="Arial" w:cs="Arial"/>
          <w:sz w:val="22"/>
          <w:szCs w:val="22"/>
        </w:rPr>
      </w:pPr>
      <w:r w:rsidRPr="002D3850">
        <w:rPr>
          <w:rFonts w:ascii="Arial" w:hAnsi="Arial" w:cs="Arial"/>
          <w:sz w:val="22"/>
          <w:szCs w:val="22"/>
        </w:rPr>
        <w:t xml:space="preserve">   1.2 Talent Acquisition and Retention</w:t>
      </w:r>
    </w:p>
    <w:p w14:paraId="7535F876" w14:textId="77777777" w:rsidR="008007DB" w:rsidRPr="002D3850" w:rsidRDefault="008007DB" w:rsidP="008007DB">
      <w:pPr>
        <w:pStyle w:val="ListParagraph"/>
        <w:numPr>
          <w:ilvl w:val="0"/>
          <w:numId w:val="1"/>
        </w:numPr>
        <w:spacing w:line="360" w:lineRule="auto"/>
        <w:rPr>
          <w:rFonts w:ascii="Arial" w:hAnsi="Arial" w:cs="Arial"/>
          <w:sz w:val="22"/>
          <w:szCs w:val="22"/>
        </w:rPr>
      </w:pPr>
      <w:r w:rsidRPr="002D3850">
        <w:rPr>
          <w:rFonts w:ascii="Arial" w:hAnsi="Arial" w:cs="Arial"/>
          <w:sz w:val="22"/>
          <w:szCs w:val="22"/>
        </w:rPr>
        <w:t>Figure 2: Herzberg's Two-Factor Theory (Hygiene Factors vs Motivators).</w:t>
      </w:r>
    </w:p>
    <w:p w14:paraId="3289C5B9" w14:textId="77777777" w:rsidR="008007DB" w:rsidRPr="002D3850" w:rsidRDefault="008007DB" w:rsidP="008007DB">
      <w:pPr>
        <w:spacing w:line="360" w:lineRule="auto"/>
        <w:rPr>
          <w:rFonts w:ascii="Arial" w:hAnsi="Arial" w:cs="Arial"/>
          <w:sz w:val="22"/>
          <w:szCs w:val="22"/>
        </w:rPr>
      </w:pPr>
      <w:r w:rsidRPr="002D3850">
        <w:rPr>
          <w:rFonts w:ascii="Arial" w:hAnsi="Arial" w:cs="Arial"/>
          <w:sz w:val="22"/>
          <w:szCs w:val="22"/>
        </w:rPr>
        <w:t xml:space="preserve">   1.3 Diversity, Equity and Inclusion (DEI)</w:t>
      </w:r>
    </w:p>
    <w:p w14:paraId="6A73119D" w14:textId="77777777" w:rsidR="008007DB" w:rsidRPr="002D3850" w:rsidRDefault="008007DB" w:rsidP="008007DB">
      <w:pPr>
        <w:spacing w:line="360" w:lineRule="auto"/>
        <w:rPr>
          <w:rFonts w:ascii="Arial" w:hAnsi="Arial" w:cs="Arial"/>
          <w:b/>
          <w:bCs/>
          <w:sz w:val="22"/>
          <w:szCs w:val="22"/>
        </w:rPr>
      </w:pPr>
      <w:r w:rsidRPr="002D3850">
        <w:rPr>
          <w:rFonts w:ascii="Arial" w:hAnsi="Arial" w:cs="Arial"/>
          <w:b/>
          <w:bCs/>
          <w:sz w:val="22"/>
          <w:szCs w:val="22"/>
        </w:rPr>
        <w:t>2. Evaluation of Contemporary HR Practices</w:t>
      </w:r>
    </w:p>
    <w:p w14:paraId="5B7791D8" w14:textId="77777777" w:rsidR="008007DB" w:rsidRPr="002D3850" w:rsidRDefault="008007DB" w:rsidP="008007DB">
      <w:pPr>
        <w:spacing w:line="360" w:lineRule="auto"/>
        <w:rPr>
          <w:rFonts w:ascii="Arial" w:hAnsi="Arial" w:cs="Arial"/>
          <w:sz w:val="22"/>
          <w:szCs w:val="22"/>
        </w:rPr>
      </w:pPr>
      <w:r w:rsidRPr="002D3850">
        <w:rPr>
          <w:rFonts w:ascii="Arial" w:hAnsi="Arial" w:cs="Arial"/>
          <w:sz w:val="22"/>
          <w:szCs w:val="22"/>
        </w:rPr>
        <w:t xml:space="preserve">   2.1 Technology</w:t>
      </w:r>
    </w:p>
    <w:p w14:paraId="1522F532" w14:textId="77777777" w:rsidR="008007DB" w:rsidRPr="002D3850" w:rsidRDefault="008007DB" w:rsidP="008007DB">
      <w:pPr>
        <w:spacing w:line="360" w:lineRule="auto"/>
        <w:rPr>
          <w:rFonts w:ascii="Arial" w:hAnsi="Arial" w:cs="Arial"/>
          <w:sz w:val="22"/>
          <w:szCs w:val="22"/>
        </w:rPr>
      </w:pPr>
      <w:r w:rsidRPr="002D3850">
        <w:rPr>
          <w:rFonts w:ascii="Arial" w:hAnsi="Arial" w:cs="Arial"/>
          <w:sz w:val="22"/>
          <w:szCs w:val="22"/>
        </w:rPr>
        <w:t xml:space="preserve">   2.2 Talent Acquisition and Retention</w:t>
      </w:r>
    </w:p>
    <w:p w14:paraId="79253DF3" w14:textId="77777777" w:rsidR="008007DB" w:rsidRPr="002D3850" w:rsidRDefault="008007DB" w:rsidP="008007DB">
      <w:pPr>
        <w:pStyle w:val="ListParagraph"/>
        <w:numPr>
          <w:ilvl w:val="0"/>
          <w:numId w:val="1"/>
        </w:numPr>
        <w:spacing w:line="360" w:lineRule="auto"/>
        <w:rPr>
          <w:rFonts w:ascii="Arial" w:hAnsi="Arial" w:cs="Arial"/>
          <w:sz w:val="22"/>
          <w:szCs w:val="22"/>
        </w:rPr>
      </w:pPr>
      <w:r w:rsidRPr="002D3850">
        <w:rPr>
          <w:rFonts w:ascii="Arial" w:hAnsi="Arial" w:cs="Arial"/>
          <w:sz w:val="22"/>
          <w:szCs w:val="22"/>
        </w:rPr>
        <w:t>Figure 4 – Employee Lifecycle</w:t>
      </w:r>
    </w:p>
    <w:p w14:paraId="24C69BB9" w14:textId="77777777" w:rsidR="008007DB" w:rsidRPr="002D3850" w:rsidRDefault="008007DB" w:rsidP="008007DB">
      <w:pPr>
        <w:spacing w:line="360" w:lineRule="auto"/>
        <w:rPr>
          <w:rFonts w:ascii="Arial" w:hAnsi="Arial" w:cs="Arial"/>
          <w:sz w:val="22"/>
          <w:szCs w:val="22"/>
        </w:rPr>
      </w:pPr>
      <w:r w:rsidRPr="002D3850">
        <w:rPr>
          <w:rFonts w:ascii="Arial" w:hAnsi="Arial" w:cs="Arial"/>
          <w:sz w:val="22"/>
          <w:szCs w:val="22"/>
        </w:rPr>
        <w:t xml:space="preserve">   2.3 Diversity, Equity and Inclusion (DEI)</w:t>
      </w:r>
    </w:p>
    <w:p w14:paraId="7250D934" w14:textId="77777777" w:rsidR="008007DB" w:rsidRPr="002D3850" w:rsidRDefault="008007DB" w:rsidP="008007DB">
      <w:pPr>
        <w:spacing w:line="360" w:lineRule="auto"/>
        <w:rPr>
          <w:rFonts w:ascii="Arial" w:hAnsi="Arial" w:cs="Arial"/>
          <w:b/>
          <w:bCs/>
          <w:sz w:val="22"/>
          <w:szCs w:val="22"/>
        </w:rPr>
      </w:pPr>
      <w:r w:rsidRPr="002D3850">
        <w:rPr>
          <w:rFonts w:ascii="Arial" w:hAnsi="Arial" w:cs="Arial"/>
          <w:b/>
          <w:bCs/>
          <w:sz w:val="22"/>
          <w:szCs w:val="22"/>
        </w:rPr>
        <w:t>3. Critical Evaluation of Managerial Implementation</w:t>
      </w:r>
    </w:p>
    <w:p w14:paraId="22A9874B" w14:textId="77777777" w:rsidR="008007DB" w:rsidRPr="002D3850" w:rsidRDefault="008007DB" w:rsidP="008007DB">
      <w:pPr>
        <w:spacing w:line="360" w:lineRule="auto"/>
        <w:rPr>
          <w:rFonts w:ascii="Arial" w:hAnsi="Arial" w:cs="Arial"/>
          <w:sz w:val="22"/>
          <w:szCs w:val="22"/>
        </w:rPr>
      </w:pPr>
      <w:r w:rsidRPr="002D3850">
        <w:rPr>
          <w:rFonts w:ascii="Arial" w:hAnsi="Arial" w:cs="Arial"/>
          <w:sz w:val="22"/>
          <w:szCs w:val="22"/>
        </w:rPr>
        <w:t xml:space="preserve">   3.1 Leadership Accountability</w:t>
      </w:r>
    </w:p>
    <w:p w14:paraId="5CB81532" w14:textId="77777777" w:rsidR="008007DB" w:rsidRPr="002D3850" w:rsidRDefault="008007DB" w:rsidP="008007DB">
      <w:pPr>
        <w:pStyle w:val="ListParagraph"/>
        <w:numPr>
          <w:ilvl w:val="0"/>
          <w:numId w:val="1"/>
        </w:numPr>
        <w:spacing w:line="360" w:lineRule="auto"/>
        <w:rPr>
          <w:rFonts w:ascii="Arial" w:hAnsi="Arial" w:cs="Arial"/>
          <w:sz w:val="22"/>
          <w:szCs w:val="22"/>
        </w:rPr>
      </w:pPr>
      <w:r w:rsidRPr="002D3850">
        <w:rPr>
          <w:rFonts w:ascii="Arial" w:hAnsi="Arial" w:cs="Arial"/>
          <w:sz w:val="22"/>
          <w:szCs w:val="22"/>
        </w:rPr>
        <w:t>Figure 2 – Kotter's 8-Step Change Model</w:t>
      </w:r>
    </w:p>
    <w:p w14:paraId="1D120DE9" w14:textId="77777777" w:rsidR="008007DB" w:rsidRPr="002D3850" w:rsidRDefault="008007DB" w:rsidP="008007DB">
      <w:pPr>
        <w:spacing w:line="360" w:lineRule="auto"/>
        <w:rPr>
          <w:rFonts w:ascii="Arial" w:hAnsi="Arial" w:cs="Arial"/>
          <w:sz w:val="22"/>
          <w:szCs w:val="22"/>
        </w:rPr>
      </w:pPr>
      <w:r w:rsidRPr="002D3850">
        <w:rPr>
          <w:rFonts w:ascii="Arial" w:hAnsi="Arial" w:cs="Arial"/>
          <w:sz w:val="22"/>
          <w:szCs w:val="22"/>
        </w:rPr>
        <w:t xml:space="preserve">   3.2 Communication Strategies</w:t>
      </w:r>
    </w:p>
    <w:p w14:paraId="58AC68F4" w14:textId="77777777" w:rsidR="008007DB" w:rsidRPr="002D3850" w:rsidRDefault="008007DB" w:rsidP="008007DB">
      <w:pPr>
        <w:spacing w:line="360" w:lineRule="auto"/>
        <w:rPr>
          <w:rFonts w:ascii="Arial" w:hAnsi="Arial" w:cs="Arial"/>
          <w:sz w:val="22"/>
          <w:szCs w:val="22"/>
        </w:rPr>
      </w:pPr>
      <w:r w:rsidRPr="002D3850">
        <w:rPr>
          <w:rFonts w:ascii="Arial" w:hAnsi="Arial" w:cs="Arial"/>
          <w:sz w:val="22"/>
          <w:szCs w:val="22"/>
        </w:rPr>
        <w:t xml:space="preserve">   3.3 Monitoring and Performance Measurement</w:t>
      </w:r>
    </w:p>
    <w:p w14:paraId="69433327" w14:textId="77777777" w:rsidR="008007DB" w:rsidRPr="002D3850" w:rsidRDefault="008007DB" w:rsidP="008007DB">
      <w:pPr>
        <w:spacing w:line="360" w:lineRule="auto"/>
        <w:rPr>
          <w:rFonts w:ascii="Arial" w:hAnsi="Arial" w:cs="Arial"/>
          <w:sz w:val="22"/>
          <w:szCs w:val="22"/>
        </w:rPr>
      </w:pPr>
      <w:r w:rsidRPr="002D3850">
        <w:rPr>
          <w:rFonts w:ascii="Arial" w:hAnsi="Arial" w:cs="Arial"/>
          <w:sz w:val="22"/>
          <w:szCs w:val="22"/>
        </w:rPr>
        <w:t xml:space="preserve">   3.4 Organisational Culture</w:t>
      </w:r>
    </w:p>
    <w:p w14:paraId="520E4931" w14:textId="77777777" w:rsidR="008007DB" w:rsidRPr="002D3850" w:rsidRDefault="008007DB" w:rsidP="008007DB">
      <w:pPr>
        <w:pStyle w:val="ListParagraph"/>
        <w:numPr>
          <w:ilvl w:val="0"/>
          <w:numId w:val="1"/>
        </w:numPr>
        <w:spacing w:line="360" w:lineRule="auto"/>
        <w:rPr>
          <w:rFonts w:ascii="Arial" w:hAnsi="Arial" w:cs="Arial"/>
          <w:sz w:val="22"/>
          <w:szCs w:val="22"/>
        </w:rPr>
      </w:pPr>
      <w:r w:rsidRPr="002D3850">
        <w:rPr>
          <w:rFonts w:ascii="Arial" w:hAnsi="Arial" w:cs="Arial"/>
          <w:sz w:val="22"/>
          <w:szCs w:val="22"/>
        </w:rPr>
        <w:t>Figure 3 – McKinsey 7S Framework</w:t>
      </w:r>
    </w:p>
    <w:p w14:paraId="091AB778" w14:textId="77777777" w:rsidR="008007DB" w:rsidRPr="002D3850" w:rsidRDefault="008007DB" w:rsidP="008007DB">
      <w:pPr>
        <w:spacing w:line="360" w:lineRule="auto"/>
        <w:rPr>
          <w:rFonts w:ascii="Arial" w:hAnsi="Arial" w:cs="Arial"/>
          <w:sz w:val="22"/>
          <w:szCs w:val="22"/>
        </w:rPr>
      </w:pPr>
      <w:r w:rsidRPr="002D3850">
        <w:rPr>
          <w:rFonts w:ascii="Arial" w:hAnsi="Arial" w:cs="Arial"/>
          <w:sz w:val="22"/>
          <w:szCs w:val="22"/>
        </w:rPr>
        <w:t xml:space="preserve">   3.5 Barriers and Solutions</w:t>
      </w:r>
    </w:p>
    <w:p w14:paraId="60FD21D3" w14:textId="77777777" w:rsidR="008007DB" w:rsidRPr="002D3850" w:rsidRDefault="008007DB" w:rsidP="008007DB">
      <w:pPr>
        <w:spacing w:line="360" w:lineRule="auto"/>
        <w:rPr>
          <w:rFonts w:ascii="Arial" w:hAnsi="Arial" w:cs="Arial"/>
          <w:b/>
          <w:bCs/>
          <w:sz w:val="22"/>
          <w:szCs w:val="22"/>
        </w:rPr>
      </w:pPr>
      <w:r w:rsidRPr="002D3850">
        <w:rPr>
          <w:rFonts w:ascii="Arial" w:hAnsi="Arial" w:cs="Arial"/>
          <w:sz w:val="22"/>
          <w:szCs w:val="22"/>
        </w:rPr>
        <w:t xml:space="preserve"> </w:t>
      </w:r>
      <w:r w:rsidRPr="002D3850">
        <w:rPr>
          <w:rFonts w:ascii="Arial" w:hAnsi="Arial" w:cs="Arial"/>
          <w:b/>
          <w:bCs/>
          <w:sz w:val="22"/>
          <w:szCs w:val="22"/>
        </w:rPr>
        <w:t xml:space="preserve"> Conclusion</w:t>
      </w:r>
    </w:p>
    <w:p w14:paraId="6A07946F" w14:textId="77777777" w:rsidR="008007DB" w:rsidRPr="002D3850" w:rsidRDefault="008007DB" w:rsidP="008007DB">
      <w:pPr>
        <w:spacing w:line="360" w:lineRule="auto"/>
        <w:rPr>
          <w:rFonts w:ascii="Arial" w:hAnsi="Arial" w:cs="Arial"/>
          <w:b/>
          <w:bCs/>
          <w:sz w:val="22"/>
          <w:szCs w:val="22"/>
        </w:rPr>
      </w:pPr>
      <w:r w:rsidRPr="002D3850">
        <w:rPr>
          <w:rFonts w:ascii="Arial" w:hAnsi="Arial" w:cs="Arial"/>
          <w:b/>
          <w:bCs/>
          <w:sz w:val="22"/>
          <w:szCs w:val="22"/>
        </w:rPr>
        <w:t xml:space="preserve">  Recommendations</w:t>
      </w:r>
    </w:p>
    <w:p w14:paraId="3FD65F09" w14:textId="77777777" w:rsidR="008007DB" w:rsidRPr="002D3850" w:rsidRDefault="008007DB" w:rsidP="008007DB">
      <w:pPr>
        <w:spacing w:line="360" w:lineRule="auto"/>
        <w:rPr>
          <w:rFonts w:ascii="Arial" w:hAnsi="Arial" w:cs="Arial"/>
          <w:b/>
          <w:bCs/>
          <w:sz w:val="22"/>
          <w:szCs w:val="22"/>
        </w:rPr>
      </w:pPr>
      <w:r w:rsidRPr="002D3850">
        <w:rPr>
          <w:rFonts w:ascii="Arial" w:hAnsi="Arial" w:cs="Arial"/>
          <w:b/>
          <w:bCs/>
          <w:sz w:val="22"/>
          <w:szCs w:val="22"/>
        </w:rPr>
        <w:t>Appendix A</w:t>
      </w:r>
    </w:p>
    <w:p w14:paraId="1E08A7A6" w14:textId="77777777" w:rsidR="008007DB" w:rsidRPr="002D3850" w:rsidRDefault="008007DB" w:rsidP="008007DB">
      <w:pPr>
        <w:spacing w:line="360" w:lineRule="auto"/>
        <w:rPr>
          <w:rFonts w:ascii="Arial" w:hAnsi="Arial" w:cs="Arial"/>
          <w:b/>
          <w:bCs/>
          <w:sz w:val="22"/>
          <w:szCs w:val="22"/>
        </w:rPr>
      </w:pPr>
      <w:r w:rsidRPr="002D3850">
        <w:rPr>
          <w:rFonts w:ascii="Arial" w:hAnsi="Arial" w:cs="Arial"/>
          <w:b/>
          <w:bCs/>
          <w:sz w:val="22"/>
          <w:szCs w:val="22"/>
        </w:rPr>
        <w:t xml:space="preserve">Appendix B </w:t>
      </w:r>
    </w:p>
    <w:p w14:paraId="4D145ACE" w14:textId="77777777" w:rsidR="008007DB" w:rsidRPr="002D3850" w:rsidRDefault="008007DB" w:rsidP="008007DB">
      <w:pPr>
        <w:spacing w:line="360" w:lineRule="auto"/>
        <w:rPr>
          <w:rFonts w:ascii="Arial" w:hAnsi="Arial" w:cs="Arial"/>
          <w:b/>
          <w:bCs/>
          <w:sz w:val="22"/>
          <w:szCs w:val="22"/>
        </w:rPr>
      </w:pPr>
      <w:r w:rsidRPr="002D3850">
        <w:rPr>
          <w:rFonts w:ascii="Arial" w:hAnsi="Arial" w:cs="Arial"/>
          <w:b/>
          <w:bCs/>
          <w:sz w:val="22"/>
          <w:szCs w:val="22"/>
        </w:rPr>
        <w:t>References</w:t>
      </w:r>
    </w:p>
    <w:p w14:paraId="355C7B06" w14:textId="77777777" w:rsidR="008007DB" w:rsidRPr="002D3850" w:rsidRDefault="008007DB" w:rsidP="00867781">
      <w:pPr>
        <w:rPr>
          <w:rFonts w:ascii="Arial" w:hAnsi="Arial" w:cs="Arial"/>
          <w:b/>
          <w:bCs/>
        </w:rPr>
      </w:pPr>
    </w:p>
    <w:p w14:paraId="3514EC58" w14:textId="22959617" w:rsidR="00867781" w:rsidRPr="002D3850" w:rsidRDefault="00867781" w:rsidP="00867781">
      <w:pPr>
        <w:rPr>
          <w:rFonts w:ascii="Arial" w:hAnsi="Arial" w:cs="Arial"/>
          <w:b/>
          <w:bCs/>
        </w:rPr>
      </w:pPr>
      <w:r w:rsidRPr="002D3850">
        <w:rPr>
          <w:rFonts w:ascii="Arial" w:hAnsi="Arial" w:cs="Arial"/>
          <w:b/>
          <w:bCs/>
        </w:rPr>
        <w:t>1.1 Adapting to Technological Advancements</w:t>
      </w:r>
    </w:p>
    <w:p w14:paraId="11DCFB4F" w14:textId="77777777" w:rsidR="00CD6AF0" w:rsidRPr="002D3850" w:rsidRDefault="00CD6AF0" w:rsidP="00867781">
      <w:pPr>
        <w:rPr>
          <w:rFonts w:ascii="Arial" w:hAnsi="Arial" w:cs="Arial"/>
          <w:b/>
          <w:bCs/>
        </w:rPr>
      </w:pPr>
    </w:p>
    <w:p w14:paraId="091E7B74" w14:textId="7FCF1575" w:rsidR="00CD6AF0" w:rsidRPr="002D3850" w:rsidRDefault="00CD6AF0" w:rsidP="00CD6AF0">
      <w:pPr>
        <w:spacing w:line="360" w:lineRule="auto"/>
        <w:rPr>
          <w:rFonts w:ascii="Arial" w:hAnsi="Arial" w:cs="Arial"/>
        </w:rPr>
      </w:pPr>
      <w:r w:rsidRPr="002D3850">
        <w:rPr>
          <w:rFonts w:ascii="Arial" w:hAnsi="Arial" w:cs="Arial"/>
        </w:rPr>
        <w:t>Rapid technological innovation is transforming organisational operations, making digital transformation essential for AMFRESH to remain competitive (Armstrong, 2023). Technologies such as automation, Artificial Intelligence (AI) and Digital HR systems can improve efficiency, productivity and decision-making. However, successful implementation depends on effective change management, employee training and continuous support. Lewin's Change Model highlights the importance of preparing employees for change, supporting implementation and reinforcing new practices. Although digital technologies offer significant benefits, their success depends on employee engagement, clear communication and a culture of continuous learning. Therefore, AMFRESH should balance technological investment with workforce development to achieve sustainable organisational performance.</w:t>
      </w:r>
    </w:p>
    <w:p w14:paraId="031F3934" w14:textId="0D59C950" w:rsidR="00867781" w:rsidRPr="002D3850" w:rsidRDefault="00867781" w:rsidP="00CD6AF0">
      <w:pPr>
        <w:spacing w:line="360" w:lineRule="auto"/>
        <w:jc w:val="center"/>
        <w:rPr>
          <w:rFonts w:ascii="Arial" w:hAnsi="Arial" w:cs="Arial"/>
        </w:rPr>
      </w:pPr>
      <w:r w:rsidRPr="002D3850">
        <w:rPr>
          <w:rFonts w:ascii="Arial" w:hAnsi="Arial" w:cs="Arial"/>
        </w:rPr>
        <w:drawing>
          <wp:inline distT="0" distB="0" distL="0" distR="0" wp14:anchorId="0B5C458B" wp14:editId="0D8E582C">
            <wp:extent cx="4438650" cy="3124200"/>
            <wp:effectExtent l="0" t="0" r="0" b="0"/>
            <wp:docPr id="3059693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38650" cy="3124200"/>
                    </a:xfrm>
                    <a:prstGeom prst="rect">
                      <a:avLst/>
                    </a:prstGeom>
                    <a:noFill/>
                    <a:ln>
                      <a:noFill/>
                    </a:ln>
                  </pic:spPr>
                </pic:pic>
              </a:graphicData>
            </a:graphic>
          </wp:inline>
        </w:drawing>
      </w:r>
    </w:p>
    <w:p w14:paraId="5FE2420D" w14:textId="488CCA38" w:rsidR="00867781" w:rsidRPr="002D3850" w:rsidRDefault="00867781" w:rsidP="00867781">
      <w:pPr>
        <w:spacing w:line="360" w:lineRule="auto"/>
        <w:rPr>
          <w:rFonts w:ascii="Arial" w:hAnsi="Arial" w:cs="Arial"/>
        </w:rPr>
      </w:pPr>
    </w:p>
    <w:p w14:paraId="300FEED9" w14:textId="77777777" w:rsidR="00867781" w:rsidRPr="002D3850" w:rsidRDefault="00867781" w:rsidP="00867781">
      <w:pPr>
        <w:spacing w:line="360" w:lineRule="auto"/>
        <w:rPr>
          <w:rFonts w:ascii="Arial" w:hAnsi="Arial" w:cs="Arial"/>
        </w:rPr>
      </w:pPr>
    </w:p>
    <w:p w14:paraId="44DF6969" w14:textId="77777777" w:rsidR="00867781" w:rsidRPr="002D3850" w:rsidRDefault="00867781" w:rsidP="00867781">
      <w:pPr>
        <w:spacing w:line="360" w:lineRule="auto"/>
        <w:rPr>
          <w:rFonts w:ascii="Arial" w:hAnsi="Arial" w:cs="Arial"/>
        </w:rPr>
      </w:pPr>
    </w:p>
    <w:p w14:paraId="14C3CFCC" w14:textId="77777777" w:rsidR="00CD6AF0" w:rsidRPr="002D3850" w:rsidRDefault="00CD6AF0" w:rsidP="00867781">
      <w:pPr>
        <w:spacing w:line="360" w:lineRule="auto"/>
        <w:rPr>
          <w:rFonts w:ascii="Arial" w:hAnsi="Arial" w:cs="Arial"/>
        </w:rPr>
      </w:pPr>
    </w:p>
    <w:p w14:paraId="6A31F2F0" w14:textId="3636220D" w:rsidR="00867781" w:rsidRPr="002D3850" w:rsidRDefault="00867781" w:rsidP="00867781">
      <w:pPr>
        <w:spacing w:line="360" w:lineRule="auto"/>
        <w:rPr>
          <w:rFonts w:ascii="Arial" w:hAnsi="Arial" w:cs="Arial"/>
        </w:rPr>
      </w:pPr>
      <w:r w:rsidRPr="002D3850">
        <w:rPr>
          <w:rFonts w:ascii="Arial" w:hAnsi="Arial" w:cs="Arial"/>
        </w:rPr>
        <w:lastRenderedPageBreak/>
        <w:t>Digital HR systems have redefined the scope of human resource management by shifting key activities—such as recruitment, training, performance assessment, and personnel record-keeping—into virtual environments. A critical review suggests that technological progress is not inherently beneficial; rather, the organisational context and the strategies adopted to manage change ultimately determine the return on investment. For AMFRESH, the imperative lies in balancing efficiency gains with a commitment to inclusive development, ensuring that technological advancements enhance both organisational performance and employee well-being in a constantly evolving business landscape.</w:t>
      </w:r>
    </w:p>
    <w:p w14:paraId="1941D0FC" w14:textId="0018EF43" w:rsidR="00867781" w:rsidRPr="002D3850" w:rsidRDefault="00867781" w:rsidP="00867781">
      <w:pPr>
        <w:spacing w:line="360" w:lineRule="auto"/>
        <w:rPr>
          <w:rFonts w:ascii="Arial" w:hAnsi="Arial" w:cs="Arial"/>
          <w:b/>
          <w:bCs/>
        </w:rPr>
      </w:pPr>
      <w:r w:rsidRPr="002D3850">
        <w:rPr>
          <w:rFonts w:ascii="Arial" w:hAnsi="Arial" w:cs="Arial"/>
          <w:b/>
          <w:bCs/>
        </w:rPr>
        <w:t>1.2 Talent Acquisition and Retention</w:t>
      </w:r>
    </w:p>
    <w:p w14:paraId="33EC8A3E" w14:textId="3A6F1254" w:rsidR="00CD6AF0" w:rsidRPr="002D3850" w:rsidRDefault="00CD6AF0" w:rsidP="00867781">
      <w:pPr>
        <w:spacing w:line="360" w:lineRule="auto"/>
        <w:rPr>
          <w:rFonts w:ascii="Arial" w:hAnsi="Arial" w:cs="Arial"/>
        </w:rPr>
      </w:pPr>
      <w:r w:rsidRPr="002D3850">
        <w:rPr>
          <w:rFonts w:ascii="Arial" w:hAnsi="Arial" w:cs="Arial"/>
        </w:rPr>
        <w:t>Attracting and retaining skilled employees is a major challenge for AMFRESH, as competition for talent continues to increase. Employee engagement and career development improve retention and reduce turnover (Bratton and Gold, 2023). High employee turnover increases recruitment costs, reduces productivity and results in the loss of valuable organisational knowledge. Employer branding, training and career development can strengthen employee retention. Herzberg's Two-Factor Theory suggests that long-term motivation depends not only on competitive pay but also on recognition, achievement and career progression. Therefore, AMFRESH should combine financial rewards with employee development to improve retention and support long-term organisational performance.</w:t>
      </w:r>
    </w:p>
    <w:p w14:paraId="53B44F87" w14:textId="307EDE52" w:rsidR="00867781" w:rsidRPr="002D3850" w:rsidRDefault="00867781" w:rsidP="00867781">
      <w:pPr>
        <w:spacing w:line="360" w:lineRule="auto"/>
        <w:jc w:val="center"/>
        <w:rPr>
          <w:rFonts w:ascii="Arial" w:hAnsi="Arial" w:cs="Arial"/>
        </w:rPr>
      </w:pPr>
      <w:r w:rsidRPr="002D3850">
        <w:rPr>
          <w:rFonts w:ascii="Arial" w:hAnsi="Arial" w:cs="Arial"/>
        </w:rPr>
        <w:drawing>
          <wp:inline distT="0" distB="0" distL="0" distR="0" wp14:anchorId="6DE4A8B4" wp14:editId="7EA75B4D">
            <wp:extent cx="4387741" cy="2921000"/>
            <wp:effectExtent l="0" t="0" r="0" b="0"/>
            <wp:docPr id="14163597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47349" cy="2960682"/>
                    </a:xfrm>
                    <a:prstGeom prst="rect">
                      <a:avLst/>
                    </a:prstGeom>
                    <a:noFill/>
                    <a:ln>
                      <a:noFill/>
                    </a:ln>
                  </pic:spPr>
                </pic:pic>
              </a:graphicData>
            </a:graphic>
          </wp:inline>
        </w:drawing>
      </w:r>
    </w:p>
    <w:p w14:paraId="283EC422" w14:textId="77777777" w:rsidR="00867781" w:rsidRPr="002D3850" w:rsidRDefault="00867781" w:rsidP="00867781">
      <w:pPr>
        <w:spacing w:line="360" w:lineRule="auto"/>
        <w:rPr>
          <w:rFonts w:ascii="Arial" w:hAnsi="Arial" w:cs="Arial"/>
          <w:b/>
          <w:bCs/>
        </w:rPr>
      </w:pPr>
    </w:p>
    <w:p w14:paraId="475BD212" w14:textId="7DF6640C" w:rsidR="00867781" w:rsidRPr="002D3850" w:rsidRDefault="00867781" w:rsidP="00867781">
      <w:pPr>
        <w:spacing w:line="360" w:lineRule="auto"/>
        <w:rPr>
          <w:rFonts w:ascii="Arial" w:hAnsi="Arial" w:cs="Arial"/>
        </w:rPr>
      </w:pPr>
      <w:r w:rsidRPr="002D3850">
        <w:rPr>
          <w:rFonts w:ascii="Arial" w:hAnsi="Arial" w:cs="Arial"/>
          <w:b/>
          <w:bCs/>
        </w:rPr>
        <w:lastRenderedPageBreak/>
        <w:t>1.3 Diversity, Equity and Inclusion (DEI)</w:t>
      </w:r>
    </w:p>
    <w:p w14:paraId="2896E930" w14:textId="77777777" w:rsidR="00867781" w:rsidRPr="002D3850" w:rsidRDefault="00867781" w:rsidP="00867781">
      <w:pPr>
        <w:spacing w:line="360" w:lineRule="auto"/>
        <w:rPr>
          <w:rFonts w:ascii="Arial" w:hAnsi="Arial" w:cs="Arial"/>
        </w:rPr>
      </w:pPr>
      <w:r w:rsidRPr="002D3850">
        <w:rPr>
          <w:rFonts w:ascii="Arial" w:hAnsi="Arial" w:cs="Arial"/>
        </w:rPr>
        <w:t>Diversity, Equity and Inclusion (DEI) is becoming increasingly important in the workplace. At AMFRESH, employees come from different countries, cultures, and backgrounds. Creating an inclusive working environment helps everyone feel respected and valued.</w:t>
      </w:r>
    </w:p>
    <w:p w14:paraId="407C9873" w14:textId="77777777" w:rsidR="00867781" w:rsidRPr="002D3850" w:rsidRDefault="00867781" w:rsidP="00867781">
      <w:pPr>
        <w:spacing w:line="360" w:lineRule="auto"/>
        <w:rPr>
          <w:rFonts w:ascii="Arial" w:hAnsi="Arial" w:cs="Arial"/>
        </w:rPr>
      </w:pPr>
      <w:r w:rsidRPr="002D3850">
        <w:rPr>
          <w:rFonts w:ascii="Arial" w:hAnsi="Arial" w:cs="Arial"/>
        </w:rPr>
        <w:t>Providing equal opportunities means that employees are treated equally regardless of their age, gender, ethnicity, disability, or background. An inclusive workplace encourages employees to share ideas and work together more effectively.</w:t>
      </w:r>
    </w:p>
    <w:p w14:paraId="06F14E98" w14:textId="77777777" w:rsidR="00867781" w:rsidRPr="002D3850" w:rsidRDefault="00867781" w:rsidP="00867781">
      <w:pPr>
        <w:spacing w:line="360" w:lineRule="auto"/>
        <w:rPr>
          <w:rFonts w:ascii="Arial" w:hAnsi="Arial" w:cs="Arial"/>
        </w:rPr>
      </w:pPr>
      <w:r w:rsidRPr="002D3850">
        <w:rPr>
          <w:rFonts w:ascii="Arial" w:hAnsi="Arial" w:cs="Arial"/>
        </w:rPr>
        <w:t xml:space="preserve">A diverse workforce can bring different experiences and perspectives, which may improve creativity, innovation, and problem-solving. </w:t>
      </w:r>
      <w:r w:rsidRPr="002D3850">
        <w:rPr>
          <w:rFonts w:ascii="Arial" w:hAnsi="Arial" w:cs="Arial"/>
          <w:i/>
          <w:iCs/>
        </w:rPr>
        <w:t>Inclusive workplaces improve innovation and employee performance (CIPD, 2024)</w:t>
      </w:r>
      <w:r w:rsidRPr="002D3850">
        <w:rPr>
          <w:rFonts w:ascii="Arial" w:hAnsi="Arial" w:cs="Arial"/>
        </w:rPr>
        <w:t>. Employees who feel included are often more satisfied with their jobs and more motivated to contribute to the organisation's success. Overall, promoting DEI can improve teamwork, employee engagement, and decision-making within AMFRESH.</w:t>
      </w:r>
    </w:p>
    <w:p w14:paraId="7260D663" w14:textId="25E73002" w:rsidR="00867781" w:rsidRPr="002D3850" w:rsidRDefault="00867781" w:rsidP="00867781">
      <w:pPr>
        <w:spacing w:line="360" w:lineRule="auto"/>
        <w:rPr>
          <w:rFonts w:ascii="Arial" w:hAnsi="Arial" w:cs="Arial"/>
        </w:rPr>
      </w:pPr>
      <w:r w:rsidRPr="002D3850">
        <w:rPr>
          <w:rFonts w:ascii="Arial" w:hAnsi="Arial" w:cs="Arial"/>
          <w:b/>
          <w:bCs/>
        </w:rPr>
        <w:t>2. Evaluation of Contemporary HR Practices</w:t>
      </w:r>
    </w:p>
    <w:p w14:paraId="080D8483" w14:textId="0309428B" w:rsidR="00867781" w:rsidRPr="002D3850" w:rsidRDefault="00867781" w:rsidP="00867781">
      <w:pPr>
        <w:spacing w:line="360" w:lineRule="auto"/>
        <w:rPr>
          <w:rFonts w:ascii="Arial" w:hAnsi="Arial" w:cs="Arial"/>
        </w:rPr>
      </w:pPr>
      <w:r w:rsidRPr="002D3850">
        <w:rPr>
          <w:rFonts w:ascii="Arial" w:hAnsi="Arial" w:cs="Arial"/>
          <w:b/>
          <w:bCs/>
        </w:rPr>
        <w:t>2.1 Technology</w:t>
      </w:r>
    </w:p>
    <w:p w14:paraId="09A1427A" w14:textId="77777777" w:rsidR="00867781" w:rsidRPr="002D3850" w:rsidRDefault="00867781" w:rsidP="00867781">
      <w:pPr>
        <w:spacing w:line="360" w:lineRule="auto"/>
        <w:rPr>
          <w:rFonts w:ascii="Arial" w:hAnsi="Arial" w:cs="Arial"/>
        </w:rPr>
      </w:pPr>
      <w:r w:rsidRPr="002D3850">
        <w:rPr>
          <w:rFonts w:ascii="Arial" w:hAnsi="Arial" w:cs="Arial"/>
        </w:rPr>
        <w:t>To support digital transformation, AMFRESH can use modern HR practices such as Digital HR Systems, Workforce Analytics, and Learning Management Systems (LMS).</w:t>
      </w:r>
    </w:p>
    <w:p w14:paraId="0A7FEE3B" w14:textId="77777777" w:rsidR="00867781" w:rsidRPr="002D3850" w:rsidRDefault="00867781" w:rsidP="00867781">
      <w:pPr>
        <w:spacing w:line="360" w:lineRule="auto"/>
        <w:rPr>
          <w:rFonts w:ascii="Arial" w:hAnsi="Arial" w:cs="Arial"/>
        </w:rPr>
      </w:pPr>
      <w:r w:rsidRPr="002D3850">
        <w:rPr>
          <w:rFonts w:ascii="Arial" w:hAnsi="Arial" w:cs="Arial"/>
        </w:rPr>
        <w:t xml:space="preserve">Digital HR Systems help managers organise employee information, recruitment, attendance, and performance records more efficiently. </w:t>
      </w:r>
      <w:r w:rsidRPr="002D3850">
        <w:rPr>
          <w:rFonts w:ascii="Arial" w:hAnsi="Arial" w:cs="Arial"/>
          <w:i/>
          <w:iCs/>
        </w:rPr>
        <w:t>Organisations that invest in digital HR systems are better prepared to respond to changing business needs (Bratton and Gold, 2023)</w:t>
      </w:r>
      <w:r w:rsidRPr="002D3850">
        <w:rPr>
          <w:rFonts w:ascii="Arial" w:hAnsi="Arial" w:cs="Arial"/>
        </w:rPr>
        <w:t>. Workforce Analytics allows managers to use employee data to support better decisions, such as identifying staffing needs or reducing absenteeism. Learning Management Systems provide online training, making it easier for employees to develop new skills. Digital HR systems, workforce analytics and learning platforms improve decision-making but may increase implementation costs and resistance to change. Employer branding, workforce planning and career development strengthen recruitment and retention when supported by leadership. Inclusive recruitment, leadership development and DEI training improve engagement but require continuous monitoring to avoid becoming symbolic initiatives.</w:t>
      </w:r>
    </w:p>
    <w:p w14:paraId="68E311D7" w14:textId="77777777" w:rsidR="00867781" w:rsidRPr="002D3850" w:rsidRDefault="00867781" w:rsidP="00867781">
      <w:pPr>
        <w:spacing w:line="360" w:lineRule="auto"/>
        <w:rPr>
          <w:rFonts w:ascii="Arial" w:hAnsi="Arial" w:cs="Arial"/>
        </w:rPr>
      </w:pPr>
      <w:r w:rsidRPr="002D3850">
        <w:rPr>
          <w:rFonts w:ascii="Arial" w:hAnsi="Arial" w:cs="Arial"/>
        </w:rPr>
        <w:lastRenderedPageBreak/>
        <w:t>These practices offer several benefits, including improved decision-making, fewer administrative errors, and higher productivity. However, they also have some limitations. The company may need to invest in new software, provide employee training, and manage resistance from employees who are not comfortable with new technology.</w:t>
      </w:r>
    </w:p>
    <w:p w14:paraId="6A305F16" w14:textId="77777777" w:rsidR="00867781" w:rsidRPr="002D3850" w:rsidRDefault="00867781" w:rsidP="00867781">
      <w:pPr>
        <w:spacing w:line="360" w:lineRule="auto"/>
        <w:rPr>
          <w:rFonts w:ascii="Arial" w:hAnsi="Arial" w:cs="Arial"/>
        </w:rPr>
      </w:pPr>
      <w:r w:rsidRPr="002D3850">
        <w:rPr>
          <w:rFonts w:ascii="Arial" w:hAnsi="Arial" w:cs="Arial"/>
          <w:b/>
          <w:bCs/>
        </w:rPr>
        <w:t>2.2 Talent Acquisition and Retention</w:t>
      </w:r>
    </w:p>
    <w:p w14:paraId="5CBCC41B" w14:textId="77777777" w:rsidR="00867781" w:rsidRPr="002D3850" w:rsidRDefault="00867781" w:rsidP="00867781">
      <w:pPr>
        <w:spacing w:line="360" w:lineRule="auto"/>
        <w:rPr>
          <w:rFonts w:ascii="Arial" w:hAnsi="Arial" w:cs="Arial"/>
        </w:rPr>
      </w:pPr>
      <w:r w:rsidRPr="002D3850">
        <w:rPr>
          <w:rFonts w:ascii="Arial" w:hAnsi="Arial" w:cs="Arial"/>
        </w:rPr>
        <w:t>AMFRESH can improve recruitment and retention by developing a strong employer brand, planning future workforce needs, supporting career development, and improving employee engagement.</w:t>
      </w:r>
    </w:p>
    <w:p w14:paraId="41455B10" w14:textId="77777777" w:rsidR="008007DB" w:rsidRPr="002D3850" w:rsidRDefault="00867781" w:rsidP="00867781">
      <w:pPr>
        <w:spacing w:line="360" w:lineRule="auto"/>
        <w:rPr>
          <w:rFonts w:ascii="Arial" w:hAnsi="Arial" w:cs="Arial"/>
        </w:rPr>
      </w:pPr>
      <w:r w:rsidRPr="002D3850">
        <w:rPr>
          <w:rFonts w:ascii="Arial" w:hAnsi="Arial" w:cs="Arial"/>
        </w:rPr>
        <w:t xml:space="preserve">A positive employer brand helps attract qualified candidates by showing that the company is a good place to work. Workforce planning helps ensure that the organisation has the right number of employees with the right skills. </w:t>
      </w:r>
    </w:p>
    <w:p w14:paraId="50BC15FA" w14:textId="22235A21" w:rsidR="00867781" w:rsidRPr="002D3850" w:rsidRDefault="00867781" w:rsidP="00867781">
      <w:pPr>
        <w:spacing w:line="360" w:lineRule="auto"/>
        <w:rPr>
          <w:rFonts w:ascii="Arial" w:hAnsi="Arial" w:cs="Arial"/>
        </w:rPr>
      </w:pPr>
      <w:r w:rsidRPr="002D3850">
        <w:rPr>
          <w:rFonts w:ascii="Arial" w:hAnsi="Arial" w:cs="Arial"/>
        </w:rPr>
        <w:t>Career development opportunities and employee engagement activities can also increase job satisfaction and reduce staff turnover.</w:t>
      </w:r>
    </w:p>
    <w:p w14:paraId="5AA3ED50" w14:textId="77777777" w:rsidR="00867781" w:rsidRPr="002D3850" w:rsidRDefault="00867781" w:rsidP="00867781">
      <w:pPr>
        <w:spacing w:line="360" w:lineRule="auto"/>
        <w:rPr>
          <w:rFonts w:ascii="Arial" w:hAnsi="Arial" w:cs="Arial"/>
        </w:rPr>
      </w:pPr>
      <w:r w:rsidRPr="002D3850">
        <w:rPr>
          <w:rFonts w:ascii="Arial" w:hAnsi="Arial" w:cs="Arial"/>
        </w:rPr>
        <w:t>These practices can improve employee retention and reduce recruitment costs. However, they require time, investment, and continuous support from managers to achieve successful results.</w:t>
      </w:r>
    </w:p>
    <w:p w14:paraId="5DD3F991" w14:textId="1DFD860F" w:rsidR="00867781" w:rsidRPr="00867781" w:rsidRDefault="00867781" w:rsidP="00867781">
      <w:pPr>
        <w:spacing w:line="360" w:lineRule="auto"/>
        <w:jc w:val="center"/>
      </w:pPr>
      <w:r w:rsidRPr="00867781">
        <w:drawing>
          <wp:inline distT="0" distB="0" distL="0" distR="0" wp14:anchorId="7828FEF8" wp14:editId="5727693F">
            <wp:extent cx="4337050" cy="2787650"/>
            <wp:effectExtent l="0" t="0" r="6350" b="0"/>
            <wp:docPr id="7064624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37050" cy="2787650"/>
                    </a:xfrm>
                    <a:prstGeom prst="rect">
                      <a:avLst/>
                    </a:prstGeom>
                    <a:noFill/>
                    <a:ln>
                      <a:noFill/>
                    </a:ln>
                  </pic:spPr>
                </pic:pic>
              </a:graphicData>
            </a:graphic>
          </wp:inline>
        </w:drawing>
      </w:r>
    </w:p>
    <w:p w14:paraId="5DE134CE" w14:textId="77777777" w:rsidR="002D3850" w:rsidRDefault="002D3850" w:rsidP="00867781">
      <w:pPr>
        <w:spacing w:line="360" w:lineRule="auto"/>
        <w:rPr>
          <w:rFonts w:ascii="Arial" w:hAnsi="Arial" w:cs="Arial"/>
          <w:b/>
          <w:bCs/>
        </w:rPr>
      </w:pPr>
    </w:p>
    <w:p w14:paraId="3D99BE7E" w14:textId="77777777" w:rsidR="002D3850" w:rsidRDefault="002D3850" w:rsidP="00867781">
      <w:pPr>
        <w:spacing w:line="360" w:lineRule="auto"/>
        <w:rPr>
          <w:rFonts w:ascii="Arial" w:hAnsi="Arial" w:cs="Arial"/>
          <w:b/>
          <w:bCs/>
        </w:rPr>
      </w:pPr>
    </w:p>
    <w:p w14:paraId="281A11E9" w14:textId="23B3A3A5" w:rsidR="00867781" w:rsidRPr="002D3850" w:rsidRDefault="00867781" w:rsidP="00867781">
      <w:pPr>
        <w:spacing w:line="360" w:lineRule="auto"/>
        <w:rPr>
          <w:rFonts w:ascii="Arial" w:hAnsi="Arial" w:cs="Arial"/>
          <w:b/>
          <w:bCs/>
        </w:rPr>
      </w:pPr>
      <w:r w:rsidRPr="002D3850">
        <w:rPr>
          <w:rFonts w:ascii="Arial" w:hAnsi="Arial" w:cs="Arial"/>
          <w:b/>
          <w:bCs/>
        </w:rPr>
        <w:lastRenderedPageBreak/>
        <w:t>2.3 Diversity, Equity and Inclusion (DEI)</w:t>
      </w:r>
    </w:p>
    <w:p w14:paraId="5D0513ED" w14:textId="59A4C5A7" w:rsidR="00D61CBC" w:rsidRPr="002D3850" w:rsidRDefault="00D61CBC" w:rsidP="00867781">
      <w:pPr>
        <w:spacing w:line="360" w:lineRule="auto"/>
        <w:rPr>
          <w:rFonts w:ascii="Arial" w:hAnsi="Arial" w:cs="Arial"/>
        </w:rPr>
      </w:pPr>
      <w:r w:rsidRPr="002D3850">
        <w:rPr>
          <w:rFonts w:ascii="Arial" w:hAnsi="Arial" w:cs="Arial"/>
        </w:rPr>
        <w:t>AMFRESH can strengthen organisational performance through inclusive recruitment, diversity training, leadership development and equal opportunity policies. However, these initiatives are only effective when supported by genuine leadership commitment and continuous organisational learning. While DEI can improve innovation, teamwork and employee engagement, challenges such as resistance to change, implementation costs and cultural barriers may limit its success. Bratton and Gold (2023) argue that sustained inclusive leadership is essential to achieving higher employee commitment and innovation. Therefore, AMFRESH should embed DEI into everyday practices through leadership accountability, continuous evaluation and measurable outcomes.</w:t>
      </w:r>
    </w:p>
    <w:p w14:paraId="38C4274F" w14:textId="77777777" w:rsidR="00867781" w:rsidRPr="002D3850" w:rsidRDefault="00867781" w:rsidP="00867781">
      <w:pPr>
        <w:spacing w:line="360" w:lineRule="auto"/>
        <w:rPr>
          <w:rFonts w:ascii="Arial" w:hAnsi="Arial" w:cs="Arial"/>
        </w:rPr>
      </w:pPr>
      <w:r w:rsidRPr="002D3850">
        <w:rPr>
          <w:rFonts w:ascii="Arial" w:hAnsi="Arial" w:cs="Arial"/>
          <w:b/>
          <w:bCs/>
        </w:rPr>
        <w:t>3. Critical Evaluation of Managerial Implementation</w:t>
      </w:r>
    </w:p>
    <w:p w14:paraId="5824C283" w14:textId="77777777" w:rsidR="00867781" w:rsidRPr="002D3850" w:rsidRDefault="00867781" w:rsidP="00867781">
      <w:pPr>
        <w:spacing w:line="360" w:lineRule="auto"/>
        <w:rPr>
          <w:rFonts w:ascii="Arial" w:hAnsi="Arial" w:cs="Arial"/>
        </w:rPr>
      </w:pPr>
      <w:r w:rsidRPr="002D3850">
        <w:rPr>
          <w:rFonts w:ascii="Arial" w:hAnsi="Arial" w:cs="Arial"/>
          <w:b/>
          <w:bCs/>
        </w:rPr>
        <w:t>3.1 Leadership Accountability</w:t>
      </w:r>
    </w:p>
    <w:p w14:paraId="1546FA01" w14:textId="2C8B02C0" w:rsidR="00867781" w:rsidRPr="002D3850" w:rsidRDefault="00867781" w:rsidP="00867781">
      <w:pPr>
        <w:spacing w:line="360" w:lineRule="auto"/>
        <w:rPr>
          <w:rFonts w:ascii="Arial" w:hAnsi="Arial" w:cs="Arial"/>
        </w:rPr>
      </w:pPr>
      <w:r w:rsidRPr="002D3850">
        <w:rPr>
          <w:rFonts w:ascii="Arial" w:hAnsi="Arial" w:cs="Arial"/>
        </w:rPr>
        <w:t>Managers play an important role in making sure HR practices are successfully introduced. They should lead by example, support employees during changes, and make fair decisions.</w:t>
      </w:r>
      <w:r w:rsidR="00D61CBC" w:rsidRPr="002D3850">
        <w:rPr>
          <w:rFonts w:ascii="Arial" w:hAnsi="Arial" w:cs="Arial"/>
        </w:rPr>
        <w:t xml:space="preserve"> </w:t>
      </w:r>
      <w:r w:rsidR="00D61CBC" w:rsidRPr="002D3850">
        <w:rPr>
          <w:rFonts w:ascii="Arial" w:hAnsi="Arial" w:cs="Arial"/>
          <w:i/>
          <w:iCs/>
        </w:rPr>
        <w:t>Continuous investment in leadership, digital technology and workforce development supports organisational success (CIPD, 2024)</w:t>
      </w:r>
      <w:r w:rsidR="00D61CBC" w:rsidRPr="002D3850">
        <w:rPr>
          <w:rFonts w:ascii="Arial" w:hAnsi="Arial" w:cs="Arial"/>
        </w:rPr>
        <w:t xml:space="preserve">. </w:t>
      </w:r>
      <w:r w:rsidRPr="002D3850">
        <w:rPr>
          <w:rFonts w:ascii="Arial" w:hAnsi="Arial" w:cs="Arial"/>
        </w:rPr>
        <w:t xml:space="preserve"> Managers are also responsible for encouraging teamwork, providing guidance, and making sure company policies are followed. Good leadership can help employees feel more confident and motivated during periods of change. Managers should demonstrate accountability, communicate change through meetings, emails and workshops, and monitor outcomes using KPIs, turnover, absenteeism and engagement surveys. Kotter's change principles highlight the importance of creating urgency, communicating vision and sustaining change. McGregor's Theory Y encourages employee participation, trust and empowerment, increasing motivation during organisational change.</w:t>
      </w:r>
    </w:p>
    <w:p w14:paraId="5EF1A6BE" w14:textId="6F66803A" w:rsidR="00867781" w:rsidRPr="00867781" w:rsidRDefault="00867781" w:rsidP="00867781">
      <w:pPr>
        <w:spacing w:line="360" w:lineRule="auto"/>
        <w:jc w:val="center"/>
      </w:pPr>
      <w:r w:rsidRPr="00867781">
        <w:lastRenderedPageBreak/>
        <w:drawing>
          <wp:inline distT="0" distB="0" distL="0" distR="0" wp14:anchorId="57CA5A6A" wp14:editId="5924AF50">
            <wp:extent cx="4210050" cy="2876550"/>
            <wp:effectExtent l="0" t="0" r="0" b="0"/>
            <wp:docPr id="19122413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10050" cy="2876550"/>
                    </a:xfrm>
                    <a:prstGeom prst="rect">
                      <a:avLst/>
                    </a:prstGeom>
                    <a:noFill/>
                    <a:ln>
                      <a:noFill/>
                    </a:ln>
                  </pic:spPr>
                </pic:pic>
              </a:graphicData>
            </a:graphic>
          </wp:inline>
        </w:drawing>
      </w:r>
    </w:p>
    <w:p w14:paraId="7796B192" w14:textId="77777777" w:rsidR="00867781" w:rsidRPr="002D3850" w:rsidRDefault="00867781" w:rsidP="00867781">
      <w:pPr>
        <w:spacing w:line="360" w:lineRule="auto"/>
        <w:rPr>
          <w:rFonts w:ascii="Arial" w:hAnsi="Arial" w:cs="Arial"/>
          <w:b/>
          <w:bCs/>
        </w:rPr>
      </w:pPr>
      <w:r w:rsidRPr="002D3850">
        <w:rPr>
          <w:rFonts w:ascii="Arial" w:hAnsi="Arial" w:cs="Arial"/>
          <w:b/>
          <w:bCs/>
        </w:rPr>
        <w:t>3.2 Communication Strategies</w:t>
      </w:r>
    </w:p>
    <w:p w14:paraId="6B27131D" w14:textId="77777777" w:rsidR="00867781" w:rsidRPr="002D3850" w:rsidRDefault="00867781" w:rsidP="00867781">
      <w:pPr>
        <w:spacing w:line="360" w:lineRule="auto"/>
        <w:rPr>
          <w:rFonts w:ascii="Arial" w:hAnsi="Arial" w:cs="Arial"/>
        </w:rPr>
      </w:pPr>
      <w:r w:rsidRPr="002D3850">
        <w:rPr>
          <w:rFonts w:ascii="Arial" w:hAnsi="Arial" w:cs="Arial"/>
        </w:rPr>
        <w:t>A critical examination of communication strategies in HR management reveals that effective information flow is not simply a matter of clarity, but a complex process shaped by organisational hierarchies, power dynamics, and cultural context. While clear communication is often positioned as a panacea for employee resistance and uncertainty during change (CIPD, 2024), research suggests that the mere transmission of information may be insufficient to secure genuine buy-in. Managers must engage in two-way dialogue, actively soliciting feedback and addressing concerns, rather than relying solely on top-down approaches. The efficacy of regular meetings, digital communications, and workshops depends largely on the organisational culture and the degree to which employees perceive these channels as authentic opportunities for participation. Without this, communication initiatives risk being reduced to symbolic acts that fail to foster meaningful engagement or trust.</w:t>
      </w:r>
    </w:p>
    <w:p w14:paraId="55154116" w14:textId="77777777" w:rsidR="00867781" w:rsidRPr="002D3850" w:rsidRDefault="00867781" w:rsidP="00867781">
      <w:pPr>
        <w:spacing w:line="360" w:lineRule="auto"/>
        <w:rPr>
          <w:rFonts w:ascii="Arial" w:hAnsi="Arial" w:cs="Arial"/>
        </w:rPr>
      </w:pPr>
    </w:p>
    <w:p w14:paraId="406A0BB3" w14:textId="77777777" w:rsidR="008007DB" w:rsidRPr="002D3850" w:rsidRDefault="008007DB" w:rsidP="00867781">
      <w:pPr>
        <w:spacing w:line="360" w:lineRule="auto"/>
        <w:rPr>
          <w:rFonts w:ascii="Arial" w:hAnsi="Arial" w:cs="Arial"/>
        </w:rPr>
      </w:pPr>
    </w:p>
    <w:p w14:paraId="70C01B74" w14:textId="77777777" w:rsidR="008007DB" w:rsidRPr="002D3850" w:rsidRDefault="008007DB" w:rsidP="00867781">
      <w:pPr>
        <w:spacing w:line="360" w:lineRule="auto"/>
        <w:rPr>
          <w:rFonts w:ascii="Arial" w:hAnsi="Arial" w:cs="Arial"/>
        </w:rPr>
      </w:pPr>
    </w:p>
    <w:p w14:paraId="7499AF90" w14:textId="77777777" w:rsidR="008007DB" w:rsidRPr="002D3850" w:rsidRDefault="008007DB" w:rsidP="00867781">
      <w:pPr>
        <w:spacing w:line="360" w:lineRule="auto"/>
        <w:rPr>
          <w:rFonts w:ascii="Arial" w:hAnsi="Arial" w:cs="Arial"/>
        </w:rPr>
      </w:pPr>
    </w:p>
    <w:p w14:paraId="2963C8B5" w14:textId="77777777" w:rsidR="008007DB" w:rsidRDefault="008007DB" w:rsidP="00867781">
      <w:pPr>
        <w:spacing w:line="360" w:lineRule="auto"/>
      </w:pPr>
    </w:p>
    <w:p w14:paraId="651EE385" w14:textId="77777777" w:rsidR="002D3850" w:rsidRDefault="002D3850" w:rsidP="00867781">
      <w:pPr>
        <w:spacing w:line="360" w:lineRule="auto"/>
      </w:pPr>
    </w:p>
    <w:p w14:paraId="2B6EC515" w14:textId="46F1129C" w:rsidR="00867781" w:rsidRPr="00D61CBC" w:rsidRDefault="00867781" w:rsidP="00867781">
      <w:pPr>
        <w:spacing w:line="360" w:lineRule="auto"/>
        <w:rPr>
          <w:rFonts w:ascii="Arial" w:hAnsi="Arial" w:cs="Arial"/>
          <w:b/>
          <w:bCs/>
        </w:rPr>
      </w:pPr>
      <w:r w:rsidRPr="00D61CBC">
        <w:rPr>
          <w:rFonts w:ascii="Arial" w:hAnsi="Arial" w:cs="Arial"/>
          <w:b/>
          <w:bCs/>
        </w:rPr>
        <w:t>3.3 Monitoring and Performance Measurement</w:t>
      </w:r>
    </w:p>
    <w:p w14:paraId="27CE2FD5" w14:textId="4C6695D6" w:rsidR="00867781" w:rsidRPr="00D61CBC" w:rsidRDefault="00867781" w:rsidP="00D61CBC">
      <w:pPr>
        <w:spacing w:line="360" w:lineRule="auto"/>
        <w:rPr>
          <w:rFonts w:ascii="Arial" w:hAnsi="Arial" w:cs="Arial"/>
        </w:rPr>
      </w:pPr>
      <w:r w:rsidRPr="00D61CBC">
        <w:rPr>
          <w:rFonts w:ascii="Arial" w:hAnsi="Arial" w:cs="Arial"/>
        </w:rPr>
        <w:t xml:space="preserve">From a critical perspective, the monitoring of HR practices through tools such as Key Performance Indicators (KPIs), engagement surveys, and workforce analytics offers both opportunities and inherent limitations. While quantitative metrics can provide valuable insights and support evidence-based decision-making (CIPD, 2024), they often fail to capture the full complexity of employee experience and organisational dynamics. </w:t>
      </w:r>
      <w:r w:rsidR="008007DB" w:rsidRPr="00D61CBC">
        <w:rPr>
          <w:rFonts w:ascii="Arial" w:hAnsi="Arial" w:cs="Arial"/>
        </w:rPr>
        <w:t>Over-reliance</w:t>
      </w:r>
      <w:r w:rsidRPr="00D61CBC">
        <w:rPr>
          <w:rFonts w:ascii="Arial" w:hAnsi="Arial" w:cs="Arial"/>
        </w:rPr>
        <w:t xml:space="preserve"> on measurable outcomes may encourage short-termism or neglect qualitative aspects such as morale, informal culture, and tacit knowledge. Truly effective performance measurement should thus combine data-driven analysis with regular qualitative feedback, fostering a more nuanced understanding of both successes and areas for improvement. Managers must remain vigilant against the temptation to reduce complex human processes to simple </w:t>
      </w:r>
      <w:proofErr w:type="gramStart"/>
      <w:r w:rsidRPr="00D61CBC">
        <w:rPr>
          <w:rFonts w:ascii="Arial" w:hAnsi="Arial" w:cs="Arial"/>
        </w:rPr>
        <w:t>numbers, an</w:t>
      </w:r>
      <w:r w:rsidR="008007DB" w:rsidRPr="00D61CBC">
        <w:rPr>
          <w:rFonts w:ascii="Arial" w:hAnsi="Arial" w:cs="Arial"/>
        </w:rPr>
        <w:t>d</w:t>
      </w:r>
      <w:proofErr w:type="gramEnd"/>
      <w:r w:rsidR="002D3850">
        <w:rPr>
          <w:rFonts w:ascii="Arial" w:hAnsi="Arial" w:cs="Arial"/>
        </w:rPr>
        <w:t xml:space="preserve"> </w:t>
      </w:r>
      <w:r w:rsidRPr="00D61CBC">
        <w:rPr>
          <w:rFonts w:ascii="Arial" w:hAnsi="Arial" w:cs="Arial"/>
        </w:rPr>
        <w:t>instead use these tools as part of a holistic strategy for organisational learning and adaptation.</w:t>
      </w:r>
    </w:p>
    <w:p w14:paraId="2C0DD7D8" w14:textId="77777777" w:rsidR="00867781" w:rsidRPr="00D61CBC" w:rsidRDefault="00867781" w:rsidP="00D61CBC">
      <w:pPr>
        <w:spacing w:line="360" w:lineRule="auto"/>
        <w:rPr>
          <w:rFonts w:ascii="Arial" w:hAnsi="Arial" w:cs="Arial"/>
          <w:b/>
          <w:bCs/>
        </w:rPr>
      </w:pPr>
      <w:r w:rsidRPr="00D61CBC">
        <w:rPr>
          <w:rFonts w:ascii="Arial" w:hAnsi="Arial" w:cs="Arial"/>
          <w:b/>
          <w:bCs/>
        </w:rPr>
        <w:t>3.4 Organisational Culture</w:t>
      </w:r>
    </w:p>
    <w:p w14:paraId="2A1E4EAA" w14:textId="77777777" w:rsidR="00867781" w:rsidRPr="00D61CBC" w:rsidRDefault="00867781" w:rsidP="00D61CBC">
      <w:pPr>
        <w:spacing w:line="360" w:lineRule="auto"/>
        <w:rPr>
          <w:rFonts w:ascii="Arial" w:hAnsi="Arial" w:cs="Arial"/>
        </w:rPr>
      </w:pPr>
      <w:r w:rsidRPr="00D61CBC">
        <w:rPr>
          <w:rFonts w:ascii="Arial" w:hAnsi="Arial" w:cs="Arial"/>
        </w:rPr>
        <w:t>A critical approach to organisational culture recognises that fostering a positive environment is not merely about encouraging respect and teamwork, but about addressing underlying power structures, implicit biases, and conflicting interests. While supportive cultures are linked to improved performance and retention, the process of cultural transformation is fraught with challenges, including resistance from established groups and the slow pace of attitudinal change. Managers play a pivotal role, not only by modelling inclusive behaviours, but also by challenging practices and values that undermine stated commitments to inclusion and collaboration. Sustainable culture change requires sustained effort, transparent leadership, and the alignment of formal policies with everyday practices—without which, cultural initiatives risk remaining superficial and ineffective.</w:t>
      </w:r>
    </w:p>
    <w:p w14:paraId="67BC9763" w14:textId="43BFCC25" w:rsidR="00867781" w:rsidRPr="00867781" w:rsidRDefault="00867781" w:rsidP="00867781">
      <w:pPr>
        <w:spacing w:line="360" w:lineRule="auto"/>
        <w:jc w:val="center"/>
      </w:pPr>
      <w:r w:rsidRPr="00867781">
        <w:lastRenderedPageBreak/>
        <w:drawing>
          <wp:inline distT="0" distB="0" distL="0" distR="0" wp14:anchorId="08FB8B1F" wp14:editId="50E38706">
            <wp:extent cx="4089400" cy="2438400"/>
            <wp:effectExtent l="0" t="0" r="6350" b="0"/>
            <wp:docPr id="36051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89400" cy="2438400"/>
                    </a:xfrm>
                    <a:prstGeom prst="rect">
                      <a:avLst/>
                    </a:prstGeom>
                    <a:noFill/>
                    <a:ln>
                      <a:noFill/>
                    </a:ln>
                  </pic:spPr>
                </pic:pic>
              </a:graphicData>
            </a:graphic>
          </wp:inline>
        </w:drawing>
      </w:r>
    </w:p>
    <w:p w14:paraId="4908A3AE" w14:textId="77777777" w:rsidR="00867781" w:rsidRPr="00D61CBC" w:rsidRDefault="00867781" w:rsidP="00867781">
      <w:pPr>
        <w:spacing w:line="360" w:lineRule="auto"/>
        <w:rPr>
          <w:rFonts w:ascii="Arial" w:hAnsi="Arial" w:cs="Arial"/>
          <w:b/>
          <w:bCs/>
        </w:rPr>
      </w:pPr>
      <w:r w:rsidRPr="00D61CBC">
        <w:rPr>
          <w:rFonts w:ascii="Arial" w:hAnsi="Arial" w:cs="Arial"/>
          <w:b/>
          <w:bCs/>
        </w:rPr>
        <w:t>3.5 Barriers and Solutions</w:t>
      </w:r>
    </w:p>
    <w:p w14:paraId="4962B89B" w14:textId="175F2A70" w:rsidR="008007DB" w:rsidRPr="00D61CBC" w:rsidRDefault="00D61CBC" w:rsidP="00867781">
      <w:pPr>
        <w:spacing w:line="360" w:lineRule="auto"/>
        <w:rPr>
          <w:rFonts w:ascii="Arial" w:hAnsi="Arial" w:cs="Arial"/>
        </w:rPr>
      </w:pPr>
      <w:r w:rsidRPr="00D61CBC">
        <w:rPr>
          <w:rFonts w:ascii="Arial" w:hAnsi="Arial" w:cs="Arial"/>
        </w:rPr>
        <w:t>Implementing new HR practices may face barriers such as resistance to change, limited budgets, inadequate training and poor communication. These challenges often reflect deeper organisational and cultural issues rather than operational problems alone. To overcome them, AMFRESH should provide effective training, communicate transparently, involve employees in decision-making and create a supportive working environment. Addressing these underlying factors is essential for achieving sustainable HR transformation and long-term organisational success.</w:t>
      </w:r>
    </w:p>
    <w:p w14:paraId="1BEA6F2F" w14:textId="77777777" w:rsidR="008007DB" w:rsidRDefault="008007DB" w:rsidP="00867781">
      <w:pPr>
        <w:spacing w:line="360" w:lineRule="auto"/>
        <w:rPr>
          <w:b/>
          <w:bCs/>
        </w:rPr>
      </w:pPr>
    </w:p>
    <w:p w14:paraId="5980B141" w14:textId="37526437" w:rsidR="00867781" w:rsidRPr="00867781" w:rsidRDefault="00867781" w:rsidP="00867781">
      <w:pPr>
        <w:spacing w:line="360" w:lineRule="auto"/>
      </w:pPr>
      <w:r w:rsidRPr="00867781">
        <w:rPr>
          <w:b/>
          <w:bCs/>
        </w:rPr>
        <w:t>Conclusion</w:t>
      </w:r>
    </w:p>
    <w:p w14:paraId="391CEC8C" w14:textId="77777777" w:rsidR="00867781" w:rsidRPr="00867781" w:rsidRDefault="00867781" w:rsidP="00867781">
      <w:pPr>
        <w:spacing w:line="360" w:lineRule="auto"/>
      </w:pPr>
      <w:r w:rsidRPr="00867781">
        <w:t>This report has discussed three important HR challenges faced by AMFRESH: adapting to technological advancements, attracting and retaining talented employees, and promoting Diversity, Equity and Inclusion (DEI). These challenges can affect productivity, employee satisfaction, and the long-term success of the organisation. The report has also shown that modern HR practices, together with effective leadership and communication, can help the company respond to these challenges. Overall, managers have an important role in supporting employees and ensuring that these practices are implemented successfully. AMFRESH can also improve organisational performance by integrating technology, effective leadership, and inclusive HR practices. Applying management theories together with motivation theories supports successful implementation and sustainable employee performance.</w:t>
      </w:r>
    </w:p>
    <w:p w14:paraId="25AB79D9" w14:textId="77777777" w:rsidR="00867781" w:rsidRPr="00867781" w:rsidRDefault="00867781" w:rsidP="00867781">
      <w:pPr>
        <w:spacing w:line="360" w:lineRule="auto"/>
      </w:pPr>
      <w:r w:rsidRPr="00867781">
        <w:lastRenderedPageBreak/>
        <w:br/>
      </w:r>
      <w:r w:rsidRPr="00867781">
        <w:rPr>
          <w:b/>
          <w:bCs/>
        </w:rPr>
        <w:t>Recommendations</w:t>
      </w:r>
    </w:p>
    <w:p w14:paraId="3E6E3C25" w14:textId="4B27A72A" w:rsidR="00867781" w:rsidRDefault="00867781" w:rsidP="00867781">
      <w:pPr>
        <w:spacing w:line="360" w:lineRule="auto"/>
      </w:pPr>
      <w:r w:rsidRPr="00867781">
        <w:t>Based on this report, AMFRESH should continue investing in new technology and Digital HR systems to improve efficiency. The company should also provide regular training so employees can develop the skills needed for new ways of working. Strengthening employer branding and creating career development opportunities may help attract and retain talented employees. In addition, managers should regularly monitor HR performance using KPIs and employee feedback. Finally, promoting diversity, equal opportunities, and an inclusive working environment can improve teamwork, employee engagement, and long-term business performance.</w:t>
      </w:r>
    </w:p>
    <w:p w14:paraId="3B2A62E9" w14:textId="77777777" w:rsidR="008007DB" w:rsidRDefault="008007DB" w:rsidP="00867781">
      <w:pPr>
        <w:spacing w:line="360" w:lineRule="auto"/>
      </w:pPr>
    </w:p>
    <w:p w14:paraId="34526719" w14:textId="77777777" w:rsidR="008007DB" w:rsidRDefault="008007DB" w:rsidP="008007DB">
      <w:pPr>
        <w:spacing w:line="360" w:lineRule="auto"/>
        <w:rPr>
          <w:rFonts w:ascii="Arial" w:hAnsi="Arial" w:cs="Arial"/>
          <w:b/>
          <w:bCs/>
        </w:rPr>
      </w:pPr>
      <w:r w:rsidRPr="00751066">
        <w:rPr>
          <w:rFonts w:ascii="Arial" w:hAnsi="Arial" w:cs="Arial"/>
          <w:b/>
          <w:bCs/>
        </w:rPr>
        <w:t>APPENDIX A</w:t>
      </w:r>
    </w:p>
    <w:p w14:paraId="5849F037" w14:textId="77777777" w:rsidR="008007DB" w:rsidRPr="00965F48" w:rsidRDefault="008007DB" w:rsidP="008007DB">
      <w:r w:rsidRPr="00965F48">
        <w:rPr>
          <w:rFonts w:ascii="Arial" w:hAnsi="Arial" w:cs="Arial"/>
        </w:rPr>
        <w:t>SWOT Analysis of AMFRESH:</w:t>
      </w:r>
      <w:r w:rsidRPr="00965F48">
        <w:rPr>
          <w:rFonts w:ascii="Arial" w:hAnsi="Arial" w:cs="Arial"/>
        </w:rPr>
        <w:br/>
        <w:t>The SWOT analysis highlights that AMFRESH has several internal strengths, weaknesses, opportunities and threats that require effective HR strategies and strong managerial leadership</w:t>
      </w:r>
      <w:r w:rsidRPr="00B47F92">
        <w:t>.</w:t>
      </w:r>
    </w:p>
    <w:tbl>
      <w:tblPr>
        <w:tblStyle w:val="TableGrid"/>
        <w:tblW w:w="0" w:type="auto"/>
        <w:tblLook w:val="04A0" w:firstRow="1" w:lastRow="0" w:firstColumn="1" w:lastColumn="0" w:noHBand="0" w:noVBand="1"/>
      </w:tblPr>
      <w:tblGrid>
        <w:gridCol w:w="4428"/>
        <w:gridCol w:w="4428"/>
      </w:tblGrid>
      <w:tr w:rsidR="008007DB" w:rsidRPr="003D2AE6" w14:paraId="4ACD49E2" w14:textId="77777777" w:rsidTr="00AA2411">
        <w:tc>
          <w:tcPr>
            <w:tcW w:w="4428" w:type="dxa"/>
          </w:tcPr>
          <w:p w14:paraId="2791486C" w14:textId="77777777" w:rsidR="008007DB" w:rsidRPr="003D2AE6" w:rsidRDefault="008007DB" w:rsidP="00AA2411">
            <w:pPr>
              <w:rPr>
                <w:rFonts w:ascii="Arial" w:hAnsi="Arial" w:cs="Arial"/>
                <w:sz w:val="24"/>
                <w:szCs w:val="24"/>
                <w:lang w:val="en-GB"/>
              </w:rPr>
            </w:pPr>
            <w:r w:rsidRPr="003D2AE6">
              <w:rPr>
                <w:rFonts w:ascii="Arial" w:hAnsi="Arial" w:cs="Arial"/>
                <w:b/>
                <w:bCs/>
                <w:sz w:val="24"/>
                <w:szCs w:val="24"/>
                <w:lang w:val="en-GB"/>
              </w:rPr>
              <w:t>Strengths</w:t>
            </w:r>
          </w:p>
        </w:tc>
        <w:tc>
          <w:tcPr>
            <w:tcW w:w="4428" w:type="dxa"/>
          </w:tcPr>
          <w:p w14:paraId="0B9413EE" w14:textId="77777777" w:rsidR="008007DB" w:rsidRPr="003D2AE6" w:rsidRDefault="008007DB" w:rsidP="00AA2411">
            <w:pPr>
              <w:rPr>
                <w:rFonts w:ascii="Arial" w:hAnsi="Arial" w:cs="Arial"/>
                <w:sz w:val="24"/>
                <w:szCs w:val="24"/>
                <w:lang w:val="en-GB"/>
              </w:rPr>
            </w:pPr>
            <w:r w:rsidRPr="003D2AE6">
              <w:rPr>
                <w:rFonts w:ascii="Arial" w:hAnsi="Arial" w:cs="Arial"/>
                <w:b/>
                <w:bCs/>
                <w:sz w:val="24"/>
                <w:szCs w:val="24"/>
                <w:lang w:val="en-GB"/>
              </w:rPr>
              <w:t>Weaknesses</w:t>
            </w:r>
          </w:p>
        </w:tc>
      </w:tr>
      <w:tr w:rsidR="008007DB" w:rsidRPr="003D2AE6" w14:paraId="1587C1AC" w14:textId="77777777" w:rsidTr="00AA2411">
        <w:tc>
          <w:tcPr>
            <w:tcW w:w="4428" w:type="dxa"/>
          </w:tcPr>
          <w:p w14:paraId="40983453" w14:textId="77777777" w:rsidR="008007DB" w:rsidRPr="003D2AE6" w:rsidRDefault="008007DB" w:rsidP="00AA2411">
            <w:pPr>
              <w:rPr>
                <w:rFonts w:ascii="Arial" w:hAnsi="Arial" w:cs="Arial"/>
                <w:sz w:val="24"/>
                <w:szCs w:val="24"/>
                <w:lang w:val="en-GB"/>
              </w:rPr>
            </w:pPr>
            <w:r w:rsidRPr="003D2AE6">
              <w:rPr>
                <w:rFonts w:ascii="Arial" w:hAnsi="Arial" w:cs="Arial"/>
                <w:sz w:val="24"/>
                <w:szCs w:val="24"/>
                <w:lang w:val="en-GB"/>
              </w:rPr>
              <w:t>Established reputation in the fresh produce industry.</w:t>
            </w:r>
          </w:p>
        </w:tc>
        <w:tc>
          <w:tcPr>
            <w:tcW w:w="4428" w:type="dxa"/>
          </w:tcPr>
          <w:p w14:paraId="2A1C2A19" w14:textId="77777777" w:rsidR="008007DB" w:rsidRPr="003D2AE6" w:rsidRDefault="008007DB" w:rsidP="00AA2411">
            <w:pPr>
              <w:rPr>
                <w:rFonts w:ascii="Arial" w:hAnsi="Arial" w:cs="Arial"/>
                <w:sz w:val="24"/>
                <w:szCs w:val="24"/>
                <w:lang w:val="en-GB"/>
              </w:rPr>
            </w:pPr>
            <w:r w:rsidRPr="003D2AE6">
              <w:rPr>
                <w:rFonts w:ascii="Arial" w:hAnsi="Arial" w:cs="Arial"/>
                <w:sz w:val="24"/>
                <w:szCs w:val="24"/>
                <w:lang w:val="en-GB"/>
              </w:rPr>
              <w:t>Employee resistance to technological change</w:t>
            </w:r>
          </w:p>
        </w:tc>
      </w:tr>
      <w:tr w:rsidR="008007DB" w:rsidRPr="003D2AE6" w14:paraId="0DEB4DE1" w14:textId="77777777" w:rsidTr="00AA2411">
        <w:tc>
          <w:tcPr>
            <w:tcW w:w="4428" w:type="dxa"/>
          </w:tcPr>
          <w:p w14:paraId="141DACFE" w14:textId="77777777" w:rsidR="008007DB" w:rsidRPr="003D2AE6" w:rsidRDefault="008007DB" w:rsidP="00AA2411">
            <w:pPr>
              <w:rPr>
                <w:rFonts w:ascii="Arial" w:hAnsi="Arial" w:cs="Arial"/>
                <w:sz w:val="24"/>
                <w:szCs w:val="24"/>
                <w:lang w:val="en-GB"/>
              </w:rPr>
            </w:pPr>
            <w:r w:rsidRPr="003D2AE6">
              <w:rPr>
                <w:rFonts w:ascii="Arial" w:hAnsi="Arial" w:cs="Arial"/>
                <w:sz w:val="24"/>
                <w:szCs w:val="24"/>
                <w:lang w:val="en-GB"/>
              </w:rPr>
              <w:t>Skilled and experienced workforce</w:t>
            </w:r>
          </w:p>
        </w:tc>
        <w:tc>
          <w:tcPr>
            <w:tcW w:w="4428" w:type="dxa"/>
          </w:tcPr>
          <w:p w14:paraId="51824704" w14:textId="77777777" w:rsidR="008007DB" w:rsidRPr="003D2AE6" w:rsidRDefault="008007DB" w:rsidP="00AA2411">
            <w:pPr>
              <w:rPr>
                <w:rFonts w:ascii="Arial" w:hAnsi="Arial" w:cs="Arial"/>
                <w:sz w:val="24"/>
                <w:szCs w:val="24"/>
                <w:lang w:val="en-GB"/>
              </w:rPr>
            </w:pPr>
            <w:r w:rsidRPr="003D2AE6">
              <w:rPr>
                <w:rFonts w:ascii="Arial" w:hAnsi="Arial" w:cs="Arial"/>
                <w:sz w:val="24"/>
                <w:szCs w:val="24"/>
                <w:lang w:val="en-GB"/>
              </w:rPr>
              <w:t>High training costs when implementing new digital systems</w:t>
            </w:r>
          </w:p>
        </w:tc>
      </w:tr>
      <w:tr w:rsidR="008007DB" w:rsidRPr="003D2AE6" w14:paraId="6E42353D" w14:textId="77777777" w:rsidTr="00AA2411">
        <w:tc>
          <w:tcPr>
            <w:tcW w:w="4428" w:type="dxa"/>
          </w:tcPr>
          <w:p w14:paraId="17177A05" w14:textId="77777777" w:rsidR="008007DB" w:rsidRPr="003D2AE6" w:rsidRDefault="008007DB" w:rsidP="00AA2411">
            <w:pPr>
              <w:rPr>
                <w:rFonts w:ascii="Arial" w:hAnsi="Arial" w:cs="Arial"/>
                <w:sz w:val="24"/>
                <w:szCs w:val="24"/>
                <w:lang w:val="en-GB"/>
              </w:rPr>
            </w:pPr>
            <w:r w:rsidRPr="003D2AE6">
              <w:rPr>
                <w:rFonts w:ascii="Arial" w:hAnsi="Arial" w:cs="Arial"/>
                <w:sz w:val="24"/>
                <w:szCs w:val="24"/>
                <w:lang w:val="en-GB"/>
              </w:rPr>
              <w:t>Commitment to quality, food safety and sustainability.</w:t>
            </w:r>
          </w:p>
        </w:tc>
        <w:tc>
          <w:tcPr>
            <w:tcW w:w="4428" w:type="dxa"/>
          </w:tcPr>
          <w:p w14:paraId="7AB0DE04" w14:textId="77777777" w:rsidR="008007DB" w:rsidRPr="003D2AE6" w:rsidRDefault="008007DB" w:rsidP="00AA2411">
            <w:pPr>
              <w:rPr>
                <w:rFonts w:ascii="Arial" w:hAnsi="Arial" w:cs="Arial"/>
                <w:sz w:val="24"/>
                <w:szCs w:val="24"/>
                <w:lang w:val="en-GB"/>
              </w:rPr>
            </w:pPr>
            <w:r w:rsidRPr="003D2AE6">
              <w:rPr>
                <w:rFonts w:ascii="Arial" w:hAnsi="Arial" w:cs="Arial"/>
                <w:sz w:val="24"/>
                <w:szCs w:val="24"/>
                <w:lang w:val="en-GB"/>
              </w:rPr>
              <w:t>Inconsistent digital skills across different employee groups.</w:t>
            </w:r>
          </w:p>
        </w:tc>
      </w:tr>
      <w:tr w:rsidR="008007DB" w:rsidRPr="003D2AE6" w14:paraId="4C3F0DA4" w14:textId="77777777" w:rsidTr="00AA2411">
        <w:tc>
          <w:tcPr>
            <w:tcW w:w="4428" w:type="dxa"/>
          </w:tcPr>
          <w:p w14:paraId="7D0153AD" w14:textId="77777777" w:rsidR="008007DB" w:rsidRPr="003D2AE6" w:rsidRDefault="008007DB" w:rsidP="00AA2411">
            <w:pPr>
              <w:rPr>
                <w:rFonts w:ascii="Arial" w:hAnsi="Arial" w:cs="Arial"/>
                <w:sz w:val="24"/>
                <w:szCs w:val="24"/>
                <w:lang w:val="en-GB"/>
              </w:rPr>
            </w:pPr>
            <w:r w:rsidRPr="003D2AE6">
              <w:rPr>
                <w:rFonts w:ascii="Arial" w:hAnsi="Arial" w:cs="Arial"/>
                <w:b/>
                <w:bCs/>
                <w:sz w:val="24"/>
                <w:szCs w:val="24"/>
                <w:lang w:val="en-GB"/>
              </w:rPr>
              <w:t>Opportunities</w:t>
            </w:r>
          </w:p>
        </w:tc>
        <w:tc>
          <w:tcPr>
            <w:tcW w:w="4428" w:type="dxa"/>
          </w:tcPr>
          <w:p w14:paraId="36F4110E" w14:textId="77777777" w:rsidR="008007DB" w:rsidRPr="003D2AE6" w:rsidRDefault="008007DB" w:rsidP="00AA2411">
            <w:pPr>
              <w:rPr>
                <w:rFonts w:ascii="Arial" w:hAnsi="Arial" w:cs="Arial"/>
                <w:sz w:val="24"/>
                <w:szCs w:val="24"/>
                <w:lang w:val="en-GB"/>
              </w:rPr>
            </w:pPr>
            <w:r w:rsidRPr="003D2AE6">
              <w:rPr>
                <w:rFonts w:ascii="Arial" w:hAnsi="Arial" w:cs="Arial"/>
                <w:b/>
                <w:bCs/>
                <w:sz w:val="24"/>
                <w:szCs w:val="24"/>
                <w:lang w:val="en-GB"/>
              </w:rPr>
              <w:t>Threats</w:t>
            </w:r>
          </w:p>
        </w:tc>
      </w:tr>
      <w:tr w:rsidR="008007DB" w:rsidRPr="003D2AE6" w14:paraId="6BF491C0" w14:textId="77777777" w:rsidTr="00AA2411">
        <w:tc>
          <w:tcPr>
            <w:tcW w:w="4428" w:type="dxa"/>
          </w:tcPr>
          <w:p w14:paraId="29FB3854" w14:textId="77777777" w:rsidR="008007DB" w:rsidRPr="003D2AE6" w:rsidRDefault="008007DB" w:rsidP="00AA2411">
            <w:pPr>
              <w:rPr>
                <w:rFonts w:ascii="Arial" w:hAnsi="Arial" w:cs="Arial"/>
                <w:sz w:val="24"/>
                <w:szCs w:val="24"/>
                <w:lang w:val="en-GB"/>
              </w:rPr>
            </w:pPr>
            <w:r w:rsidRPr="003D2AE6">
              <w:rPr>
                <w:rFonts w:ascii="Arial" w:hAnsi="Arial" w:cs="Arial"/>
                <w:sz w:val="24"/>
                <w:szCs w:val="24"/>
                <w:lang w:val="en-GB"/>
              </w:rPr>
              <w:t>Digital transformation through AI, automation and Digital HR systems</w:t>
            </w:r>
          </w:p>
        </w:tc>
        <w:tc>
          <w:tcPr>
            <w:tcW w:w="4428" w:type="dxa"/>
          </w:tcPr>
          <w:p w14:paraId="25ACA9A3" w14:textId="77777777" w:rsidR="008007DB" w:rsidRPr="003D2AE6" w:rsidRDefault="008007DB" w:rsidP="00AA2411">
            <w:pPr>
              <w:rPr>
                <w:rFonts w:ascii="Arial" w:hAnsi="Arial" w:cs="Arial"/>
                <w:sz w:val="24"/>
                <w:szCs w:val="24"/>
                <w:lang w:val="en-GB"/>
              </w:rPr>
            </w:pPr>
            <w:r w:rsidRPr="003D2AE6">
              <w:rPr>
                <w:rFonts w:ascii="Arial" w:hAnsi="Arial" w:cs="Arial"/>
                <w:sz w:val="24"/>
                <w:szCs w:val="24"/>
                <w:lang w:val="en-GB"/>
              </w:rPr>
              <w:t>Labour shortages within the UK agricultural and food sector.</w:t>
            </w:r>
          </w:p>
        </w:tc>
      </w:tr>
      <w:tr w:rsidR="008007DB" w:rsidRPr="003D2AE6" w14:paraId="0A4A7094" w14:textId="77777777" w:rsidTr="00AA2411">
        <w:tc>
          <w:tcPr>
            <w:tcW w:w="4428" w:type="dxa"/>
          </w:tcPr>
          <w:p w14:paraId="20887427" w14:textId="77777777" w:rsidR="008007DB" w:rsidRPr="003D2AE6" w:rsidRDefault="008007DB" w:rsidP="00AA2411">
            <w:pPr>
              <w:rPr>
                <w:rFonts w:ascii="Arial" w:hAnsi="Arial" w:cs="Arial"/>
                <w:sz w:val="24"/>
                <w:szCs w:val="24"/>
                <w:lang w:val="en-GB"/>
              </w:rPr>
            </w:pPr>
            <w:r w:rsidRPr="003D2AE6">
              <w:rPr>
                <w:rFonts w:ascii="Arial" w:hAnsi="Arial" w:cs="Arial"/>
                <w:sz w:val="24"/>
                <w:szCs w:val="24"/>
                <w:lang w:val="en-GB"/>
              </w:rPr>
              <w:t>Workforce upskilling through continuous learning and development</w:t>
            </w:r>
          </w:p>
        </w:tc>
        <w:tc>
          <w:tcPr>
            <w:tcW w:w="4428" w:type="dxa"/>
          </w:tcPr>
          <w:p w14:paraId="2DDCCA52" w14:textId="35BBE420" w:rsidR="008007DB" w:rsidRPr="003D2AE6" w:rsidRDefault="008007DB" w:rsidP="00AA2411">
            <w:pPr>
              <w:rPr>
                <w:rFonts w:ascii="Arial" w:hAnsi="Arial" w:cs="Arial"/>
                <w:sz w:val="24"/>
                <w:szCs w:val="24"/>
                <w:lang w:val="en-GB"/>
              </w:rPr>
            </w:pPr>
            <w:r w:rsidRPr="003D2AE6">
              <w:rPr>
                <w:rFonts w:ascii="Arial" w:hAnsi="Arial" w:cs="Arial"/>
                <w:sz w:val="24"/>
                <w:szCs w:val="24"/>
                <w:lang w:val="en-GB"/>
              </w:rPr>
              <w:t>Increasing competition for skilled employees.</w:t>
            </w:r>
          </w:p>
        </w:tc>
      </w:tr>
      <w:tr w:rsidR="008007DB" w:rsidRPr="003D2AE6" w14:paraId="52F696C4" w14:textId="77777777" w:rsidTr="00AA2411">
        <w:tc>
          <w:tcPr>
            <w:tcW w:w="4428" w:type="dxa"/>
          </w:tcPr>
          <w:p w14:paraId="64CD8780" w14:textId="77777777" w:rsidR="008007DB" w:rsidRPr="003D2AE6" w:rsidRDefault="008007DB" w:rsidP="00AA2411">
            <w:pPr>
              <w:rPr>
                <w:rFonts w:ascii="Arial" w:hAnsi="Arial" w:cs="Arial"/>
                <w:sz w:val="24"/>
                <w:szCs w:val="24"/>
                <w:lang w:val="en-GB"/>
              </w:rPr>
            </w:pPr>
            <w:r w:rsidRPr="003D2AE6">
              <w:rPr>
                <w:rFonts w:ascii="Arial" w:hAnsi="Arial" w:cs="Arial"/>
                <w:sz w:val="24"/>
                <w:szCs w:val="24"/>
                <w:lang w:val="en-GB"/>
              </w:rPr>
              <w:t>Greater use of workforce analytics to improve decision-making.</w:t>
            </w:r>
          </w:p>
        </w:tc>
        <w:tc>
          <w:tcPr>
            <w:tcW w:w="4428" w:type="dxa"/>
          </w:tcPr>
          <w:p w14:paraId="3BD41A02" w14:textId="77777777" w:rsidR="008007DB" w:rsidRPr="003D2AE6" w:rsidRDefault="008007DB" w:rsidP="00AA2411">
            <w:pPr>
              <w:rPr>
                <w:rFonts w:ascii="Arial" w:hAnsi="Arial" w:cs="Arial"/>
                <w:sz w:val="24"/>
                <w:szCs w:val="24"/>
                <w:lang w:val="en-GB"/>
              </w:rPr>
            </w:pPr>
            <w:r w:rsidRPr="003D2AE6">
              <w:rPr>
                <w:rFonts w:ascii="Arial" w:hAnsi="Arial" w:cs="Arial"/>
                <w:sz w:val="24"/>
                <w:szCs w:val="24"/>
                <w:lang w:val="en-GB"/>
              </w:rPr>
              <w:t>Rising operational and labour costs</w:t>
            </w:r>
          </w:p>
        </w:tc>
      </w:tr>
      <w:tr w:rsidR="008007DB" w:rsidRPr="003D2AE6" w14:paraId="588AF991" w14:textId="77777777" w:rsidTr="00AA2411">
        <w:tc>
          <w:tcPr>
            <w:tcW w:w="4428" w:type="dxa"/>
          </w:tcPr>
          <w:p w14:paraId="5902C773" w14:textId="77777777" w:rsidR="008007DB" w:rsidRPr="003D2AE6" w:rsidRDefault="008007DB" w:rsidP="00AA2411">
            <w:pPr>
              <w:rPr>
                <w:rFonts w:ascii="Arial" w:hAnsi="Arial" w:cs="Arial"/>
                <w:sz w:val="24"/>
                <w:szCs w:val="24"/>
                <w:lang w:val="en-GB"/>
              </w:rPr>
            </w:pPr>
            <w:r w:rsidRPr="003D2AE6">
              <w:rPr>
                <w:rFonts w:ascii="Arial" w:hAnsi="Arial" w:cs="Arial"/>
                <w:sz w:val="24"/>
                <w:szCs w:val="24"/>
                <w:lang w:val="en-GB"/>
              </w:rPr>
              <w:t>Strengthening employer branding to attract and retain talent</w:t>
            </w:r>
          </w:p>
        </w:tc>
        <w:tc>
          <w:tcPr>
            <w:tcW w:w="4428" w:type="dxa"/>
          </w:tcPr>
          <w:p w14:paraId="5AAA7658" w14:textId="77777777" w:rsidR="008007DB" w:rsidRPr="003D2AE6" w:rsidRDefault="008007DB" w:rsidP="00AA2411">
            <w:pPr>
              <w:rPr>
                <w:rFonts w:ascii="Arial" w:hAnsi="Arial" w:cs="Arial"/>
                <w:sz w:val="24"/>
                <w:szCs w:val="24"/>
                <w:lang w:val="en-GB"/>
              </w:rPr>
            </w:pPr>
            <w:r w:rsidRPr="003D2AE6">
              <w:rPr>
                <w:rFonts w:ascii="Arial" w:hAnsi="Arial" w:cs="Arial"/>
                <w:sz w:val="24"/>
                <w:szCs w:val="24"/>
                <w:lang w:val="en-GB"/>
              </w:rPr>
              <w:t>Rapid technological change requiring continuous investment</w:t>
            </w:r>
          </w:p>
        </w:tc>
      </w:tr>
    </w:tbl>
    <w:p w14:paraId="66950338" w14:textId="77777777" w:rsidR="008007DB" w:rsidRPr="00751066" w:rsidRDefault="008007DB" w:rsidP="008007DB">
      <w:pPr>
        <w:spacing w:line="360" w:lineRule="auto"/>
        <w:rPr>
          <w:rFonts w:ascii="Arial" w:hAnsi="Arial" w:cs="Arial"/>
          <w:b/>
          <w:bCs/>
        </w:rPr>
      </w:pPr>
    </w:p>
    <w:p w14:paraId="7DA9697C" w14:textId="77777777" w:rsidR="008007DB" w:rsidRDefault="008007DB" w:rsidP="008007DB">
      <w:pPr>
        <w:rPr>
          <w:rFonts w:ascii="Arial" w:hAnsi="Arial" w:cs="Arial"/>
        </w:rPr>
      </w:pPr>
    </w:p>
    <w:p w14:paraId="6740BAB2" w14:textId="77777777" w:rsidR="008007DB" w:rsidRDefault="008007DB" w:rsidP="008007DB">
      <w:pPr>
        <w:rPr>
          <w:rFonts w:ascii="Arial" w:hAnsi="Arial" w:cs="Arial"/>
          <w:b/>
          <w:bCs/>
        </w:rPr>
      </w:pPr>
    </w:p>
    <w:p w14:paraId="39473A39" w14:textId="77777777" w:rsidR="008007DB" w:rsidRDefault="008007DB" w:rsidP="008007DB">
      <w:pPr>
        <w:rPr>
          <w:rFonts w:ascii="Arial" w:hAnsi="Arial" w:cs="Arial"/>
          <w:b/>
          <w:bCs/>
        </w:rPr>
      </w:pPr>
    </w:p>
    <w:p w14:paraId="00245BC4" w14:textId="3C14AE44" w:rsidR="008007DB" w:rsidRPr="00BD6F44" w:rsidRDefault="008007DB" w:rsidP="008007DB">
      <w:pPr>
        <w:rPr>
          <w:rFonts w:ascii="Arial" w:hAnsi="Arial" w:cs="Arial"/>
          <w:b/>
          <w:bCs/>
        </w:rPr>
      </w:pPr>
      <w:r w:rsidRPr="00BD6F44">
        <w:rPr>
          <w:rFonts w:ascii="Arial" w:hAnsi="Arial" w:cs="Arial"/>
          <w:b/>
          <w:bCs/>
        </w:rPr>
        <w:lastRenderedPageBreak/>
        <w:t>APPENDIX B</w:t>
      </w:r>
    </w:p>
    <w:p w14:paraId="0DE12534" w14:textId="77777777" w:rsidR="008007DB" w:rsidRDefault="008007DB" w:rsidP="008007DB">
      <w:pPr>
        <w:rPr>
          <w:rFonts w:ascii="Arial" w:hAnsi="Arial" w:cs="Arial"/>
        </w:rPr>
      </w:pPr>
      <w:r w:rsidRPr="00935DC1">
        <w:rPr>
          <w:rFonts w:ascii="Arial" w:hAnsi="Arial" w:cs="Arial"/>
        </w:rPr>
        <w:t>This KPI dashboard helps managers measure the effectiveness of HR strategies by monitoring turnover, absenteeism, engagement, training, recruitment and diversity. These indicators support informed decision-making, continuous improvement and organisational performance</w:t>
      </w:r>
    </w:p>
    <w:p w14:paraId="115CFBCF" w14:textId="77777777" w:rsidR="008007DB" w:rsidRDefault="008007DB" w:rsidP="008007DB">
      <w:pPr>
        <w:rPr>
          <w:rFonts w:ascii="Arial" w:hAnsi="Arial" w:cs="Arial"/>
        </w:rPr>
      </w:pPr>
    </w:p>
    <w:tbl>
      <w:tblPr>
        <w:tblStyle w:val="TableGrid"/>
        <w:tblW w:w="10207" w:type="dxa"/>
        <w:tblInd w:w="-743" w:type="dxa"/>
        <w:tblLayout w:type="fixed"/>
        <w:tblLook w:val="04A0" w:firstRow="1" w:lastRow="0" w:firstColumn="1" w:lastColumn="0" w:noHBand="0" w:noVBand="1"/>
      </w:tblPr>
      <w:tblGrid>
        <w:gridCol w:w="2169"/>
        <w:gridCol w:w="4494"/>
        <w:gridCol w:w="1843"/>
        <w:gridCol w:w="1701"/>
      </w:tblGrid>
      <w:tr w:rsidR="008007DB" w:rsidRPr="002B6767" w14:paraId="04ECE4FB" w14:textId="77777777" w:rsidTr="00AA2411">
        <w:tc>
          <w:tcPr>
            <w:tcW w:w="2169" w:type="dxa"/>
          </w:tcPr>
          <w:p w14:paraId="3734F3B8"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Key Performance Indicator (KPI)</w:t>
            </w:r>
          </w:p>
        </w:tc>
        <w:tc>
          <w:tcPr>
            <w:tcW w:w="4494" w:type="dxa"/>
          </w:tcPr>
          <w:p w14:paraId="0576BCBC" w14:textId="1A9D0E26"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Purpos</w:t>
            </w:r>
            <w:r w:rsidR="00CD6AF0">
              <w:rPr>
                <w:rFonts w:ascii="Arial" w:hAnsi="Arial" w:cs="Arial"/>
                <w:color w:val="000000" w:themeColor="text1"/>
                <w:sz w:val="22"/>
                <w:szCs w:val="22"/>
                <w:lang w:val="en-GB"/>
              </w:rPr>
              <w:t>e</w:t>
            </w:r>
          </w:p>
        </w:tc>
        <w:tc>
          <w:tcPr>
            <w:tcW w:w="1843" w:type="dxa"/>
          </w:tcPr>
          <w:p w14:paraId="37332AA6"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Target</w:t>
            </w:r>
          </w:p>
        </w:tc>
        <w:tc>
          <w:tcPr>
            <w:tcW w:w="1701" w:type="dxa"/>
            <w:vAlign w:val="center"/>
          </w:tcPr>
          <w:p w14:paraId="40F7FE8B"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Measurement Frequency</w:t>
            </w:r>
          </w:p>
        </w:tc>
      </w:tr>
      <w:tr w:rsidR="008007DB" w:rsidRPr="002B6767" w14:paraId="5EB9BCCD" w14:textId="77777777" w:rsidTr="00AA2411">
        <w:tc>
          <w:tcPr>
            <w:tcW w:w="2169" w:type="dxa"/>
          </w:tcPr>
          <w:p w14:paraId="0F19136E"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Employee Turnover Rate</w:t>
            </w:r>
          </w:p>
        </w:tc>
        <w:tc>
          <w:tcPr>
            <w:tcW w:w="4494" w:type="dxa"/>
          </w:tcPr>
          <w:p w14:paraId="500B16D0"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Measures the percentage of employees leaving the organisation, indicating the effectiveness of retention strategies.</w:t>
            </w:r>
          </w:p>
        </w:tc>
        <w:tc>
          <w:tcPr>
            <w:tcW w:w="1843" w:type="dxa"/>
          </w:tcPr>
          <w:p w14:paraId="5476F7B6"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Less than 10% per year</w:t>
            </w:r>
          </w:p>
        </w:tc>
        <w:tc>
          <w:tcPr>
            <w:tcW w:w="1701" w:type="dxa"/>
          </w:tcPr>
          <w:p w14:paraId="7309EC43"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Quarterly</w:t>
            </w:r>
          </w:p>
        </w:tc>
      </w:tr>
      <w:tr w:rsidR="008007DB" w:rsidRPr="002B6767" w14:paraId="7D53B537" w14:textId="77777777" w:rsidTr="00AA2411">
        <w:tc>
          <w:tcPr>
            <w:tcW w:w="2169" w:type="dxa"/>
          </w:tcPr>
          <w:p w14:paraId="168CE50F"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Absenteeism Rate</w:t>
            </w:r>
          </w:p>
        </w:tc>
        <w:tc>
          <w:tcPr>
            <w:tcW w:w="4494" w:type="dxa"/>
          </w:tcPr>
          <w:p w14:paraId="363C2919"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Monitors employee attendance to identify potential wellbeing, engagement or operational issues.</w:t>
            </w:r>
          </w:p>
        </w:tc>
        <w:tc>
          <w:tcPr>
            <w:tcW w:w="1843" w:type="dxa"/>
          </w:tcPr>
          <w:p w14:paraId="3D0163D9"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Less than 3%</w:t>
            </w:r>
          </w:p>
        </w:tc>
        <w:tc>
          <w:tcPr>
            <w:tcW w:w="1701" w:type="dxa"/>
          </w:tcPr>
          <w:p w14:paraId="79604569"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Monthly</w:t>
            </w:r>
          </w:p>
        </w:tc>
      </w:tr>
      <w:tr w:rsidR="008007DB" w:rsidRPr="002B6767" w14:paraId="13896C2D" w14:textId="77777777" w:rsidTr="00AA2411">
        <w:tc>
          <w:tcPr>
            <w:tcW w:w="2169" w:type="dxa"/>
          </w:tcPr>
          <w:p w14:paraId="0F5C0ABA"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Employee Engagement Score</w:t>
            </w:r>
          </w:p>
        </w:tc>
        <w:tc>
          <w:tcPr>
            <w:tcW w:w="4494" w:type="dxa"/>
          </w:tcPr>
          <w:p w14:paraId="59142BE7"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Measures employee satisfaction, motivation and commitment through engagement surveys.</w:t>
            </w:r>
          </w:p>
        </w:tc>
        <w:tc>
          <w:tcPr>
            <w:tcW w:w="1843" w:type="dxa"/>
          </w:tcPr>
          <w:p w14:paraId="75E52ECE"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Above 80%</w:t>
            </w:r>
          </w:p>
        </w:tc>
        <w:tc>
          <w:tcPr>
            <w:tcW w:w="1701" w:type="dxa"/>
          </w:tcPr>
          <w:p w14:paraId="744198A2"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lang w:val="en-GB"/>
              </w:rPr>
              <w:t>Every 6 months</w:t>
            </w:r>
          </w:p>
        </w:tc>
      </w:tr>
      <w:tr w:rsidR="008007DB" w:rsidRPr="002B6767" w14:paraId="186FD7EA" w14:textId="77777777" w:rsidTr="00AA2411">
        <w:tc>
          <w:tcPr>
            <w:tcW w:w="2169" w:type="dxa"/>
          </w:tcPr>
          <w:p w14:paraId="1A07AE6D"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Training Completion Rate</w:t>
            </w:r>
          </w:p>
        </w:tc>
        <w:tc>
          <w:tcPr>
            <w:tcW w:w="4494" w:type="dxa"/>
          </w:tcPr>
          <w:p w14:paraId="33BB484A"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Measures the percentage of employees who successfully complete mandatory and development training programmes.</w:t>
            </w:r>
          </w:p>
        </w:tc>
        <w:tc>
          <w:tcPr>
            <w:tcW w:w="1843" w:type="dxa"/>
          </w:tcPr>
          <w:p w14:paraId="32D11DAB"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100% mandatory training</w:t>
            </w:r>
          </w:p>
        </w:tc>
        <w:tc>
          <w:tcPr>
            <w:tcW w:w="1701" w:type="dxa"/>
          </w:tcPr>
          <w:p w14:paraId="1B6BFA59"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Quarterly</w:t>
            </w:r>
          </w:p>
        </w:tc>
      </w:tr>
      <w:tr w:rsidR="008007DB" w:rsidRPr="002B6767" w14:paraId="6342E081" w14:textId="77777777" w:rsidTr="00AA2411">
        <w:tc>
          <w:tcPr>
            <w:tcW w:w="2169" w:type="dxa"/>
          </w:tcPr>
          <w:p w14:paraId="15BAEC99"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Time-to-Hire</w:t>
            </w:r>
          </w:p>
        </w:tc>
        <w:tc>
          <w:tcPr>
            <w:tcW w:w="4494" w:type="dxa"/>
          </w:tcPr>
          <w:p w14:paraId="3F137316"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Measures the average number of days required to recruit and onboard new employees.</w:t>
            </w:r>
          </w:p>
        </w:tc>
        <w:tc>
          <w:tcPr>
            <w:tcW w:w="1843" w:type="dxa"/>
          </w:tcPr>
          <w:p w14:paraId="6832F419"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Less than 30 days</w:t>
            </w:r>
          </w:p>
        </w:tc>
        <w:tc>
          <w:tcPr>
            <w:tcW w:w="1701" w:type="dxa"/>
          </w:tcPr>
          <w:p w14:paraId="05CB4C83"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Monthly</w:t>
            </w:r>
          </w:p>
        </w:tc>
      </w:tr>
      <w:tr w:rsidR="008007DB" w:rsidRPr="002B6767" w14:paraId="15A3DB6C" w14:textId="77777777" w:rsidTr="00AA2411">
        <w:tc>
          <w:tcPr>
            <w:tcW w:w="2169" w:type="dxa"/>
          </w:tcPr>
          <w:p w14:paraId="17ABA76E"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Diversity Metrics</w:t>
            </w:r>
          </w:p>
        </w:tc>
        <w:tc>
          <w:tcPr>
            <w:tcW w:w="4494" w:type="dxa"/>
          </w:tcPr>
          <w:p w14:paraId="2F42F663"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Tracks workforce diversity across gender, age, ethnicity and other protected characteristics to support DEI objectives.</w:t>
            </w:r>
          </w:p>
        </w:tc>
        <w:tc>
          <w:tcPr>
            <w:tcW w:w="1843" w:type="dxa"/>
          </w:tcPr>
          <w:p w14:paraId="36F2FC1F"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Annual improvement in diversity representation</w:t>
            </w:r>
          </w:p>
        </w:tc>
        <w:tc>
          <w:tcPr>
            <w:tcW w:w="1701" w:type="dxa"/>
          </w:tcPr>
          <w:p w14:paraId="22BF0808" w14:textId="77777777" w:rsidR="008007DB" w:rsidRPr="002B6767" w:rsidRDefault="008007DB" w:rsidP="00AA2411">
            <w:pPr>
              <w:pStyle w:val="Heading2"/>
              <w:rPr>
                <w:rFonts w:ascii="Arial" w:hAnsi="Arial" w:cs="Arial"/>
                <w:color w:val="000000" w:themeColor="text1"/>
                <w:sz w:val="22"/>
                <w:szCs w:val="22"/>
              </w:rPr>
            </w:pPr>
            <w:r w:rsidRPr="002B6767">
              <w:rPr>
                <w:rFonts w:ascii="Arial" w:hAnsi="Arial" w:cs="Arial"/>
                <w:color w:val="000000" w:themeColor="text1"/>
                <w:sz w:val="22"/>
                <w:szCs w:val="22"/>
              </w:rPr>
              <w:t>Quarterly</w:t>
            </w:r>
          </w:p>
        </w:tc>
      </w:tr>
    </w:tbl>
    <w:p w14:paraId="4A2580C5" w14:textId="77777777" w:rsidR="008007DB" w:rsidRPr="00BD6F44" w:rsidRDefault="008007DB" w:rsidP="008007DB">
      <w:pPr>
        <w:rPr>
          <w:rFonts w:ascii="Arial" w:hAnsi="Arial" w:cs="Arial"/>
          <w:b/>
          <w:bCs/>
        </w:rPr>
      </w:pPr>
    </w:p>
    <w:p w14:paraId="1BC9EACC" w14:textId="77777777" w:rsidR="008007DB" w:rsidRPr="00BD6F44" w:rsidRDefault="008007DB" w:rsidP="008007DB">
      <w:pPr>
        <w:rPr>
          <w:rFonts w:ascii="Arial" w:hAnsi="Arial" w:cs="Arial"/>
          <w:b/>
          <w:bCs/>
        </w:rPr>
      </w:pPr>
    </w:p>
    <w:p w14:paraId="2C4156CC" w14:textId="77777777" w:rsidR="008007DB" w:rsidRPr="00BD6F44" w:rsidRDefault="008007DB" w:rsidP="008007DB">
      <w:pPr>
        <w:rPr>
          <w:rFonts w:ascii="Arial" w:hAnsi="Arial" w:cs="Arial"/>
          <w:b/>
          <w:bCs/>
        </w:rPr>
      </w:pPr>
    </w:p>
    <w:p w14:paraId="670AD3FB" w14:textId="77777777" w:rsidR="008007DB" w:rsidRDefault="008007DB" w:rsidP="008007DB">
      <w:pPr>
        <w:rPr>
          <w:rFonts w:ascii="Arial" w:hAnsi="Arial" w:cs="Arial"/>
          <w:b/>
          <w:bCs/>
        </w:rPr>
      </w:pPr>
    </w:p>
    <w:p w14:paraId="4FC61626" w14:textId="77777777" w:rsidR="008007DB" w:rsidRDefault="008007DB" w:rsidP="008007DB">
      <w:pPr>
        <w:rPr>
          <w:rFonts w:ascii="Arial" w:hAnsi="Arial" w:cs="Arial"/>
          <w:b/>
          <w:bCs/>
        </w:rPr>
      </w:pPr>
    </w:p>
    <w:p w14:paraId="7C57AFF7" w14:textId="77777777" w:rsidR="008007DB" w:rsidRDefault="008007DB" w:rsidP="008007DB">
      <w:pPr>
        <w:rPr>
          <w:rFonts w:ascii="Arial" w:hAnsi="Arial" w:cs="Arial"/>
          <w:b/>
          <w:bCs/>
        </w:rPr>
      </w:pPr>
    </w:p>
    <w:p w14:paraId="53B444C8" w14:textId="77777777" w:rsidR="008007DB" w:rsidRDefault="008007DB" w:rsidP="008007DB">
      <w:pPr>
        <w:rPr>
          <w:rFonts w:ascii="Arial" w:hAnsi="Arial" w:cs="Arial"/>
          <w:b/>
          <w:bCs/>
        </w:rPr>
      </w:pPr>
    </w:p>
    <w:p w14:paraId="61049762" w14:textId="77777777" w:rsidR="008007DB" w:rsidRDefault="008007DB" w:rsidP="008007DB">
      <w:pPr>
        <w:rPr>
          <w:rFonts w:ascii="Arial" w:hAnsi="Arial" w:cs="Arial"/>
          <w:b/>
          <w:bCs/>
        </w:rPr>
      </w:pPr>
    </w:p>
    <w:p w14:paraId="4586DDD5" w14:textId="77777777" w:rsidR="008007DB" w:rsidRDefault="008007DB" w:rsidP="008007DB">
      <w:pPr>
        <w:rPr>
          <w:rFonts w:ascii="Arial" w:hAnsi="Arial" w:cs="Arial"/>
          <w:b/>
          <w:bCs/>
        </w:rPr>
      </w:pPr>
    </w:p>
    <w:p w14:paraId="61AB9CE9" w14:textId="083071B5" w:rsidR="008007DB" w:rsidRPr="00BD6F44" w:rsidRDefault="008007DB" w:rsidP="008007DB">
      <w:pPr>
        <w:rPr>
          <w:rFonts w:ascii="Arial" w:hAnsi="Arial" w:cs="Arial"/>
          <w:b/>
          <w:bCs/>
        </w:rPr>
      </w:pPr>
      <w:r w:rsidRPr="00BD6F44">
        <w:rPr>
          <w:rFonts w:ascii="Arial" w:hAnsi="Arial" w:cs="Arial"/>
          <w:b/>
          <w:bCs/>
        </w:rPr>
        <w:lastRenderedPageBreak/>
        <w:t>References</w:t>
      </w:r>
    </w:p>
    <w:p w14:paraId="0FAF7775" w14:textId="77777777" w:rsidR="008007DB" w:rsidRPr="00BD6F44" w:rsidRDefault="008007DB" w:rsidP="008007DB">
      <w:pPr>
        <w:rPr>
          <w:rFonts w:ascii="Arial" w:hAnsi="Arial" w:cs="Arial"/>
        </w:rPr>
      </w:pPr>
      <w:r w:rsidRPr="00BD6F44">
        <w:rPr>
          <w:rFonts w:ascii="Arial" w:hAnsi="Arial" w:cs="Arial"/>
          <w:b/>
          <w:bCs/>
        </w:rPr>
        <w:t xml:space="preserve">   </w:t>
      </w:r>
    </w:p>
    <w:p w14:paraId="59866AB1" w14:textId="77777777" w:rsidR="008007DB" w:rsidRPr="00EC31DD" w:rsidRDefault="008007DB" w:rsidP="008007DB">
      <w:pPr>
        <w:numPr>
          <w:ilvl w:val="0"/>
          <w:numId w:val="2"/>
        </w:numPr>
        <w:spacing w:line="360" w:lineRule="auto"/>
        <w:rPr>
          <w:rFonts w:ascii="Arial" w:hAnsi="Arial" w:cs="Arial"/>
        </w:rPr>
      </w:pPr>
      <w:r w:rsidRPr="00EC31DD">
        <w:rPr>
          <w:rFonts w:ascii="Arial" w:hAnsi="Arial" w:cs="Arial"/>
        </w:rPr>
        <w:t xml:space="preserve">Armstrong, M. (2023) </w:t>
      </w:r>
      <w:r w:rsidRPr="00EC31DD">
        <w:rPr>
          <w:rFonts w:ascii="Arial" w:hAnsi="Arial" w:cs="Arial"/>
          <w:i/>
          <w:iCs/>
        </w:rPr>
        <w:t>Armstrong's Handbook of Human Resource Management Practice</w:t>
      </w:r>
      <w:r w:rsidRPr="00EC31DD">
        <w:rPr>
          <w:rFonts w:ascii="Arial" w:hAnsi="Arial" w:cs="Arial"/>
        </w:rPr>
        <w:t xml:space="preserve">. 16th </w:t>
      </w:r>
      <w:proofErr w:type="spellStart"/>
      <w:r w:rsidRPr="00EC31DD">
        <w:rPr>
          <w:rFonts w:ascii="Arial" w:hAnsi="Arial" w:cs="Arial"/>
        </w:rPr>
        <w:t>edn</w:t>
      </w:r>
      <w:proofErr w:type="spellEnd"/>
      <w:r w:rsidRPr="00EC31DD">
        <w:rPr>
          <w:rFonts w:ascii="Arial" w:hAnsi="Arial" w:cs="Arial"/>
        </w:rPr>
        <w:t xml:space="preserve">. London: Kogan Page. </w:t>
      </w:r>
    </w:p>
    <w:p w14:paraId="14B7E211" w14:textId="77777777" w:rsidR="008007DB" w:rsidRPr="00EC31DD" w:rsidRDefault="008007DB" w:rsidP="008007DB">
      <w:pPr>
        <w:numPr>
          <w:ilvl w:val="0"/>
          <w:numId w:val="2"/>
        </w:numPr>
        <w:spacing w:line="360" w:lineRule="auto"/>
        <w:rPr>
          <w:rFonts w:ascii="Arial" w:hAnsi="Arial" w:cs="Arial"/>
        </w:rPr>
      </w:pPr>
      <w:r w:rsidRPr="00EC31DD">
        <w:rPr>
          <w:rFonts w:ascii="Arial" w:hAnsi="Arial" w:cs="Arial"/>
        </w:rPr>
        <w:t xml:space="preserve">CIPD (2024) </w:t>
      </w:r>
      <w:r w:rsidRPr="00EC31DD">
        <w:rPr>
          <w:rFonts w:ascii="Arial" w:hAnsi="Arial" w:cs="Arial"/>
          <w:i/>
          <w:iCs/>
        </w:rPr>
        <w:t>People Profession Insights</w:t>
      </w:r>
      <w:r w:rsidRPr="00EC31DD">
        <w:rPr>
          <w:rFonts w:ascii="Arial" w:hAnsi="Arial" w:cs="Arial"/>
        </w:rPr>
        <w:t xml:space="preserve">. London: Chartered Institute of Personnel and Development. </w:t>
      </w:r>
    </w:p>
    <w:p w14:paraId="6D6870E0" w14:textId="77777777" w:rsidR="008007DB" w:rsidRPr="00EC31DD" w:rsidRDefault="008007DB" w:rsidP="008007DB">
      <w:pPr>
        <w:pStyle w:val="pdq2pgselectionanchorcontainer"/>
        <w:numPr>
          <w:ilvl w:val="0"/>
          <w:numId w:val="2"/>
        </w:numPr>
        <w:spacing w:line="360" w:lineRule="auto"/>
        <w:rPr>
          <w:rFonts w:ascii="Arial" w:hAnsi="Arial" w:cs="Arial"/>
        </w:rPr>
      </w:pPr>
      <w:r w:rsidRPr="00EC31DD">
        <w:rPr>
          <w:rFonts w:ascii="Arial" w:hAnsi="Arial" w:cs="Arial"/>
        </w:rPr>
        <w:t xml:space="preserve">Armstrong, M. and Taylor, S. (2023) </w:t>
      </w:r>
      <w:r w:rsidRPr="00EC31DD">
        <w:rPr>
          <w:rStyle w:val="Emphasis"/>
          <w:rFonts w:ascii="Arial" w:hAnsi="Arial" w:cs="Arial"/>
        </w:rPr>
        <w:t>Armstrong's Handbook of Human Resource Management Practice</w:t>
      </w:r>
      <w:r w:rsidRPr="00EC31DD">
        <w:rPr>
          <w:rFonts w:ascii="Arial" w:hAnsi="Arial" w:cs="Arial"/>
        </w:rPr>
        <w:t xml:space="preserve">. 16th </w:t>
      </w:r>
      <w:proofErr w:type="spellStart"/>
      <w:r w:rsidRPr="00EC31DD">
        <w:rPr>
          <w:rFonts w:ascii="Arial" w:hAnsi="Arial" w:cs="Arial"/>
        </w:rPr>
        <w:t>edn</w:t>
      </w:r>
      <w:proofErr w:type="spellEnd"/>
      <w:r w:rsidRPr="00EC31DD">
        <w:rPr>
          <w:rFonts w:ascii="Arial" w:hAnsi="Arial" w:cs="Arial"/>
        </w:rPr>
        <w:t>. London: Kogan Page.</w:t>
      </w:r>
    </w:p>
    <w:p w14:paraId="5ABF453F" w14:textId="77777777" w:rsidR="008007DB" w:rsidRPr="00EC31DD" w:rsidRDefault="008007DB" w:rsidP="008007DB">
      <w:pPr>
        <w:pStyle w:val="NormalWeb"/>
        <w:numPr>
          <w:ilvl w:val="0"/>
          <w:numId w:val="2"/>
        </w:numPr>
        <w:spacing w:line="360" w:lineRule="auto"/>
        <w:rPr>
          <w:rFonts w:ascii="Arial" w:hAnsi="Arial" w:cs="Arial"/>
        </w:rPr>
      </w:pPr>
      <w:r w:rsidRPr="00EC31DD">
        <w:rPr>
          <w:rFonts w:ascii="Arial" w:hAnsi="Arial" w:cs="Arial"/>
        </w:rPr>
        <w:t xml:space="preserve">Bratton, J. and Gold, J. (2023) </w:t>
      </w:r>
      <w:r w:rsidRPr="00EC31DD">
        <w:rPr>
          <w:rStyle w:val="Emphasis"/>
          <w:rFonts w:ascii="Arial" w:hAnsi="Arial" w:cs="Arial"/>
        </w:rPr>
        <w:t>Human Resource Management: Theory and Practice</w:t>
      </w:r>
      <w:r w:rsidRPr="00EC31DD">
        <w:rPr>
          <w:rFonts w:ascii="Arial" w:hAnsi="Arial" w:cs="Arial"/>
        </w:rPr>
        <w:t xml:space="preserve">. 8th </w:t>
      </w:r>
      <w:proofErr w:type="spellStart"/>
      <w:r w:rsidRPr="00EC31DD">
        <w:rPr>
          <w:rFonts w:ascii="Arial" w:hAnsi="Arial" w:cs="Arial"/>
        </w:rPr>
        <w:t>edn</w:t>
      </w:r>
      <w:proofErr w:type="spellEnd"/>
      <w:r w:rsidRPr="00EC31DD">
        <w:rPr>
          <w:rFonts w:ascii="Arial" w:hAnsi="Arial" w:cs="Arial"/>
        </w:rPr>
        <w:t>. London: Palgrave Macmillan.</w:t>
      </w:r>
    </w:p>
    <w:p w14:paraId="76D07619" w14:textId="77777777" w:rsidR="008007DB" w:rsidRPr="00EC31DD" w:rsidRDefault="008007DB" w:rsidP="008007DB">
      <w:pPr>
        <w:pStyle w:val="NormalWeb"/>
        <w:numPr>
          <w:ilvl w:val="0"/>
          <w:numId w:val="2"/>
        </w:numPr>
        <w:spacing w:line="360" w:lineRule="auto"/>
        <w:rPr>
          <w:rFonts w:ascii="Arial" w:hAnsi="Arial" w:cs="Arial"/>
        </w:rPr>
      </w:pPr>
      <w:r w:rsidRPr="00EC31DD">
        <w:rPr>
          <w:rFonts w:ascii="Arial" w:hAnsi="Arial" w:cs="Arial"/>
        </w:rPr>
        <w:t xml:space="preserve">Chartered Institute of Personnel and Development (CIPD) (2024) </w:t>
      </w:r>
      <w:r w:rsidRPr="00EC31DD">
        <w:rPr>
          <w:rStyle w:val="Emphasis"/>
          <w:rFonts w:ascii="Arial" w:hAnsi="Arial" w:cs="Arial"/>
        </w:rPr>
        <w:t>People Profession Insights</w:t>
      </w:r>
      <w:r w:rsidRPr="00EC31DD">
        <w:rPr>
          <w:rFonts w:ascii="Arial" w:hAnsi="Arial" w:cs="Arial"/>
        </w:rPr>
        <w:t xml:space="preserve">. London: CIPD. Available at: </w:t>
      </w:r>
      <w:hyperlink r:id="rId11" w:tgtFrame="_new" w:history="1">
        <w:r w:rsidRPr="00EC31DD">
          <w:rPr>
            <w:rStyle w:val="Hyperlink"/>
            <w:rFonts w:ascii="Arial" w:hAnsi="Arial" w:cs="Arial"/>
          </w:rPr>
          <w:t>https://www.cipd.org</w:t>
        </w:r>
      </w:hyperlink>
      <w:r w:rsidRPr="00EC31DD">
        <w:rPr>
          <w:rFonts w:ascii="Arial" w:hAnsi="Arial" w:cs="Arial"/>
        </w:rPr>
        <w:t xml:space="preserve"> (Accessed: 2 August 2026).</w:t>
      </w:r>
    </w:p>
    <w:p w14:paraId="364F92B8" w14:textId="77777777" w:rsidR="008007DB" w:rsidRPr="00EC31DD" w:rsidRDefault="008007DB" w:rsidP="008007DB">
      <w:pPr>
        <w:pStyle w:val="NormalWeb"/>
        <w:numPr>
          <w:ilvl w:val="0"/>
          <w:numId w:val="2"/>
        </w:numPr>
        <w:spacing w:line="360" w:lineRule="auto"/>
        <w:rPr>
          <w:rFonts w:ascii="Arial" w:hAnsi="Arial" w:cs="Arial"/>
        </w:rPr>
      </w:pPr>
      <w:r w:rsidRPr="00EC31DD">
        <w:rPr>
          <w:rFonts w:ascii="Arial" w:hAnsi="Arial" w:cs="Arial"/>
        </w:rPr>
        <w:t xml:space="preserve">Chartered Institute of Personnel and Development (CIPD) (2024) </w:t>
      </w:r>
      <w:r w:rsidRPr="00EC31DD">
        <w:rPr>
          <w:rStyle w:val="Emphasis"/>
          <w:rFonts w:ascii="Arial" w:hAnsi="Arial" w:cs="Arial"/>
        </w:rPr>
        <w:t>The Profession Map</w:t>
      </w:r>
      <w:r w:rsidRPr="00EC31DD">
        <w:rPr>
          <w:rFonts w:ascii="Arial" w:hAnsi="Arial" w:cs="Arial"/>
        </w:rPr>
        <w:t xml:space="preserve">. London: CIPD. Available at: </w:t>
      </w:r>
      <w:hyperlink r:id="rId12" w:tgtFrame="_new" w:history="1">
        <w:r w:rsidRPr="00EC31DD">
          <w:rPr>
            <w:rStyle w:val="Hyperlink"/>
            <w:rFonts w:ascii="Arial" w:hAnsi="Arial" w:cs="Arial"/>
          </w:rPr>
          <w:t>https://www.cipd.org/en/the-people-profession/the-profession-map/</w:t>
        </w:r>
      </w:hyperlink>
      <w:r w:rsidRPr="00EC31DD">
        <w:rPr>
          <w:rFonts w:ascii="Arial" w:hAnsi="Arial" w:cs="Arial"/>
        </w:rPr>
        <w:t xml:space="preserve"> (Accessed: 2 August 2026).</w:t>
      </w:r>
    </w:p>
    <w:p w14:paraId="25BC7D94" w14:textId="77777777" w:rsidR="008007DB" w:rsidRPr="001C21C2" w:rsidRDefault="008007DB" w:rsidP="008007DB">
      <w:pPr>
        <w:ind w:left="720"/>
        <w:rPr>
          <w:rFonts w:ascii="Arial" w:hAnsi="Arial" w:cs="Arial"/>
        </w:rPr>
      </w:pPr>
    </w:p>
    <w:p w14:paraId="0F4D4D29" w14:textId="77777777" w:rsidR="008007DB" w:rsidRPr="00867781" w:rsidRDefault="008007DB" w:rsidP="00867781">
      <w:pPr>
        <w:spacing w:line="360" w:lineRule="auto"/>
      </w:pPr>
    </w:p>
    <w:p w14:paraId="18C72A28" w14:textId="77777777" w:rsidR="00867781" w:rsidRDefault="00867781" w:rsidP="00867781">
      <w:pPr>
        <w:spacing w:line="360" w:lineRule="auto"/>
      </w:pPr>
    </w:p>
    <w:sectPr w:rsidR="00867781" w:rsidSect="008007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CB11C1"/>
    <w:multiLevelType w:val="hybridMultilevel"/>
    <w:tmpl w:val="FD10F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076746"/>
    <w:multiLevelType w:val="multilevel"/>
    <w:tmpl w:val="9102A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8103587">
    <w:abstractNumId w:val="0"/>
  </w:num>
  <w:num w:numId="2" w16cid:durableId="5038654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781"/>
    <w:rsid w:val="002B6ED2"/>
    <w:rsid w:val="002D3850"/>
    <w:rsid w:val="006E2B61"/>
    <w:rsid w:val="007D49DC"/>
    <w:rsid w:val="008007DB"/>
    <w:rsid w:val="00867781"/>
    <w:rsid w:val="00CD6AF0"/>
    <w:rsid w:val="00D61CBC"/>
    <w:rsid w:val="00E27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87025"/>
  <w15:chartTrackingRefBased/>
  <w15:docId w15:val="{1D7A4941-35FA-47E9-A02A-3050E75F5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7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77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77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77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77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77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77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77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77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7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77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77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77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77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77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77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77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7781"/>
    <w:rPr>
      <w:rFonts w:eastAsiaTheme="majorEastAsia" w:cstheme="majorBidi"/>
      <w:color w:val="272727" w:themeColor="text1" w:themeTint="D8"/>
    </w:rPr>
  </w:style>
  <w:style w:type="paragraph" w:styleId="Title">
    <w:name w:val="Title"/>
    <w:basedOn w:val="Normal"/>
    <w:next w:val="Normal"/>
    <w:link w:val="TitleChar"/>
    <w:uiPriority w:val="10"/>
    <w:qFormat/>
    <w:rsid w:val="008677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7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77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77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7781"/>
    <w:pPr>
      <w:spacing w:before="160"/>
      <w:jc w:val="center"/>
    </w:pPr>
    <w:rPr>
      <w:i/>
      <w:iCs/>
      <w:color w:val="404040" w:themeColor="text1" w:themeTint="BF"/>
    </w:rPr>
  </w:style>
  <w:style w:type="character" w:customStyle="1" w:styleId="QuoteChar">
    <w:name w:val="Quote Char"/>
    <w:basedOn w:val="DefaultParagraphFont"/>
    <w:link w:val="Quote"/>
    <w:uiPriority w:val="29"/>
    <w:rsid w:val="00867781"/>
    <w:rPr>
      <w:i/>
      <w:iCs/>
      <w:color w:val="404040" w:themeColor="text1" w:themeTint="BF"/>
    </w:rPr>
  </w:style>
  <w:style w:type="paragraph" w:styleId="ListParagraph">
    <w:name w:val="List Paragraph"/>
    <w:basedOn w:val="Normal"/>
    <w:uiPriority w:val="34"/>
    <w:qFormat/>
    <w:rsid w:val="00867781"/>
    <w:pPr>
      <w:ind w:left="720"/>
      <w:contextualSpacing/>
    </w:pPr>
  </w:style>
  <w:style w:type="character" w:styleId="IntenseEmphasis">
    <w:name w:val="Intense Emphasis"/>
    <w:basedOn w:val="DefaultParagraphFont"/>
    <w:uiPriority w:val="21"/>
    <w:qFormat/>
    <w:rsid w:val="00867781"/>
    <w:rPr>
      <w:i/>
      <w:iCs/>
      <w:color w:val="0F4761" w:themeColor="accent1" w:themeShade="BF"/>
    </w:rPr>
  </w:style>
  <w:style w:type="paragraph" w:styleId="IntenseQuote">
    <w:name w:val="Intense Quote"/>
    <w:basedOn w:val="Normal"/>
    <w:next w:val="Normal"/>
    <w:link w:val="IntenseQuoteChar"/>
    <w:uiPriority w:val="30"/>
    <w:qFormat/>
    <w:rsid w:val="008677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7781"/>
    <w:rPr>
      <w:i/>
      <w:iCs/>
      <w:color w:val="0F4761" w:themeColor="accent1" w:themeShade="BF"/>
    </w:rPr>
  </w:style>
  <w:style w:type="character" w:styleId="IntenseReference">
    <w:name w:val="Intense Reference"/>
    <w:basedOn w:val="DefaultParagraphFont"/>
    <w:uiPriority w:val="32"/>
    <w:qFormat/>
    <w:rsid w:val="00867781"/>
    <w:rPr>
      <w:b/>
      <w:bCs/>
      <w:smallCaps/>
      <w:color w:val="0F4761" w:themeColor="accent1" w:themeShade="BF"/>
      <w:spacing w:val="5"/>
    </w:rPr>
  </w:style>
  <w:style w:type="paragraph" w:styleId="NoSpacing">
    <w:name w:val="No Spacing"/>
    <w:link w:val="NoSpacingChar"/>
    <w:uiPriority w:val="1"/>
    <w:qFormat/>
    <w:rsid w:val="0086778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67781"/>
    <w:rPr>
      <w:rFonts w:eastAsiaTheme="minorEastAsia"/>
      <w:kern w:val="0"/>
      <w:sz w:val="22"/>
      <w:szCs w:val="22"/>
      <w:lang w:val="en-US"/>
      <w14:ligatures w14:val="none"/>
    </w:rPr>
  </w:style>
  <w:style w:type="character" w:styleId="Hyperlink">
    <w:name w:val="Hyperlink"/>
    <w:basedOn w:val="DefaultParagraphFont"/>
    <w:uiPriority w:val="99"/>
    <w:unhideWhenUsed/>
    <w:rsid w:val="008007DB"/>
    <w:rPr>
      <w:color w:val="467886" w:themeColor="hyperlink"/>
      <w:u w:val="single"/>
    </w:rPr>
  </w:style>
  <w:style w:type="table" w:styleId="TableGrid">
    <w:name w:val="Table Grid"/>
    <w:basedOn w:val="TableNormal"/>
    <w:uiPriority w:val="59"/>
    <w:rsid w:val="008007DB"/>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8007D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007DB"/>
    <w:rPr>
      <w:i/>
      <w:iCs/>
    </w:rPr>
  </w:style>
  <w:style w:type="paragraph" w:styleId="NormalWeb">
    <w:name w:val="Normal (Web)"/>
    <w:basedOn w:val="Normal"/>
    <w:uiPriority w:val="99"/>
    <w:semiHidden/>
    <w:unhideWhenUsed/>
    <w:rsid w:val="008007DB"/>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cipd.org/en/the-people-profession/the-profession-map/?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ipd.org" TargetMode="Externa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2528</Words>
  <Characters>14412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dianne mariny</dc:creator>
  <cp:keywords/>
  <dc:description/>
  <cp:lastModifiedBy>dianne mariny</cp:lastModifiedBy>
  <cp:revision>2</cp:revision>
  <dcterms:created xsi:type="dcterms:W3CDTF">2026-08-02T17:44:00Z</dcterms:created>
  <dcterms:modified xsi:type="dcterms:W3CDTF">2026-08-02T17:44:00Z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0c7d846a-31e0-4efb-bcf1-95abaae01d12</vt:lpwstr>
  </property>
</Properties>
</file>