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Times New Roman"/>
          <w:szCs w:val="24"/>
        </w:rPr>
        <w:id w:val="-379863576"/>
        <w:docPartObj>
          <w:docPartGallery w:val="Cover Pages"/>
          <w:docPartUnique/>
        </w:docPartObj>
      </w:sdtPr>
      <w:sdtContent>
        <w:p w:rsidR="00AA0561" w:rsidRDefault="000D672A" w:rsidP="00D82542">
          <w:pPr>
            <w:spacing w:before="240" w:line="360" w:lineRule="auto"/>
            <w:rPr>
              <w:rFonts w:cs="Times New Roman"/>
              <w:szCs w:val="24"/>
            </w:rPr>
          </w:pPr>
          <w:r w:rsidRPr="000D672A">
            <w:rPr>
              <w:rFonts w:cs="Times New Roman"/>
              <w:szCs w:val="24"/>
            </w:rPr>
            <w:drawing>
              <wp:inline distT="0" distB="0" distL="0" distR="0">
                <wp:extent cx="5102352" cy="2834640"/>
                <wp:effectExtent l="0" t="0" r="3175" b="3810"/>
                <wp:docPr id="19984204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06087" cy="2836715"/>
                        </a:xfrm>
                        <a:prstGeom prst="rect">
                          <a:avLst/>
                        </a:prstGeom>
                        <a:noFill/>
                      </pic:spPr>
                    </pic:pic>
                  </a:graphicData>
                </a:graphic>
              </wp:inline>
            </w:drawing>
          </w:r>
        </w:p>
        <w:p w:rsidR="000D672A" w:rsidRDefault="000D672A" w:rsidP="000D672A">
          <w:pPr>
            <w:spacing w:before="240"/>
            <w:jc w:val="left"/>
            <w:rPr>
              <w:b/>
              <w:bCs/>
              <w:sz w:val="32"/>
              <w:szCs w:val="32"/>
            </w:rPr>
          </w:pPr>
          <w:r>
            <w:rPr>
              <w:b/>
              <w:bCs/>
              <w:sz w:val="32"/>
              <w:szCs w:val="32"/>
            </w:rPr>
            <w:t>Student of Name: - Patel  Parth Kantibhai</w:t>
          </w:r>
        </w:p>
        <w:p w:rsidR="000D672A" w:rsidRDefault="000D672A" w:rsidP="000D672A">
          <w:pPr>
            <w:spacing w:before="240"/>
            <w:jc w:val="left"/>
            <w:rPr>
              <w:b/>
              <w:bCs/>
              <w:sz w:val="32"/>
              <w:szCs w:val="32"/>
            </w:rPr>
          </w:pPr>
          <w:r>
            <w:rPr>
              <w:b/>
              <w:bCs/>
              <w:sz w:val="32"/>
              <w:szCs w:val="32"/>
            </w:rPr>
            <w:t>Student ID: - 2314427</w:t>
          </w:r>
        </w:p>
        <w:p w:rsidR="000D672A" w:rsidRDefault="000D672A" w:rsidP="000D672A">
          <w:pPr>
            <w:spacing w:before="240"/>
            <w:jc w:val="left"/>
            <w:rPr>
              <w:b/>
              <w:bCs/>
              <w:sz w:val="32"/>
              <w:szCs w:val="32"/>
            </w:rPr>
          </w:pPr>
          <w:r>
            <w:rPr>
              <w:b/>
              <w:bCs/>
              <w:sz w:val="32"/>
              <w:szCs w:val="32"/>
            </w:rPr>
            <w:t>Subject Code: - LCMB7032</w:t>
          </w:r>
        </w:p>
        <w:p w:rsidR="000D672A" w:rsidRPr="000D672A" w:rsidRDefault="000D672A" w:rsidP="000D672A">
          <w:pPr>
            <w:spacing w:before="240"/>
            <w:jc w:val="left"/>
            <w:rPr>
              <w:b/>
              <w:bCs/>
              <w:sz w:val="32"/>
              <w:szCs w:val="32"/>
            </w:rPr>
          </w:pPr>
          <w:r>
            <w:rPr>
              <w:b/>
              <w:bCs/>
              <w:sz w:val="32"/>
              <w:szCs w:val="32"/>
            </w:rPr>
            <w:t>Date of Submission: - 28 April, 2024</w:t>
          </w:r>
        </w:p>
        <w:p w:rsidR="00AA0561" w:rsidRDefault="00AA0561" w:rsidP="00D82542">
          <w:pPr>
            <w:spacing w:before="240" w:line="360" w:lineRule="auto"/>
            <w:rPr>
              <w:rFonts w:cs="Times New Roman"/>
              <w:szCs w:val="24"/>
            </w:rPr>
          </w:pPr>
        </w:p>
        <w:p w:rsidR="00AA0561" w:rsidRDefault="00AA0561" w:rsidP="00D82542">
          <w:pPr>
            <w:spacing w:before="240" w:line="360" w:lineRule="auto"/>
            <w:rPr>
              <w:rFonts w:cs="Times New Roman"/>
              <w:szCs w:val="24"/>
            </w:rPr>
          </w:pPr>
        </w:p>
        <w:p w:rsidR="00AA0561" w:rsidRDefault="00AA0561" w:rsidP="00D82542">
          <w:pPr>
            <w:spacing w:before="240" w:line="360" w:lineRule="auto"/>
            <w:rPr>
              <w:rFonts w:cs="Times New Roman"/>
              <w:szCs w:val="24"/>
            </w:rPr>
          </w:pPr>
        </w:p>
        <w:p w:rsidR="006768C1" w:rsidRPr="00AA0561" w:rsidRDefault="006768C1" w:rsidP="00AA0561">
          <w:pPr>
            <w:spacing w:before="240" w:line="360" w:lineRule="auto"/>
            <w:jc w:val="center"/>
            <w:rPr>
              <w:rFonts w:cs="Times New Roman"/>
              <w:b/>
              <w:bCs/>
              <w:szCs w:val="24"/>
            </w:rPr>
          </w:pPr>
          <w:r w:rsidRPr="00AA0561">
            <w:rPr>
              <w:rFonts w:cs="Times New Roman"/>
              <w:b/>
              <w:bCs/>
              <w:szCs w:val="24"/>
            </w:rPr>
            <w:t>MBA – Master of Business Administration</w:t>
          </w:r>
        </w:p>
        <w:p w:rsidR="006768C1" w:rsidRPr="00AA0561" w:rsidRDefault="006768C1" w:rsidP="00AA0561">
          <w:pPr>
            <w:spacing w:before="240" w:line="360" w:lineRule="auto"/>
            <w:jc w:val="center"/>
            <w:rPr>
              <w:rFonts w:cs="Times New Roman"/>
              <w:b/>
              <w:bCs/>
              <w:sz w:val="32"/>
              <w:szCs w:val="32"/>
            </w:rPr>
          </w:pPr>
          <w:r w:rsidRPr="00AA0561">
            <w:rPr>
              <w:rFonts w:cs="Times New Roman"/>
              <w:b/>
              <w:bCs/>
              <w:sz w:val="32"/>
              <w:szCs w:val="32"/>
            </w:rPr>
            <w:t>Banking Financial</w:t>
          </w:r>
          <w:r w:rsidR="00AA0561" w:rsidRPr="00AA0561">
            <w:rPr>
              <w:rFonts w:cs="Times New Roman"/>
              <w:b/>
              <w:bCs/>
              <w:sz w:val="32"/>
              <w:szCs w:val="32"/>
            </w:rPr>
            <w:t xml:space="preserve"> </w:t>
          </w:r>
          <w:r w:rsidRPr="00AA0561">
            <w:rPr>
              <w:rFonts w:cs="Times New Roman"/>
              <w:b/>
              <w:bCs/>
              <w:sz w:val="32"/>
              <w:szCs w:val="32"/>
            </w:rPr>
            <w:t>Management and Financial</w:t>
          </w:r>
          <w:r w:rsidR="00AA0561" w:rsidRPr="00AA0561">
            <w:rPr>
              <w:rFonts w:cs="Times New Roman"/>
              <w:b/>
              <w:bCs/>
              <w:sz w:val="32"/>
              <w:szCs w:val="32"/>
            </w:rPr>
            <w:t xml:space="preserve"> </w:t>
          </w:r>
          <w:r w:rsidRPr="00AA0561">
            <w:rPr>
              <w:rFonts w:cs="Times New Roman"/>
              <w:b/>
              <w:bCs/>
              <w:sz w:val="32"/>
              <w:szCs w:val="32"/>
            </w:rPr>
            <w:t>Markets</w:t>
          </w:r>
        </w:p>
        <w:p w:rsidR="00C12B81" w:rsidRPr="00C743D8" w:rsidRDefault="00AA0561" w:rsidP="00AA0561">
          <w:pPr>
            <w:spacing w:before="240" w:line="360" w:lineRule="auto"/>
            <w:jc w:val="center"/>
            <w:rPr>
              <w:rFonts w:cs="Times New Roman"/>
              <w:b/>
              <w:bCs/>
              <w:sz w:val="32"/>
              <w:szCs w:val="32"/>
            </w:rPr>
          </w:pPr>
          <w:r w:rsidRPr="00C743D8">
            <w:rPr>
              <w:rFonts w:cs="Times New Roman"/>
              <w:b/>
              <w:bCs/>
              <w:sz w:val="32"/>
              <w:szCs w:val="32"/>
            </w:rPr>
            <w:t xml:space="preserve">Company: </w:t>
          </w:r>
          <w:r w:rsidR="00C743D8" w:rsidRPr="00C743D8">
            <w:rPr>
              <w:rFonts w:cs="Times New Roman"/>
              <w:b/>
              <w:bCs/>
              <w:sz w:val="32"/>
              <w:szCs w:val="32"/>
            </w:rPr>
            <w:t>Snapchat</w:t>
          </w:r>
        </w:p>
        <w:p w:rsidR="006768C1" w:rsidRPr="006768C1" w:rsidRDefault="006768C1" w:rsidP="00D82542">
          <w:pPr>
            <w:spacing w:before="240" w:line="360" w:lineRule="auto"/>
            <w:rPr>
              <w:rFonts w:cs="Times New Roman"/>
              <w:sz w:val="32"/>
              <w:szCs w:val="32"/>
            </w:rPr>
          </w:pPr>
        </w:p>
        <w:p w:rsidR="00C12B81" w:rsidRPr="00A531A5" w:rsidRDefault="00C12B81" w:rsidP="00D82542">
          <w:pPr>
            <w:spacing w:before="240" w:line="360" w:lineRule="auto"/>
            <w:rPr>
              <w:rFonts w:eastAsiaTheme="majorEastAsia" w:cs="Times New Roman"/>
              <w:color w:val="2F5496" w:themeColor="accent1" w:themeShade="BF"/>
              <w:kern w:val="0"/>
              <w:szCs w:val="24"/>
            </w:rPr>
          </w:pPr>
          <w:r w:rsidRPr="00A531A5">
            <w:rPr>
              <w:rFonts w:cs="Times New Roman"/>
              <w:szCs w:val="24"/>
            </w:rPr>
            <w:lastRenderedPageBreak/>
            <w:br w:type="page"/>
          </w:r>
        </w:p>
      </w:sdtContent>
    </w:sdt>
    <w:sdt>
      <w:sdtPr>
        <w:rPr>
          <w:rFonts w:ascii="Times New Roman" w:eastAsiaTheme="minorHAnsi" w:hAnsi="Times New Roman" w:cs="Times New Roman"/>
          <w:color w:val="auto"/>
          <w:kern w:val="2"/>
          <w:sz w:val="24"/>
          <w:szCs w:val="24"/>
        </w:rPr>
        <w:id w:val="1716304037"/>
        <w:docPartObj>
          <w:docPartGallery w:val="Table of Contents"/>
          <w:docPartUnique/>
        </w:docPartObj>
      </w:sdtPr>
      <w:sdtEndPr>
        <w:rPr>
          <w:b/>
          <w:bCs/>
          <w:noProof/>
        </w:rPr>
      </w:sdtEndPr>
      <w:sdtContent>
        <w:p w:rsidR="004554B8" w:rsidRPr="00AA0561" w:rsidRDefault="00AA0561" w:rsidP="00AA0561">
          <w:pPr>
            <w:pStyle w:val="TOCHeading"/>
            <w:spacing w:line="360" w:lineRule="auto"/>
            <w:jc w:val="center"/>
            <w:rPr>
              <w:rFonts w:ascii="Times New Roman" w:hAnsi="Times New Roman" w:cs="Times New Roman"/>
              <w:b/>
              <w:bCs/>
              <w:color w:val="000000" w:themeColor="text1"/>
              <w:sz w:val="28"/>
              <w:szCs w:val="28"/>
            </w:rPr>
          </w:pPr>
          <w:r w:rsidRPr="00AA0561">
            <w:rPr>
              <w:rFonts w:ascii="Times New Roman" w:hAnsi="Times New Roman" w:cs="Times New Roman"/>
              <w:b/>
              <w:bCs/>
              <w:color w:val="000000" w:themeColor="text1"/>
              <w:sz w:val="28"/>
              <w:szCs w:val="28"/>
            </w:rPr>
            <w:t>Table of Content</w:t>
          </w:r>
        </w:p>
        <w:p w:rsidR="00C743D8" w:rsidRDefault="00054486">
          <w:pPr>
            <w:pStyle w:val="TOC1"/>
            <w:tabs>
              <w:tab w:val="right" w:leader="dot" w:pos="9350"/>
            </w:tabs>
            <w:rPr>
              <w:rFonts w:asciiTheme="minorHAnsi" w:eastAsiaTheme="minorEastAsia" w:hAnsiTheme="minorHAnsi"/>
              <w:noProof/>
              <w:sz w:val="22"/>
              <w:lang w:val="en-IN" w:eastAsia="zh-CN"/>
            </w:rPr>
          </w:pPr>
          <w:r w:rsidRPr="00054486">
            <w:rPr>
              <w:rFonts w:cs="Times New Roman"/>
              <w:szCs w:val="24"/>
            </w:rPr>
            <w:fldChar w:fldCharType="begin"/>
          </w:r>
          <w:r w:rsidR="004554B8" w:rsidRPr="00A531A5">
            <w:rPr>
              <w:rFonts w:cs="Times New Roman"/>
              <w:szCs w:val="24"/>
            </w:rPr>
            <w:instrText xml:space="preserve"> TOC \o "1-3" \h \z \u </w:instrText>
          </w:r>
          <w:r w:rsidRPr="00054486">
            <w:rPr>
              <w:rFonts w:cs="Times New Roman"/>
              <w:szCs w:val="24"/>
            </w:rPr>
            <w:fldChar w:fldCharType="separate"/>
          </w:r>
          <w:hyperlink w:anchor="_Toc165154998" w:history="1">
            <w:r w:rsidR="00C743D8" w:rsidRPr="0018435A">
              <w:rPr>
                <w:rStyle w:val="Hyperlink"/>
                <w:rFonts w:cs="Times New Roman"/>
                <w:noProof/>
              </w:rPr>
              <w:t>Introduction</w:t>
            </w:r>
            <w:r w:rsidR="00C743D8">
              <w:rPr>
                <w:noProof/>
                <w:webHidden/>
              </w:rPr>
              <w:tab/>
            </w:r>
            <w:r>
              <w:rPr>
                <w:noProof/>
                <w:webHidden/>
              </w:rPr>
              <w:fldChar w:fldCharType="begin"/>
            </w:r>
            <w:r w:rsidR="00C743D8">
              <w:rPr>
                <w:noProof/>
                <w:webHidden/>
              </w:rPr>
              <w:instrText xml:space="preserve"> PAGEREF _Toc165154998 \h </w:instrText>
            </w:r>
            <w:r>
              <w:rPr>
                <w:noProof/>
                <w:webHidden/>
              </w:rPr>
            </w:r>
            <w:r>
              <w:rPr>
                <w:noProof/>
                <w:webHidden/>
              </w:rPr>
              <w:fldChar w:fldCharType="separate"/>
            </w:r>
            <w:r w:rsidR="00C743D8">
              <w:rPr>
                <w:noProof/>
                <w:webHidden/>
              </w:rPr>
              <w:t>2</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4999" w:history="1">
            <w:r w:rsidR="00C743D8" w:rsidRPr="0018435A">
              <w:rPr>
                <w:rStyle w:val="Hyperlink"/>
                <w:rFonts w:cs="Times New Roman"/>
                <w:noProof/>
              </w:rPr>
              <w:t>Overview</w:t>
            </w:r>
            <w:r w:rsidR="00C743D8">
              <w:rPr>
                <w:noProof/>
                <w:webHidden/>
              </w:rPr>
              <w:tab/>
            </w:r>
            <w:r>
              <w:rPr>
                <w:noProof/>
                <w:webHidden/>
              </w:rPr>
              <w:fldChar w:fldCharType="begin"/>
            </w:r>
            <w:r w:rsidR="00C743D8">
              <w:rPr>
                <w:noProof/>
                <w:webHidden/>
              </w:rPr>
              <w:instrText xml:space="preserve"> PAGEREF _Toc165154999 \h </w:instrText>
            </w:r>
            <w:r>
              <w:rPr>
                <w:noProof/>
                <w:webHidden/>
              </w:rPr>
            </w:r>
            <w:r>
              <w:rPr>
                <w:noProof/>
                <w:webHidden/>
              </w:rPr>
              <w:fldChar w:fldCharType="separate"/>
            </w:r>
            <w:r w:rsidR="00C743D8">
              <w:rPr>
                <w:noProof/>
                <w:webHidden/>
              </w:rPr>
              <w:t>2</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0" w:history="1">
            <w:r w:rsidR="00C743D8" w:rsidRPr="0018435A">
              <w:rPr>
                <w:rStyle w:val="Hyperlink"/>
                <w:rFonts w:cs="Times New Roman"/>
                <w:noProof/>
              </w:rPr>
              <w:t>Key Reason for going public</w:t>
            </w:r>
            <w:r w:rsidR="00C743D8">
              <w:rPr>
                <w:noProof/>
                <w:webHidden/>
              </w:rPr>
              <w:tab/>
            </w:r>
            <w:r>
              <w:rPr>
                <w:noProof/>
                <w:webHidden/>
              </w:rPr>
              <w:fldChar w:fldCharType="begin"/>
            </w:r>
            <w:r w:rsidR="00C743D8">
              <w:rPr>
                <w:noProof/>
                <w:webHidden/>
              </w:rPr>
              <w:instrText xml:space="preserve"> PAGEREF _Toc165155000 \h </w:instrText>
            </w:r>
            <w:r>
              <w:rPr>
                <w:noProof/>
                <w:webHidden/>
              </w:rPr>
            </w:r>
            <w:r>
              <w:rPr>
                <w:noProof/>
                <w:webHidden/>
              </w:rPr>
              <w:fldChar w:fldCharType="separate"/>
            </w:r>
            <w:r w:rsidR="00C743D8">
              <w:rPr>
                <w:noProof/>
                <w:webHidden/>
              </w:rPr>
              <w:t>2</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1" w:history="1">
            <w:r w:rsidR="00C743D8" w:rsidRPr="0018435A">
              <w:rPr>
                <w:rStyle w:val="Hyperlink"/>
                <w:rFonts w:cs="Times New Roman"/>
                <w:noProof/>
              </w:rPr>
              <w:t>Key Risks</w:t>
            </w:r>
            <w:r w:rsidR="00C743D8">
              <w:rPr>
                <w:noProof/>
                <w:webHidden/>
              </w:rPr>
              <w:tab/>
            </w:r>
            <w:r>
              <w:rPr>
                <w:noProof/>
                <w:webHidden/>
              </w:rPr>
              <w:fldChar w:fldCharType="begin"/>
            </w:r>
            <w:r w:rsidR="00C743D8">
              <w:rPr>
                <w:noProof/>
                <w:webHidden/>
              </w:rPr>
              <w:instrText xml:space="preserve"> PAGEREF _Toc165155001 \h </w:instrText>
            </w:r>
            <w:r>
              <w:rPr>
                <w:noProof/>
                <w:webHidden/>
              </w:rPr>
            </w:r>
            <w:r>
              <w:rPr>
                <w:noProof/>
                <w:webHidden/>
              </w:rPr>
              <w:fldChar w:fldCharType="separate"/>
            </w:r>
            <w:r w:rsidR="00C743D8">
              <w:rPr>
                <w:noProof/>
                <w:webHidden/>
              </w:rPr>
              <w:t>3</w:t>
            </w:r>
            <w:r>
              <w:rPr>
                <w:noProof/>
                <w:webHidden/>
              </w:rPr>
              <w:fldChar w:fldCharType="end"/>
            </w:r>
          </w:hyperlink>
        </w:p>
        <w:p w:rsidR="00C743D8" w:rsidRDefault="00054486">
          <w:pPr>
            <w:pStyle w:val="TOC1"/>
            <w:tabs>
              <w:tab w:val="right" w:leader="dot" w:pos="9350"/>
            </w:tabs>
            <w:rPr>
              <w:rFonts w:asciiTheme="minorHAnsi" w:eastAsiaTheme="minorEastAsia" w:hAnsiTheme="minorHAnsi"/>
              <w:noProof/>
              <w:sz w:val="22"/>
              <w:lang w:val="en-IN" w:eastAsia="zh-CN"/>
            </w:rPr>
          </w:pPr>
          <w:hyperlink w:anchor="_Toc165155002" w:history="1">
            <w:r w:rsidR="00C743D8" w:rsidRPr="0018435A">
              <w:rPr>
                <w:rStyle w:val="Hyperlink"/>
                <w:rFonts w:cs="Times New Roman"/>
                <w:noProof/>
              </w:rPr>
              <w:t>Quantitatively review</w:t>
            </w:r>
            <w:r w:rsidR="00C743D8">
              <w:rPr>
                <w:noProof/>
                <w:webHidden/>
              </w:rPr>
              <w:tab/>
            </w:r>
            <w:r>
              <w:rPr>
                <w:noProof/>
                <w:webHidden/>
              </w:rPr>
              <w:fldChar w:fldCharType="begin"/>
            </w:r>
            <w:r w:rsidR="00C743D8">
              <w:rPr>
                <w:noProof/>
                <w:webHidden/>
              </w:rPr>
              <w:instrText xml:space="preserve"> PAGEREF _Toc165155002 \h </w:instrText>
            </w:r>
            <w:r>
              <w:rPr>
                <w:noProof/>
                <w:webHidden/>
              </w:rPr>
            </w:r>
            <w:r>
              <w:rPr>
                <w:noProof/>
                <w:webHidden/>
              </w:rPr>
              <w:fldChar w:fldCharType="separate"/>
            </w:r>
            <w:r w:rsidR="00C743D8">
              <w:rPr>
                <w:noProof/>
                <w:webHidden/>
              </w:rPr>
              <w:t>4</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3" w:history="1">
            <w:r w:rsidR="00C743D8" w:rsidRPr="0018435A">
              <w:rPr>
                <w:rStyle w:val="Hyperlink"/>
                <w:rFonts w:cs="Times New Roman"/>
                <w:noProof/>
              </w:rPr>
              <w:t>Annual Growth Rate</w:t>
            </w:r>
            <w:r w:rsidR="00C743D8">
              <w:rPr>
                <w:noProof/>
                <w:webHidden/>
              </w:rPr>
              <w:tab/>
            </w:r>
            <w:r>
              <w:rPr>
                <w:noProof/>
                <w:webHidden/>
              </w:rPr>
              <w:fldChar w:fldCharType="begin"/>
            </w:r>
            <w:r w:rsidR="00C743D8">
              <w:rPr>
                <w:noProof/>
                <w:webHidden/>
              </w:rPr>
              <w:instrText xml:space="preserve"> PAGEREF _Toc165155003 \h </w:instrText>
            </w:r>
            <w:r>
              <w:rPr>
                <w:noProof/>
                <w:webHidden/>
              </w:rPr>
            </w:r>
            <w:r>
              <w:rPr>
                <w:noProof/>
                <w:webHidden/>
              </w:rPr>
              <w:fldChar w:fldCharType="separate"/>
            </w:r>
            <w:r w:rsidR="00C743D8">
              <w:rPr>
                <w:noProof/>
                <w:webHidden/>
              </w:rPr>
              <w:t>7</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4" w:history="1">
            <w:r w:rsidR="00C743D8" w:rsidRPr="0018435A">
              <w:rPr>
                <w:rStyle w:val="Hyperlink"/>
                <w:rFonts w:cs="Times New Roman"/>
                <w:noProof/>
              </w:rPr>
              <w:t>Sharpe and Treynor ratios</w:t>
            </w:r>
            <w:r w:rsidR="00C743D8">
              <w:rPr>
                <w:noProof/>
                <w:webHidden/>
              </w:rPr>
              <w:tab/>
            </w:r>
            <w:r>
              <w:rPr>
                <w:noProof/>
                <w:webHidden/>
              </w:rPr>
              <w:fldChar w:fldCharType="begin"/>
            </w:r>
            <w:r w:rsidR="00C743D8">
              <w:rPr>
                <w:noProof/>
                <w:webHidden/>
              </w:rPr>
              <w:instrText xml:space="preserve"> PAGEREF _Toc165155004 \h </w:instrText>
            </w:r>
            <w:r>
              <w:rPr>
                <w:noProof/>
                <w:webHidden/>
              </w:rPr>
            </w:r>
            <w:r>
              <w:rPr>
                <w:noProof/>
                <w:webHidden/>
              </w:rPr>
              <w:fldChar w:fldCharType="separate"/>
            </w:r>
            <w:r w:rsidR="00C743D8">
              <w:rPr>
                <w:noProof/>
                <w:webHidden/>
              </w:rPr>
              <w:t>8</w:t>
            </w:r>
            <w:r>
              <w:rPr>
                <w:noProof/>
                <w:webHidden/>
              </w:rPr>
              <w:fldChar w:fldCharType="end"/>
            </w:r>
          </w:hyperlink>
        </w:p>
        <w:p w:rsidR="00C743D8" w:rsidRDefault="00054486">
          <w:pPr>
            <w:pStyle w:val="TOC1"/>
            <w:tabs>
              <w:tab w:val="right" w:leader="dot" w:pos="9350"/>
            </w:tabs>
            <w:rPr>
              <w:rFonts w:asciiTheme="minorHAnsi" w:eastAsiaTheme="minorEastAsia" w:hAnsiTheme="minorHAnsi"/>
              <w:noProof/>
              <w:sz w:val="22"/>
              <w:lang w:val="en-IN" w:eastAsia="zh-CN"/>
            </w:rPr>
          </w:pPr>
          <w:hyperlink w:anchor="_Toc165155005" w:history="1">
            <w:r w:rsidR="00C743D8" w:rsidRPr="0018435A">
              <w:rPr>
                <w:rStyle w:val="Hyperlink"/>
                <w:rFonts w:cs="Times New Roman"/>
                <w:noProof/>
              </w:rPr>
              <w:t>Exchange traded options</w:t>
            </w:r>
            <w:r w:rsidR="00C743D8">
              <w:rPr>
                <w:noProof/>
                <w:webHidden/>
              </w:rPr>
              <w:tab/>
            </w:r>
            <w:r>
              <w:rPr>
                <w:noProof/>
                <w:webHidden/>
              </w:rPr>
              <w:fldChar w:fldCharType="begin"/>
            </w:r>
            <w:r w:rsidR="00C743D8">
              <w:rPr>
                <w:noProof/>
                <w:webHidden/>
              </w:rPr>
              <w:instrText xml:space="preserve"> PAGEREF _Toc165155005 \h </w:instrText>
            </w:r>
            <w:r>
              <w:rPr>
                <w:noProof/>
                <w:webHidden/>
              </w:rPr>
            </w:r>
            <w:r>
              <w:rPr>
                <w:noProof/>
                <w:webHidden/>
              </w:rPr>
              <w:fldChar w:fldCharType="separate"/>
            </w:r>
            <w:r w:rsidR="00C743D8">
              <w:rPr>
                <w:noProof/>
                <w:webHidden/>
              </w:rPr>
              <w:t>10</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6" w:history="1">
            <w:r w:rsidR="00C743D8" w:rsidRPr="0018435A">
              <w:rPr>
                <w:rStyle w:val="Hyperlink"/>
                <w:rFonts w:cs="Times New Roman"/>
                <w:noProof/>
                <w:lang w:val="en-IN"/>
              </w:rPr>
              <w:t>Call Option</w:t>
            </w:r>
            <w:r w:rsidR="00C743D8">
              <w:rPr>
                <w:noProof/>
                <w:webHidden/>
              </w:rPr>
              <w:tab/>
            </w:r>
            <w:r>
              <w:rPr>
                <w:noProof/>
                <w:webHidden/>
              </w:rPr>
              <w:fldChar w:fldCharType="begin"/>
            </w:r>
            <w:r w:rsidR="00C743D8">
              <w:rPr>
                <w:noProof/>
                <w:webHidden/>
              </w:rPr>
              <w:instrText xml:space="preserve"> PAGEREF _Toc165155006 \h </w:instrText>
            </w:r>
            <w:r>
              <w:rPr>
                <w:noProof/>
                <w:webHidden/>
              </w:rPr>
            </w:r>
            <w:r>
              <w:rPr>
                <w:noProof/>
                <w:webHidden/>
              </w:rPr>
              <w:fldChar w:fldCharType="separate"/>
            </w:r>
            <w:r w:rsidR="00C743D8">
              <w:rPr>
                <w:noProof/>
                <w:webHidden/>
              </w:rPr>
              <w:t>10</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7" w:history="1">
            <w:r w:rsidR="00C743D8" w:rsidRPr="0018435A">
              <w:rPr>
                <w:rStyle w:val="Hyperlink"/>
                <w:rFonts w:cs="Times New Roman"/>
                <w:noProof/>
                <w:lang w:val="en-IN"/>
              </w:rPr>
              <w:t>Put Option</w:t>
            </w:r>
            <w:r w:rsidR="00C743D8">
              <w:rPr>
                <w:noProof/>
                <w:webHidden/>
              </w:rPr>
              <w:tab/>
            </w:r>
            <w:r>
              <w:rPr>
                <w:noProof/>
                <w:webHidden/>
              </w:rPr>
              <w:fldChar w:fldCharType="begin"/>
            </w:r>
            <w:r w:rsidR="00C743D8">
              <w:rPr>
                <w:noProof/>
                <w:webHidden/>
              </w:rPr>
              <w:instrText xml:space="preserve"> PAGEREF _Toc165155007 \h </w:instrText>
            </w:r>
            <w:r>
              <w:rPr>
                <w:noProof/>
                <w:webHidden/>
              </w:rPr>
            </w:r>
            <w:r>
              <w:rPr>
                <w:noProof/>
                <w:webHidden/>
              </w:rPr>
              <w:fldChar w:fldCharType="separate"/>
            </w:r>
            <w:r w:rsidR="00C743D8">
              <w:rPr>
                <w:noProof/>
                <w:webHidden/>
              </w:rPr>
              <w:t>12</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08" w:history="1">
            <w:r w:rsidR="00C743D8" w:rsidRPr="0018435A">
              <w:rPr>
                <w:rStyle w:val="Hyperlink"/>
                <w:rFonts w:cs="Times New Roman"/>
                <w:noProof/>
                <w:lang w:val="en-IN"/>
              </w:rPr>
              <w:t>Straddle Strategy</w:t>
            </w:r>
            <w:r w:rsidR="00C743D8">
              <w:rPr>
                <w:noProof/>
                <w:webHidden/>
              </w:rPr>
              <w:tab/>
            </w:r>
            <w:r>
              <w:rPr>
                <w:noProof/>
                <w:webHidden/>
              </w:rPr>
              <w:fldChar w:fldCharType="begin"/>
            </w:r>
            <w:r w:rsidR="00C743D8">
              <w:rPr>
                <w:noProof/>
                <w:webHidden/>
              </w:rPr>
              <w:instrText xml:space="preserve"> PAGEREF _Toc165155008 \h </w:instrText>
            </w:r>
            <w:r>
              <w:rPr>
                <w:noProof/>
                <w:webHidden/>
              </w:rPr>
            </w:r>
            <w:r>
              <w:rPr>
                <w:noProof/>
                <w:webHidden/>
              </w:rPr>
              <w:fldChar w:fldCharType="separate"/>
            </w:r>
            <w:r w:rsidR="00C743D8">
              <w:rPr>
                <w:noProof/>
                <w:webHidden/>
              </w:rPr>
              <w:t>14</w:t>
            </w:r>
            <w:r>
              <w:rPr>
                <w:noProof/>
                <w:webHidden/>
              </w:rPr>
              <w:fldChar w:fldCharType="end"/>
            </w:r>
          </w:hyperlink>
        </w:p>
        <w:p w:rsidR="00C743D8" w:rsidRDefault="00054486">
          <w:pPr>
            <w:pStyle w:val="TOC1"/>
            <w:tabs>
              <w:tab w:val="right" w:leader="dot" w:pos="9350"/>
            </w:tabs>
            <w:rPr>
              <w:rFonts w:asciiTheme="minorHAnsi" w:eastAsiaTheme="minorEastAsia" w:hAnsiTheme="minorHAnsi"/>
              <w:noProof/>
              <w:sz w:val="22"/>
              <w:lang w:val="en-IN" w:eastAsia="zh-CN"/>
            </w:rPr>
          </w:pPr>
          <w:hyperlink w:anchor="_Toc165155009" w:history="1">
            <w:r w:rsidR="00C743D8" w:rsidRPr="0018435A">
              <w:rPr>
                <w:rStyle w:val="Hyperlink"/>
                <w:rFonts w:cs="Times New Roman"/>
                <w:noProof/>
              </w:rPr>
              <w:t>Performance Analysis</w:t>
            </w:r>
            <w:r w:rsidR="00C743D8">
              <w:rPr>
                <w:noProof/>
                <w:webHidden/>
              </w:rPr>
              <w:tab/>
            </w:r>
            <w:r>
              <w:rPr>
                <w:noProof/>
                <w:webHidden/>
              </w:rPr>
              <w:fldChar w:fldCharType="begin"/>
            </w:r>
            <w:r w:rsidR="00C743D8">
              <w:rPr>
                <w:noProof/>
                <w:webHidden/>
              </w:rPr>
              <w:instrText xml:space="preserve"> PAGEREF _Toc165155009 \h </w:instrText>
            </w:r>
            <w:r>
              <w:rPr>
                <w:noProof/>
                <w:webHidden/>
              </w:rPr>
            </w:r>
            <w:r>
              <w:rPr>
                <w:noProof/>
                <w:webHidden/>
              </w:rPr>
              <w:fldChar w:fldCharType="separate"/>
            </w:r>
            <w:r w:rsidR="00C743D8">
              <w:rPr>
                <w:noProof/>
                <w:webHidden/>
              </w:rPr>
              <w:t>14</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10" w:history="1">
            <w:r w:rsidR="00C743D8" w:rsidRPr="0018435A">
              <w:rPr>
                <w:rStyle w:val="Hyperlink"/>
                <w:rFonts w:cs="Times New Roman"/>
                <w:noProof/>
                <w:lang w:val="en-IN"/>
              </w:rPr>
              <w:t>Performance of 10Y note</w:t>
            </w:r>
            <w:r w:rsidR="00C743D8">
              <w:rPr>
                <w:noProof/>
                <w:webHidden/>
              </w:rPr>
              <w:tab/>
            </w:r>
            <w:r>
              <w:rPr>
                <w:noProof/>
                <w:webHidden/>
              </w:rPr>
              <w:fldChar w:fldCharType="begin"/>
            </w:r>
            <w:r w:rsidR="00C743D8">
              <w:rPr>
                <w:noProof/>
                <w:webHidden/>
              </w:rPr>
              <w:instrText xml:space="preserve"> PAGEREF _Toc165155010 \h </w:instrText>
            </w:r>
            <w:r>
              <w:rPr>
                <w:noProof/>
                <w:webHidden/>
              </w:rPr>
            </w:r>
            <w:r>
              <w:rPr>
                <w:noProof/>
                <w:webHidden/>
              </w:rPr>
              <w:fldChar w:fldCharType="separate"/>
            </w:r>
            <w:r w:rsidR="00C743D8">
              <w:rPr>
                <w:noProof/>
                <w:webHidden/>
              </w:rPr>
              <w:t>14</w:t>
            </w:r>
            <w:r>
              <w:rPr>
                <w:noProof/>
                <w:webHidden/>
              </w:rPr>
              <w:fldChar w:fldCharType="end"/>
            </w:r>
          </w:hyperlink>
        </w:p>
        <w:p w:rsidR="00C743D8" w:rsidRDefault="00054486">
          <w:pPr>
            <w:pStyle w:val="TOC2"/>
            <w:tabs>
              <w:tab w:val="right" w:leader="dot" w:pos="9350"/>
            </w:tabs>
            <w:rPr>
              <w:rFonts w:asciiTheme="minorHAnsi" w:eastAsiaTheme="minorEastAsia" w:hAnsiTheme="minorHAnsi"/>
              <w:noProof/>
              <w:sz w:val="22"/>
              <w:lang w:val="en-IN" w:eastAsia="zh-CN"/>
            </w:rPr>
          </w:pPr>
          <w:hyperlink w:anchor="_Toc165155011" w:history="1">
            <w:r w:rsidR="00C743D8" w:rsidRPr="0018435A">
              <w:rPr>
                <w:rStyle w:val="Hyperlink"/>
                <w:rFonts w:cs="Times New Roman"/>
                <w:noProof/>
              </w:rPr>
              <w:t>Impact of changes in the yield of this note upon consumer debt</w:t>
            </w:r>
            <w:r w:rsidR="00C743D8">
              <w:rPr>
                <w:noProof/>
                <w:webHidden/>
              </w:rPr>
              <w:tab/>
            </w:r>
            <w:r>
              <w:rPr>
                <w:noProof/>
                <w:webHidden/>
              </w:rPr>
              <w:fldChar w:fldCharType="begin"/>
            </w:r>
            <w:r w:rsidR="00C743D8">
              <w:rPr>
                <w:noProof/>
                <w:webHidden/>
              </w:rPr>
              <w:instrText xml:space="preserve"> PAGEREF _Toc165155011 \h </w:instrText>
            </w:r>
            <w:r>
              <w:rPr>
                <w:noProof/>
                <w:webHidden/>
              </w:rPr>
            </w:r>
            <w:r>
              <w:rPr>
                <w:noProof/>
                <w:webHidden/>
              </w:rPr>
              <w:fldChar w:fldCharType="separate"/>
            </w:r>
            <w:r w:rsidR="00C743D8">
              <w:rPr>
                <w:noProof/>
                <w:webHidden/>
              </w:rPr>
              <w:t>16</w:t>
            </w:r>
            <w:r>
              <w:rPr>
                <w:noProof/>
                <w:webHidden/>
              </w:rPr>
              <w:fldChar w:fldCharType="end"/>
            </w:r>
          </w:hyperlink>
        </w:p>
        <w:p w:rsidR="00C743D8" w:rsidRDefault="00054486">
          <w:pPr>
            <w:pStyle w:val="TOC1"/>
            <w:tabs>
              <w:tab w:val="right" w:leader="dot" w:pos="9350"/>
            </w:tabs>
            <w:rPr>
              <w:rFonts w:asciiTheme="minorHAnsi" w:eastAsiaTheme="minorEastAsia" w:hAnsiTheme="minorHAnsi"/>
              <w:noProof/>
              <w:sz w:val="22"/>
              <w:lang w:val="en-IN" w:eastAsia="zh-CN"/>
            </w:rPr>
          </w:pPr>
          <w:hyperlink w:anchor="_Toc165155012" w:history="1">
            <w:r w:rsidR="00C743D8" w:rsidRPr="0018435A">
              <w:rPr>
                <w:rStyle w:val="Hyperlink"/>
                <w:noProof/>
              </w:rPr>
              <w:t>References</w:t>
            </w:r>
            <w:r w:rsidR="00C743D8">
              <w:rPr>
                <w:noProof/>
                <w:webHidden/>
              </w:rPr>
              <w:tab/>
            </w:r>
            <w:r>
              <w:rPr>
                <w:noProof/>
                <w:webHidden/>
              </w:rPr>
              <w:fldChar w:fldCharType="begin"/>
            </w:r>
            <w:r w:rsidR="00C743D8">
              <w:rPr>
                <w:noProof/>
                <w:webHidden/>
              </w:rPr>
              <w:instrText xml:space="preserve"> PAGEREF _Toc165155012 \h </w:instrText>
            </w:r>
            <w:r>
              <w:rPr>
                <w:noProof/>
                <w:webHidden/>
              </w:rPr>
            </w:r>
            <w:r>
              <w:rPr>
                <w:noProof/>
                <w:webHidden/>
              </w:rPr>
              <w:fldChar w:fldCharType="separate"/>
            </w:r>
            <w:r w:rsidR="00C743D8">
              <w:rPr>
                <w:noProof/>
                <w:webHidden/>
              </w:rPr>
              <w:t>18</w:t>
            </w:r>
            <w:r>
              <w:rPr>
                <w:noProof/>
                <w:webHidden/>
              </w:rPr>
              <w:fldChar w:fldCharType="end"/>
            </w:r>
          </w:hyperlink>
        </w:p>
        <w:p w:rsidR="004554B8" w:rsidRPr="00A531A5" w:rsidRDefault="00054486" w:rsidP="00D82542">
          <w:pPr>
            <w:spacing w:before="240" w:line="360" w:lineRule="auto"/>
            <w:rPr>
              <w:rFonts w:cs="Times New Roman"/>
              <w:szCs w:val="24"/>
            </w:rPr>
          </w:pPr>
          <w:r w:rsidRPr="00A531A5">
            <w:rPr>
              <w:rFonts w:cs="Times New Roman"/>
              <w:b/>
              <w:bCs/>
              <w:noProof/>
              <w:szCs w:val="24"/>
            </w:rPr>
            <w:fldChar w:fldCharType="end"/>
          </w:r>
        </w:p>
      </w:sdtContent>
    </w:sdt>
    <w:p w:rsidR="004554B8" w:rsidRPr="00A531A5" w:rsidRDefault="004554B8" w:rsidP="00D82542">
      <w:pPr>
        <w:spacing w:before="240" w:line="360" w:lineRule="auto"/>
        <w:rPr>
          <w:rFonts w:eastAsiaTheme="majorEastAsia" w:cs="Times New Roman"/>
          <w:b/>
          <w:bCs/>
          <w:szCs w:val="24"/>
          <w:lang w:val="en-IN"/>
        </w:rPr>
      </w:pPr>
      <w:r w:rsidRPr="00A531A5">
        <w:rPr>
          <w:rFonts w:cs="Times New Roman"/>
          <w:szCs w:val="24"/>
        </w:rPr>
        <w:br w:type="page"/>
      </w:r>
    </w:p>
    <w:p w:rsidR="00D96174" w:rsidRPr="00A531A5" w:rsidRDefault="00D96174" w:rsidP="00D82542">
      <w:pPr>
        <w:pStyle w:val="Heading1"/>
        <w:spacing w:before="240" w:line="360" w:lineRule="auto"/>
        <w:rPr>
          <w:rFonts w:cs="Times New Roman"/>
          <w:szCs w:val="24"/>
        </w:rPr>
      </w:pPr>
      <w:bookmarkStart w:id="0" w:name="_Toc165154998"/>
      <w:r w:rsidRPr="00A531A5">
        <w:rPr>
          <w:rFonts w:cs="Times New Roman"/>
          <w:szCs w:val="24"/>
        </w:rPr>
        <w:lastRenderedPageBreak/>
        <w:t>Introduction</w:t>
      </w:r>
      <w:bookmarkEnd w:id="0"/>
    </w:p>
    <w:p w:rsidR="0027244F" w:rsidRDefault="00D96174" w:rsidP="00D82542">
      <w:pPr>
        <w:pStyle w:val="Heading2"/>
        <w:spacing w:before="240" w:line="360" w:lineRule="auto"/>
        <w:rPr>
          <w:rFonts w:cs="Times New Roman"/>
          <w:szCs w:val="24"/>
        </w:rPr>
      </w:pPr>
      <w:bookmarkStart w:id="1" w:name="_Toc165154999"/>
      <w:r w:rsidRPr="00A531A5">
        <w:rPr>
          <w:rFonts w:cs="Times New Roman"/>
          <w:szCs w:val="24"/>
        </w:rPr>
        <w:t>Overview</w:t>
      </w:r>
      <w:bookmarkEnd w:id="1"/>
    </w:p>
    <w:p w:rsidR="00D82542" w:rsidRPr="00D82542" w:rsidRDefault="00D82542" w:rsidP="00D82542">
      <w:pPr>
        <w:spacing w:before="240" w:line="360" w:lineRule="auto"/>
        <w:rPr>
          <w:rFonts w:cs="Times New Roman"/>
          <w:szCs w:val="24"/>
        </w:rPr>
      </w:pPr>
      <w:r w:rsidRPr="00D82542">
        <w:rPr>
          <w:rFonts w:cs="Times New Roman"/>
          <w:szCs w:val="24"/>
        </w:rPr>
        <w:t>Developed in 2011, Snapchat is a popular mobile application that allows users to send and receive text messages. It is the fact that user photographs, videos, and messages are erased after twenty-four hours that is the primary selling feature of the company. Snapchat's goal is to connect with seventy-five percent of the generation Z and teenagers in the United States. Snapchat users are considered to be particularly active users because they spend thirty minutes every day using the app. The fact that Snapchat maintains the curiosity of young people is beneficial for businesses that are trying to connect with them.</w:t>
      </w:r>
    </w:p>
    <w:p w:rsidR="00D82542" w:rsidRPr="00D82542" w:rsidRDefault="00D82542" w:rsidP="00D82542">
      <w:pPr>
        <w:spacing w:before="240" w:line="360" w:lineRule="auto"/>
        <w:rPr>
          <w:rFonts w:cs="Times New Roman"/>
          <w:szCs w:val="24"/>
        </w:rPr>
      </w:pPr>
      <w:r w:rsidRPr="00D82542">
        <w:rPr>
          <w:rFonts w:cs="Times New Roman"/>
          <w:szCs w:val="24"/>
        </w:rPr>
        <w:t>Ads are the primary source of revenue for Snap. Among the features available on the app are Snap, Collection, Story, and Dynamic Ads. These advertisements have the potential to assist businesses in reaching Snapchat's massive user base. Snapchat's newly added advertising tools make it easier for businesses to communicate with the people they are trying to reach. Despite its widespread popularity, Snapchat has been experiencing some difficulties as of late. The business brought about $4.6 billion in revenue in 2023. In the year 2023, Snapchat made a profit of $1.3 billion. Snapchat+, which was released in March of 2024, is currently utilized by seven million users. Snapchat's focus on short-lived content and its ability to allow users to communicate with one another make it appealing to businesses that are looking to connect with young people. Despite the fact that it has seen several recent failures, the company continues to be a significant participant in the social media space. (Schwartz, 2024) It is able to adjust to the requirements of both users and advertising.</w:t>
      </w:r>
    </w:p>
    <w:p w:rsidR="00D96174" w:rsidRPr="00A531A5" w:rsidRDefault="00D96174" w:rsidP="00D82542">
      <w:pPr>
        <w:pStyle w:val="Heading2"/>
        <w:spacing w:before="240" w:line="360" w:lineRule="auto"/>
        <w:rPr>
          <w:rFonts w:cs="Times New Roman"/>
          <w:szCs w:val="24"/>
        </w:rPr>
      </w:pPr>
      <w:bookmarkStart w:id="2" w:name="_Toc165155000"/>
      <w:r w:rsidRPr="00A531A5">
        <w:rPr>
          <w:rFonts w:cs="Times New Roman"/>
          <w:szCs w:val="24"/>
        </w:rPr>
        <w:t>Key Reason for going public</w:t>
      </w:r>
      <w:bookmarkEnd w:id="2"/>
    </w:p>
    <w:p w:rsidR="004554B8" w:rsidRPr="00A531A5" w:rsidRDefault="004554B8" w:rsidP="00D82542">
      <w:pPr>
        <w:spacing w:before="240" w:line="360" w:lineRule="auto"/>
        <w:rPr>
          <w:rFonts w:cs="Times New Roman"/>
          <w:szCs w:val="24"/>
        </w:rPr>
      </w:pPr>
      <w:r w:rsidRPr="00A531A5">
        <w:rPr>
          <w:rFonts w:cs="Times New Roman"/>
          <w:szCs w:val="24"/>
        </w:rPr>
        <w:t>Snapchat went public, which shook the digital business. Snapchat is known for its short-lived messages and creative features</w:t>
      </w:r>
      <w:r w:rsidR="005D4F97">
        <w:rPr>
          <w:rFonts w:cs="Times New Roman"/>
          <w:szCs w:val="24"/>
        </w:rPr>
        <w:t xml:space="preserve"> </w:t>
      </w:r>
      <w:r w:rsidR="005D4F97" w:rsidRPr="005D4F97">
        <w:rPr>
          <w:rFonts w:cs="Times New Roman"/>
          <w:szCs w:val="24"/>
        </w:rPr>
        <w:t xml:space="preserve">(www.proquest.com, </w:t>
      </w:r>
      <w:r w:rsidR="000E6257">
        <w:rPr>
          <w:rFonts w:cs="Times New Roman"/>
          <w:szCs w:val="24"/>
        </w:rPr>
        <w:t>2024</w:t>
      </w:r>
      <w:r w:rsidR="005D4F97" w:rsidRPr="005D4F97">
        <w:rPr>
          <w:rFonts w:cs="Times New Roman"/>
          <w:szCs w:val="24"/>
        </w:rPr>
        <w:t>)</w:t>
      </w:r>
      <w:r w:rsidRPr="00A531A5">
        <w:rPr>
          <w:rFonts w:cs="Times New Roman"/>
          <w:szCs w:val="24"/>
        </w:rPr>
        <w:t>. Evan Spiegel, the company's visionary CEO, made this important choice based on both short-term financial needs and long-term strategic goals. Snapchat made this move to stay on top of the digital world in the face of growing competition and shifting user tastes.</w:t>
      </w:r>
    </w:p>
    <w:p w:rsidR="004554B8" w:rsidRPr="00A531A5" w:rsidRDefault="004554B8" w:rsidP="00D82542">
      <w:pPr>
        <w:spacing w:before="240" w:line="360" w:lineRule="auto"/>
        <w:rPr>
          <w:rFonts w:cs="Times New Roman"/>
          <w:szCs w:val="24"/>
        </w:rPr>
      </w:pPr>
      <w:r w:rsidRPr="00A531A5">
        <w:rPr>
          <w:rFonts w:cs="Times New Roman"/>
          <w:szCs w:val="24"/>
        </w:rPr>
        <w:lastRenderedPageBreak/>
        <w:t>Snapchat went public to get more attention</w:t>
      </w:r>
      <w:r w:rsidR="005D4F97">
        <w:rPr>
          <w:rFonts w:cs="Times New Roman"/>
          <w:szCs w:val="24"/>
        </w:rPr>
        <w:t xml:space="preserve"> </w:t>
      </w:r>
      <w:r w:rsidR="005D4F97" w:rsidRPr="005D4F97">
        <w:rPr>
          <w:rFonts w:cs="Times New Roman"/>
          <w:szCs w:val="24"/>
        </w:rPr>
        <w:t>(Habib, Shah and Vaish, 2019)</w:t>
      </w:r>
      <w:r w:rsidRPr="00A531A5">
        <w:rPr>
          <w:rFonts w:cs="Times New Roman"/>
          <w:szCs w:val="24"/>
        </w:rPr>
        <w:t>. Tech companies see public talks as a way to build trust and mark important milestones. Snapchat lets outside investors in so that it can build trust with users, marketing, and possible business partners. Snapchat got more customers and a bigger share of the market after going public. Search results show that Snapchat went public for a number of reasons, including</w:t>
      </w:r>
    </w:p>
    <w:p w:rsidR="004554B8" w:rsidRPr="00A531A5" w:rsidRDefault="004554B8" w:rsidP="00D82542">
      <w:pPr>
        <w:pStyle w:val="ListParagraph"/>
        <w:numPr>
          <w:ilvl w:val="0"/>
          <w:numId w:val="2"/>
        </w:numPr>
        <w:spacing w:before="240" w:line="360" w:lineRule="auto"/>
        <w:rPr>
          <w:rFonts w:cs="Times New Roman"/>
          <w:szCs w:val="24"/>
        </w:rPr>
      </w:pPr>
      <w:r w:rsidRPr="00A531A5">
        <w:rPr>
          <w:rFonts w:cs="Times New Roman"/>
          <w:szCs w:val="24"/>
        </w:rPr>
        <w:t>More publicity and trust: Snapchat becomes more well-known and trustworthy. Points out, "Trading on a public exchange provides increased visibility and credibility, but it's not exactly free marketing." This might help the business get better clients.</w:t>
      </w:r>
    </w:p>
    <w:p w:rsidR="004554B8" w:rsidRPr="00A531A5" w:rsidRDefault="004554B8" w:rsidP="00D82542">
      <w:pPr>
        <w:pStyle w:val="ListParagraph"/>
        <w:numPr>
          <w:ilvl w:val="0"/>
          <w:numId w:val="2"/>
        </w:numPr>
        <w:spacing w:before="240" w:line="360" w:lineRule="auto"/>
        <w:rPr>
          <w:rFonts w:cs="Times New Roman"/>
          <w:szCs w:val="24"/>
        </w:rPr>
      </w:pPr>
      <w:r w:rsidRPr="00A531A5">
        <w:rPr>
          <w:rFonts w:cs="Times New Roman"/>
          <w:szCs w:val="24"/>
        </w:rPr>
        <w:t>Getting money: Snapchat's IPO brought in $3 billion, but that wasn't the main reason. The business can grow with this money.</w:t>
      </w:r>
    </w:p>
    <w:p w:rsidR="004554B8" w:rsidRPr="00A531A5" w:rsidRDefault="004554B8" w:rsidP="00D82542">
      <w:pPr>
        <w:pStyle w:val="ListParagraph"/>
        <w:numPr>
          <w:ilvl w:val="0"/>
          <w:numId w:val="2"/>
        </w:numPr>
        <w:spacing w:before="240" w:line="360" w:lineRule="auto"/>
        <w:rPr>
          <w:rFonts w:cs="Times New Roman"/>
          <w:szCs w:val="24"/>
        </w:rPr>
      </w:pPr>
      <w:r w:rsidRPr="00A531A5">
        <w:rPr>
          <w:rFonts w:cs="Times New Roman"/>
          <w:szCs w:val="24"/>
        </w:rPr>
        <w:t>Getting more users and keeping them interested: Evan Spiegel, the CEO of Snapchat, seems to have put user growth and involvement ahead of raising money, according to search results. He has always put growth and interest first, which means getting more people to spend more time on the site. The IPO brought in $3.4 billion and made more people aware of the company, which helps it grow.</w:t>
      </w:r>
    </w:p>
    <w:p w:rsidR="004554B8" w:rsidRPr="00A531A5" w:rsidRDefault="004554B8" w:rsidP="00D82542">
      <w:pPr>
        <w:pStyle w:val="ListParagraph"/>
        <w:numPr>
          <w:ilvl w:val="0"/>
          <w:numId w:val="2"/>
        </w:numPr>
        <w:spacing w:before="240" w:line="360" w:lineRule="auto"/>
        <w:rPr>
          <w:rFonts w:cs="Times New Roman"/>
          <w:szCs w:val="24"/>
        </w:rPr>
      </w:pPr>
      <w:r w:rsidRPr="00A531A5">
        <w:rPr>
          <w:rFonts w:cs="Times New Roman"/>
          <w:szCs w:val="24"/>
        </w:rPr>
        <w:t>Dealing with growth that has stopped: Snapchat's sales and user growth rates flattened in the second half of 2016, but going public helped the app get more attention and grow.</w:t>
      </w:r>
    </w:p>
    <w:p w:rsidR="00D96174" w:rsidRPr="00A531A5" w:rsidRDefault="004554B8" w:rsidP="00D82542">
      <w:pPr>
        <w:spacing w:before="240" w:line="360" w:lineRule="auto"/>
        <w:rPr>
          <w:rFonts w:cs="Times New Roman"/>
          <w:szCs w:val="24"/>
        </w:rPr>
      </w:pPr>
      <w:r w:rsidRPr="00A531A5">
        <w:rPr>
          <w:rFonts w:cs="Times New Roman"/>
          <w:szCs w:val="24"/>
        </w:rPr>
        <w:t>In the end, Snapchat went public to get more attention, respect, money for development, more users, and growth in its core business.</w:t>
      </w:r>
    </w:p>
    <w:p w:rsidR="00D96174" w:rsidRPr="00A531A5" w:rsidRDefault="00D96174" w:rsidP="00D82542">
      <w:pPr>
        <w:pStyle w:val="Heading2"/>
        <w:spacing w:before="240" w:line="360" w:lineRule="auto"/>
        <w:rPr>
          <w:rFonts w:cs="Times New Roman"/>
          <w:szCs w:val="24"/>
        </w:rPr>
      </w:pPr>
      <w:bookmarkStart w:id="3" w:name="_Toc165155001"/>
      <w:r w:rsidRPr="00A531A5">
        <w:rPr>
          <w:rFonts w:cs="Times New Roman"/>
          <w:szCs w:val="24"/>
        </w:rPr>
        <w:t>Key Risks</w:t>
      </w:r>
      <w:bookmarkEnd w:id="3"/>
    </w:p>
    <w:p w:rsidR="004554B8" w:rsidRPr="00A531A5" w:rsidRDefault="004554B8" w:rsidP="00D82542">
      <w:pPr>
        <w:spacing w:before="240" w:line="360" w:lineRule="auto"/>
        <w:rPr>
          <w:rFonts w:cs="Times New Roman"/>
          <w:szCs w:val="24"/>
        </w:rPr>
      </w:pPr>
      <w:r w:rsidRPr="00A531A5">
        <w:rPr>
          <w:rFonts w:cs="Times New Roman"/>
          <w:szCs w:val="24"/>
        </w:rPr>
        <w:t>The search results showed three big Snapchat (Snap Inc.) risks and how likely they were to happen:</w:t>
      </w:r>
    </w:p>
    <w:p w:rsidR="004554B8" w:rsidRPr="00A531A5" w:rsidRDefault="004554B8" w:rsidP="00D82542">
      <w:pPr>
        <w:pStyle w:val="ListParagraph"/>
        <w:numPr>
          <w:ilvl w:val="0"/>
          <w:numId w:val="4"/>
        </w:numPr>
        <w:spacing w:before="240" w:line="360" w:lineRule="auto"/>
        <w:rPr>
          <w:rFonts w:cs="Times New Roman"/>
          <w:szCs w:val="24"/>
        </w:rPr>
      </w:pPr>
      <w:r w:rsidRPr="00A531A5">
        <w:rPr>
          <w:rFonts w:cs="Times New Roman"/>
          <w:szCs w:val="24"/>
        </w:rPr>
        <w:t>Snapchat's search results for the second half of 2016 show that its user and sales growth rates are flattening, which led to its IPO</w:t>
      </w:r>
      <w:r w:rsidR="00B5626A">
        <w:rPr>
          <w:rFonts w:cs="Times New Roman"/>
          <w:szCs w:val="24"/>
        </w:rPr>
        <w:t xml:space="preserve"> </w:t>
      </w:r>
      <w:r w:rsidR="00B5626A" w:rsidRPr="00B5626A">
        <w:rPr>
          <w:rFonts w:cs="Times New Roman"/>
          <w:szCs w:val="24"/>
        </w:rPr>
        <w:t xml:space="preserve">(TechCrunch, </w:t>
      </w:r>
      <w:r w:rsidR="000E6257">
        <w:rPr>
          <w:rFonts w:cs="Times New Roman"/>
          <w:szCs w:val="24"/>
        </w:rPr>
        <w:t>2024</w:t>
      </w:r>
      <w:r w:rsidR="00B5626A" w:rsidRPr="00B5626A">
        <w:rPr>
          <w:rFonts w:cs="Times New Roman"/>
          <w:szCs w:val="24"/>
        </w:rPr>
        <w:t>)</w:t>
      </w:r>
      <w:r w:rsidRPr="00A531A5">
        <w:rPr>
          <w:rFonts w:cs="Times New Roman"/>
          <w:szCs w:val="24"/>
        </w:rPr>
        <w:t>. Snap may find it hard to get more users and keep them interested. This risk is likely because social media sites have a hard time growing quickly.</w:t>
      </w:r>
    </w:p>
    <w:p w:rsidR="004554B8" w:rsidRPr="00A531A5" w:rsidRDefault="00B5626A" w:rsidP="00D82542">
      <w:pPr>
        <w:pStyle w:val="ListParagraph"/>
        <w:numPr>
          <w:ilvl w:val="0"/>
          <w:numId w:val="4"/>
        </w:numPr>
        <w:spacing w:before="240" w:line="360" w:lineRule="auto"/>
        <w:rPr>
          <w:rFonts w:cs="Times New Roman"/>
          <w:szCs w:val="24"/>
        </w:rPr>
      </w:pPr>
      <w:r>
        <w:rPr>
          <w:rFonts w:cs="Times New Roman"/>
          <w:szCs w:val="24"/>
        </w:rPr>
        <w:lastRenderedPageBreak/>
        <w:t>Profitability</w:t>
      </w:r>
      <w:r w:rsidR="004554B8" w:rsidRPr="00A531A5">
        <w:rPr>
          <w:rFonts w:cs="Times New Roman"/>
          <w:szCs w:val="24"/>
        </w:rPr>
        <w:t>: A search shows that Snapchat lost $1.3 billion in 2023. The company's financial future is not clear. This risk is pretty likely because a lot of fast-growing tech companies have trouble making money at first</w:t>
      </w:r>
      <w:r>
        <w:rPr>
          <w:rFonts w:cs="Times New Roman"/>
          <w:szCs w:val="24"/>
        </w:rPr>
        <w:t xml:space="preserve"> </w:t>
      </w:r>
      <w:r w:rsidRPr="00B5626A">
        <w:rPr>
          <w:rFonts w:cs="Times New Roman"/>
          <w:szCs w:val="24"/>
        </w:rPr>
        <w:t>(Yahoo Finance, 2024)</w:t>
      </w:r>
      <w:r w:rsidR="004554B8" w:rsidRPr="00A531A5">
        <w:rPr>
          <w:rFonts w:cs="Times New Roman"/>
          <w:szCs w:val="24"/>
        </w:rPr>
        <w:t>.</w:t>
      </w:r>
    </w:p>
    <w:p w:rsidR="00093DF9" w:rsidRPr="00A531A5" w:rsidRDefault="004554B8" w:rsidP="00D82542">
      <w:pPr>
        <w:pStyle w:val="ListParagraph"/>
        <w:numPr>
          <w:ilvl w:val="0"/>
          <w:numId w:val="4"/>
        </w:numPr>
        <w:spacing w:before="240" w:line="360" w:lineRule="auto"/>
        <w:rPr>
          <w:rFonts w:cs="Times New Roman"/>
          <w:szCs w:val="24"/>
        </w:rPr>
      </w:pPr>
      <w:r w:rsidRPr="00A531A5">
        <w:rPr>
          <w:rFonts w:cs="Times New Roman"/>
          <w:szCs w:val="24"/>
        </w:rPr>
        <w:t>Peers like Facebook, Instagram, and TikTok: Snapchat has a lot of tough rivals</w:t>
      </w:r>
      <w:r w:rsidR="005625A4">
        <w:rPr>
          <w:rFonts w:cs="Times New Roman"/>
          <w:szCs w:val="24"/>
        </w:rPr>
        <w:t xml:space="preserve"> </w:t>
      </w:r>
      <w:r w:rsidR="005625A4" w:rsidRPr="005625A4">
        <w:rPr>
          <w:rFonts w:cs="Times New Roman"/>
          <w:szCs w:val="24"/>
        </w:rPr>
        <w:t>(</w:t>
      </w:r>
      <w:proofErr w:type="spellStart"/>
      <w:r w:rsidR="005625A4" w:rsidRPr="005625A4">
        <w:rPr>
          <w:rFonts w:cs="Times New Roman"/>
          <w:szCs w:val="24"/>
        </w:rPr>
        <w:t>Askarovna</w:t>
      </w:r>
      <w:proofErr w:type="spellEnd"/>
      <w:r w:rsidR="005625A4" w:rsidRPr="005625A4">
        <w:rPr>
          <w:rFonts w:cs="Times New Roman"/>
          <w:szCs w:val="24"/>
        </w:rPr>
        <w:t>, 2020)</w:t>
      </w:r>
      <w:r w:rsidRPr="00A531A5">
        <w:rPr>
          <w:rFonts w:cs="Times New Roman"/>
          <w:szCs w:val="24"/>
        </w:rPr>
        <w:t>. Because these competitors have more resources and users, Snapchat may find it hard to keep its market place. There are a few big companies that control most of social media, which makes it more competitive.</w:t>
      </w:r>
    </w:p>
    <w:p w:rsidR="00D96174" w:rsidRPr="00A531A5" w:rsidRDefault="004554B8" w:rsidP="00D82542">
      <w:pPr>
        <w:spacing w:before="240" w:line="360" w:lineRule="auto"/>
        <w:rPr>
          <w:rFonts w:cs="Times New Roman"/>
          <w:szCs w:val="24"/>
        </w:rPr>
      </w:pPr>
      <w:r w:rsidRPr="00A531A5">
        <w:rPr>
          <w:rFonts w:cs="Times New Roman"/>
          <w:szCs w:val="24"/>
        </w:rPr>
        <w:t>Given these risks, Snapchat's $3 billion IPO price may seem way too high. As the company prioritizes user growth and involvement over making money and competing with other companies, a high value may not be possible. Investors may be worried about Snapchat's long-term chances and its ability to deal with these problems and keep making money.</w:t>
      </w:r>
    </w:p>
    <w:p w:rsidR="001C1473" w:rsidRPr="00A531A5" w:rsidRDefault="001C1473" w:rsidP="00D82542">
      <w:pPr>
        <w:pStyle w:val="Heading1"/>
        <w:spacing w:before="240" w:line="360" w:lineRule="auto"/>
        <w:rPr>
          <w:rFonts w:cs="Times New Roman"/>
          <w:szCs w:val="24"/>
        </w:rPr>
      </w:pPr>
      <w:bookmarkStart w:id="4" w:name="_Toc165155002"/>
      <w:r w:rsidRPr="00A531A5">
        <w:rPr>
          <w:rFonts w:cs="Times New Roman"/>
          <w:szCs w:val="24"/>
        </w:rPr>
        <w:t>Quantitatively review</w:t>
      </w:r>
      <w:bookmarkEnd w:id="4"/>
    </w:p>
    <w:p w:rsidR="004554B8" w:rsidRPr="00A531A5" w:rsidRDefault="004554B8" w:rsidP="00D82542">
      <w:pPr>
        <w:spacing w:before="240" w:line="360" w:lineRule="auto"/>
        <w:rPr>
          <w:rFonts w:cs="Times New Roman"/>
          <w:b/>
          <w:bCs/>
          <w:i/>
          <w:iCs/>
          <w:szCs w:val="24"/>
          <w:lang w:val="en-IN"/>
        </w:rPr>
      </w:pPr>
      <w:r w:rsidRPr="00A531A5">
        <w:rPr>
          <w:rFonts w:cs="Times New Roman"/>
          <w:b/>
          <w:bCs/>
          <w:i/>
          <w:iCs/>
          <w:szCs w:val="24"/>
          <w:lang w:val="en-IN"/>
        </w:rPr>
        <w:t>Financials</w:t>
      </w:r>
    </w:p>
    <w:p w:rsidR="000107AF" w:rsidRPr="00A531A5" w:rsidRDefault="000107AF" w:rsidP="00D82542">
      <w:pPr>
        <w:spacing w:before="240" w:line="360" w:lineRule="auto"/>
        <w:rPr>
          <w:rFonts w:cs="Times New Roman"/>
          <w:szCs w:val="24"/>
          <w:lang w:val="en-IN"/>
        </w:rPr>
      </w:pPr>
      <w:r w:rsidRPr="00A531A5">
        <w:rPr>
          <w:rFonts w:cs="Times New Roman"/>
          <w:szCs w:val="24"/>
          <w:lang w:val="en-IN"/>
        </w:rPr>
        <w:t>Take a look at the graph and make notes to learn about Snap's financial history over the last 10 quarters. Snap's income has gone up and down without a trend. Snap's income could range from $48 in December 2023 to $28 in September 2022.</w:t>
      </w:r>
    </w:p>
    <w:p w:rsidR="000107AF" w:rsidRPr="00A531A5" w:rsidRDefault="000107AF" w:rsidP="00D82542">
      <w:pPr>
        <w:spacing w:before="240" w:line="360" w:lineRule="auto"/>
        <w:rPr>
          <w:rFonts w:cs="Times New Roman"/>
          <w:szCs w:val="24"/>
          <w:lang w:val="en-IN"/>
        </w:rPr>
      </w:pPr>
      <w:r w:rsidRPr="00A531A5">
        <w:rPr>
          <w:rFonts w:cs="Times New Roman"/>
          <w:szCs w:val="24"/>
          <w:lang w:val="en-IN"/>
        </w:rPr>
        <w:t>Over the last ten years, gross profit has changed along with sales. In December 2023, Snap made 25% more money than it did in September 2022. There was no clear trend to this. Net income changes all the time. In December 2023, Snap's net income was 14%. In September 2022, it was -25%</w:t>
      </w:r>
      <w:r w:rsidR="005D4F97">
        <w:rPr>
          <w:rFonts w:cs="Times New Roman"/>
          <w:szCs w:val="24"/>
          <w:lang w:val="en-IN"/>
        </w:rPr>
        <w:t xml:space="preserve"> </w:t>
      </w:r>
      <w:r w:rsidR="005D4F97" w:rsidRPr="005D4F97">
        <w:rPr>
          <w:rFonts w:cs="Times New Roman"/>
          <w:szCs w:val="24"/>
          <w:lang w:val="en-IN"/>
        </w:rPr>
        <w:t xml:space="preserve">(www.alphaquery.com, </w:t>
      </w:r>
      <w:r w:rsidR="000E6257">
        <w:rPr>
          <w:rFonts w:cs="Times New Roman"/>
          <w:szCs w:val="24"/>
          <w:lang w:val="en-IN"/>
        </w:rPr>
        <w:t>2024</w:t>
      </w:r>
      <w:r w:rsidR="005D4F97" w:rsidRPr="005D4F97">
        <w:rPr>
          <w:rFonts w:cs="Times New Roman"/>
          <w:szCs w:val="24"/>
          <w:lang w:val="en-IN"/>
        </w:rPr>
        <w:t>)</w:t>
      </w:r>
      <w:r w:rsidRPr="00A531A5">
        <w:rPr>
          <w:rFonts w:cs="Times New Roman"/>
          <w:szCs w:val="24"/>
          <w:lang w:val="en-IN"/>
        </w:rPr>
        <w:t>.</w:t>
      </w:r>
    </w:p>
    <w:p w:rsidR="000107AF" w:rsidRPr="00A531A5" w:rsidRDefault="000107AF" w:rsidP="00D82542">
      <w:pPr>
        <w:spacing w:before="240" w:line="360" w:lineRule="auto"/>
        <w:rPr>
          <w:rFonts w:cs="Times New Roman"/>
          <w:szCs w:val="24"/>
          <w:lang w:val="en-IN"/>
        </w:rPr>
      </w:pPr>
      <w:r w:rsidRPr="00A531A5">
        <w:rPr>
          <w:rFonts w:cs="Times New Roman"/>
          <w:szCs w:val="24"/>
          <w:lang w:val="en-IN"/>
        </w:rPr>
        <w:t>Snap's cost of goods sold went up because its profit margin went down 10% year over year. A drop in the profit margin shows that it might be hard to keep prices and production costs in check. The net profit went up 13% from one year to the next. Snap's profits as a share of its sales have gone up. Gross profit and sales have gone up and down, but net margin has gone up. This could mean better control of costs or a return.</w:t>
      </w:r>
    </w:p>
    <w:p w:rsidR="000107AF" w:rsidRPr="00A531A5" w:rsidRDefault="000107AF" w:rsidP="00D82542">
      <w:pPr>
        <w:spacing w:before="240" w:line="360" w:lineRule="auto"/>
        <w:rPr>
          <w:rFonts w:cs="Times New Roman"/>
          <w:szCs w:val="24"/>
          <w:lang w:val="en-IN"/>
        </w:rPr>
      </w:pPr>
      <w:r w:rsidRPr="00A531A5">
        <w:rPr>
          <w:rFonts w:cs="Times New Roman"/>
          <w:szCs w:val="24"/>
          <w:lang w:val="en-IN"/>
        </w:rPr>
        <w:lastRenderedPageBreak/>
        <w:t>Snap's sales and gross earnings have been going up and down for ten quarters. But the fact that the net margin went up shows that changes to the business plan are making money. These financial metrics will help Snap figure out where it needs to grow and improve in the long run</w:t>
      </w:r>
      <w:r w:rsidR="005D4F97">
        <w:rPr>
          <w:rFonts w:cs="Times New Roman"/>
          <w:szCs w:val="24"/>
          <w:lang w:val="en-IN"/>
        </w:rPr>
        <w:t xml:space="preserve"> </w:t>
      </w:r>
      <w:r w:rsidR="005D4F97" w:rsidRPr="005D4F97">
        <w:rPr>
          <w:rFonts w:cs="Times New Roman"/>
          <w:szCs w:val="24"/>
          <w:lang w:val="en-IN"/>
        </w:rPr>
        <w:t xml:space="preserve">(ycharts.com, </w:t>
      </w:r>
      <w:r w:rsidR="000E6257">
        <w:rPr>
          <w:rFonts w:cs="Times New Roman"/>
          <w:szCs w:val="24"/>
          <w:lang w:val="en-IN"/>
        </w:rPr>
        <w:t>2024</w:t>
      </w:r>
      <w:r w:rsidR="005D4F97" w:rsidRPr="005D4F97">
        <w:rPr>
          <w:rFonts w:cs="Times New Roman"/>
          <w:szCs w:val="24"/>
          <w:lang w:val="en-IN"/>
        </w:rPr>
        <w:t>)</w:t>
      </w:r>
      <w:r w:rsidRPr="00A531A5">
        <w:rPr>
          <w:rFonts w:cs="Times New Roman"/>
          <w:szCs w:val="24"/>
          <w:lang w:val="en-IN"/>
        </w:rPr>
        <w:t>.</w:t>
      </w:r>
    </w:p>
    <w:p w:rsidR="000107AF" w:rsidRPr="00A531A5" w:rsidRDefault="001C1473" w:rsidP="00AA0561">
      <w:pPr>
        <w:keepNext/>
        <w:spacing w:before="240" w:line="360" w:lineRule="auto"/>
        <w:jc w:val="center"/>
        <w:rPr>
          <w:rFonts w:cs="Times New Roman"/>
          <w:szCs w:val="24"/>
        </w:rPr>
      </w:pPr>
      <w:r w:rsidRPr="00A531A5">
        <w:rPr>
          <w:rFonts w:cs="Times New Roman"/>
          <w:noProof/>
          <w:szCs w:val="24"/>
          <w:lang w:bidi="gu-IN"/>
        </w:rPr>
        <w:drawing>
          <wp:inline distT="0" distB="0" distL="0" distR="0">
            <wp:extent cx="5943600" cy="3979545"/>
            <wp:effectExtent l="0" t="0" r="0" b="1905"/>
            <wp:docPr id="339068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68898" name=""/>
                    <pic:cNvPicPr/>
                  </pic:nvPicPr>
                  <pic:blipFill>
                    <a:blip r:embed="rId9" cstate="print"/>
                    <a:stretch>
                      <a:fillRect/>
                    </a:stretch>
                  </pic:blipFill>
                  <pic:spPr>
                    <a:xfrm>
                      <a:off x="0" y="0"/>
                      <a:ext cx="5943600" cy="3979545"/>
                    </a:xfrm>
                    <a:prstGeom prst="rect">
                      <a:avLst/>
                    </a:prstGeom>
                  </pic:spPr>
                </pic:pic>
              </a:graphicData>
            </a:graphic>
          </wp:inline>
        </w:drawing>
      </w:r>
    </w:p>
    <w:p w:rsidR="001C1473" w:rsidRPr="00AA0561" w:rsidRDefault="000107AF" w:rsidP="00AA0561">
      <w:pPr>
        <w:pStyle w:val="Caption"/>
        <w:spacing w:before="240" w:line="360" w:lineRule="auto"/>
        <w:jc w:val="center"/>
        <w:rPr>
          <w:rFonts w:cs="Times New Roman"/>
          <w:b/>
          <w:bCs/>
          <w:sz w:val="24"/>
          <w:szCs w:val="24"/>
          <w:lang w:val="en-IN"/>
        </w:rPr>
      </w:pPr>
      <w:r w:rsidRPr="00AA0561">
        <w:rPr>
          <w:rFonts w:cs="Times New Roman"/>
          <w:b/>
          <w:bCs/>
          <w:sz w:val="24"/>
          <w:szCs w:val="24"/>
        </w:rPr>
        <w:t xml:space="preserve">Figure </w:t>
      </w:r>
      <w:r w:rsidR="00054486" w:rsidRPr="00AA0561">
        <w:rPr>
          <w:rFonts w:cs="Times New Roman"/>
          <w:b/>
          <w:bCs/>
          <w:sz w:val="24"/>
          <w:szCs w:val="24"/>
        </w:rPr>
        <w:fldChar w:fldCharType="begin"/>
      </w:r>
      <w:r w:rsidRPr="00AA0561">
        <w:rPr>
          <w:rFonts w:cs="Times New Roman"/>
          <w:b/>
          <w:bCs/>
          <w:sz w:val="24"/>
          <w:szCs w:val="24"/>
        </w:rPr>
        <w:instrText xml:space="preserve"> SEQ Figure \* ARABIC </w:instrText>
      </w:r>
      <w:r w:rsidR="00054486" w:rsidRPr="00AA0561">
        <w:rPr>
          <w:rFonts w:cs="Times New Roman"/>
          <w:b/>
          <w:bCs/>
          <w:sz w:val="24"/>
          <w:szCs w:val="24"/>
        </w:rPr>
        <w:fldChar w:fldCharType="separate"/>
      </w:r>
      <w:r w:rsidRPr="00AA0561">
        <w:rPr>
          <w:rFonts w:cs="Times New Roman"/>
          <w:b/>
          <w:bCs/>
          <w:noProof/>
          <w:sz w:val="24"/>
          <w:szCs w:val="24"/>
        </w:rPr>
        <w:t>1</w:t>
      </w:r>
      <w:r w:rsidR="00054486" w:rsidRPr="00AA0561">
        <w:rPr>
          <w:rFonts w:cs="Times New Roman"/>
          <w:b/>
          <w:bCs/>
          <w:sz w:val="24"/>
          <w:szCs w:val="24"/>
        </w:rPr>
        <w:fldChar w:fldCharType="end"/>
      </w:r>
      <w:r w:rsidRPr="00AA0561">
        <w:rPr>
          <w:rFonts w:cs="Times New Roman"/>
          <w:b/>
          <w:bCs/>
          <w:sz w:val="24"/>
          <w:szCs w:val="24"/>
        </w:rPr>
        <w:t xml:space="preserve">(fullratio.com, </w:t>
      </w:r>
      <w:r w:rsidR="000E6257" w:rsidRPr="00AA0561">
        <w:rPr>
          <w:rFonts w:cs="Times New Roman"/>
          <w:b/>
          <w:bCs/>
          <w:sz w:val="24"/>
          <w:szCs w:val="24"/>
        </w:rPr>
        <w:t>2024</w:t>
      </w:r>
      <w:r w:rsidRPr="00AA0561">
        <w:rPr>
          <w:rFonts w:cs="Times New Roman"/>
          <w:b/>
          <w:bCs/>
          <w:sz w:val="24"/>
          <w:szCs w:val="24"/>
        </w:rPr>
        <w:t>)</w:t>
      </w:r>
    </w:p>
    <w:p w:rsidR="001C1473" w:rsidRPr="00A531A5" w:rsidRDefault="004554B8" w:rsidP="00D82542">
      <w:pPr>
        <w:spacing w:before="240" w:line="360" w:lineRule="auto"/>
        <w:rPr>
          <w:rFonts w:cs="Times New Roman"/>
          <w:b/>
          <w:bCs/>
          <w:i/>
          <w:iCs/>
          <w:szCs w:val="24"/>
        </w:rPr>
      </w:pPr>
      <w:r w:rsidRPr="00A531A5">
        <w:rPr>
          <w:rFonts w:cs="Times New Roman"/>
          <w:b/>
          <w:bCs/>
          <w:i/>
          <w:iCs/>
          <w:szCs w:val="24"/>
        </w:rPr>
        <w:t>Efficiency</w:t>
      </w:r>
    </w:p>
    <w:p w:rsidR="000107AF" w:rsidRPr="00A531A5" w:rsidRDefault="000107AF" w:rsidP="00D82542">
      <w:pPr>
        <w:spacing w:before="240" w:line="360" w:lineRule="auto"/>
        <w:rPr>
          <w:rFonts w:cs="Times New Roman"/>
          <w:szCs w:val="24"/>
        </w:rPr>
      </w:pPr>
      <w:r w:rsidRPr="00A531A5">
        <w:rPr>
          <w:rFonts w:cs="Times New Roman"/>
          <w:szCs w:val="24"/>
        </w:rPr>
        <w:t>By emphasizing key financial indicators including return on invested capital (ROIC), return on sales (ROS), return on equity (ROE), and return on assets (ROA), the graph illustrates Snap's performance in recent years</w:t>
      </w:r>
      <w:r w:rsidR="005625A4">
        <w:rPr>
          <w:rFonts w:cs="Times New Roman"/>
          <w:szCs w:val="24"/>
        </w:rPr>
        <w:t xml:space="preserve"> </w:t>
      </w:r>
      <w:r w:rsidR="005625A4" w:rsidRPr="005625A4">
        <w:rPr>
          <w:rFonts w:cs="Times New Roman"/>
          <w:szCs w:val="24"/>
        </w:rPr>
        <w:t>(Supriyadi, 2021)</w:t>
      </w:r>
      <w:r w:rsidRPr="00A531A5">
        <w:rPr>
          <w:rFonts w:cs="Times New Roman"/>
          <w:szCs w:val="24"/>
        </w:rPr>
        <w:t>.</w:t>
      </w:r>
    </w:p>
    <w:p w:rsidR="000107AF" w:rsidRPr="00A531A5" w:rsidRDefault="000107AF" w:rsidP="00D82542">
      <w:pPr>
        <w:spacing w:before="240" w:line="360" w:lineRule="auto"/>
        <w:rPr>
          <w:rFonts w:cs="Times New Roman"/>
          <w:szCs w:val="24"/>
        </w:rPr>
      </w:pPr>
      <w:r w:rsidRPr="00A531A5">
        <w:rPr>
          <w:rFonts w:cs="Times New Roman"/>
          <w:szCs w:val="24"/>
        </w:rPr>
        <w:t xml:space="preserve">The image clearly illustrates that Snap experienced a 6% increase in return on sales (ROS) during the previous quarter and a 13% year-over-year growth in ROS. This indicates that Snap has improved its sales performance, as the company is now earning a greater return on </w:t>
      </w:r>
      <w:r w:rsidRPr="00A531A5">
        <w:rPr>
          <w:rFonts w:cs="Times New Roman"/>
          <w:szCs w:val="24"/>
        </w:rPr>
        <w:lastRenderedPageBreak/>
        <w:t>investment per dollar spent on sales.</w:t>
      </w:r>
      <w:r w:rsidR="00D82542">
        <w:rPr>
          <w:rFonts w:cs="Times New Roman"/>
          <w:szCs w:val="24"/>
        </w:rPr>
        <w:t xml:space="preserve"> </w:t>
      </w:r>
      <w:r w:rsidRPr="00A531A5">
        <w:rPr>
          <w:rFonts w:cs="Times New Roman"/>
          <w:szCs w:val="24"/>
        </w:rPr>
        <w:t>However, the line also indicates that Snap is experiencing difficulties, particularly with regard to its return on equity (ROE). Return on equity (ROE) for Snap has decreased by 2.8% in the most recent quarter and 12% year-over-year. ROI is a metric utilized to assess the profitability of a company in relation to the capital invested by its proprietors. A decline in return on equity (ROE) may indicate that Snap is not optimizing the utilization of the capital, as invested by its stakeholders. Investors may begin to question the company's capacity to generate profits for its shareholders as a result</w:t>
      </w:r>
      <w:r w:rsidR="005625A4">
        <w:rPr>
          <w:rFonts w:cs="Times New Roman"/>
          <w:szCs w:val="24"/>
        </w:rPr>
        <w:t xml:space="preserve"> </w:t>
      </w:r>
      <w:r w:rsidR="005625A4" w:rsidRPr="005625A4">
        <w:rPr>
          <w:rFonts w:cs="Times New Roman"/>
          <w:szCs w:val="24"/>
        </w:rPr>
        <w:t xml:space="preserve">(www.macrotrends.net, </w:t>
      </w:r>
      <w:r w:rsidR="000E6257">
        <w:rPr>
          <w:rFonts w:cs="Times New Roman"/>
          <w:szCs w:val="24"/>
        </w:rPr>
        <w:t>2024</w:t>
      </w:r>
      <w:r w:rsidR="005625A4" w:rsidRPr="005625A4">
        <w:rPr>
          <w:rFonts w:cs="Times New Roman"/>
          <w:szCs w:val="24"/>
        </w:rPr>
        <w:t>)</w:t>
      </w:r>
      <w:r w:rsidRPr="00A531A5">
        <w:rPr>
          <w:rFonts w:cs="Times New Roman"/>
          <w:szCs w:val="24"/>
        </w:rPr>
        <w:t>.</w:t>
      </w:r>
    </w:p>
    <w:p w:rsidR="000107AF" w:rsidRPr="00A531A5" w:rsidRDefault="000107AF" w:rsidP="00D82542">
      <w:pPr>
        <w:spacing w:before="240" w:line="360" w:lineRule="auto"/>
        <w:rPr>
          <w:rFonts w:cs="Times New Roman"/>
          <w:szCs w:val="24"/>
        </w:rPr>
      </w:pPr>
      <w:r w:rsidRPr="00A531A5">
        <w:rPr>
          <w:rFonts w:cs="Times New Roman"/>
          <w:szCs w:val="24"/>
        </w:rPr>
        <w:t>Snap's return on invested capital (ROIC) is increasing by 6% annually, as indicated by the line. Return on investment (ROI) is a metric used to assess the efficiency with which a company converts its financial resources into revenue. Return on investment (ROCE) growth indicates that Snap has achieved greater efficiency in its capital allocation. This may indicate that the company is operating its business and managing its finances more effectively.</w:t>
      </w:r>
      <w:r w:rsidR="00D82542">
        <w:rPr>
          <w:rFonts w:cs="Times New Roman"/>
          <w:szCs w:val="24"/>
        </w:rPr>
        <w:t xml:space="preserve"> </w:t>
      </w:r>
      <w:r w:rsidRPr="00A531A5">
        <w:rPr>
          <w:rFonts w:cs="Times New Roman"/>
          <w:szCs w:val="24"/>
        </w:rPr>
        <w:t>When examined in its entirety, the line provides an inconsistent assessment of the state of Snap's business. Despite the company's current improvements in profitability and capital management, challenges persist, as evidenced by the declining return on equity (ROE). These patterns illustrate the complexity of Snap's business situation and the need for the company to constantly monitor developments and make strategic adjustments in order to continue expanding and profitable.</w:t>
      </w:r>
    </w:p>
    <w:p w:rsidR="001C1473" w:rsidRPr="00A531A5" w:rsidRDefault="001C1473" w:rsidP="00AA0561">
      <w:pPr>
        <w:spacing w:before="240" w:line="360" w:lineRule="auto"/>
        <w:jc w:val="center"/>
        <w:rPr>
          <w:rFonts w:cs="Times New Roman"/>
          <w:szCs w:val="24"/>
        </w:rPr>
      </w:pPr>
      <w:r w:rsidRPr="00A531A5">
        <w:rPr>
          <w:rFonts w:cs="Times New Roman"/>
          <w:noProof/>
          <w:szCs w:val="24"/>
          <w:lang w:bidi="gu-IN"/>
        </w:rPr>
        <w:lastRenderedPageBreak/>
        <w:drawing>
          <wp:inline distT="0" distB="0" distL="0" distR="0">
            <wp:extent cx="5943600" cy="4277360"/>
            <wp:effectExtent l="0" t="0" r="0" b="8890"/>
            <wp:docPr id="50823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3396" name=""/>
                    <pic:cNvPicPr/>
                  </pic:nvPicPr>
                  <pic:blipFill>
                    <a:blip r:embed="rId10" cstate="print"/>
                    <a:stretch>
                      <a:fillRect/>
                    </a:stretch>
                  </pic:blipFill>
                  <pic:spPr>
                    <a:xfrm>
                      <a:off x="0" y="0"/>
                      <a:ext cx="5943600" cy="4277360"/>
                    </a:xfrm>
                    <a:prstGeom prst="rect">
                      <a:avLst/>
                    </a:prstGeom>
                  </pic:spPr>
                </pic:pic>
              </a:graphicData>
            </a:graphic>
          </wp:inline>
        </w:drawing>
      </w:r>
    </w:p>
    <w:p w:rsidR="001C1473" w:rsidRPr="00A531A5" w:rsidRDefault="001C1473" w:rsidP="00D82542">
      <w:pPr>
        <w:pStyle w:val="Heading2"/>
        <w:spacing w:before="240" w:line="360" w:lineRule="auto"/>
        <w:rPr>
          <w:rFonts w:cs="Times New Roman"/>
          <w:szCs w:val="24"/>
        </w:rPr>
      </w:pPr>
      <w:bookmarkStart w:id="5" w:name="_Toc165155003"/>
      <w:r w:rsidRPr="00A531A5">
        <w:rPr>
          <w:rFonts w:cs="Times New Roman"/>
          <w:szCs w:val="24"/>
        </w:rPr>
        <w:t>Annual Growth Rate</w:t>
      </w:r>
      <w:bookmarkEnd w:id="5"/>
      <w:r w:rsidRPr="00A531A5">
        <w:rPr>
          <w:rFonts w:cs="Times New Roman"/>
          <w:szCs w:val="24"/>
        </w:rPr>
        <w:t xml:space="preserve"> </w:t>
      </w:r>
    </w:p>
    <w:p w:rsidR="00D82542" w:rsidRDefault="00D82542" w:rsidP="00D82542">
      <w:pPr>
        <w:spacing w:before="240" w:line="360" w:lineRule="auto"/>
        <w:rPr>
          <w:rFonts w:cs="Times New Roman"/>
          <w:szCs w:val="24"/>
        </w:rPr>
      </w:pPr>
      <w:r w:rsidRPr="00D82542">
        <w:rPr>
          <w:rFonts w:cs="Times New Roman"/>
          <w:szCs w:val="24"/>
        </w:rPr>
        <w:t>According to Rad (2024), Snap Inc. made the decision to choose the path of the stock market for the company, which has experienced considerable fluctuations in its stock price, including both dips and jumps. In the following year, 2024, the price reached an average of $12.87, indicating a decrease of -14.06% by the time it reached its conclusion. This was the most difficult year. Let's take a look at what transpired throughout this period of economic slump. Immediately after a roller coaster journey of highs and lows, which once again highlights the cyclical nature of the technology industry as a whole and the challenges that businesses like Snapchat have to face on a daily basis, the company has experienced both positive and negative developments.</w:t>
      </w:r>
    </w:p>
    <w:p w:rsidR="000107AF" w:rsidRPr="00A531A5" w:rsidRDefault="000107AF" w:rsidP="00D82542">
      <w:pPr>
        <w:spacing w:before="240" w:line="360" w:lineRule="auto"/>
        <w:rPr>
          <w:rFonts w:cs="Times New Roman"/>
          <w:szCs w:val="24"/>
        </w:rPr>
      </w:pPr>
      <w:r w:rsidRPr="00A531A5">
        <w:rPr>
          <w:rFonts w:cs="Times New Roman"/>
          <w:szCs w:val="24"/>
        </w:rPr>
        <w:t>In 2023, shares of Snapchat Inc. climbed up to astonishingly high level</w:t>
      </w:r>
      <w:r w:rsidR="005625A4">
        <w:rPr>
          <w:rFonts w:cs="Times New Roman"/>
          <w:szCs w:val="24"/>
        </w:rPr>
        <w:t xml:space="preserve"> </w:t>
      </w:r>
      <w:r w:rsidR="005625A4" w:rsidRPr="005625A4">
        <w:rPr>
          <w:rFonts w:cs="Times New Roman"/>
          <w:szCs w:val="24"/>
        </w:rPr>
        <w:t>(Cristofaro, Giannetti and Abatecola, 2023)</w:t>
      </w:r>
      <w:r w:rsidRPr="00A531A5">
        <w:rPr>
          <w:rFonts w:cs="Times New Roman"/>
          <w:szCs w:val="24"/>
        </w:rPr>
        <w:t xml:space="preserve">. The average price reached $10.82, while the year closed at $16.93 yielding 89.16% gain in price in per annum. These factors played role in making such bullish Greek </w:t>
      </w:r>
      <w:r w:rsidRPr="00A531A5">
        <w:rPr>
          <w:rFonts w:cs="Times New Roman"/>
          <w:szCs w:val="24"/>
        </w:rPr>
        <w:lastRenderedPageBreak/>
        <w:t>community by ramping up user growth rate, innovating in product line, and capitalizing market sentiment. On the one hand, when Snapchat managed to attract over 200 million active users regularly by the beginning of 2019, its stock jumped to a historic euphoria. On the other hand, this euphoria was short-lived, as a year later the company found itself in the red again.</w:t>
      </w:r>
    </w:p>
    <w:p w:rsidR="000107AF" w:rsidRPr="00A531A5" w:rsidRDefault="000107AF" w:rsidP="00D82542">
      <w:pPr>
        <w:spacing w:before="240" w:line="360" w:lineRule="auto"/>
        <w:rPr>
          <w:rFonts w:cs="Times New Roman"/>
          <w:szCs w:val="24"/>
        </w:rPr>
      </w:pPr>
      <w:r w:rsidRPr="00A531A5">
        <w:rPr>
          <w:rFonts w:cs="Times New Roman"/>
          <w:szCs w:val="24"/>
        </w:rPr>
        <w:t>The stark difference between two consecutive years makes us understand the intrinsic unpredictability of the stock market and the successive challenges faced by ever-evolving social media companies like ours. The 2024 crash-out seemed to eradicate any hope of a positive turn for Snap Inc, but surprisingly, the company's resilience is abundantly clear, showing a CAGR of 24% in the past few years. This indicates they are on a trajectory of gradual growth, which shows that Snapchat has the capability to weather the storm and adapt to the turbulent environment it is facing.</w:t>
      </w:r>
    </w:p>
    <w:p w:rsidR="000107AF" w:rsidRPr="00A531A5" w:rsidRDefault="000107AF" w:rsidP="00D82542">
      <w:pPr>
        <w:spacing w:before="240" w:line="360" w:lineRule="auto"/>
        <w:rPr>
          <w:rFonts w:cs="Times New Roman"/>
          <w:szCs w:val="24"/>
        </w:rPr>
      </w:pPr>
      <w:r w:rsidRPr="00A531A5">
        <w:rPr>
          <w:rFonts w:cs="Times New Roman"/>
          <w:szCs w:val="24"/>
        </w:rPr>
        <w:t>By going back we see that Snapchat’s stocks changed dramatically and consisted of peaks and valleys. In 2022 not only the average stock price was reduced from $20.01 to $8.95 which is a catastrophic -80.97% decrease or closing the year at such a level. This drastic fall displays Snap Inc.'s difficulties during the actual turmoil period and also brings into the focus the need for the company's quick response to such unexpected downturn. On the other hand, there are a couple of years (2020 and 2019) which resemble considerable growth of Snapchat, as its average stock price averaged $24.58 and $12.92, and annual growth was +206.61% and +196.37% respectively. Here positive trends got an impulse from factors like for example new product launching system expansion as well as appropriate market conditions.</w:t>
      </w:r>
    </w:p>
    <w:p w:rsidR="000107AF" w:rsidRPr="00A531A5" w:rsidRDefault="00D82542" w:rsidP="00D82542">
      <w:pPr>
        <w:spacing w:before="240" w:line="360" w:lineRule="auto"/>
        <w:rPr>
          <w:rFonts w:cs="Times New Roman"/>
          <w:szCs w:val="24"/>
        </w:rPr>
      </w:pPr>
      <w:r w:rsidRPr="00D82542">
        <w:rPr>
          <w:rFonts w:cs="Times New Roman"/>
          <w:szCs w:val="24"/>
        </w:rPr>
        <w:t>Snapchat's entry into the public trading market can be portrayed as a tale of both achievements and failures, highlighting the fact that technology companies are frequently influenced by swings in the market and uncertainties in the industry. In moments of difficulty, Snapchat has demonstrated adaptability and a drive to break through, consistently repositioning itself for future progress and the accomplishment of goals in this rapidly developing industry.</w:t>
      </w:r>
    </w:p>
    <w:tbl>
      <w:tblPr>
        <w:tblW w:w="5000" w:type="pct"/>
        <w:tblLook w:val="04A0"/>
      </w:tblPr>
      <w:tblGrid>
        <w:gridCol w:w="2811"/>
        <w:gridCol w:w="2737"/>
        <w:gridCol w:w="1517"/>
        <w:gridCol w:w="2511"/>
      </w:tblGrid>
      <w:tr w:rsidR="001C1473" w:rsidRPr="001C1473" w:rsidTr="00267455">
        <w:trPr>
          <w:trHeight w:val="330"/>
        </w:trPr>
        <w:tc>
          <w:tcPr>
            <w:tcW w:w="146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Year</w:t>
            </w:r>
          </w:p>
        </w:tc>
        <w:tc>
          <w:tcPr>
            <w:tcW w:w="1429" w:type="pct"/>
            <w:tcBorders>
              <w:top w:val="single" w:sz="4" w:space="0" w:color="auto"/>
              <w:left w:val="nil"/>
              <w:bottom w:val="single" w:sz="4" w:space="0" w:color="auto"/>
              <w:right w:val="single" w:sz="4" w:space="0" w:color="auto"/>
            </w:tcBorders>
            <w:shd w:val="clear" w:color="auto" w:fill="auto"/>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Average Stock Price</w:t>
            </w:r>
          </w:p>
        </w:tc>
        <w:tc>
          <w:tcPr>
            <w:tcW w:w="792" w:type="pct"/>
            <w:tcBorders>
              <w:top w:val="single" w:sz="4" w:space="0" w:color="auto"/>
              <w:left w:val="nil"/>
              <w:bottom w:val="single" w:sz="4" w:space="0" w:color="auto"/>
              <w:right w:val="single" w:sz="4" w:space="0" w:color="auto"/>
            </w:tcBorders>
            <w:shd w:val="clear" w:color="auto" w:fill="auto"/>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Year Close</w:t>
            </w:r>
          </w:p>
        </w:tc>
        <w:tc>
          <w:tcPr>
            <w:tcW w:w="1311" w:type="pct"/>
            <w:tcBorders>
              <w:top w:val="single" w:sz="4" w:space="0" w:color="auto"/>
              <w:left w:val="nil"/>
              <w:bottom w:val="single" w:sz="4" w:space="0" w:color="auto"/>
              <w:right w:val="single" w:sz="4" w:space="0" w:color="auto"/>
            </w:tcBorders>
            <w:shd w:val="clear" w:color="auto" w:fill="auto"/>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Annual % Change</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2024</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12.8731</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14.55</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-14.06%</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lastRenderedPageBreak/>
              <w:t>2023</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10.8203</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16.93</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89.16%</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2022</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20.0095</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8.95</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-80.97%</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2021</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61.5577</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47.03</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-6.07%</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2020</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24.5822</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50.07</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206.61%</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2019</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12.9199</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16.33</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196.37%</w:t>
            </w:r>
          </w:p>
        </w:tc>
      </w:tr>
      <w:tr w:rsidR="001C1473" w:rsidRPr="001C1473" w:rsidTr="00267455">
        <w:trPr>
          <w:trHeight w:val="330"/>
        </w:trPr>
        <w:tc>
          <w:tcPr>
            <w:tcW w:w="1468" w:type="pct"/>
            <w:tcBorders>
              <w:top w:val="nil"/>
              <w:left w:val="single" w:sz="4" w:space="0" w:color="auto"/>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2018</w:t>
            </w:r>
          </w:p>
        </w:tc>
        <w:tc>
          <w:tcPr>
            <w:tcW w:w="1429"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11.7801</w:t>
            </w:r>
          </w:p>
        </w:tc>
        <w:tc>
          <w:tcPr>
            <w:tcW w:w="792"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5.51</w:t>
            </w:r>
          </w:p>
        </w:tc>
        <w:tc>
          <w:tcPr>
            <w:tcW w:w="1311" w:type="pct"/>
            <w:tcBorders>
              <w:top w:val="nil"/>
              <w:left w:val="nil"/>
              <w:bottom w:val="single" w:sz="4" w:space="0" w:color="auto"/>
              <w:right w:val="single" w:sz="4" w:space="0" w:color="auto"/>
            </w:tcBorders>
            <w:shd w:val="clear" w:color="auto" w:fill="auto"/>
            <w:vAlign w:val="center"/>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-62.29%</w:t>
            </w:r>
          </w:p>
        </w:tc>
      </w:tr>
      <w:tr w:rsidR="001C1473" w:rsidRPr="001C1473" w:rsidTr="00267455">
        <w:trPr>
          <w:trHeight w:val="330"/>
        </w:trPr>
        <w:tc>
          <w:tcPr>
            <w:tcW w:w="3689" w:type="pct"/>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CAGR</w:t>
            </w:r>
          </w:p>
        </w:tc>
        <w:tc>
          <w:tcPr>
            <w:tcW w:w="1311" w:type="pct"/>
            <w:tcBorders>
              <w:top w:val="nil"/>
              <w:left w:val="nil"/>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24%</w:t>
            </w:r>
          </w:p>
        </w:tc>
      </w:tr>
    </w:tbl>
    <w:p w:rsidR="001C1473" w:rsidRPr="00A531A5" w:rsidRDefault="001C1473" w:rsidP="00D82542">
      <w:pPr>
        <w:pStyle w:val="Heading2"/>
        <w:spacing w:before="240" w:line="360" w:lineRule="auto"/>
        <w:rPr>
          <w:rFonts w:cs="Times New Roman"/>
          <w:szCs w:val="24"/>
        </w:rPr>
      </w:pPr>
      <w:bookmarkStart w:id="6" w:name="_Toc165155004"/>
      <w:r w:rsidRPr="00A531A5">
        <w:rPr>
          <w:rFonts w:cs="Times New Roman"/>
          <w:szCs w:val="24"/>
        </w:rPr>
        <w:t>Sharpe and Treynor ratios</w:t>
      </w:r>
      <w:bookmarkEnd w:id="6"/>
    </w:p>
    <w:p w:rsidR="000107AF" w:rsidRPr="00A531A5" w:rsidRDefault="000107AF" w:rsidP="00D82542">
      <w:pPr>
        <w:spacing w:before="240" w:line="360" w:lineRule="auto"/>
        <w:rPr>
          <w:rFonts w:cs="Times New Roman"/>
          <w:szCs w:val="24"/>
        </w:rPr>
      </w:pPr>
      <w:r w:rsidRPr="00A531A5">
        <w:rPr>
          <w:rFonts w:cs="Times New Roman"/>
          <w:szCs w:val="24"/>
        </w:rPr>
        <w:t>The Sharp ratio and Treynor ratio are basic, for investors, metrics which establish the efficiency of stock investments by the company</w:t>
      </w:r>
      <w:r w:rsidR="005D4F97">
        <w:rPr>
          <w:rFonts w:cs="Times New Roman"/>
          <w:szCs w:val="24"/>
        </w:rPr>
        <w:t xml:space="preserve"> </w:t>
      </w:r>
      <w:r w:rsidR="005D4F97" w:rsidRPr="005D4F97">
        <w:rPr>
          <w:rFonts w:cs="Times New Roman"/>
          <w:szCs w:val="24"/>
        </w:rPr>
        <w:t xml:space="preserve">(Nikolas </w:t>
      </w:r>
      <w:proofErr w:type="spellStart"/>
      <w:r w:rsidR="005D4F97" w:rsidRPr="005D4F97">
        <w:rPr>
          <w:rFonts w:cs="Times New Roman"/>
          <w:szCs w:val="24"/>
        </w:rPr>
        <w:t>Pareschi</w:t>
      </w:r>
      <w:proofErr w:type="spellEnd"/>
      <w:r w:rsidR="005D4F97" w:rsidRPr="005D4F97">
        <w:rPr>
          <w:rFonts w:cs="Times New Roman"/>
          <w:szCs w:val="24"/>
        </w:rPr>
        <w:t>, 2023)</w:t>
      </w:r>
      <w:r w:rsidRPr="00A531A5">
        <w:rPr>
          <w:rFonts w:cs="Times New Roman"/>
          <w:szCs w:val="24"/>
        </w:rPr>
        <w:t>. The ratios can be used to determine investors' perception of risk from different perspectives as well as provide different sets of performance evaluation results. Firstly, the Sharpe ratio considers the excess return over the risk-free rate per proportional to the variance of the returns and risk is taken as standard deviation of returns. The benchmark ratio, for instance, measures how well the company's return offset the investors for the risk they take on by holding the given stocks. A higher Sharpe ratio signifies an enhanced risk-adjusted performance, as this may be implying that the company is bringing in a greater income/returns per particular unit of risk. On the other hand, it is important to consider that a high Sharpe ratio does not mean necessarily that the returns are better than that can be achieved with a risk-free investment; what it means is that the returns are risk-adjusted returns relative to what can be achieved through a risk-free one.</w:t>
      </w:r>
    </w:p>
    <w:p w:rsidR="000107AF" w:rsidRPr="00A531A5" w:rsidRDefault="000107AF" w:rsidP="00D82542">
      <w:pPr>
        <w:spacing w:before="240" w:line="360" w:lineRule="auto"/>
        <w:rPr>
          <w:rFonts w:cs="Times New Roman"/>
          <w:szCs w:val="24"/>
        </w:rPr>
      </w:pPr>
      <w:r w:rsidRPr="00A531A5">
        <w:rPr>
          <w:rFonts w:cs="Times New Roman"/>
          <w:szCs w:val="24"/>
        </w:rPr>
        <w:t>Unlike the unsystematic return per segment of total risk, Treynor Ratio measures the excess per segment of systematic risk, which is beta</w:t>
      </w:r>
      <w:r w:rsidR="005625A4">
        <w:rPr>
          <w:rFonts w:cs="Times New Roman"/>
          <w:szCs w:val="24"/>
        </w:rPr>
        <w:t xml:space="preserve"> </w:t>
      </w:r>
      <w:r w:rsidR="005625A4" w:rsidRPr="005625A4">
        <w:rPr>
          <w:rFonts w:cs="Times New Roman"/>
          <w:szCs w:val="24"/>
        </w:rPr>
        <w:t xml:space="preserve">(Grabowski and </w:t>
      </w:r>
      <w:proofErr w:type="spellStart"/>
      <w:r w:rsidR="005625A4" w:rsidRPr="005625A4">
        <w:rPr>
          <w:rFonts w:cs="Times New Roman"/>
          <w:szCs w:val="24"/>
        </w:rPr>
        <w:t>Aboulamer</w:t>
      </w:r>
      <w:proofErr w:type="spellEnd"/>
      <w:r w:rsidR="005625A4" w:rsidRPr="005625A4">
        <w:rPr>
          <w:rFonts w:cs="Times New Roman"/>
          <w:szCs w:val="24"/>
        </w:rPr>
        <w:t>, 2020)</w:t>
      </w:r>
      <w:r w:rsidRPr="00A531A5">
        <w:rPr>
          <w:rFonts w:cs="Times New Roman"/>
          <w:szCs w:val="24"/>
        </w:rPr>
        <w:t xml:space="preserve">. Diversifiable risk is the risk that can be spread so that when an asset loses value others can easily compensate. Non-diversifiable or systematic risk is the risk that is specific to either an entire market or a particular segment of it. Beta defines a stocks correlation to market fluctuations; therefore, a beta greater </w:t>
      </w:r>
      <w:r w:rsidRPr="00A531A5">
        <w:rPr>
          <w:rFonts w:cs="Times New Roman"/>
          <w:szCs w:val="24"/>
        </w:rPr>
        <w:lastRenderedPageBreak/>
        <w:t>than 1 shows a more than the market being the case. Contrarily, a beta less than 1 indicates a lower volatility compared to the market.</w:t>
      </w:r>
    </w:p>
    <w:p w:rsidR="000107AF" w:rsidRPr="00A531A5" w:rsidRDefault="000107AF" w:rsidP="00D82542">
      <w:pPr>
        <w:spacing w:before="240" w:line="360" w:lineRule="auto"/>
        <w:rPr>
          <w:rFonts w:cs="Times New Roman"/>
          <w:szCs w:val="24"/>
        </w:rPr>
      </w:pPr>
      <w:r w:rsidRPr="00A531A5">
        <w:rPr>
          <w:rFonts w:cs="Times New Roman"/>
          <w:szCs w:val="24"/>
        </w:rPr>
        <w:t>The Treynor ratio in the investment process gives investor the ability to assess the efficacy of a given stock in a portfolio by its potential to compensate the systematic risk. Treynor ratio of more than one suggests that the company has an excess return proportional to its systematic risk. This therefore is indicative of a better risk-adjusted performance</w:t>
      </w:r>
      <w:r w:rsidR="005D4F97">
        <w:rPr>
          <w:rFonts w:cs="Times New Roman"/>
          <w:szCs w:val="24"/>
        </w:rPr>
        <w:t xml:space="preserve"> </w:t>
      </w:r>
      <w:r w:rsidR="005D4F97" w:rsidRPr="005D4F97">
        <w:rPr>
          <w:rFonts w:cs="Times New Roman"/>
          <w:szCs w:val="24"/>
        </w:rPr>
        <w:t>(</w:t>
      </w:r>
      <w:proofErr w:type="spellStart"/>
      <w:r w:rsidR="005D4F97" w:rsidRPr="005D4F97">
        <w:rPr>
          <w:rFonts w:cs="Times New Roman"/>
          <w:szCs w:val="24"/>
        </w:rPr>
        <w:t>Łyczkowska-Hanćkowiak</w:t>
      </w:r>
      <w:proofErr w:type="spellEnd"/>
      <w:r w:rsidR="005D4F97" w:rsidRPr="005D4F97">
        <w:rPr>
          <w:rFonts w:cs="Times New Roman"/>
          <w:szCs w:val="24"/>
        </w:rPr>
        <w:t>, 2020)</w:t>
      </w:r>
      <w:r w:rsidRPr="00A531A5">
        <w:rPr>
          <w:rFonts w:cs="Times New Roman"/>
          <w:szCs w:val="24"/>
        </w:rPr>
        <w:t>.</w:t>
      </w:r>
    </w:p>
    <w:p w:rsidR="000107AF" w:rsidRPr="00A531A5" w:rsidRDefault="00D82542" w:rsidP="00D82542">
      <w:pPr>
        <w:spacing w:before="240" w:line="360" w:lineRule="auto"/>
        <w:rPr>
          <w:rFonts w:cs="Times New Roman"/>
          <w:szCs w:val="24"/>
        </w:rPr>
      </w:pPr>
      <w:r>
        <w:rPr>
          <w:rFonts w:cs="Times New Roman"/>
          <w:szCs w:val="24"/>
        </w:rPr>
        <w:t>T</w:t>
      </w:r>
      <w:r w:rsidR="000107AF" w:rsidRPr="00A531A5">
        <w:rPr>
          <w:rFonts w:cs="Times New Roman"/>
          <w:szCs w:val="24"/>
        </w:rPr>
        <w:t xml:space="preserve">he annual Sharpe ratio of the company is 0.3876, which means that it had an excess return representing 0.3876 units of the total risk represented by the standard deviation of the return per each unit of total risk one </w:t>
      </w:r>
      <w:proofErr w:type="spellStart"/>
      <w:r w:rsidR="000107AF" w:rsidRPr="00A531A5">
        <w:rPr>
          <w:rFonts w:cs="Times New Roman"/>
          <w:szCs w:val="24"/>
        </w:rPr>
        <w:t>addes</w:t>
      </w:r>
      <w:proofErr w:type="spellEnd"/>
      <w:r w:rsidR="000107AF" w:rsidRPr="00A531A5">
        <w:rPr>
          <w:rFonts w:cs="Times New Roman"/>
          <w:szCs w:val="24"/>
        </w:rPr>
        <w:t>. Although the positive Sharpe ratio is an indication of how much the returns cashes out the risk-free rate, it is also a graphical depiction of how much risk the excess return would have to be in order to be worth the entire risk</w:t>
      </w:r>
      <w:r w:rsidR="005625A4">
        <w:rPr>
          <w:rFonts w:cs="Times New Roman"/>
          <w:szCs w:val="24"/>
        </w:rPr>
        <w:t xml:space="preserve"> </w:t>
      </w:r>
      <w:r w:rsidR="005625A4" w:rsidRPr="005625A4">
        <w:rPr>
          <w:rFonts w:cs="Times New Roman"/>
          <w:szCs w:val="24"/>
        </w:rPr>
        <w:t>(Pav, 2021)</w:t>
      </w:r>
      <w:r w:rsidR="000107AF" w:rsidRPr="00A531A5">
        <w:rPr>
          <w:rFonts w:cs="Times New Roman"/>
          <w:szCs w:val="24"/>
        </w:rPr>
        <w:t>. Investors usually hunter a Sharpe ratio more and the bigger one the better risk-adjusted revenues, hence a value lower than 1 might show that the revenues are not having some good pay off compared to the risk that is involved.</w:t>
      </w:r>
    </w:p>
    <w:p w:rsidR="000107AF" w:rsidRPr="00A531A5" w:rsidRDefault="000107AF" w:rsidP="00D82542">
      <w:pPr>
        <w:spacing w:before="240" w:line="360" w:lineRule="auto"/>
        <w:rPr>
          <w:rFonts w:cs="Times New Roman"/>
          <w:szCs w:val="24"/>
        </w:rPr>
      </w:pPr>
      <w:r w:rsidRPr="00A531A5">
        <w:rPr>
          <w:rFonts w:cs="Times New Roman"/>
          <w:szCs w:val="24"/>
        </w:rPr>
        <w:t>Switching to the Treynor ratio with a value of 9.27% we see that for every total unit of systematic risk, the company achieved 9.27% excess rate return</w:t>
      </w:r>
      <w:r w:rsidR="005625A4">
        <w:rPr>
          <w:rFonts w:cs="Times New Roman"/>
          <w:szCs w:val="24"/>
        </w:rPr>
        <w:t xml:space="preserve"> </w:t>
      </w:r>
      <w:r w:rsidR="005625A4" w:rsidRPr="005625A4">
        <w:rPr>
          <w:rFonts w:cs="Times New Roman"/>
          <w:szCs w:val="24"/>
        </w:rPr>
        <w:t xml:space="preserve">(Wall Street Prep, </w:t>
      </w:r>
      <w:r w:rsidR="000E6257">
        <w:rPr>
          <w:rFonts w:cs="Times New Roman"/>
          <w:szCs w:val="24"/>
        </w:rPr>
        <w:t>2024</w:t>
      </w:r>
      <w:r w:rsidR="005625A4" w:rsidRPr="005625A4">
        <w:rPr>
          <w:rFonts w:cs="Times New Roman"/>
          <w:szCs w:val="24"/>
        </w:rPr>
        <w:t>)</w:t>
      </w:r>
      <w:r w:rsidRPr="00A531A5">
        <w:rPr>
          <w:rFonts w:cs="Times New Roman"/>
          <w:szCs w:val="24"/>
        </w:rPr>
        <w:t>. This indicates that the firm was, indeed, able to offer investors a great reward premium for the basal risk in her portfolio that investors took into consideration by entering the stock. A Treynor ratio that is higher compared to other company is an indication that it offers the largest excess return to the investors, in return for the systematic risk undertaken. This again suggests rewarding performance. Investors who are fully aware of systematic risk, may be particularly satisfied with the Treynor ration, because it is a measure of the additional return for each individual risk unit.</w:t>
      </w:r>
    </w:p>
    <w:p w:rsidR="007C39C6" w:rsidRDefault="000107AF" w:rsidP="00D82542">
      <w:pPr>
        <w:spacing w:before="240" w:line="360" w:lineRule="auto"/>
        <w:rPr>
          <w:rFonts w:cs="Times New Roman"/>
          <w:szCs w:val="24"/>
        </w:rPr>
      </w:pPr>
      <w:r w:rsidRPr="00A531A5">
        <w:rPr>
          <w:rFonts w:cs="Times New Roman"/>
          <w:szCs w:val="24"/>
        </w:rPr>
        <w:t>To sum up, the Sharpe ratio should be interpreted as the company's performance with relatively minor risk-adjusted return, and the Treynor ratio portrays that the company's stock is compensating the systematic risk at a favorable rate. The resultant ratios will be of great significance to investors, for they can use these ratios as indicators as well as guideposts to help them make tactical stock investment decisions that match their risk appetite and their set goals.</w:t>
      </w:r>
    </w:p>
    <w:p w:rsidR="00AA0561" w:rsidRPr="00A531A5" w:rsidRDefault="00AA0561" w:rsidP="00D82542">
      <w:pPr>
        <w:spacing w:before="240" w:line="360" w:lineRule="auto"/>
        <w:rPr>
          <w:rFonts w:cs="Times New Roman"/>
          <w:szCs w:val="24"/>
        </w:rPr>
      </w:pPr>
    </w:p>
    <w:tbl>
      <w:tblPr>
        <w:tblW w:w="5000" w:type="pct"/>
        <w:tblLook w:val="04A0"/>
      </w:tblPr>
      <w:tblGrid>
        <w:gridCol w:w="4853"/>
        <w:gridCol w:w="4723"/>
      </w:tblGrid>
      <w:tr w:rsidR="001C1473" w:rsidRPr="001C1473" w:rsidTr="007C39C6">
        <w:trPr>
          <w:trHeight w:val="330"/>
        </w:trPr>
        <w:tc>
          <w:tcPr>
            <w:tcW w:w="253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Average excess return</w:t>
            </w:r>
          </w:p>
        </w:tc>
        <w:tc>
          <w:tcPr>
            <w:tcW w:w="2466" w:type="pct"/>
            <w:tcBorders>
              <w:top w:val="single" w:sz="4" w:space="0" w:color="auto"/>
              <w:left w:val="nil"/>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42.57%</w:t>
            </w:r>
          </w:p>
        </w:tc>
      </w:tr>
      <w:tr w:rsidR="001C1473" w:rsidRPr="001C1473" w:rsidTr="007C39C6">
        <w:trPr>
          <w:trHeight w:val="330"/>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Standard Deviation</w:t>
            </w:r>
          </w:p>
        </w:tc>
        <w:tc>
          <w:tcPr>
            <w:tcW w:w="2466" w:type="pct"/>
            <w:tcBorders>
              <w:top w:val="nil"/>
              <w:left w:val="nil"/>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1.098250324</w:t>
            </w:r>
          </w:p>
        </w:tc>
      </w:tr>
      <w:tr w:rsidR="001C1473" w:rsidRPr="001C1473" w:rsidTr="007C39C6">
        <w:trPr>
          <w:trHeight w:val="330"/>
        </w:trPr>
        <w:tc>
          <w:tcPr>
            <w:tcW w:w="2534" w:type="pct"/>
            <w:tcBorders>
              <w:top w:val="nil"/>
              <w:left w:val="single" w:sz="4" w:space="0" w:color="auto"/>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Sharpe ratio</w:t>
            </w:r>
          </w:p>
        </w:tc>
        <w:tc>
          <w:tcPr>
            <w:tcW w:w="2466" w:type="pct"/>
            <w:tcBorders>
              <w:top w:val="nil"/>
              <w:left w:val="nil"/>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0.387573444</w:t>
            </w:r>
          </w:p>
        </w:tc>
      </w:tr>
      <w:tr w:rsidR="001C1473" w:rsidRPr="001C1473" w:rsidTr="007C39C6">
        <w:trPr>
          <w:trHeight w:val="330"/>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Beta</w:t>
            </w:r>
          </w:p>
        </w:tc>
        <w:tc>
          <w:tcPr>
            <w:tcW w:w="2466" w:type="pct"/>
            <w:tcBorders>
              <w:top w:val="nil"/>
              <w:left w:val="nil"/>
              <w:bottom w:val="single" w:sz="4" w:space="0" w:color="auto"/>
              <w:right w:val="single" w:sz="4" w:space="0" w:color="auto"/>
            </w:tcBorders>
            <w:shd w:val="clear" w:color="auto" w:fill="auto"/>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4.591599949</w:t>
            </w:r>
          </w:p>
        </w:tc>
      </w:tr>
      <w:tr w:rsidR="001C1473" w:rsidRPr="001C1473" w:rsidTr="007C39C6">
        <w:trPr>
          <w:trHeight w:val="330"/>
        </w:trPr>
        <w:tc>
          <w:tcPr>
            <w:tcW w:w="2534" w:type="pct"/>
            <w:tcBorders>
              <w:top w:val="nil"/>
              <w:left w:val="single" w:sz="4" w:space="0" w:color="auto"/>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b/>
                <w:bCs/>
                <w:color w:val="000000"/>
                <w:kern w:val="0"/>
                <w:szCs w:val="24"/>
                <w:lang w:val="en-IN" w:eastAsia="en-IN"/>
              </w:rPr>
            </w:pPr>
            <w:r w:rsidRPr="001C1473">
              <w:rPr>
                <w:rFonts w:eastAsia="Times New Roman" w:cs="Times New Roman"/>
                <w:b/>
                <w:bCs/>
                <w:color w:val="000000"/>
                <w:kern w:val="0"/>
                <w:szCs w:val="24"/>
                <w:lang w:val="en-IN" w:eastAsia="en-IN"/>
              </w:rPr>
              <w:t>Treynor Ratio</w:t>
            </w:r>
          </w:p>
        </w:tc>
        <w:tc>
          <w:tcPr>
            <w:tcW w:w="2466" w:type="pct"/>
            <w:tcBorders>
              <w:top w:val="nil"/>
              <w:left w:val="nil"/>
              <w:bottom w:val="single" w:sz="4" w:space="0" w:color="auto"/>
              <w:right w:val="single" w:sz="4" w:space="0" w:color="auto"/>
            </w:tcBorders>
            <w:shd w:val="clear" w:color="000000" w:fill="FFFF00"/>
            <w:noWrap/>
            <w:vAlign w:val="bottom"/>
            <w:hideMark/>
          </w:tcPr>
          <w:p w:rsidR="001C1473" w:rsidRPr="001C1473" w:rsidRDefault="001C1473" w:rsidP="00D82542">
            <w:pPr>
              <w:spacing w:before="240" w:line="360" w:lineRule="auto"/>
              <w:rPr>
                <w:rFonts w:eastAsia="Times New Roman" w:cs="Times New Roman"/>
                <w:color w:val="000000"/>
                <w:kern w:val="0"/>
                <w:szCs w:val="24"/>
                <w:lang w:val="en-IN" w:eastAsia="en-IN"/>
              </w:rPr>
            </w:pPr>
            <w:r w:rsidRPr="001C1473">
              <w:rPr>
                <w:rFonts w:eastAsia="Times New Roman" w:cs="Times New Roman"/>
                <w:color w:val="000000"/>
                <w:kern w:val="0"/>
                <w:szCs w:val="24"/>
                <w:lang w:val="en-IN" w:eastAsia="en-IN"/>
              </w:rPr>
              <w:t>9.27%</w:t>
            </w:r>
          </w:p>
        </w:tc>
      </w:tr>
    </w:tbl>
    <w:p w:rsidR="001C1473" w:rsidRPr="00A531A5" w:rsidRDefault="001C1473" w:rsidP="00D82542">
      <w:pPr>
        <w:spacing w:before="240" w:line="360" w:lineRule="auto"/>
        <w:rPr>
          <w:rFonts w:cs="Times New Roman"/>
          <w:szCs w:val="24"/>
        </w:rPr>
      </w:pPr>
    </w:p>
    <w:p w:rsidR="007C39C6" w:rsidRPr="00A531A5" w:rsidRDefault="007C39C6" w:rsidP="00D82542">
      <w:pPr>
        <w:pStyle w:val="Heading1"/>
        <w:spacing w:before="240" w:line="360" w:lineRule="auto"/>
        <w:rPr>
          <w:rFonts w:cs="Times New Roman"/>
          <w:szCs w:val="24"/>
        </w:rPr>
      </w:pPr>
      <w:bookmarkStart w:id="7" w:name="_Toc165155005"/>
      <w:r w:rsidRPr="00A531A5">
        <w:rPr>
          <w:rFonts w:cs="Times New Roman"/>
          <w:szCs w:val="24"/>
        </w:rPr>
        <w:t>Exchange traded options</w:t>
      </w:r>
      <w:bookmarkEnd w:id="7"/>
    </w:p>
    <w:p w:rsidR="007C39C6" w:rsidRPr="00A531A5" w:rsidRDefault="007C39C6" w:rsidP="00D82542">
      <w:pPr>
        <w:pStyle w:val="Heading2"/>
        <w:spacing w:before="240" w:line="360" w:lineRule="auto"/>
        <w:rPr>
          <w:rFonts w:cs="Times New Roman"/>
          <w:szCs w:val="24"/>
          <w:lang w:val="en-IN"/>
        </w:rPr>
      </w:pPr>
      <w:bookmarkStart w:id="8" w:name="_Toc165155006"/>
      <w:r w:rsidRPr="00A531A5">
        <w:rPr>
          <w:rFonts w:cs="Times New Roman"/>
          <w:szCs w:val="24"/>
          <w:lang w:val="en-IN"/>
        </w:rPr>
        <w:t>Call Option</w:t>
      </w:r>
      <w:bookmarkEnd w:id="8"/>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The provided dataset illustrates the relationship between the payout of a particular financial instrument, most likely an option contract, and the price of the stock of a base asset. In this instance, the payoff displays the profit or loss that the financial instrument's buyer experienced at various stock prices. The payout is $20 if the stock price is $110 at the beginning; this indicates a loss. At this stock price, it appears that the financial instrument's owner would lose $20. This is most likely the result of the current market price being less than the option contract's strike price.</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The payout decreases to -10$ when the stock price reaches $120. While the loss is still present, it is less than it was in the prior circumstance. This implies that the option holder's losses decrease with an increase in the stock price, albeit not entirely.</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The option buyer has broken even at a stock price of $130 as there is no payment. Because the stock price and the option plan's strike price are exactly equal, the option owner has no profit or loss at this point.</w:t>
      </w:r>
      <w:r w:rsidR="00D82542">
        <w:rPr>
          <w:rFonts w:cs="Times New Roman"/>
          <w:szCs w:val="24"/>
          <w:lang w:val="en-IN"/>
        </w:rPr>
        <w:t xml:space="preserve"> </w:t>
      </w:r>
      <w:r w:rsidRPr="00A531A5">
        <w:rPr>
          <w:rFonts w:cs="Times New Roman"/>
          <w:szCs w:val="24"/>
          <w:lang w:val="en-IN"/>
        </w:rPr>
        <w:t>As the stock price rises to $140 and higher, the payout remains unchanged at $0. This implies that regardless of how high the stock price rises, the option owner loses all of their money after reaching the breakeven point.</w:t>
      </w:r>
    </w:p>
    <w:p w:rsidR="007C39C6" w:rsidRPr="00A531A5" w:rsidRDefault="005F46DF" w:rsidP="00D82542">
      <w:pPr>
        <w:spacing w:before="240" w:line="360" w:lineRule="auto"/>
        <w:rPr>
          <w:rFonts w:cs="Times New Roman"/>
          <w:szCs w:val="24"/>
          <w:lang w:val="en-IN"/>
        </w:rPr>
      </w:pPr>
      <w:r w:rsidRPr="00A531A5">
        <w:rPr>
          <w:rFonts w:cs="Times New Roman"/>
          <w:szCs w:val="24"/>
          <w:lang w:val="en-IN"/>
        </w:rPr>
        <w:lastRenderedPageBreak/>
        <w:t xml:space="preserve">However, the return begins to increase </w:t>
      </w:r>
      <w:proofErr w:type="spellStart"/>
      <w:r w:rsidRPr="00A531A5">
        <w:rPr>
          <w:rFonts w:cs="Times New Roman"/>
          <w:szCs w:val="24"/>
          <w:lang w:val="en-IN"/>
        </w:rPr>
        <w:t>favorably</w:t>
      </w:r>
      <w:proofErr w:type="spellEnd"/>
      <w:r w:rsidRPr="00A531A5">
        <w:rPr>
          <w:rFonts w:cs="Times New Roman"/>
          <w:szCs w:val="24"/>
          <w:lang w:val="en-IN"/>
        </w:rPr>
        <w:t xml:space="preserve"> after the stock price reaches $160. As the option owner received $19.06 at $170, they were profitably engaged. Accordingly, for each unit gain in the stock price above the breakeven threshold, the option owner earns $19.06. This demonstrates why it makes sense to hold onto the option contract when stock prices are higher.</w:t>
      </w:r>
      <w:r w:rsidR="00D82542">
        <w:rPr>
          <w:rFonts w:cs="Times New Roman"/>
          <w:szCs w:val="24"/>
          <w:lang w:val="en-IN"/>
        </w:rPr>
        <w:t xml:space="preserve"> </w:t>
      </w:r>
      <w:r w:rsidRPr="00A531A5">
        <w:rPr>
          <w:rFonts w:cs="Times New Roman"/>
          <w:szCs w:val="24"/>
          <w:lang w:val="en-IN"/>
        </w:rPr>
        <w:t>Ultimately, the dataset provides a comprehensive view of how the return on the financial instrument varies in response to changes in the stock price of the underlying asset. It displays the break-even point as well as potential gains and losses depending on how the stock price moves in relation to the striking price of the option contract.</w:t>
      </w:r>
    </w:p>
    <w:tbl>
      <w:tblPr>
        <w:tblW w:w="5000" w:type="pct"/>
        <w:tblLook w:val="04A0"/>
      </w:tblPr>
      <w:tblGrid>
        <w:gridCol w:w="2065"/>
        <w:gridCol w:w="7511"/>
      </w:tblGrid>
      <w:tr w:rsidR="007C39C6" w:rsidRPr="007C39C6" w:rsidTr="007C39C6">
        <w:trPr>
          <w:trHeight w:val="290"/>
        </w:trPr>
        <w:tc>
          <w:tcPr>
            <w:tcW w:w="107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Stock Price</w:t>
            </w:r>
          </w:p>
        </w:tc>
        <w:tc>
          <w:tcPr>
            <w:tcW w:w="3922" w:type="pct"/>
            <w:tcBorders>
              <w:top w:val="single" w:sz="4" w:space="0" w:color="auto"/>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Payoff</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center"/>
            <w:hideMark/>
          </w:tcPr>
          <w:p w:rsidR="007C39C6" w:rsidRPr="007C39C6" w:rsidRDefault="007C39C6" w:rsidP="00D82542">
            <w:pPr>
              <w:spacing w:before="240" w:line="360" w:lineRule="auto"/>
              <w:rPr>
                <w:rFonts w:eastAsia="Times New Roman" w:cs="Times New Roman"/>
                <w:color w:val="232A31"/>
                <w:kern w:val="0"/>
                <w:szCs w:val="24"/>
                <w:lang w:val="en-IN" w:eastAsia="en-IN"/>
              </w:rPr>
            </w:pPr>
            <w:r w:rsidRPr="007C39C6">
              <w:rPr>
                <w:rFonts w:eastAsia="Times New Roman" w:cs="Times New Roman"/>
                <w:color w:val="232A31"/>
                <w:kern w:val="0"/>
                <w:szCs w:val="24"/>
                <w:lang w:val="en-IN" w:eastAsia="en-IN"/>
              </w:rPr>
              <w:t>110</w:t>
            </w:r>
          </w:p>
        </w:tc>
        <w:tc>
          <w:tcPr>
            <w:tcW w:w="3922" w:type="pct"/>
            <w:tcBorders>
              <w:top w:val="nil"/>
              <w:left w:val="nil"/>
              <w:bottom w:val="single" w:sz="4" w:space="0" w:color="auto"/>
              <w:right w:val="single" w:sz="4" w:space="0" w:color="auto"/>
            </w:tcBorders>
            <w:shd w:val="clear" w:color="auto" w:fill="auto"/>
            <w:noWrap/>
            <w:vAlign w:val="center"/>
            <w:hideMark/>
          </w:tcPr>
          <w:p w:rsidR="007C39C6" w:rsidRPr="007C39C6" w:rsidRDefault="007C39C6" w:rsidP="00D82542">
            <w:pPr>
              <w:spacing w:before="240" w:line="360" w:lineRule="auto"/>
              <w:rPr>
                <w:rFonts w:eastAsia="Times New Roman" w:cs="Times New Roman"/>
                <w:color w:val="232A31"/>
                <w:kern w:val="0"/>
                <w:szCs w:val="24"/>
                <w:lang w:val="en-IN" w:eastAsia="en-IN"/>
              </w:rPr>
            </w:pPr>
            <w:r w:rsidRPr="007C39C6">
              <w:rPr>
                <w:rFonts w:eastAsia="Times New Roman" w:cs="Times New Roman"/>
                <w:color w:val="232A31"/>
                <w:kern w:val="0"/>
                <w:szCs w:val="24"/>
                <w:lang w:val="en-IN" w:eastAsia="en-IN"/>
              </w:rPr>
              <w:t>-20</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center"/>
            <w:hideMark/>
          </w:tcPr>
          <w:p w:rsidR="007C39C6" w:rsidRPr="007C39C6" w:rsidRDefault="007C39C6" w:rsidP="00D82542">
            <w:pPr>
              <w:spacing w:before="240" w:line="360" w:lineRule="auto"/>
              <w:rPr>
                <w:rFonts w:eastAsia="Times New Roman" w:cs="Times New Roman"/>
                <w:color w:val="232A31"/>
                <w:kern w:val="0"/>
                <w:szCs w:val="24"/>
                <w:lang w:val="en-IN" w:eastAsia="en-IN"/>
              </w:rPr>
            </w:pPr>
            <w:r w:rsidRPr="007C39C6">
              <w:rPr>
                <w:rFonts w:eastAsia="Times New Roman" w:cs="Times New Roman"/>
                <w:color w:val="232A31"/>
                <w:kern w:val="0"/>
                <w:szCs w:val="24"/>
                <w:lang w:val="en-IN" w:eastAsia="en-IN"/>
              </w:rPr>
              <w:t>120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-10</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130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0</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140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0</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150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0</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160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9.06</w:t>
            </w:r>
          </w:p>
        </w:tc>
      </w:tr>
      <w:tr w:rsidR="007C39C6" w:rsidRPr="007C39C6" w:rsidTr="007C39C6">
        <w:trPr>
          <w:trHeight w:val="290"/>
        </w:trPr>
        <w:tc>
          <w:tcPr>
            <w:tcW w:w="1078"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170</w:t>
            </w:r>
          </w:p>
        </w:tc>
        <w:tc>
          <w:tcPr>
            <w:tcW w:w="3922"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19.06</w:t>
            </w:r>
          </w:p>
        </w:tc>
      </w:tr>
    </w:tbl>
    <w:p w:rsidR="007C39C6" w:rsidRPr="00A531A5" w:rsidRDefault="007C39C6" w:rsidP="00D82542">
      <w:pPr>
        <w:spacing w:before="240" w:line="360" w:lineRule="auto"/>
        <w:rPr>
          <w:rFonts w:cs="Times New Roman"/>
          <w:szCs w:val="24"/>
          <w:lang w:val="en-IN"/>
        </w:rPr>
      </w:pPr>
    </w:p>
    <w:p w:rsidR="007C39C6" w:rsidRPr="00A531A5" w:rsidRDefault="007C39C6" w:rsidP="00D82542">
      <w:pPr>
        <w:spacing w:before="240" w:line="360" w:lineRule="auto"/>
        <w:rPr>
          <w:rFonts w:cs="Times New Roman"/>
          <w:szCs w:val="24"/>
          <w:lang w:val="en-IN"/>
        </w:rPr>
      </w:pPr>
      <w:r w:rsidRPr="00A531A5">
        <w:rPr>
          <w:rFonts w:cs="Times New Roman"/>
          <w:noProof/>
          <w:szCs w:val="24"/>
          <w:lang w:bidi="gu-IN"/>
        </w:rPr>
        <w:lastRenderedPageBreak/>
        <w:drawing>
          <wp:inline distT="0" distB="0" distL="0" distR="0">
            <wp:extent cx="5956300" cy="2628900"/>
            <wp:effectExtent l="0" t="0" r="6350" b="0"/>
            <wp:docPr id="2054076955" name="Chart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EA756AAF-6103-11A9-8839-6D157CF371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C39C6" w:rsidRPr="00A531A5" w:rsidRDefault="007C39C6" w:rsidP="00D82542">
      <w:pPr>
        <w:pStyle w:val="Heading2"/>
        <w:spacing w:before="240" w:line="360" w:lineRule="auto"/>
        <w:rPr>
          <w:rFonts w:cs="Times New Roman"/>
          <w:szCs w:val="24"/>
          <w:lang w:val="en-IN"/>
        </w:rPr>
      </w:pPr>
      <w:bookmarkStart w:id="9" w:name="_Toc165155007"/>
      <w:r w:rsidRPr="00A531A5">
        <w:rPr>
          <w:rFonts w:cs="Times New Roman"/>
          <w:szCs w:val="24"/>
          <w:lang w:val="en-IN"/>
        </w:rPr>
        <w:t>Put Option</w:t>
      </w:r>
      <w:bookmarkEnd w:id="9"/>
    </w:p>
    <w:p w:rsidR="005625A4" w:rsidRDefault="005F46DF" w:rsidP="00D82542">
      <w:pPr>
        <w:spacing w:before="240" w:line="360" w:lineRule="auto"/>
        <w:rPr>
          <w:rFonts w:cs="Times New Roman"/>
          <w:szCs w:val="24"/>
          <w:lang w:val="en-IN"/>
        </w:rPr>
      </w:pPr>
      <w:r w:rsidRPr="00A531A5">
        <w:rPr>
          <w:rFonts w:cs="Times New Roman"/>
          <w:szCs w:val="24"/>
          <w:lang w:val="en-IN"/>
        </w:rPr>
        <w:t>The given data set serves to highlight how-the-put-options works. Investors gain the privilege to sell an underlying asset at a pre-specified price, which is the strike price, through put options. Through us focussing on a put option with a $125 strike price, we can figure out a way in which this call option will realize certain cash payments given various stock magnitudes. When this call option expires out of the box (without value) if the stock price stays at $125 after the option expire, it is crucial to sell the share at the market rate which is higher than the put option In a way, that makes option holders to be out of payment whenever the stock price stays at or reaches the strike price level</w:t>
      </w:r>
      <w:r w:rsidR="00A531A5">
        <w:rPr>
          <w:rFonts w:cs="Times New Roman"/>
          <w:szCs w:val="24"/>
          <w:lang w:val="en-IN"/>
        </w:rPr>
        <w:t xml:space="preserve"> </w:t>
      </w:r>
      <w:r w:rsidR="00A531A5" w:rsidRPr="00A531A5">
        <w:rPr>
          <w:rFonts w:cs="Times New Roman"/>
          <w:szCs w:val="24"/>
          <w:lang w:val="en-IN"/>
        </w:rPr>
        <w:t>(Nasdaq.com, 2024)</w:t>
      </w:r>
      <w:r w:rsidRPr="00A531A5">
        <w:rPr>
          <w:rFonts w:cs="Times New Roman"/>
          <w:szCs w:val="24"/>
          <w:lang w:val="en-IN"/>
        </w:rPr>
        <w:t xml:space="preserve">. Yet, the payout level comes into existence as a stock price hit a lower level of $125. </w:t>
      </w:r>
    </w:p>
    <w:p w:rsidR="007C39C6" w:rsidRDefault="005F46DF" w:rsidP="00D82542">
      <w:pPr>
        <w:spacing w:before="240" w:line="360" w:lineRule="auto"/>
        <w:rPr>
          <w:rFonts w:cs="Times New Roman"/>
          <w:szCs w:val="24"/>
          <w:lang w:val="en-IN"/>
        </w:rPr>
      </w:pPr>
      <w:r w:rsidRPr="00A531A5">
        <w:rPr>
          <w:rFonts w:cs="Times New Roman"/>
          <w:szCs w:val="24"/>
          <w:lang w:val="en-IN"/>
        </w:rPr>
        <w:t xml:space="preserve">Various options contracts can be used as instances. For example, it would be a beneficiary to the put option holder if the stock price declined to $120 which would result to </w:t>
      </w:r>
      <w:proofErr w:type="gramStart"/>
      <w:r w:rsidRPr="00A531A5">
        <w:rPr>
          <w:rFonts w:cs="Times New Roman"/>
          <w:szCs w:val="24"/>
          <w:lang w:val="en-IN"/>
        </w:rPr>
        <w:t>a the</w:t>
      </w:r>
      <w:proofErr w:type="gramEnd"/>
      <w:r w:rsidRPr="00A531A5">
        <w:rPr>
          <w:rFonts w:cs="Times New Roman"/>
          <w:szCs w:val="24"/>
          <w:lang w:val="en-IN"/>
        </w:rPr>
        <w:t xml:space="preserve"> profit of $5. It will be then made by utilizing the difference of the strike price and the stock price. The profit due to selling the asset now, for a price larger than its present market price results in this feature. With as the stock is falling the amount of the payout grows and reaches its maximum stake in $25 at the moment when the stock price gets to $100. When the seller has decided to take the profit and sells the contract, the payout is $25. The payout remains at $25 as long as the stock price drops regardless of how low the price drops. Put option holder can be credited with this </w:t>
      </w:r>
      <w:r w:rsidRPr="00A531A5">
        <w:rPr>
          <w:rFonts w:cs="Times New Roman"/>
          <w:szCs w:val="24"/>
          <w:lang w:val="en-IN"/>
        </w:rPr>
        <w:lastRenderedPageBreak/>
        <w:t>extravagant win in the case he has extravagant luck. Thus, a straight line function could be created by linking the payoff amount of the put option with stock price which, in turn triggers the increase in the put option's payout as the asset goes under strike price</w:t>
      </w:r>
      <w:r w:rsidR="00A531A5">
        <w:rPr>
          <w:rFonts w:cs="Times New Roman"/>
          <w:szCs w:val="24"/>
          <w:lang w:val="en-IN"/>
        </w:rPr>
        <w:t xml:space="preserve"> </w:t>
      </w:r>
      <w:r w:rsidR="00A531A5" w:rsidRPr="00A531A5">
        <w:rPr>
          <w:rFonts w:cs="Times New Roman"/>
          <w:szCs w:val="24"/>
          <w:lang w:val="en-IN"/>
        </w:rPr>
        <w:t xml:space="preserve">(MarketWatch, </w:t>
      </w:r>
      <w:r w:rsidR="000E6257">
        <w:rPr>
          <w:rFonts w:cs="Times New Roman"/>
          <w:szCs w:val="24"/>
          <w:lang w:val="en-IN"/>
        </w:rPr>
        <w:t>2024</w:t>
      </w:r>
      <w:r w:rsidR="00A531A5" w:rsidRPr="00A531A5">
        <w:rPr>
          <w:rFonts w:cs="Times New Roman"/>
          <w:szCs w:val="24"/>
          <w:lang w:val="en-IN"/>
        </w:rPr>
        <w:t>)</w:t>
      </w:r>
      <w:r w:rsidRPr="00A531A5">
        <w:rPr>
          <w:rFonts w:cs="Times New Roman"/>
          <w:szCs w:val="24"/>
          <w:lang w:val="en-IN"/>
        </w:rPr>
        <w:t>.</w:t>
      </w:r>
    </w:p>
    <w:p w:rsidR="00C743D8" w:rsidRPr="00A531A5" w:rsidRDefault="00C743D8" w:rsidP="00D82542">
      <w:pPr>
        <w:spacing w:before="240" w:line="360" w:lineRule="auto"/>
        <w:rPr>
          <w:rFonts w:cs="Times New Roman"/>
          <w:szCs w:val="24"/>
          <w:lang w:val="en-IN"/>
        </w:rPr>
      </w:pPr>
    </w:p>
    <w:tbl>
      <w:tblPr>
        <w:tblW w:w="5000" w:type="pct"/>
        <w:tblLook w:val="04A0"/>
      </w:tblPr>
      <w:tblGrid>
        <w:gridCol w:w="4788"/>
        <w:gridCol w:w="4788"/>
      </w:tblGrid>
      <w:tr w:rsidR="007C39C6" w:rsidRPr="007C39C6" w:rsidTr="007C39C6">
        <w:trPr>
          <w:trHeight w:val="290"/>
        </w:trPr>
        <w:tc>
          <w:tcPr>
            <w:tcW w:w="250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Stock Price</w:t>
            </w:r>
          </w:p>
        </w:tc>
        <w:tc>
          <w:tcPr>
            <w:tcW w:w="2500" w:type="pct"/>
            <w:tcBorders>
              <w:top w:val="single" w:sz="4" w:space="0" w:color="auto"/>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Payoff</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100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25</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110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15</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120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5</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125</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0</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130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-4</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140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-14</w:t>
            </w:r>
          </w:p>
        </w:tc>
      </w:tr>
      <w:tr w:rsidR="007C39C6" w:rsidRPr="007C39C6" w:rsidTr="007C39C6">
        <w:trPr>
          <w:trHeight w:val="290"/>
        </w:trPr>
        <w:tc>
          <w:tcPr>
            <w:tcW w:w="2500" w:type="pct"/>
            <w:tcBorders>
              <w:top w:val="nil"/>
              <w:left w:val="single" w:sz="4" w:space="0" w:color="auto"/>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150</w:t>
            </w:r>
          </w:p>
        </w:tc>
        <w:tc>
          <w:tcPr>
            <w:tcW w:w="2500" w:type="pct"/>
            <w:tcBorders>
              <w:top w:val="nil"/>
              <w:left w:val="nil"/>
              <w:bottom w:val="single" w:sz="4" w:space="0" w:color="auto"/>
              <w:right w:val="single" w:sz="4" w:space="0" w:color="auto"/>
            </w:tcBorders>
            <w:shd w:val="clear" w:color="auto" w:fill="auto"/>
            <w:noWrap/>
            <w:vAlign w:val="bottom"/>
            <w:hideMark/>
          </w:tcPr>
          <w:p w:rsidR="007C39C6" w:rsidRPr="007C39C6" w:rsidRDefault="007C39C6" w:rsidP="00D82542">
            <w:pPr>
              <w:spacing w:before="240" w:line="360" w:lineRule="auto"/>
              <w:rPr>
                <w:rFonts w:eastAsia="Times New Roman" w:cs="Times New Roman"/>
                <w:color w:val="000000"/>
                <w:kern w:val="0"/>
                <w:szCs w:val="24"/>
                <w:lang w:val="en-IN" w:eastAsia="en-IN"/>
              </w:rPr>
            </w:pPr>
            <w:r w:rsidRPr="007C39C6">
              <w:rPr>
                <w:rFonts w:eastAsia="Times New Roman" w:cs="Times New Roman"/>
                <w:color w:val="000000"/>
                <w:kern w:val="0"/>
                <w:szCs w:val="24"/>
                <w:lang w:val="en-IN" w:eastAsia="en-IN"/>
              </w:rPr>
              <w:t>-24</w:t>
            </w:r>
          </w:p>
        </w:tc>
      </w:tr>
    </w:tbl>
    <w:p w:rsidR="007C39C6" w:rsidRPr="00A531A5" w:rsidRDefault="007C39C6" w:rsidP="00D82542">
      <w:pPr>
        <w:spacing w:before="240" w:line="360" w:lineRule="auto"/>
        <w:rPr>
          <w:rFonts w:cs="Times New Roman"/>
          <w:szCs w:val="24"/>
          <w:lang w:val="en-IN"/>
        </w:rPr>
      </w:pPr>
    </w:p>
    <w:p w:rsidR="007C39C6" w:rsidRPr="00A531A5" w:rsidRDefault="007C39C6" w:rsidP="00D82542">
      <w:pPr>
        <w:spacing w:before="240" w:line="360" w:lineRule="auto"/>
        <w:rPr>
          <w:rFonts w:cs="Times New Roman"/>
          <w:szCs w:val="24"/>
          <w:lang w:val="en-IN"/>
        </w:rPr>
      </w:pPr>
      <w:r w:rsidRPr="00A531A5">
        <w:rPr>
          <w:rFonts w:cs="Times New Roman"/>
          <w:noProof/>
          <w:szCs w:val="24"/>
          <w:lang w:bidi="gu-IN"/>
        </w:rPr>
        <w:drawing>
          <wp:inline distT="0" distB="0" distL="0" distR="0">
            <wp:extent cx="6134100" cy="2743200"/>
            <wp:effectExtent l="0" t="0" r="0" b="0"/>
            <wp:docPr id="2023029858" name="Chart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D077F371-F86A-E340-1F3B-ACFBBB4DA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C39C6" w:rsidRDefault="00FF126F" w:rsidP="00D82542">
      <w:pPr>
        <w:pStyle w:val="Heading2"/>
        <w:spacing w:before="240" w:line="360" w:lineRule="auto"/>
        <w:rPr>
          <w:rFonts w:cs="Times New Roman"/>
          <w:szCs w:val="24"/>
          <w:lang w:val="en-IN"/>
        </w:rPr>
      </w:pPr>
      <w:bookmarkStart w:id="10" w:name="_Toc165155008"/>
      <w:r w:rsidRPr="00A531A5">
        <w:rPr>
          <w:rFonts w:cs="Times New Roman"/>
          <w:szCs w:val="24"/>
          <w:lang w:val="en-IN"/>
        </w:rPr>
        <w:lastRenderedPageBreak/>
        <w:t>Straddle Strategy</w:t>
      </w:r>
      <w:bookmarkEnd w:id="10"/>
    </w:p>
    <w:p w:rsidR="00D82542" w:rsidRPr="00D82542" w:rsidRDefault="00D82542" w:rsidP="00D82542">
      <w:pPr>
        <w:spacing w:before="240" w:line="360" w:lineRule="auto"/>
        <w:rPr>
          <w:lang w:val="en-IN"/>
        </w:rPr>
      </w:pPr>
      <w:r w:rsidRPr="00D82542">
        <w:rPr>
          <w:lang w:val="en-IN"/>
        </w:rPr>
        <w:t>It is possible to construct a Tesla (TSLA) strangle options strategy by making use of the search results. Strangle is achieved by purchasing an out-of-the-money call option and a put option on the same asset. The expiration date of both options is the same, but the strike prices are different. Contrary to strangles, straddles have the same strike price for both call and put options. Strangles do not have this feature.</w:t>
      </w:r>
    </w:p>
    <w:p w:rsidR="00D82542" w:rsidRPr="00D82542" w:rsidRDefault="00D82542" w:rsidP="00D82542">
      <w:pPr>
        <w:spacing w:before="240" w:line="360" w:lineRule="auto"/>
        <w:rPr>
          <w:lang w:val="en-IN"/>
        </w:rPr>
      </w:pPr>
      <w:r w:rsidRPr="00D82542">
        <w:rPr>
          <w:lang w:val="en-IN"/>
        </w:rPr>
        <w:t>According to the statistics, an investor might get a chokehold on Tesla shares if they were priced at $182.50. After that, they would select a call option with a strike price that was higher than the stock price, as well as a put option with a lower strike price and the same expiration date. A TSLA call option with a strike price of $190 and a put option with a strike price of $175 can both be purchased by an investor with the same expiration date. According to MarketChameleon.com (2024), in a strangle, the cost to call and put option premiums are equal.</w:t>
      </w:r>
    </w:p>
    <w:p w:rsidR="00D82542" w:rsidRPr="00D82542" w:rsidRDefault="00D82542" w:rsidP="00D82542">
      <w:pPr>
        <w:spacing w:before="240" w:line="360" w:lineRule="auto"/>
        <w:rPr>
          <w:lang w:val="en-IN"/>
        </w:rPr>
      </w:pPr>
      <w:r w:rsidRPr="00D82542">
        <w:rPr>
          <w:lang w:val="en-IN"/>
        </w:rPr>
        <w:t>Strangles provide investors with the opportunity to profit from big changes in stock prices. In the event that the stock price either rises above the call strike price or falls below the put strike price, we will be able to obtain a profit by exercising the option.</w:t>
      </w:r>
    </w:p>
    <w:p w:rsidR="00D82542" w:rsidRPr="00D82542" w:rsidRDefault="00D82542" w:rsidP="00D82542">
      <w:pPr>
        <w:spacing w:before="240" w:line="360" w:lineRule="auto"/>
        <w:rPr>
          <w:lang w:val="en-IN"/>
        </w:rPr>
      </w:pPr>
      <w:r w:rsidRPr="00D82542">
        <w:rPr>
          <w:lang w:val="en-IN"/>
        </w:rPr>
        <w:t xml:space="preserve">A higher change in the stock price is required for a strangle to be lucrative, in comparison to a straddle. There is a possibility that both options will become worthless if the stock price remains "strangle." According to Swaminathan (2013), a Tesla </w:t>
      </w:r>
      <w:proofErr w:type="gramStart"/>
      <w:r w:rsidRPr="00D82542">
        <w:rPr>
          <w:lang w:val="en-IN"/>
        </w:rPr>
        <w:t>stock strangle</w:t>
      </w:r>
      <w:proofErr w:type="gramEnd"/>
      <w:r w:rsidRPr="00D82542">
        <w:rPr>
          <w:lang w:val="en-IN"/>
        </w:rPr>
        <w:t xml:space="preserve"> is a strategy that includes carefully picking call and put options with different strike prices but the same expiration date in order to potentially profit from a large shift in the stock price.</w:t>
      </w:r>
    </w:p>
    <w:p w:rsidR="006220AC" w:rsidRPr="00A531A5" w:rsidRDefault="006220AC" w:rsidP="00D82542">
      <w:pPr>
        <w:pStyle w:val="Heading1"/>
        <w:spacing w:before="240" w:line="360" w:lineRule="auto"/>
        <w:rPr>
          <w:rFonts w:cs="Times New Roman"/>
          <w:szCs w:val="24"/>
        </w:rPr>
      </w:pPr>
      <w:bookmarkStart w:id="11" w:name="_Toc165155009"/>
      <w:r w:rsidRPr="00A531A5">
        <w:rPr>
          <w:rFonts w:cs="Times New Roman"/>
          <w:szCs w:val="24"/>
        </w:rPr>
        <w:t>Performance Analysis</w:t>
      </w:r>
      <w:bookmarkEnd w:id="11"/>
    </w:p>
    <w:p w:rsidR="006220AC" w:rsidRPr="00A531A5" w:rsidRDefault="006220AC" w:rsidP="00D82542">
      <w:pPr>
        <w:pStyle w:val="Heading2"/>
        <w:spacing w:before="240" w:line="360" w:lineRule="auto"/>
        <w:rPr>
          <w:rFonts w:cs="Times New Roman"/>
          <w:szCs w:val="24"/>
          <w:lang w:val="en-IN"/>
        </w:rPr>
      </w:pPr>
      <w:bookmarkStart w:id="12" w:name="_Toc165155010"/>
      <w:r w:rsidRPr="00A531A5">
        <w:rPr>
          <w:rFonts w:cs="Times New Roman"/>
          <w:szCs w:val="24"/>
          <w:lang w:val="en-IN"/>
        </w:rPr>
        <w:t>Performance of 10Y note</w:t>
      </w:r>
      <w:bookmarkEnd w:id="12"/>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 xml:space="preserve">Over the entire period of 12 months, from January to December, the GDP number was seen ebb and flow in reference to many factors such as inflation, change in monetary policies, and investor sentiment. Its spikes saw it garner the attention of investors and policymakers alike, revealing it as a leading indicator irrespective of whether confidence or uncertainty they were experiencing </w:t>
      </w:r>
      <w:r w:rsidRPr="00A531A5">
        <w:rPr>
          <w:rFonts w:cs="Times New Roman"/>
          <w:szCs w:val="24"/>
          <w:lang w:val="en-IN"/>
        </w:rPr>
        <w:lastRenderedPageBreak/>
        <w:t>in the market. The Treasury bond playing the role of a pacer, side-by-side a merry-go-round of borrowing costs, and economic indicators, it has become a major subject of foreign currency exchanges where careful observation can give traders insights on the progress of the general economic cycle as well as provide direction to their options in decision-making.</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Based on the search results provided, here is a discussion of the performance of the 10-year Treasury note from January 2023 to December 2023</w:t>
      </w:r>
      <w:r w:rsidR="005625A4">
        <w:rPr>
          <w:rFonts w:cs="Times New Roman"/>
          <w:szCs w:val="24"/>
          <w:lang w:val="en-IN"/>
        </w:rPr>
        <w:t xml:space="preserve">. </w:t>
      </w:r>
      <w:r w:rsidRPr="00A531A5">
        <w:rPr>
          <w:rFonts w:cs="Times New Roman"/>
          <w:szCs w:val="24"/>
          <w:lang w:val="en-IN"/>
        </w:rPr>
        <w:t>Based on the search results provided, here is a discussion of the performance of the 10-year Treasury note from January 2023 to December 2023:</w:t>
      </w:r>
      <w:r w:rsidR="005625A4">
        <w:rPr>
          <w:rFonts w:cs="Times New Roman"/>
          <w:szCs w:val="24"/>
          <w:lang w:val="en-IN"/>
        </w:rPr>
        <w:t xml:space="preserve"> </w:t>
      </w:r>
      <w:r w:rsidRPr="00A531A5">
        <w:rPr>
          <w:rFonts w:cs="Times New Roman"/>
          <w:szCs w:val="24"/>
          <w:lang w:val="en-IN"/>
        </w:rPr>
        <w:t>We witnessed between the years of 2023 at the 10-year Treasury bond rate an unpredictable behavior, resulting from an evolving economic environment and the decisions made by the US Federal Reserve.</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 xml:space="preserve">The first day of year saw the 10-Y treasury yield at 4.01%. It was the deciding factor for the yield of the Federal Reserve to rise to above the historical limits in 2022 as the latter undertook multiple aggressive steps of interest rates hikes in order to curb the trend of persistent inflation. The yield spread of 10-year Treasuries above the nominal, indicating investors confidence in economy as well as further rate increases, </w:t>
      </w:r>
      <w:proofErr w:type="spellStart"/>
      <w:r w:rsidRPr="00A531A5">
        <w:rPr>
          <w:rFonts w:cs="Times New Roman"/>
          <w:szCs w:val="24"/>
          <w:lang w:val="en-IN"/>
        </w:rPr>
        <w:t>signaled</w:t>
      </w:r>
      <w:proofErr w:type="spellEnd"/>
      <w:r w:rsidRPr="00A531A5">
        <w:rPr>
          <w:rFonts w:cs="Times New Roman"/>
          <w:szCs w:val="24"/>
          <w:lang w:val="en-IN"/>
        </w:rPr>
        <w:t xml:space="preserve"> investors belief in the economy.</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Yet, as the 2021 year moved on, the tethered to a roller coaster the 10-year Treasury yield was. In the first six months of 2023, yield experienced a steep climb and December's return rose to the level of the previous 17 years. Such an upward push was due to another bout of inflationary pressure that forced the US central bank, the Federal Reserve, to apply a hawkish monetary policy.</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The increases in the 10-year Treasury bond yield contradicted the usual narrative, which affected the entire financial markets. If for instance the 10-year note brings with it rising borrowing costs, it can weigh on important sectors which include among others housing and consumer spending, potentially slowing economic growth to a larger extent. The 10-year yield was benchmark for the investors, who tracked it as a guidance for the market and economy and for the Federal Reserve's Policy effectiveness.</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 xml:space="preserve">In line with this, the second half of the year 2023 saw the 10-year Treasury yield declining </w:t>
      </w:r>
      <w:proofErr w:type="spellStart"/>
      <w:r w:rsidRPr="00A531A5">
        <w:rPr>
          <w:rFonts w:cs="Times New Roman"/>
          <w:szCs w:val="24"/>
          <w:lang w:val="en-IN"/>
        </w:rPr>
        <w:t>noteing</w:t>
      </w:r>
      <w:proofErr w:type="spellEnd"/>
      <w:r w:rsidRPr="00A531A5">
        <w:rPr>
          <w:rFonts w:cs="Times New Roman"/>
          <w:szCs w:val="24"/>
          <w:lang w:val="en-IN"/>
        </w:rPr>
        <w:t xml:space="preserve"> a shift in market moods as well. By the year end, the yield had reached which was </w:t>
      </w:r>
      <w:r w:rsidRPr="00A531A5">
        <w:rPr>
          <w:rFonts w:cs="Times New Roman"/>
          <w:szCs w:val="24"/>
          <w:lang w:val="en-IN"/>
        </w:rPr>
        <w:lastRenderedPageBreak/>
        <w:t>approximately traded at around 4.50%. This drop may be attributed to many factors, including the fact that inflation signs are receding, a people`s fears about a slowing of the economy, and opinions on the part of the Fed.</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The U.S. 10-year Treasury yield experienced volatility the whole year of 2023. These fluctuations possess the essence of an active financial market and message to investors and policymakers on how crucial the benchmark is. The economic pillar of the 10-year note proved itself to be a key indicator of the economy's wellbeing, being a determinant of the activities of various financial instruments as well as interest rates on different kinds of loans.</w:t>
      </w:r>
    </w:p>
    <w:p w:rsidR="005F46DF" w:rsidRPr="00A531A5" w:rsidRDefault="005F46DF" w:rsidP="00D82542">
      <w:pPr>
        <w:spacing w:before="240" w:line="360" w:lineRule="auto"/>
        <w:rPr>
          <w:rFonts w:cs="Times New Roman"/>
          <w:szCs w:val="24"/>
          <w:lang w:val="en-IN"/>
        </w:rPr>
      </w:pPr>
      <w:r w:rsidRPr="00A531A5">
        <w:rPr>
          <w:rFonts w:cs="Times New Roman"/>
          <w:szCs w:val="24"/>
          <w:lang w:val="en-IN"/>
        </w:rPr>
        <w:t xml:space="preserve">By the end of the year, market actors would </w:t>
      </w:r>
      <w:r w:rsidR="00D82542" w:rsidRPr="00A531A5">
        <w:rPr>
          <w:rFonts w:cs="Times New Roman"/>
          <w:szCs w:val="24"/>
          <w:lang w:val="en-IN"/>
        </w:rPr>
        <w:t>remain</w:t>
      </w:r>
      <w:r w:rsidRPr="00A531A5">
        <w:rPr>
          <w:rFonts w:cs="Times New Roman"/>
          <w:szCs w:val="24"/>
          <w:lang w:val="en-IN"/>
        </w:rPr>
        <w:t xml:space="preserve"> very alert, they had effectively placed their binoculars on the 10-year Treasury yield and were keenly watching its impact on the direction of the economy moving forward. The fact that the key indicator continued to fluctuate has brought the obvious difficulties that today the investors and the policymakers are to face, how to cope with this constantly changing and complex financial scene.</w:t>
      </w:r>
    </w:p>
    <w:p w:rsidR="006220AC" w:rsidRPr="00A531A5" w:rsidRDefault="006220AC" w:rsidP="00D82542">
      <w:pPr>
        <w:pStyle w:val="Heading2"/>
        <w:spacing w:before="240" w:line="360" w:lineRule="auto"/>
        <w:rPr>
          <w:rFonts w:cs="Times New Roman"/>
          <w:szCs w:val="24"/>
        </w:rPr>
      </w:pPr>
      <w:bookmarkStart w:id="13" w:name="_Toc165155011"/>
      <w:r w:rsidRPr="00A531A5">
        <w:rPr>
          <w:rFonts w:cs="Times New Roman"/>
          <w:szCs w:val="24"/>
        </w:rPr>
        <w:t>Impact of changes in the yield of this note upon consumer debt</w:t>
      </w:r>
      <w:bookmarkEnd w:id="13"/>
    </w:p>
    <w:p w:rsidR="005F46DF" w:rsidRPr="00A531A5" w:rsidRDefault="005F46DF" w:rsidP="00D82542">
      <w:pPr>
        <w:spacing w:before="240" w:line="360" w:lineRule="auto"/>
        <w:rPr>
          <w:rFonts w:cs="Times New Roman"/>
          <w:szCs w:val="24"/>
        </w:rPr>
      </w:pPr>
      <w:r w:rsidRPr="00A531A5">
        <w:rPr>
          <w:rFonts w:cs="Times New Roman"/>
          <w:szCs w:val="24"/>
        </w:rPr>
        <w:t>The 10-year Treasury yield is a simple but powerful number in the world of business. Its changes could affect the lives of regular people, especially when they borrow money, even though they are difficult.</w:t>
      </w:r>
    </w:p>
    <w:p w:rsidR="005F46DF" w:rsidRPr="00A531A5" w:rsidRDefault="005F46DF" w:rsidP="00D82542">
      <w:pPr>
        <w:spacing w:before="240" w:line="360" w:lineRule="auto"/>
        <w:rPr>
          <w:rFonts w:cs="Times New Roman"/>
          <w:szCs w:val="24"/>
        </w:rPr>
      </w:pPr>
      <w:r w:rsidRPr="00A531A5">
        <w:rPr>
          <w:rFonts w:cs="Times New Roman"/>
          <w:szCs w:val="24"/>
        </w:rPr>
        <w:t>Mortgages are a hot subject. When the 10-year Treasury yield goes up, loan rates go up, too. This could be a good time to buy your dream home. It was 2023. This yield made mortgage rates go up, which made it more expensive to buy a house. As home prices went up, some people had to put off buying a home or settle for less. Schools are another place. A lot of people get federal loans to pay for school. The interest rates on these loans go up when the 10-year Treasury yield goes above 5%, just like they did in 2023. Families and kids have to pay more for college. Imagine going up a mountain with heavy things on your back.</w:t>
      </w:r>
    </w:p>
    <w:p w:rsidR="005F46DF" w:rsidRPr="00A531A5" w:rsidRDefault="005F46DF" w:rsidP="00D82542">
      <w:pPr>
        <w:spacing w:before="240" w:line="360" w:lineRule="auto"/>
        <w:rPr>
          <w:rFonts w:cs="Times New Roman"/>
          <w:szCs w:val="24"/>
        </w:rPr>
      </w:pPr>
      <w:r w:rsidRPr="00A531A5">
        <w:rPr>
          <w:rFonts w:cs="Times New Roman"/>
          <w:szCs w:val="24"/>
        </w:rPr>
        <w:t xml:space="preserve">Changes in the 10-year Treasury rate can have an </w:t>
      </w:r>
      <w:r w:rsidR="00C12B81" w:rsidRPr="00A531A5">
        <w:rPr>
          <w:rFonts w:cs="Times New Roman"/>
          <w:szCs w:val="24"/>
        </w:rPr>
        <w:t>effect</w:t>
      </w:r>
      <w:r w:rsidRPr="00A531A5">
        <w:rPr>
          <w:rFonts w:cs="Times New Roman"/>
          <w:szCs w:val="24"/>
        </w:rPr>
        <w:t xml:space="preserve"> on consumer debt, according to the search results:</w:t>
      </w:r>
      <w:r w:rsidR="00A531A5">
        <w:rPr>
          <w:rFonts w:cs="Times New Roman"/>
          <w:szCs w:val="24"/>
        </w:rPr>
        <w:t xml:space="preserve"> </w:t>
      </w:r>
      <w:r w:rsidRPr="00A531A5">
        <w:rPr>
          <w:rFonts w:cs="Times New Roman"/>
          <w:szCs w:val="24"/>
        </w:rPr>
        <w:t xml:space="preserve">Mortgage rates are strongly linked to the 10-year Treasury yield, which is a measure of how much it costs to borrow money for a long period of time. When the 10-year yield </w:t>
      </w:r>
      <w:r w:rsidRPr="00A531A5">
        <w:rPr>
          <w:rFonts w:cs="Times New Roman"/>
          <w:szCs w:val="24"/>
        </w:rPr>
        <w:lastRenderedPageBreak/>
        <w:t>goes up, like in 2023, mortgage rates go up too. Higher interest rates on home loans could keep buyers out of the market and make homes less affordable. The 10-year Treasury return tells us how much a federal student loan costs. In 2023, when the 10-year yield went above 5%, interest rates on government student loans went up. This made college more expensive for students and their families.</w:t>
      </w:r>
    </w:p>
    <w:p w:rsidR="005F46DF" w:rsidRPr="00A531A5" w:rsidRDefault="005F46DF" w:rsidP="00D82542">
      <w:pPr>
        <w:spacing w:before="240" w:line="360" w:lineRule="auto"/>
        <w:rPr>
          <w:rFonts w:cs="Times New Roman"/>
          <w:szCs w:val="24"/>
        </w:rPr>
      </w:pPr>
      <w:r w:rsidRPr="00A531A5">
        <w:rPr>
          <w:rFonts w:cs="Times New Roman"/>
          <w:szCs w:val="24"/>
        </w:rPr>
        <w:t>Loans for cars: Mortgages and student loans tend to make car loan rates go up more than 10-year Treasury yields. This could make it more expensive to own a car, especially for people with low incomes. Interest rates on business, credit card, and personal loans are all affected by the 10-year Treasury yield. The 10-year return makes it more expensive to borrow money, which hurts customers.</w:t>
      </w:r>
    </w:p>
    <w:p w:rsidR="006220AC" w:rsidRDefault="005F46DF" w:rsidP="00D82542">
      <w:pPr>
        <w:spacing w:before="240" w:line="360" w:lineRule="auto"/>
        <w:rPr>
          <w:rFonts w:cs="Times New Roman"/>
          <w:szCs w:val="24"/>
        </w:rPr>
      </w:pPr>
      <w:r w:rsidRPr="00A531A5">
        <w:rPr>
          <w:rFonts w:cs="Times New Roman"/>
          <w:szCs w:val="24"/>
        </w:rPr>
        <w:t>When the 10-year Treasury yield goes down, like it did in late 2023, rates on consumer loans go down, which is good for renters. But in 2023, rising returns made it more expensive for consumers to borrow money across all financial markets. Finally, changes in the 10-year Treasury yield in 2023 drove up the costs of consumer loans, making it more expensive to borrow money for important things like homes, cars, and school. It can have an effect on both personal earnings and the economy.</w:t>
      </w:r>
    </w:p>
    <w:p w:rsidR="00A531A5" w:rsidRDefault="00A531A5" w:rsidP="00D82542">
      <w:pPr>
        <w:spacing w:before="240" w:line="360" w:lineRule="auto"/>
        <w:rPr>
          <w:rFonts w:cs="Times New Roman"/>
          <w:szCs w:val="24"/>
        </w:rPr>
      </w:pPr>
    </w:p>
    <w:p w:rsidR="00A531A5" w:rsidRDefault="00A531A5" w:rsidP="00D82542">
      <w:pPr>
        <w:spacing w:line="360" w:lineRule="auto"/>
        <w:rPr>
          <w:rFonts w:eastAsiaTheme="majorEastAsia" w:cstheme="majorBidi"/>
          <w:b/>
          <w:bCs/>
          <w:szCs w:val="28"/>
          <w:lang w:val="en-IN"/>
        </w:rPr>
      </w:pPr>
      <w:r>
        <w:br w:type="page"/>
      </w:r>
    </w:p>
    <w:p w:rsidR="00A531A5" w:rsidRDefault="00A531A5" w:rsidP="00D82542">
      <w:pPr>
        <w:pStyle w:val="Heading1"/>
        <w:spacing w:line="360" w:lineRule="auto"/>
      </w:pPr>
      <w:bookmarkStart w:id="14" w:name="_Toc165155012"/>
      <w:r>
        <w:lastRenderedPageBreak/>
        <w:t>References</w:t>
      </w:r>
      <w:bookmarkEnd w:id="14"/>
    </w:p>
    <w:p w:rsidR="000D1B8D" w:rsidRDefault="000D1B8D" w:rsidP="00D82542">
      <w:pPr>
        <w:pStyle w:val="NormalWeb"/>
        <w:spacing w:before="0" w:beforeAutospacing="0" w:after="240" w:afterAutospacing="0" w:line="360" w:lineRule="auto"/>
        <w:jc w:val="both"/>
      </w:pPr>
      <w:proofErr w:type="spellStart"/>
      <w:r>
        <w:t>Askarovna</w:t>
      </w:r>
      <w:proofErr w:type="spellEnd"/>
      <w:r>
        <w:t xml:space="preserve">, F.A. (2020). Instagram’s constant innovations establish dominant market position. </w:t>
      </w:r>
      <w:proofErr w:type="spellStart"/>
      <w:r>
        <w:rPr>
          <w:i/>
          <w:iCs/>
        </w:rPr>
        <w:t>Наука</w:t>
      </w:r>
      <w:proofErr w:type="spellEnd"/>
      <w:r>
        <w:rPr>
          <w:i/>
          <w:iCs/>
        </w:rPr>
        <w:t xml:space="preserve"> и </w:t>
      </w:r>
      <w:proofErr w:type="spellStart"/>
      <w:r>
        <w:rPr>
          <w:i/>
          <w:iCs/>
        </w:rPr>
        <w:t>образование</w:t>
      </w:r>
      <w:proofErr w:type="spellEnd"/>
      <w:r>
        <w:rPr>
          <w:i/>
          <w:iCs/>
        </w:rPr>
        <w:t xml:space="preserve"> </w:t>
      </w:r>
      <w:proofErr w:type="spellStart"/>
      <w:r>
        <w:rPr>
          <w:i/>
          <w:iCs/>
        </w:rPr>
        <w:t>сегодня</w:t>
      </w:r>
      <w:proofErr w:type="spellEnd"/>
      <w:r>
        <w:t>, [online] (2 (49)), pp.12–16. Available at: https://cyberleninka.ru/article/n/instagram-s-constant-innovations-establish-dominant-market-position [Accessed 27 Apr. 2024].</w:t>
      </w:r>
    </w:p>
    <w:p w:rsidR="000D1B8D" w:rsidRDefault="000D1B8D" w:rsidP="00D82542">
      <w:pPr>
        <w:pStyle w:val="NormalWeb"/>
        <w:spacing w:before="0" w:beforeAutospacing="0" w:after="240" w:afterAutospacing="0" w:line="360" w:lineRule="auto"/>
        <w:jc w:val="both"/>
      </w:pPr>
      <w:r>
        <w:t xml:space="preserve">Cristofaro, M., Giannetti, F. and Abatecola, G. (2023). The initial survival of the Unicorns: a behavioral perspective of Snapchat. </w:t>
      </w:r>
      <w:r>
        <w:rPr>
          <w:i/>
          <w:iCs/>
        </w:rPr>
        <w:t>Journal of Management History</w:t>
      </w:r>
      <w:r>
        <w:t xml:space="preserve">. </w:t>
      </w:r>
      <w:proofErr w:type="spellStart"/>
      <w:r>
        <w:t>doi:https</w:t>
      </w:r>
      <w:proofErr w:type="spellEnd"/>
      <w:r>
        <w:t>://doi.org/10.1108/jmh-11-2022-0066.</w:t>
      </w:r>
    </w:p>
    <w:p w:rsidR="000D1B8D" w:rsidRDefault="000D1B8D" w:rsidP="00D82542">
      <w:pPr>
        <w:pStyle w:val="NormalWeb"/>
        <w:spacing w:before="0" w:beforeAutospacing="0" w:after="240" w:afterAutospacing="0" w:line="360" w:lineRule="auto"/>
        <w:jc w:val="both"/>
      </w:pPr>
      <w:r>
        <w:t>fullratio.com. (</w:t>
      </w:r>
      <w:r w:rsidR="000E6257">
        <w:t>2024</w:t>
      </w:r>
      <w:r>
        <w:t xml:space="preserve">). </w:t>
      </w:r>
      <w:r>
        <w:rPr>
          <w:i/>
          <w:iCs/>
        </w:rPr>
        <w:t>NYSE: SNAP - Snap stock analysis and financials</w:t>
      </w:r>
      <w:r>
        <w:t>. [online] Available at: https://fullratio.com/stocks/nyse-snap/snap [Accessed 27 Apr. 2024].</w:t>
      </w:r>
    </w:p>
    <w:p w:rsidR="000D1B8D" w:rsidRDefault="000D1B8D" w:rsidP="00D82542">
      <w:pPr>
        <w:pStyle w:val="NormalWeb"/>
        <w:spacing w:before="0" w:beforeAutospacing="0" w:after="240" w:afterAutospacing="0" w:line="360" w:lineRule="auto"/>
        <w:jc w:val="both"/>
      </w:pPr>
      <w:r>
        <w:t xml:space="preserve">Grabowski, R.J. and </w:t>
      </w:r>
      <w:proofErr w:type="spellStart"/>
      <w:r>
        <w:t>Aboulamer</w:t>
      </w:r>
      <w:proofErr w:type="spellEnd"/>
      <w:r>
        <w:t xml:space="preserve">, A. (2020). Total Beta—Where Does It Fit in Valuation Theory. </w:t>
      </w:r>
      <w:r>
        <w:rPr>
          <w:i/>
          <w:iCs/>
        </w:rPr>
        <w:t>Business Valuation Review</w:t>
      </w:r>
      <w:r>
        <w:t xml:space="preserve">, 39(1), pp.14–25. </w:t>
      </w:r>
      <w:proofErr w:type="spellStart"/>
      <w:r>
        <w:t>doi:https</w:t>
      </w:r>
      <w:proofErr w:type="spellEnd"/>
      <w:r>
        <w:t>://doi.org/10.5791/20-00005.1.</w:t>
      </w:r>
    </w:p>
    <w:p w:rsidR="000D1B8D" w:rsidRDefault="000D1B8D" w:rsidP="00D82542">
      <w:pPr>
        <w:pStyle w:val="NormalWeb"/>
        <w:spacing w:before="0" w:beforeAutospacing="0" w:after="240" w:afterAutospacing="0" w:line="360" w:lineRule="auto"/>
        <w:jc w:val="both"/>
      </w:pPr>
      <w:r>
        <w:t xml:space="preserve">Habib, H., Shah, N. and Vaish, R. (2019). Impact of Contextual Factors on Snapchat Public Sharing. </w:t>
      </w:r>
      <w:r>
        <w:rPr>
          <w:i/>
          <w:iCs/>
        </w:rPr>
        <w:t>Proceedings of the 2019 CHI Conference on Human Factors in Computing Systems</w:t>
      </w:r>
      <w:r>
        <w:t>. [</w:t>
      </w:r>
      <w:proofErr w:type="gramStart"/>
      <w:r>
        <w:t>online</w:t>
      </w:r>
      <w:proofErr w:type="gramEnd"/>
      <w:r>
        <w:t xml:space="preserve">] </w:t>
      </w:r>
      <w:proofErr w:type="spellStart"/>
      <w:r>
        <w:t>doi:https</w:t>
      </w:r>
      <w:proofErr w:type="spellEnd"/>
      <w:r>
        <w:t>://doi.org/10.1145/3290605.3300256.</w:t>
      </w:r>
    </w:p>
    <w:p w:rsidR="000D1B8D" w:rsidRDefault="000D1B8D" w:rsidP="00D82542">
      <w:pPr>
        <w:pStyle w:val="NormalWeb"/>
        <w:spacing w:before="0" w:beforeAutospacing="0" w:after="240" w:afterAutospacing="0" w:line="360" w:lineRule="auto"/>
        <w:jc w:val="both"/>
      </w:pPr>
      <w:proofErr w:type="spellStart"/>
      <w:r>
        <w:t>Łyczkowska-Hanćkowiak</w:t>
      </w:r>
      <w:proofErr w:type="spellEnd"/>
      <w:r>
        <w:t xml:space="preserve">, A. (2020). On Application Oriented Fuzzy Numbers for Imprecise Investment Recommendations. </w:t>
      </w:r>
      <w:r>
        <w:rPr>
          <w:i/>
          <w:iCs/>
        </w:rPr>
        <w:t>Symmetry</w:t>
      </w:r>
      <w:r>
        <w:t xml:space="preserve">, 12(10), p.1672. </w:t>
      </w:r>
      <w:proofErr w:type="spellStart"/>
      <w:r>
        <w:t>doi:https</w:t>
      </w:r>
      <w:proofErr w:type="spellEnd"/>
      <w:r>
        <w:t>://doi.org/10.3390/sym12101672.</w:t>
      </w:r>
    </w:p>
    <w:p w:rsidR="000D1B8D" w:rsidRDefault="000D1B8D" w:rsidP="00D82542">
      <w:pPr>
        <w:pStyle w:val="NormalWeb"/>
        <w:spacing w:before="0" w:beforeAutospacing="0" w:after="240" w:afterAutospacing="0" w:line="360" w:lineRule="auto"/>
        <w:jc w:val="both"/>
      </w:pPr>
      <w:r>
        <w:t>MarketChameleon.com. (</w:t>
      </w:r>
      <w:r w:rsidR="000E6257">
        <w:t>2024</w:t>
      </w:r>
      <w:r>
        <w:t xml:space="preserve">). </w:t>
      </w:r>
      <w:r>
        <w:rPr>
          <w:i/>
          <w:iCs/>
        </w:rPr>
        <w:t>TSLA Option Strategy Benchmarks | Strangle Tesla</w:t>
      </w:r>
      <w:r>
        <w:t>. [online] Available at: https://marketchameleon.com/Overview/TSLA/Option-Strategy-Benchmarks/Strangle/ [Accessed 27 Apr. 2024].</w:t>
      </w:r>
    </w:p>
    <w:p w:rsidR="000D1B8D" w:rsidRDefault="000D1B8D" w:rsidP="00D82542">
      <w:pPr>
        <w:pStyle w:val="NormalWeb"/>
        <w:spacing w:before="0" w:beforeAutospacing="0" w:after="240" w:afterAutospacing="0" w:line="360" w:lineRule="auto"/>
        <w:jc w:val="both"/>
      </w:pPr>
      <w:r>
        <w:t>MarketWatch. (</w:t>
      </w:r>
      <w:r w:rsidR="000E6257">
        <w:t>2024</w:t>
      </w:r>
      <w:r>
        <w:t xml:space="preserve">). </w:t>
      </w:r>
      <w:r>
        <w:rPr>
          <w:i/>
          <w:iCs/>
        </w:rPr>
        <w:t>TSLA | Tesla Inc. Options</w:t>
      </w:r>
      <w:r>
        <w:t>. [online] Available at: https://www.marketwatch.com/investing/stock/TSLA/options.</w:t>
      </w:r>
    </w:p>
    <w:p w:rsidR="000D1B8D" w:rsidRDefault="000D1B8D" w:rsidP="00D82542">
      <w:pPr>
        <w:pStyle w:val="NormalWeb"/>
        <w:spacing w:before="0" w:beforeAutospacing="0" w:after="240" w:afterAutospacing="0" w:line="360" w:lineRule="auto"/>
        <w:jc w:val="both"/>
      </w:pPr>
      <w:r>
        <w:t xml:space="preserve">Nasdaq.com. (2024). </w:t>
      </w:r>
      <w:r>
        <w:rPr>
          <w:i/>
          <w:iCs/>
        </w:rPr>
        <w:t>(TSLA) Call Put Options</w:t>
      </w:r>
      <w:r>
        <w:t>. [online] Available at: https://www.nasdaq.com/market-activity/stocks/tsla/option-chain/call-put-options/tsla--240510c00157500 [Accessed 27 Apr. 2024].</w:t>
      </w:r>
    </w:p>
    <w:p w:rsidR="000D1B8D" w:rsidRDefault="000D1B8D" w:rsidP="00D82542">
      <w:pPr>
        <w:pStyle w:val="NormalWeb"/>
        <w:spacing w:before="0" w:beforeAutospacing="0" w:after="240" w:afterAutospacing="0" w:line="360" w:lineRule="auto"/>
        <w:jc w:val="both"/>
      </w:pPr>
      <w:r>
        <w:lastRenderedPageBreak/>
        <w:t xml:space="preserve">Nikolas </w:t>
      </w:r>
      <w:proofErr w:type="spellStart"/>
      <w:r>
        <w:t>Pareschi</w:t>
      </w:r>
      <w:proofErr w:type="spellEnd"/>
      <w:r>
        <w:t xml:space="preserve"> (2023). Efficiency Metrics in Investments and Trading: A Comprehensive Examination. </w:t>
      </w:r>
      <w:r>
        <w:rPr>
          <w:i/>
          <w:iCs/>
        </w:rPr>
        <w:t>Social Science Research Network</w:t>
      </w:r>
      <w:r>
        <w:t>. [</w:t>
      </w:r>
      <w:proofErr w:type="gramStart"/>
      <w:r>
        <w:t>online</w:t>
      </w:r>
      <w:proofErr w:type="gramEnd"/>
      <w:r>
        <w:t xml:space="preserve">] </w:t>
      </w:r>
      <w:proofErr w:type="spellStart"/>
      <w:r>
        <w:t>doi:https</w:t>
      </w:r>
      <w:proofErr w:type="spellEnd"/>
      <w:r>
        <w:t>://doi.org/10.2139/ssrn.4584524.</w:t>
      </w:r>
    </w:p>
    <w:p w:rsidR="000D1B8D" w:rsidRDefault="000D1B8D" w:rsidP="00D82542">
      <w:pPr>
        <w:pStyle w:val="NormalWeb"/>
        <w:spacing w:before="0" w:beforeAutospacing="0" w:after="240" w:afterAutospacing="0" w:line="360" w:lineRule="auto"/>
        <w:jc w:val="both"/>
      </w:pPr>
      <w:r>
        <w:t xml:space="preserve">Pav, S.E. (2021). </w:t>
      </w:r>
      <w:r>
        <w:rPr>
          <w:i/>
          <w:iCs/>
        </w:rPr>
        <w:t>The Sharpe Ratio</w:t>
      </w:r>
      <w:r>
        <w:t xml:space="preserve">. </w:t>
      </w:r>
      <w:proofErr w:type="spellStart"/>
      <w:r>
        <w:t>doi:https</w:t>
      </w:r>
      <w:proofErr w:type="spellEnd"/>
      <w:r>
        <w:t>://doi.org/10.1201/9781003181057.</w:t>
      </w:r>
    </w:p>
    <w:p w:rsidR="000D1B8D" w:rsidRDefault="000D1B8D" w:rsidP="00D82542">
      <w:pPr>
        <w:pStyle w:val="NormalWeb"/>
        <w:spacing w:before="0" w:beforeAutospacing="0" w:after="240" w:afterAutospacing="0" w:line="360" w:lineRule="auto"/>
        <w:jc w:val="both"/>
      </w:pPr>
      <w:r>
        <w:t>Rad, P. (</w:t>
      </w:r>
      <w:r w:rsidR="000E6257">
        <w:t>2024</w:t>
      </w:r>
      <w:r>
        <w:t>). Examining the Popularity Concept in the Initial Public Offering (IPO) Market. [</w:t>
      </w:r>
      <w:proofErr w:type="gramStart"/>
      <w:r>
        <w:t>online</w:t>
      </w:r>
      <w:proofErr w:type="gramEnd"/>
      <w:r>
        <w:t xml:space="preserve">] </w:t>
      </w:r>
      <w:proofErr w:type="spellStart"/>
      <w:r>
        <w:t>doi:https</w:t>
      </w:r>
      <w:proofErr w:type="spellEnd"/>
      <w:r>
        <w:t>://doi.org/10.15760/honors.907.</w:t>
      </w:r>
    </w:p>
    <w:p w:rsidR="000D1B8D" w:rsidRDefault="000D1B8D" w:rsidP="00D82542">
      <w:pPr>
        <w:pStyle w:val="NormalWeb"/>
        <w:spacing w:before="0" w:beforeAutospacing="0" w:after="240" w:afterAutospacing="0" w:line="360" w:lineRule="auto"/>
        <w:jc w:val="both"/>
      </w:pPr>
      <w:r>
        <w:t>Schwartz, M. (</w:t>
      </w:r>
      <w:r w:rsidR="000E6257">
        <w:t>2024</w:t>
      </w:r>
      <w:r>
        <w:t xml:space="preserve">). </w:t>
      </w:r>
      <w:r>
        <w:rPr>
          <w:i/>
          <w:iCs/>
        </w:rPr>
        <w:t>Digital Marketing to Teens: How Snapchat &amp; TikTok are Reaching Teenagers</w:t>
      </w:r>
      <w:r>
        <w:t xml:space="preserve">. [online] </w:t>
      </w:r>
      <w:proofErr w:type="spellStart"/>
      <w:r>
        <w:t>TeenLife</w:t>
      </w:r>
      <w:proofErr w:type="spellEnd"/>
      <w:r>
        <w:t>. Available at: https://www.teenlife.com/business-blog/snapchat-tiktok-are-reaching-teenagers/.</w:t>
      </w:r>
    </w:p>
    <w:p w:rsidR="000D1B8D" w:rsidRDefault="000D1B8D" w:rsidP="00D82542">
      <w:pPr>
        <w:pStyle w:val="NormalWeb"/>
        <w:spacing w:before="0" w:beforeAutospacing="0" w:after="240" w:afterAutospacing="0" w:line="360" w:lineRule="auto"/>
        <w:jc w:val="both"/>
      </w:pPr>
      <w:r>
        <w:t xml:space="preserve">Supriyadi, T. (2021). EFFECT OF RETURN ON ASSETS (ROA), RETURN ON EQUITY (ROE), AND NET PROFIT MARGIN (NPM) ON THE COMPANY’S VALUE IN MANUFACTURING COMPANIES LISTED ON THE EXCHANGE INDONESIA SECURITIES YEAR 2016-2019. </w:t>
      </w:r>
      <w:r>
        <w:rPr>
          <w:i/>
          <w:iCs/>
        </w:rPr>
        <w:t>International Journal of Economics, Business and Management Research</w:t>
      </w:r>
      <w:r>
        <w:t>, [online] 5(04). Available at: https://ijebmr.com/uploads/pdf/archivepdf/2021/IJEBMR_736.pdf.</w:t>
      </w:r>
    </w:p>
    <w:p w:rsidR="000D1B8D" w:rsidRDefault="000D1B8D" w:rsidP="00D82542">
      <w:pPr>
        <w:pStyle w:val="NormalWeb"/>
        <w:spacing w:before="0" w:beforeAutospacing="0" w:after="240" w:afterAutospacing="0" w:line="360" w:lineRule="auto"/>
        <w:jc w:val="both"/>
      </w:pPr>
      <w:r>
        <w:t xml:space="preserve">Swaminathan, H. (2013). </w:t>
      </w:r>
      <w:r>
        <w:rPr>
          <w:i/>
          <w:iCs/>
        </w:rPr>
        <w:t>Great trade on Tesla (TSLA Short Strangle)</w:t>
      </w:r>
      <w:r>
        <w:t>. [online] Option Tiger. Available at: https://optiontiger.com/tsla-trade-short-strangle/ [Accessed 27 Apr. 2024].</w:t>
      </w:r>
    </w:p>
    <w:p w:rsidR="000D1B8D" w:rsidRDefault="000D1B8D" w:rsidP="00D82542">
      <w:pPr>
        <w:pStyle w:val="NormalWeb"/>
        <w:spacing w:before="0" w:beforeAutospacing="0" w:after="240" w:afterAutospacing="0" w:line="360" w:lineRule="auto"/>
        <w:jc w:val="both"/>
      </w:pPr>
      <w:r>
        <w:t>TechCrunch. (</w:t>
      </w:r>
      <w:r w:rsidR="000E6257">
        <w:t>2024</w:t>
      </w:r>
      <w:r>
        <w:t xml:space="preserve">). </w:t>
      </w:r>
      <w:r>
        <w:rPr>
          <w:i/>
          <w:iCs/>
        </w:rPr>
        <w:t>Snapchat growth slowed 82% after Instagram Stories launched</w:t>
      </w:r>
      <w:r>
        <w:t>. [online] Available at: https://techcrunch.com/2017/02/02/slowchat/.</w:t>
      </w:r>
    </w:p>
    <w:p w:rsidR="000D1B8D" w:rsidRDefault="000D1B8D" w:rsidP="00D82542">
      <w:pPr>
        <w:pStyle w:val="NormalWeb"/>
        <w:spacing w:before="0" w:beforeAutospacing="0" w:after="240" w:afterAutospacing="0" w:line="360" w:lineRule="auto"/>
        <w:jc w:val="both"/>
      </w:pPr>
      <w:r>
        <w:t>Wall Street Prep. (</w:t>
      </w:r>
      <w:r w:rsidR="000E6257">
        <w:t>2024</w:t>
      </w:r>
      <w:r>
        <w:t xml:space="preserve">). </w:t>
      </w:r>
      <w:r>
        <w:rPr>
          <w:i/>
          <w:iCs/>
        </w:rPr>
        <w:t>Treynor Ratio</w:t>
      </w:r>
      <w:r>
        <w:t>. [online] Available at: https://www.wallstreetprep.com/knowledge/treynor-ratio/.</w:t>
      </w:r>
    </w:p>
    <w:p w:rsidR="000D1B8D" w:rsidRDefault="000D1B8D" w:rsidP="00D82542">
      <w:pPr>
        <w:pStyle w:val="NormalWeb"/>
        <w:spacing w:before="0" w:beforeAutospacing="0" w:after="240" w:afterAutospacing="0" w:line="360" w:lineRule="auto"/>
        <w:jc w:val="both"/>
      </w:pPr>
      <w:r>
        <w:t>www.alphaquery.com. (</w:t>
      </w:r>
      <w:r w:rsidR="000E6257">
        <w:t>2024</w:t>
      </w:r>
      <w:r>
        <w:t xml:space="preserve">). </w:t>
      </w:r>
      <w:r>
        <w:rPr>
          <w:i/>
          <w:iCs/>
        </w:rPr>
        <w:t>Snap Inc. (SNAP) - Profit Margin (Quarterly)</w:t>
      </w:r>
      <w:r>
        <w:t>. [online] Available at: https://www.alphaquery.com/stock/SNAP/fundamentals/quarterly/profit-margin [Accessed 27 Apr. 2024].</w:t>
      </w:r>
    </w:p>
    <w:p w:rsidR="000D1B8D" w:rsidRDefault="000D1B8D" w:rsidP="00D82542">
      <w:pPr>
        <w:pStyle w:val="NormalWeb"/>
        <w:spacing w:before="0" w:beforeAutospacing="0" w:after="240" w:afterAutospacing="0" w:line="360" w:lineRule="auto"/>
        <w:jc w:val="both"/>
      </w:pPr>
      <w:r w:rsidRPr="00AA0561">
        <w:rPr>
          <w:lang w:val="da-DK"/>
        </w:rPr>
        <w:lastRenderedPageBreak/>
        <w:t>www.macrotrends.net. (</w:t>
      </w:r>
      <w:r w:rsidR="000E6257" w:rsidRPr="00AA0561">
        <w:rPr>
          <w:lang w:val="da-DK"/>
        </w:rPr>
        <w:t>2024</w:t>
      </w:r>
      <w:r w:rsidRPr="00AA0561">
        <w:rPr>
          <w:lang w:val="da-DK"/>
        </w:rPr>
        <w:t xml:space="preserve">). </w:t>
      </w:r>
      <w:r w:rsidRPr="00AA0561">
        <w:rPr>
          <w:i/>
          <w:iCs/>
          <w:lang w:val="da-DK"/>
        </w:rPr>
        <w:t>Snap ROE 2016-2021 | SNAP</w:t>
      </w:r>
      <w:r w:rsidRPr="00AA0561">
        <w:rPr>
          <w:lang w:val="da-DK"/>
        </w:rPr>
        <w:t xml:space="preserve">. </w:t>
      </w:r>
      <w:r>
        <w:t>[online] Available at: https://www.macrotrends.net/stocks/charts/SNAP/snap/roe.</w:t>
      </w:r>
    </w:p>
    <w:p w:rsidR="000D1B8D" w:rsidRDefault="000D1B8D" w:rsidP="00D82542">
      <w:pPr>
        <w:pStyle w:val="NormalWeb"/>
        <w:spacing w:before="0" w:beforeAutospacing="0" w:after="240" w:afterAutospacing="0" w:line="360" w:lineRule="auto"/>
        <w:jc w:val="both"/>
      </w:pPr>
      <w:r>
        <w:t>www.proquest.com. (</w:t>
      </w:r>
      <w:r w:rsidR="000E6257">
        <w:t>2024</w:t>
      </w:r>
      <w:r>
        <w:t xml:space="preserve">). </w:t>
      </w:r>
      <w:r>
        <w:rPr>
          <w:i/>
          <w:iCs/>
        </w:rPr>
        <w:t>Individual Differences among Snapchat Users: Uses and Motivations - ProQuest</w:t>
      </w:r>
      <w:r>
        <w:t>. [online] Available at: https://search.proquest.com/openview/198f5015ce0d7f0fb771b10028378e75/1?pq-origsite=gscholar&amp;cbl=18750&amp;diss=y [Accessed 27 Apr. 2024].</w:t>
      </w:r>
    </w:p>
    <w:p w:rsidR="000D1B8D" w:rsidRDefault="000D1B8D" w:rsidP="00D82542">
      <w:pPr>
        <w:pStyle w:val="NormalWeb"/>
        <w:spacing w:before="0" w:beforeAutospacing="0" w:after="240" w:afterAutospacing="0" w:line="360" w:lineRule="auto"/>
        <w:jc w:val="both"/>
      </w:pPr>
      <w:r>
        <w:t xml:space="preserve">Yahoo Finance. (2024). </w:t>
      </w:r>
      <w:r>
        <w:rPr>
          <w:i/>
          <w:iCs/>
        </w:rPr>
        <w:t>Decoding Snap Inc (SNAP): A Strategic SWOT Insight</w:t>
      </w:r>
      <w:r>
        <w:t>. [online] Available at: https://finance.yahoo.com/news/decoding-snap-inc-snap-strategic-050305790.html [Accessed 27 Apr. 2024].</w:t>
      </w:r>
    </w:p>
    <w:p w:rsidR="000D1B8D" w:rsidRDefault="000D1B8D" w:rsidP="00D82542">
      <w:pPr>
        <w:pStyle w:val="NormalWeb"/>
        <w:spacing w:before="0" w:beforeAutospacing="0" w:after="240" w:afterAutospacing="0" w:line="360" w:lineRule="auto"/>
        <w:jc w:val="both"/>
      </w:pPr>
      <w:r>
        <w:t>ycharts.com. (</w:t>
      </w:r>
      <w:r w:rsidR="000E6257">
        <w:t>2024</w:t>
      </w:r>
      <w:r>
        <w:t xml:space="preserve">). </w:t>
      </w:r>
      <w:r>
        <w:rPr>
          <w:i/>
          <w:iCs/>
        </w:rPr>
        <w:t>Snap Gross Profit Margin (Quarterly) Insights | YCharts</w:t>
      </w:r>
      <w:r>
        <w:t>. [online] Available at: https://ycharts.com/companies/SNAP/gross_profit_margin [Accessed 27 Apr. 2024].</w:t>
      </w:r>
    </w:p>
    <w:p w:rsidR="000D1B8D" w:rsidRPr="000D1B8D" w:rsidRDefault="000D1B8D" w:rsidP="00D82542">
      <w:pPr>
        <w:spacing w:line="360" w:lineRule="auto"/>
        <w:rPr>
          <w:lang w:val="en-IN"/>
        </w:rPr>
      </w:pPr>
    </w:p>
    <w:sectPr w:rsidR="000D1B8D" w:rsidRPr="000D1B8D" w:rsidSect="00AC7531">
      <w:headerReference w:type="default" r:id="rId13"/>
      <w:footerReference w:type="default" r:id="rId14"/>
      <w:headerReference w:type="first" r:id="rId15"/>
      <w:pgSz w:w="12240" w:h="15840"/>
      <w:pgMar w:top="1702"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7FC0" w:rsidRDefault="00A17FC0" w:rsidP="00C12B81">
      <w:r>
        <w:separator/>
      </w:r>
    </w:p>
  </w:endnote>
  <w:endnote w:type="continuationSeparator" w:id="0">
    <w:p w:rsidR="00A17FC0" w:rsidRDefault="00A17FC0" w:rsidP="00C12B8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等线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 w:name="等线">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900884"/>
      <w:docPartObj>
        <w:docPartGallery w:val="Page Numbers (Bottom of Page)"/>
        <w:docPartUnique/>
      </w:docPartObj>
    </w:sdtPr>
    <w:sdtEndPr>
      <w:rPr>
        <w:color w:val="7F7F7F" w:themeColor="background1" w:themeShade="7F"/>
        <w:spacing w:val="60"/>
      </w:rPr>
    </w:sdtEndPr>
    <w:sdtContent>
      <w:p w:rsidR="006768C1" w:rsidRDefault="00054486">
        <w:pPr>
          <w:pStyle w:val="Footer"/>
          <w:pBdr>
            <w:top w:val="single" w:sz="4" w:space="1" w:color="D9D9D9" w:themeColor="background1" w:themeShade="D9"/>
          </w:pBdr>
          <w:rPr>
            <w:b/>
            <w:bCs/>
          </w:rPr>
        </w:pPr>
        <w:r w:rsidRPr="00054486">
          <w:fldChar w:fldCharType="begin"/>
        </w:r>
        <w:r w:rsidR="006768C1">
          <w:instrText xml:space="preserve"> PAGE   \* MERGEFORMAT </w:instrText>
        </w:r>
        <w:r w:rsidRPr="00054486">
          <w:fldChar w:fldCharType="separate"/>
        </w:r>
        <w:r w:rsidR="00D525D9" w:rsidRPr="00D525D9">
          <w:rPr>
            <w:b/>
            <w:bCs/>
            <w:noProof/>
          </w:rPr>
          <w:t>11</w:t>
        </w:r>
        <w:r>
          <w:rPr>
            <w:b/>
            <w:bCs/>
            <w:noProof/>
          </w:rPr>
          <w:fldChar w:fldCharType="end"/>
        </w:r>
        <w:r w:rsidR="006768C1">
          <w:rPr>
            <w:b/>
            <w:bCs/>
          </w:rPr>
          <w:t xml:space="preserve"> | </w:t>
        </w:r>
        <w:r w:rsidR="006768C1">
          <w:rPr>
            <w:color w:val="7F7F7F" w:themeColor="background1" w:themeShade="7F"/>
            <w:spacing w:val="60"/>
          </w:rPr>
          <w:t>Page</w:t>
        </w:r>
      </w:p>
    </w:sdtContent>
  </w:sdt>
  <w:p w:rsidR="00C12B81" w:rsidRDefault="00C12B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7FC0" w:rsidRDefault="00A17FC0" w:rsidP="00C12B81">
      <w:r>
        <w:separator/>
      </w:r>
    </w:p>
  </w:footnote>
  <w:footnote w:type="continuationSeparator" w:id="0">
    <w:p w:rsidR="00A17FC0" w:rsidRDefault="00A17FC0" w:rsidP="00C12B8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81" w:rsidRPr="00AA0561" w:rsidRDefault="00AA0561" w:rsidP="00AA0561">
    <w:pPr>
      <w:spacing w:before="240" w:line="360" w:lineRule="auto"/>
      <w:rPr>
        <w:rFonts w:cs="Times New Roman"/>
        <w:b/>
        <w:bCs/>
        <w:szCs w:val="24"/>
      </w:rPr>
    </w:pPr>
    <w:r w:rsidRPr="00AA0561">
      <w:rPr>
        <w:rFonts w:cs="Times New Roman"/>
        <w:b/>
        <w:bCs/>
        <w:szCs w:val="24"/>
      </w:rPr>
      <w:t>Banking Financial Management and Financial Market</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0561" w:rsidRPr="00AA0561" w:rsidRDefault="00AA0561" w:rsidP="00AA0561">
    <w:pPr>
      <w:spacing w:before="240" w:line="360" w:lineRule="auto"/>
      <w:rPr>
        <w:rFonts w:cs="Times New Roman"/>
        <w:b/>
        <w:bCs/>
        <w:szCs w:val="24"/>
      </w:rPr>
    </w:pPr>
    <w:r w:rsidRPr="00AA0561">
      <w:rPr>
        <w:rFonts w:cs="Times New Roman"/>
        <w:b/>
        <w:bCs/>
        <w:szCs w:val="24"/>
      </w:rPr>
      <w:t>Banking Financial Management and Financial Market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9758EE"/>
    <w:multiLevelType w:val="hybridMultilevel"/>
    <w:tmpl w:val="910ACF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333C36A7"/>
    <w:multiLevelType w:val="hybridMultilevel"/>
    <w:tmpl w:val="BFEC47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60737821"/>
    <w:multiLevelType w:val="hybridMultilevel"/>
    <w:tmpl w:val="912CBF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75080C9B"/>
    <w:multiLevelType w:val="hybridMultilevel"/>
    <w:tmpl w:val="7F2AEC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D96174"/>
    <w:rsid w:val="000107AF"/>
    <w:rsid w:val="00036F1E"/>
    <w:rsid w:val="0005199A"/>
    <w:rsid w:val="00052899"/>
    <w:rsid w:val="00054486"/>
    <w:rsid w:val="00080FBF"/>
    <w:rsid w:val="00084084"/>
    <w:rsid w:val="00093DF9"/>
    <w:rsid w:val="000B1A5D"/>
    <w:rsid w:val="000C55EC"/>
    <w:rsid w:val="000D1B8D"/>
    <w:rsid w:val="000D672A"/>
    <w:rsid w:val="000E6257"/>
    <w:rsid w:val="00107648"/>
    <w:rsid w:val="00130509"/>
    <w:rsid w:val="001B6256"/>
    <w:rsid w:val="001C1473"/>
    <w:rsid w:val="00203F0B"/>
    <w:rsid w:val="00210EF4"/>
    <w:rsid w:val="00267455"/>
    <w:rsid w:val="0027244F"/>
    <w:rsid w:val="002D42C8"/>
    <w:rsid w:val="002E5015"/>
    <w:rsid w:val="002E6950"/>
    <w:rsid w:val="00301005"/>
    <w:rsid w:val="00364F6A"/>
    <w:rsid w:val="003826EF"/>
    <w:rsid w:val="003C3587"/>
    <w:rsid w:val="003C57A9"/>
    <w:rsid w:val="00411F31"/>
    <w:rsid w:val="004554B8"/>
    <w:rsid w:val="004A5FC0"/>
    <w:rsid w:val="004E6AE6"/>
    <w:rsid w:val="0052791C"/>
    <w:rsid w:val="005335F0"/>
    <w:rsid w:val="005625A4"/>
    <w:rsid w:val="005705B5"/>
    <w:rsid w:val="005735EA"/>
    <w:rsid w:val="005B7ED1"/>
    <w:rsid w:val="005D4F97"/>
    <w:rsid w:val="005F46DF"/>
    <w:rsid w:val="006220AC"/>
    <w:rsid w:val="00664D80"/>
    <w:rsid w:val="006768C1"/>
    <w:rsid w:val="006810D3"/>
    <w:rsid w:val="0069455F"/>
    <w:rsid w:val="0070583F"/>
    <w:rsid w:val="00762EE6"/>
    <w:rsid w:val="007C39C6"/>
    <w:rsid w:val="007E0EF1"/>
    <w:rsid w:val="00803001"/>
    <w:rsid w:val="008268B8"/>
    <w:rsid w:val="008F1AB2"/>
    <w:rsid w:val="0093187A"/>
    <w:rsid w:val="009F3181"/>
    <w:rsid w:val="00A17FC0"/>
    <w:rsid w:val="00A3136A"/>
    <w:rsid w:val="00A531A5"/>
    <w:rsid w:val="00AA0561"/>
    <w:rsid w:val="00AB5D63"/>
    <w:rsid w:val="00AC7531"/>
    <w:rsid w:val="00B00546"/>
    <w:rsid w:val="00B32600"/>
    <w:rsid w:val="00B5626A"/>
    <w:rsid w:val="00BB2F89"/>
    <w:rsid w:val="00BC2735"/>
    <w:rsid w:val="00BD5FC9"/>
    <w:rsid w:val="00C12B81"/>
    <w:rsid w:val="00C57861"/>
    <w:rsid w:val="00C743D8"/>
    <w:rsid w:val="00CD7EB9"/>
    <w:rsid w:val="00D525D9"/>
    <w:rsid w:val="00D57355"/>
    <w:rsid w:val="00D82542"/>
    <w:rsid w:val="00D96174"/>
    <w:rsid w:val="00DF4A2C"/>
    <w:rsid w:val="00E05991"/>
    <w:rsid w:val="00E25058"/>
    <w:rsid w:val="00E26DC7"/>
    <w:rsid w:val="00E8530B"/>
    <w:rsid w:val="00EA4B9D"/>
    <w:rsid w:val="00EA7BE1"/>
    <w:rsid w:val="00F3367F"/>
    <w:rsid w:val="00FA1ED2"/>
    <w:rsid w:val="00FA3D29"/>
    <w:rsid w:val="00FD5967"/>
    <w:rsid w:val="00FF126F"/>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174"/>
    <w:pPr>
      <w:jc w:val="both"/>
    </w:pPr>
    <w:rPr>
      <w:rFonts w:ascii="Times New Roman" w:hAnsi="Times New Roman"/>
      <w:sz w:val="24"/>
      <w:lang w:val="en-US"/>
    </w:rPr>
  </w:style>
  <w:style w:type="paragraph" w:styleId="Heading1">
    <w:name w:val="heading 1"/>
    <w:basedOn w:val="Normal"/>
    <w:next w:val="Normal"/>
    <w:link w:val="Heading1Char"/>
    <w:uiPriority w:val="9"/>
    <w:qFormat/>
    <w:rsid w:val="00D96174"/>
    <w:pPr>
      <w:keepNext/>
      <w:keepLines/>
      <w:spacing w:line="480" w:lineRule="auto"/>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9F3181"/>
    <w:pPr>
      <w:keepNext/>
      <w:keepLines/>
      <w:spacing w:before="40" w:line="276" w:lineRule="auto"/>
      <w:outlineLvl w:val="1"/>
    </w:pPr>
    <w:rPr>
      <w:rFonts w:eastAsiaTheme="majorEastAsia" w:cstheme="majorBidi"/>
      <w:b/>
      <w: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17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F3181"/>
    <w:rPr>
      <w:rFonts w:ascii="Times New Roman" w:eastAsiaTheme="majorEastAsia" w:hAnsi="Times New Roman" w:cstheme="majorBidi"/>
      <w:b/>
      <w:i/>
      <w:sz w:val="24"/>
      <w:szCs w:val="26"/>
      <w:u w:val="single"/>
      <w:lang w:val="en-US"/>
    </w:rPr>
  </w:style>
  <w:style w:type="paragraph" w:styleId="BodyText">
    <w:name w:val="Body Text"/>
    <w:basedOn w:val="Normal"/>
    <w:link w:val="BodyTextChar"/>
    <w:uiPriority w:val="1"/>
    <w:qFormat/>
    <w:rsid w:val="0052791C"/>
    <w:pPr>
      <w:widowControl w:val="0"/>
      <w:autoSpaceDE w:val="0"/>
      <w:autoSpaceDN w:val="0"/>
    </w:pPr>
    <w:rPr>
      <w:rFonts w:eastAsia="Times New Roman" w:cs="Times New Roman"/>
      <w:szCs w:val="28"/>
    </w:rPr>
  </w:style>
  <w:style w:type="character" w:customStyle="1" w:styleId="BodyTextChar">
    <w:name w:val="Body Text Char"/>
    <w:basedOn w:val="DefaultParagraphFont"/>
    <w:link w:val="BodyText"/>
    <w:uiPriority w:val="1"/>
    <w:rsid w:val="0052791C"/>
    <w:rPr>
      <w:rFonts w:ascii="Times New Roman" w:eastAsia="Times New Roman" w:hAnsi="Times New Roman" w:cs="Times New Roman"/>
      <w:kern w:val="0"/>
      <w:sz w:val="24"/>
      <w:szCs w:val="28"/>
      <w:lang w:val="en-US"/>
    </w:rPr>
  </w:style>
  <w:style w:type="character" w:styleId="Hyperlink">
    <w:name w:val="Hyperlink"/>
    <w:basedOn w:val="DefaultParagraphFont"/>
    <w:uiPriority w:val="99"/>
    <w:unhideWhenUsed/>
    <w:rsid w:val="006220AC"/>
    <w:rPr>
      <w:color w:val="0563C1" w:themeColor="hyperlink"/>
      <w:u w:val="single"/>
    </w:rPr>
  </w:style>
  <w:style w:type="character" w:customStyle="1" w:styleId="UnresolvedMention">
    <w:name w:val="Unresolved Mention"/>
    <w:basedOn w:val="DefaultParagraphFont"/>
    <w:uiPriority w:val="99"/>
    <w:semiHidden/>
    <w:unhideWhenUsed/>
    <w:rsid w:val="006220AC"/>
    <w:rPr>
      <w:color w:val="605E5C"/>
      <w:shd w:val="clear" w:color="auto" w:fill="E1DFDD"/>
    </w:rPr>
  </w:style>
  <w:style w:type="paragraph" w:styleId="TOCHeading">
    <w:name w:val="TOC Heading"/>
    <w:basedOn w:val="Heading1"/>
    <w:next w:val="Normal"/>
    <w:uiPriority w:val="39"/>
    <w:unhideWhenUsed/>
    <w:qFormat/>
    <w:rsid w:val="004554B8"/>
    <w:pPr>
      <w:spacing w:before="240" w:line="259" w:lineRule="auto"/>
      <w:jc w:val="left"/>
      <w:outlineLvl w:val="9"/>
    </w:pPr>
    <w:rPr>
      <w:rFonts w:asciiTheme="majorHAnsi" w:hAnsiTheme="majorHAns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4554B8"/>
    <w:pPr>
      <w:spacing w:after="100"/>
    </w:pPr>
  </w:style>
  <w:style w:type="paragraph" w:styleId="TOC2">
    <w:name w:val="toc 2"/>
    <w:basedOn w:val="Normal"/>
    <w:next w:val="Normal"/>
    <w:autoRedefine/>
    <w:uiPriority w:val="39"/>
    <w:unhideWhenUsed/>
    <w:rsid w:val="004554B8"/>
    <w:pPr>
      <w:spacing w:after="100"/>
      <w:ind w:left="240"/>
    </w:pPr>
  </w:style>
  <w:style w:type="paragraph" w:styleId="ListParagraph">
    <w:name w:val="List Paragraph"/>
    <w:basedOn w:val="Normal"/>
    <w:uiPriority w:val="34"/>
    <w:qFormat/>
    <w:rsid w:val="004554B8"/>
    <w:pPr>
      <w:ind w:left="720"/>
      <w:contextualSpacing/>
    </w:pPr>
  </w:style>
  <w:style w:type="paragraph" w:styleId="Caption">
    <w:name w:val="caption"/>
    <w:basedOn w:val="Normal"/>
    <w:next w:val="Normal"/>
    <w:uiPriority w:val="35"/>
    <w:unhideWhenUsed/>
    <w:qFormat/>
    <w:rsid w:val="000107AF"/>
    <w:pPr>
      <w:spacing w:after="200"/>
    </w:pPr>
    <w:rPr>
      <w:i/>
      <w:iCs/>
      <w:color w:val="44546A" w:themeColor="text2"/>
      <w:sz w:val="18"/>
      <w:szCs w:val="18"/>
    </w:rPr>
  </w:style>
  <w:style w:type="paragraph" w:styleId="NoSpacing">
    <w:name w:val="No Spacing"/>
    <w:link w:val="NoSpacingChar"/>
    <w:uiPriority w:val="1"/>
    <w:qFormat/>
    <w:rsid w:val="00C12B81"/>
    <w:rPr>
      <w:rFonts w:eastAsiaTheme="minorEastAsia"/>
      <w:kern w:val="0"/>
      <w:lang w:val="en-US"/>
    </w:rPr>
  </w:style>
  <w:style w:type="character" w:customStyle="1" w:styleId="NoSpacingChar">
    <w:name w:val="No Spacing Char"/>
    <w:basedOn w:val="DefaultParagraphFont"/>
    <w:link w:val="NoSpacing"/>
    <w:uiPriority w:val="1"/>
    <w:rsid w:val="00C12B81"/>
    <w:rPr>
      <w:rFonts w:eastAsiaTheme="minorEastAsia"/>
      <w:kern w:val="0"/>
      <w:lang w:val="en-US"/>
    </w:rPr>
  </w:style>
  <w:style w:type="paragraph" w:styleId="Header">
    <w:name w:val="header"/>
    <w:basedOn w:val="Normal"/>
    <w:link w:val="HeaderChar"/>
    <w:uiPriority w:val="99"/>
    <w:unhideWhenUsed/>
    <w:rsid w:val="00C12B81"/>
    <w:pPr>
      <w:tabs>
        <w:tab w:val="center" w:pos="4513"/>
        <w:tab w:val="right" w:pos="9026"/>
      </w:tabs>
    </w:pPr>
  </w:style>
  <w:style w:type="character" w:customStyle="1" w:styleId="HeaderChar">
    <w:name w:val="Header Char"/>
    <w:basedOn w:val="DefaultParagraphFont"/>
    <w:link w:val="Header"/>
    <w:uiPriority w:val="99"/>
    <w:rsid w:val="00C12B81"/>
    <w:rPr>
      <w:rFonts w:ascii="Times New Roman" w:hAnsi="Times New Roman"/>
      <w:sz w:val="24"/>
      <w:lang w:val="en-US"/>
    </w:rPr>
  </w:style>
  <w:style w:type="paragraph" w:styleId="Footer">
    <w:name w:val="footer"/>
    <w:basedOn w:val="Normal"/>
    <w:link w:val="FooterChar"/>
    <w:uiPriority w:val="99"/>
    <w:unhideWhenUsed/>
    <w:rsid w:val="00C12B81"/>
    <w:pPr>
      <w:tabs>
        <w:tab w:val="center" w:pos="4513"/>
        <w:tab w:val="right" w:pos="9026"/>
      </w:tabs>
    </w:pPr>
  </w:style>
  <w:style w:type="character" w:customStyle="1" w:styleId="FooterChar">
    <w:name w:val="Footer Char"/>
    <w:basedOn w:val="DefaultParagraphFont"/>
    <w:link w:val="Footer"/>
    <w:uiPriority w:val="99"/>
    <w:rsid w:val="00C12B81"/>
    <w:rPr>
      <w:rFonts w:ascii="Times New Roman" w:hAnsi="Times New Roman"/>
      <w:sz w:val="24"/>
      <w:lang w:val="en-US"/>
    </w:rPr>
  </w:style>
  <w:style w:type="paragraph" w:styleId="NormalWeb">
    <w:name w:val="Normal (Web)"/>
    <w:basedOn w:val="Normal"/>
    <w:uiPriority w:val="99"/>
    <w:semiHidden/>
    <w:unhideWhenUsed/>
    <w:rsid w:val="000D1B8D"/>
    <w:pPr>
      <w:spacing w:before="100" w:beforeAutospacing="1" w:after="100" w:afterAutospacing="1"/>
      <w:jc w:val="left"/>
    </w:pPr>
    <w:rPr>
      <w:rFonts w:eastAsia="Times New Roman" w:cs="Times New Roman"/>
      <w:kern w:val="0"/>
      <w:szCs w:val="24"/>
      <w:lang w:val="en-IN" w:eastAsia="en-IN"/>
    </w:rPr>
  </w:style>
  <w:style w:type="paragraph" w:styleId="BalloonText">
    <w:name w:val="Balloon Text"/>
    <w:basedOn w:val="Normal"/>
    <w:link w:val="BalloonTextChar"/>
    <w:uiPriority w:val="99"/>
    <w:semiHidden/>
    <w:unhideWhenUsed/>
    <w:rsid w:val="000D672A"/>
    <w:rPr>
      <w:rFonts w:ascii="Tahoma" w:hAnsi="Tahoma" w:cs="Tahoma"/>
      <w:sz w:val="16"/>
      <w:szCs w:val="16"/>
    </w:rPr>
  </w:style>
  <w:style w:type="character" w:customStyle="1" w:styleId="BalloonTextChar">
    <w:name w:val="Balloon Text Char"/>
    <w:basedOn w:val="DefaultParagraphFont"/>
    <w:link w:val="BalloonText"/>
    <w:uiPriority w:val="99"/>
    <w:semiHidden/>
    <w:rsid w:val="000D672A"/>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253366722">
      <w:bodyDiv w:val="1"/>
      <w:marLeft w:val="0"/>
      <w:marRight w:val="0"/>
      <w:marTop w:val="0"/>
      <w:marBottom w:val="0"/>
      <w:divBdr>
        <w:top w:val="none" w:sz="0" w:space="0" w:color="auto"/>
        <w:left w:val="none" w:sz="0" w:space="0" w:color="auto"/>
        <w:bottom w:val="none" w:sz="0" w:space="0" w:color="auto"/>
        <w:right w:val="none" w:sz="0" w:space="0" w:color="auto"/>
      </w:divBdr>
    </w:div>
    <w:div w:id="349258148">
      <w:bodyDiv w:val="1"/>
      <w:marLeft w:val="0"/>
      <w:marRight w:val="0"/>
      <w:marTop w:val="0"/>
      <w:marBottom w:val="0"/>
      <w:divBdr>
        <w:top w:val="none" w:sz="0" w:space="0" w:color="auto"/>
        <w:left w:val="none" w:sz="0" w:space="0" w:color="auto"/>
        <w:bottom w:val="none" w:sz="0" w:space="0" w:color="auto"/>
        <w:right w:val="none" w:sz="0" w:space="0" w:color="auto"/>
      </w:divBdr>
      <w:divsChild>
        <w:div w:id="80760918">
          <w:marLeft w:val="0"/>
          <w:marRight w:val="0"/>
          <w:marTop w:val="0"/>
          <w:marBottom w:val="0"/>
          <w:divBdr>
            <w:top w:val="none" w:sz="0" w:space="0" w:color="auto"/>
            <w:left w:val="none" w:sz="0" w:space="0" w:color="auto"/>
            <w:bottom w:val="none" w:sz="0" w:space="0" w:color="auto"/>
            <w:right w:val="none" w:sz="0" w:space="0" w:color="auto"/>
          </w:divBdr>
          <w:divsChild>
            <w:div w:id="1042512942">
              <w:marLeft w:val="0"/>
              <w:marRight w:val="0"/>
              <w:marTop w:val="0"/>
              <w:marBottom w:val="0"/>
              <w:divBdr>
                <w:top w:val="none" w:sz="0" w:space="0" w:color="auto"/>
                <w:left w:val="none" w:sz="0" w:space="0" w:color="auto"/>
                <w:bottom w:val="none" w:sz="0" w:space="0" w:color="auto"/>
                <w:right w:val="none" w:sz="0" w:space="0" w:color="auto"/>
              </w:divBdr>
              <w:divsChild>
                <w:div w:id="314454908">
                  <w:marLeft w:val="0"/>
                  <w:marRight w:val="0"/>
                  <w:marTop w:val="1050"/>
                  <w:marBottom w:val="0"/>
                  <w:divBdr>
                    <w:top w:val="none" w:sz="0" w:space="0" w:color="auto"/>
                    <w:left w:val="none" w:sz="0" w:space="0" w:color="auto"/>
                    <w:bottom w:val="none" w:sz="0" w:space="0" w:color="auto"/>
                    <w:right w:val="none" w:sz="0" w:space="0" w:color="auto"/>
                  </w:divBdr>
                </w:div>
              </w:divsChild>
            </w:div>
            <w:div w:id="100615156">
              <w:marLeft w:val="0"/>
              <w:marRight w:val="0"/>
              <w:marTop w:val="0"/>
              <w:marBottom w:val="0"/>
              <w:divBdr>
                <w:top w:val="none" w:sz="0" w:space="0" w:color="auto"/>
                <w:left w:val="none" w:sz="0" w:space="0" w:color="auto"/>
                <w:bottom w:val="none" w:sz="0" w:space="0" w:color="auto"/>
                <w:right w:val="none" w:sz="0" w:space="0" w:color="auto"/>
              </w:divBdr>
              <w:divsChild>
                <w:div w:id="1806774662">
                  <w:marLeft w:val="0"/>
                  <w:marRight w:val="0"/>
                  <w:marTop w:val="0"/>
                  <w:marBottom w:val="0"/>
                  <w:divBdr>
                    <w:top w:val="none" w:sz="0" w:space="0" w:color="auto"/>
                    <w:left w:val="none" w:sz="0" w:space="0" w:color="auto"/>
                    <w:bottom w:val="none" w:sz="0" w:space="0" w:color="auto"/>
                    <w:right w:val="none" w:sz="0" w:space="0" w:color="auto"/>
                  </w:divBdr>
                  <w:divsChild>
                    <w:div w:id="780343884">
                      <w:marLeft w:val="0"/>
                      <w:marRight w:val="0"/>
                      <w:marTop w:val="1125"/>
                      <w:marBottom w:val="0"/>
                      <w:divBdr>
                        <w:top w:val="none" w:sz="0" w:space="0" w:color="auto"/>
                        <w:left w:val="none" w:sz="0" w:space="0" w:color="auto"/>
                        <w:bottom w:val="none" w:sz="0" w:space="0" w:color="auto"/>
                        <w:right w:val="none" w:sz="0" w:space="0" w:color="auto"/>
                      </w:divBdr>
                      <w:divsChild>
                        <w:div w:id="73847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3012415">
      <w:bodyDiv w:val="1"/>
      <w:marLeft w:val="0"/>
      <w:marRight w:val="0"/>
      <w:marTop w:val="0"/>
      <w:marBottom w:val="0"/>
      <w:divBdr>
        <w:top w:val="none" w:sz="0" w:space="0" w:color="auto"/>
        <w:left w:val="none" w:sz="0" w:space="0" w:color="auto"/>
        <w:bottom w:val="none" w:sz="0" w:space="0" w:color="auto"/>
        <w:right w:val="none" w:sz="0" w:space="0" w:color="auto"/>
      </w:divBdr>
    </w:div>
    <w:div w:id="522476110">
      <w:bodyDiv w:val="1"/>
      <w:marLeft w:val="0"/>
      <w:marRight w:val="0"/>
      <w:marTop w:val="0"/>
      <w:marBottom w:val="0"/>
      <w:divBdr>
        <w:top w:val="none" w:sz="0" w:space="0" w:color="auto"/>
        <w:left w:val="none" w:sz="0" w:space="0" w:color="auto"/>
        <w:bottom w:val="none" w:sz="0" w:space="0" w:color="auto"/>
        <w:right w:val="none" w:sz="0" w:space="0" w:color="auto"/>
      </w:divBdr>
    </w:div>
    <w:div w:id="553155407">
      <w:bodyDiv w:val="1"/>
      <w:marLeft w:val="0"/>
      <w:marRight w:val="0"/>
      <w:marTop w:val="0"/>
      <w:marBottom w:val="0"/>
      <w:divBdr>
        <w:top w:val="none" w:sz="0" w:space="0" w:color="auto"/>
        <w:left w:val="none" w:sz="0" w:space="0" w:color="auto"/>
        <w:bottom w:val="none" w:sz="0" w:space="0" w:color="auto"/>
        <w:right w:val="none" w:sz="0" w:space="0" w:color="auto"/>
      </w:divBdr>
      <w:divsChild>
        <w:div w:id="1805653264">
          <w:marLeft w:val="0"/>
          <w:marRight w:val="0"/>
          <w:marTop w:val="0"/>
          <w:marBottom w:val="0"/>
          <w:divBdr>
            <w:top w:val="single" w:sz="6" w:space="0" w:color="auto"/>
            <w:left w:val="single" w:sz="6" w:space="0" w:color="auto"/>
            <w:bottom w:val="single" w:sz="6" w:space="0" w:color="auto"/>
            <w:right w:val="single" w:sz="6" w:space="0" w:color="auto"/>
          </w:divBdr>
        </w:div>
      </w:divsChild>
    </w:div>
    <w:div w:id="573782725">
      <w:bodyDiv w:val="1"/>
      <w:marLeft w:val="0"/>
      <w:marRight w:val="0"/>
      <w:marTop w:val="0"/>
      <w:marBottom w:val="0"/>
      <w:divBdr>
        <w:top w:val="none" w:sz="0" w:space="0" w:color="auto"/>
        <w:left w:val="none" w:sz="0" w:space="0" w:color="auto"/>
        <w:bottom w:val="none" w:sz="0" w:space="0" w:color="auto"/>
        <w:right w:val="none" w:sz="0" w:space="0" w:color="auto"/>
      </w:divBdr>
      <w:divsChild>
        <w:div w:id="83839149">
          <w:marLeft w:val="0"/>
          <w:marRight w:val="0"/>
          <w:marTop w:val="0"/>
          <w:marBottom w:val="0"/>
          <w:divBdr>
            <w:top w:val="single" w:sz="6" w:space="0" w:color="auto"/>
            <w:left w:val="single" w:sz="6" w:space="0" w:color="auto"/>
            <w:bottom w:val="single" w:sz="6" w:space="0" w:color="auto"/>
            <w:right w:val="single" w:sz="6" w:space="0" w:color="auto"/>
          </w:divBdr>
        </w:div>
      </w:divsChild>
    </w:div>
    <w:div w:id="695928384">
      <w:bodyDiv w:val="1"/>
      <w:marLeft w:val="0"/>
      <w:marRight w:val="0"/>
      <w:marTop w:val="0"/>
      <w:marBottom w:val="0"/>
      <w:divBdr>
        <w:top w:val="none" w:sz="0" w:space="0" w:color="auto"/>
        <w:left w:val="none" w:sz="0" w:space="0" w:color="auto"/>
        <w:bottom w:val="none" w:sz="0" w:space="0" w:color="auto"/>
        <w:right w:val="none" w:sz="0" w:space="0" w:color="auto"/>
      </w:divBdr>
    </w:div>
    <w:div w:id="1132746895">
      <w:bodyDiv w:val="1"/>
      <w:marLeft w:val="0"/>
      <w:marRight w:val="0"/>
      <w:marTop w:val="0"/>
      <w:marBottom w:val="0"/>
      <w:divBdr>
        <w:top w:val="none" w:sz="0" w:space="0" w:color="auto"/>
        <w:left w:val="none" w:sz="0" w:space="0" w:color="auto"/>
        <w:bottom w:val="none" w:sz="0" w:space="0" w:color="auto"/>
        <w:right w:val="none" w:sz="0" w:space="0" w:color="auto"/>
      </w:divBdr>
      <w:divsChild>
        <w:div w:id="889150525">
          <w:marLeft w:val="0"/>
          <w:marRight w:val="0"/>
          <w:marTop w:val="0"/>
          <w:marBottom w:val="0"/>
          <w:divBdr>
            <w:top w:val="none" w:sz="0" w:space="0" w:color="auto"/>
            <w:left w:val="none" w:sz="0" w:space="0" w:color="auto"/>
            <w:bottom w:val="none" w:sz="0" w:space="0" w:color="auto"/>
            <w:right w:val="none" w:sz="0" w:space="0" w:color="auto"/>
          </w:divBdr>
        </w:div>
      </w:divsChild>
    </w:div>
    <w:div w:id="1161235667">
      <w:bodyDiv w:val="1"/>
      <w:marLeft w:val="0"/>
      <w:marRight w:val="0"/>
      <w:marTop w:val="0"/>
      <w:marBottom w:val="0"/>
      <w:divBdr>
        <w:top w:val="none" w:sz="0" w:space="0" w:color="auto"/>
        <w:left w:val="none" w:sz="0" w:space="0" w:color="auto"/>
        <w:bottom w:val="none" w:sz="0" w:space="0" w:color="auto"/>
        <w:right w:val="none" w:sz="0" w:space="0" w:color="auto"/>
      </w:divBdr>
    </w:div>
    <w:div w:id="1651014389">
      <w:bodyDiv w:val="1"/>
      <w:marLeft w:val="0"/>
      <w:marRight w:val="0"/>
      <w:marTop w:val="0"/>
      <w:marBottom w:val="0"/>
      <w:divBdr>
        <w:top w:val="none" w:sz="0" w:space="0" w:color="auto"/>
        <w:left w:val="none" w:sz="0" w:space="0" w:color="auto"/>
        <w:bottom w:val="none" w:sz="0" w:space="0" w:color="auto"/>
        <w:right w:val="none" w:sz="0" w:space="0" w:color="auto"/>
      </w:divBdr>
    </w:div>
    <w:div w:id="1655991698">
      <w:bodyDiv w:val="1"/>
      <w:marLeft w:val="0"/>
      <w:marRight w:val="0"/>
      <w:marTop w:val="0"/>
      <w:marBottom w:val="0"/>
      <w:divBdr>
        <w:top w:val="none" w:sz="0" w:space="0" w:color="auto"/>
        <w:left w:val="none" w:sz="0" w:space="0" w:color="auto"/>
        <w:bottom w:val="none" w:sz="0" w:space="0" w:color="auto"/>
        <w:right w:val="none" w:sz="0" w:space="0" w:color="auto"/>
      </w:divBdr>
      <w:divsChild>
        <w:div w:id="984165501">
          <w:marLeft w:val="0"/>
          <w:marRight w:val="0"/>
          <w:marTop w:val="0"/>
          <w:marBottom w:val="0"/>
          <w:divBdr>
            <w:top w:val="single" w:sz="6" w:space="0" w:color="auto"/>
            <w:left w:val="single" w:sz="6" w:space="0" w:color="auto"/>
            <w:bottom w:val="single" w:sz="6" w:space="0" w:color="auto"/>
            <w:right w:val="single" w:sz="6" w:space="0" w:color="auto"/>
          </w:divBdr>
        </w:div>
      </w:divsChild>
    </w:div>
    <w:div w:id="1753971147">
      <w:bodyDiv w:val="1"/>
      <w:marLeft w:val="0"/>
      <w:marRight w:val="0"/>
      <w:marTop w:val="0"/>
      <w:marBottom w:val="0"/>
      <w:divBdr>
        <w:top w:val="none" w:sz="0" w:space="0" w:color="auto"/>
        <w:left w:val="none" w:sz="0" w:space="0" w:color="auto"/>
        <w:bottom w:val="none" w:sz="0" w:space="0" w:color="auto"/>
        <w:right w:val="none" w:sz="0" w:space="0" w:color="auto"/>
      </w:divBdr>
    </w:div>
    <w:div w:id="1859614653">
      <w:bodyDiv w:val="1"/>
      <w:marLeft w:val="0"/>
      <w:marRight w:val="0"/>
      <w:marTop w:val="0"/>
      <w:marBottom w:val="0"/>
      <w:divBdr>
        <w:top w:val="none" w:sz="0" w:space="0" w:color="auto"/>
        <w:left w:val="none" w:sz="0" w:space="0" w:color="auto"/>
        <w:bottom w:val="none" w:sz="0" w:space="0" w:color="auto"/>
        <w:right w:val="none" w:sz="0" w:space="0" w:color="auto"/>
      </w:divBdr>
    </w:div>
    <w:div w:id="2033609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ystemJP\Documents\Freelancing\SNAP.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ystemJP\Documents\Freelancing\SNA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scatterChart>
        <c:scatterStyle val="lineMarker"/>
        <c:ser>
          <c:idx val="0"/>
          <c:order val="0"/>
          <c:tx>
            <c:strRef>
              <c:f>'Call Option'!$J$11:$J$12</c:f>
              <c:strCache>
                <c:ptCount val="2"/>
                <c:pt idx="1">
                  <c:v>Payoff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'Call Option'!$I$13:$I$19</c:f>
              <c:numCache>
                <c:formatCode>General</c:formatCode>
                <c:ptCount val="7"/>
                <c:pt idx="0">
                  <c:v>110</c:v>
                </c:pt>
                <c:pt idx="1">
                  <c:v>120</c:v>
                </c:pt>
                <c:pt idx="2">
                  <c:v>130</c:v>
                </c:pt>
                <c:pt idx="3">
                  <c:v>140</c:v>
                </c:pt>
                <c:pt idx="4">
                  <c:v>150</c:v>
                </c:pt>
                <c:pt idx="5">
                  <c:v>160</c:v>
                </c:pt>
                <c:pt idx="6">
                  <c:v>170</c:v>
                </c:pt>
              </c:numCache>
            </c:numRef>
          </c:xVal>
          <c:yVal>
            <c:numRef>
              <c:f>'Call Option'!$J$13:$J$19</c:f>
              <c:numCache>
                <c:formatCode>General</c:formatCode>
                <c:ptCount val="7"/>
                <c:pt idx="0">
                  <c:v>-20</c:v>
                </c:pt>
                <c:pt idx="1">
                  <c:v>-10</c:v>
                </c:pt>
                <c:pt idx="2">
                  <c:v>0</c:v>
                </c:pt>
                <c:pt idx="3">
                  <c:v>0</c:v>
                </c:pt>
                <c:pt idx="4">
                  <c:v>0</c:v>
                </c:pt>
                <c:pt idx="5">
                  <c:v>9.06</c:v>
                </c:pt>
                <c:pt idx="6">
                  <c:v>19.059999999999999</c:v>
                </c:pt>
              </c:numCache>
            </c:numRef>
          </c:yVal>
          <c:extLst xmlns:c16r2="http://schemas.microsoft.com/office/drawing/2015/06/chart">
            <c:ext xmlns:c16="http://schemas.microsoft.com/office/drawing/2014/chart" uri="{C3380CC4-5D6E-409C-BE32-E72D297353CC}">
              <c16:uniqueId val="{00000000-A292-4CBA-B34F-AD6674AC52E0}"/>
            </c:ext>
          </c:extLst>
        </c:ser>
        <c:axId val="69846912"/>
        <c:axId val="80270848"/>
      </c:scatterChart>
      <c:valAx>
        <c:axId val="69846912"/>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70848"/>
        <c:crosses val="autoZero"/>
        <c:crossBetween val="midCat"/>
      </c:valAx>
      <c:valAx>
        <c:axId val="80270848"/>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46912"/>
        <c:crosses val="autoZero"/>
        <c:crossBetween val="midCat"/>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scatterChart>
        <c:scatterStyle val="lineMarker"/>
        <c:ser>
          <c:idx val="0"/>
          <c:order val="0"/>
          <c:tx>
            <c:strRef>
              <c:f>'Put Option'!$J$8</c:f>
              <c:strCache>
                <c:ptCount val="1"/>
                <c:pt idx="0">
                  <c:v>Payoff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'Put Option'!$I$9:$I$15</c:f>
              <c:numCache>
                <c:formatCode>General</c:formatCode>
                <c:ptCount val="7"/>
                <c:pt idx="0">
                  <c:v>100</c:v>
                </c:pt>
                <c:pt idx="1">
                  <c:v>110</c:v>
                </c:pt>
                <c:pt idx="2">
                  <c:v>120</c:v>
                </c:pt>
                <c:pt idx="3">
                  <c:v>125</c:v>
                </c:pt>
                <c:pt idx="4">
                  <c:v>130</c:v>
                </c:pt>
                <c:pt idx="5">
                  <c:v>140</c:v>
                </c:pt>
                <c:pt idx="6">
                  <c:v>150</c:v>
                </c:pt>
              </c:numCache>
            </c:numRef>
          </c:xVal>
          <c:yVal>
            <c:numRef>
              <c:f>'Put Option'!$J$9:$J$15</c:f>
              <c:numCache>
                <c:formatCode>General</c:formatCode>
                <c:ptCount val="7"/>
                <c:pt idx="0">
                  <c:v>25</c:v>
                </c:pt>
                <c:pt idx="1">
                  <c:v>15</c:v>
                </c:pt>
                <c:pt idx="2">
                  <c:v>5</c:v>
                </c:pt>
                <c:pt idx="3">
                  <c:v>0</c:v>
                </c:pt>
                <c:pt idx="4">
                  <c:v>-4</c:v>
                </c:pt>
                <c:pt idx="5">
                  <c:v>-14</c:v>
                </c:pt>
                <c:pt idx="6">
                  <c:v>-24</c:v>
                </c:pt>
              </c:numCache>
            </c:numRef>
          </c:yVal>
          <c:extLst xmlns:c16r2="http://schemas.microsoft.com/office/drawing/2015/06/chart">
            <c:ext xmlns:c16="http://schemas.microsoft.com/office/drawing/2014/chart" uri="{C3380CC4-5D6E-409C-BE32-E72D297353CC}">
              <c16:uniqueId val="{00000000-16F1-438F-8CC7-EFB588E2CF1B}"/>
            </c:ext>
          </c:extLst>
        </c:ser>
        <c:axId val="111973888"/>
        <c:axId val="111975424"/>
      </c:scatterChart>
      <c:valAx>
        <c:axId val="111973888"/>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75424"/>
        <c:crosses val="autoZero"/>
        <c:crossBetween val="midCat"/>
      </c:valAx>
      <c:valAx>
        <c:axId val="111975424"/>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973888"/>
        <c:crosses val="autoZero"/>
        <c:crossBetween val="midCat"/>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029BB-B5EA-449C-936B-EE1268807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5114</Words>
  <Characters>29153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CIPL</dc:creator>
  <cp:lastModifiedBy>CIPL</cp:lastModifiedBy>
  <cp:revision>2</cp:revision>
  <dcterms:created xsi:type="dcterms:W3CDTF">2024-04-28T18:34:00Z</dcterms:created>
  <dcterms:modified xsi:type="dcterms:W3CDTF">2024-04-28T18:34:00Z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e815974c-1afa-47d5-a1dd-8541b68c2244</vt:lpwstr>
  </property>
</Properties>
</file>