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063FE" w14:textId="795AAED3" w:rsidR="0056630A" w:rsidRDefault="6334275A" w:rsidP="1F82A51F">
      <w:pPr>
        <w:jc w:val="center"/>
        <w:rPr>
          <w:rFonts w:ascii="Arial" w:eastAsia="Arial" w:hAnsi="Arial" w:cs="Arial"/>
          <w:b/>
          <w:bCs/>
          <w:color w:val="000000" w:themeColor="text1"/>
          <w:sz w:val="24"/>
          <w:szCs w:val="24"/>
        </w:rPr>
      </w:pPr>
      <w:r w:rsidRPr="1F82A51F">
        <w:rPr>
          <w:rFonts w:ascii="Arial" w:eastAsia="Arial" w:hAnsi="Arial" w:cs="Arial"/>
          <w:b/>
          <w:bCs/>
          <w:color w:val="000000" w:themeColor="text1"/>
          <w:sz w:val="24"/>
          <w:szCs w:val="24"/>
        </w:rPr>
        <w:t xml:space="preserve">1,500 WORDS NEEDED </w:t>
      </w:r>
    </w:p>
    <w:p w14:paraId="49687AC0" w14:textId="75108008" w:rsidR="0056630A" w:rsidRDefault="6334275A" w:rsidP="1F82A51F">
      <w:pPr>
        <w:jc w:val="center"/>
        <w:rPr>
          <w:rFonts w:ascii="Arial" w:eastAsia="Arial" w:hAnsi="Arial" w:cs="Arial"/>
          <w:b/>
          <w:bCs/>
          <w:color w:val="000000" w:themeColor="text1"/>
          <w:sz w:val="24"/>
          <w:szCs w:val="24"/>
        </w:rPr>
      </w:pPr>
      <w:r w:rsidRPr="1F82A51F">
        <w:rPr>
          <w:rFonts w:ascii="Arial" w:eastAsia="Arial" w:hAnsi="Arial" w:cs="Arial"/>
          <w:b/>
          <w:bCs/>
          <w:color w:val="000000" w:themeColor="text1"/>
          <w:sz w:val="24"/>
          <w:szCs w:val="24"/>
        </w:rPr>
        <w:t xml:space="preserve">1,658 WORDS GOT </w:t>
      </w:r>
    </w:p>
    <w:p w14:paraId="4CB3C7DD" w14:textId="0ABC9B3E" w:rsidR="0056630A" w:rsidRDefault="5112DB43" w:rsidP="477F6D6B">
      <w:pPr>
        <w:jc w:val="center"/>
        <w:rPr>
          <w:rFonts w:ascii="Arial" w:eastAsia="Arial" w:hAnsi="Arial" w:cs="Arial"/>
          <w:b/>
          <w:bCs/>
          <w:color w:val="000000" w:themeColor="text1"/>
          <w:sz w:val="24"/>
          <w:szCs w:val="24"/>
        </w:rPr>
      </w:pPr>
      <w:r w:rsidRPr="1F82A51F">
        <w:rPr>
          <w:rFonts w:ascii="Arial" w:eastAsia="Arial" w:hAnsi="Arial" w:cs="Arial"/>
          <w:b/>
          <w:bCs/>
          <w:color w:val="000000" w:themeColor="text1"/>
          <w:sz w:val="24"/>
          <w:szCs w:val="24"/>
        </w:rPr>
        <w:t>What changes did the Coroners and Justice Act (2009) make to the defence of diminished responsibility? Did these amendments change the law in this area for the better?</w:t>
      </w:r>
    </w:p>
    <w:p w14:paraId="2D6BBEFF" w14:textId="1F7C4245" w:rsidR="0056630A" w:rsidRDefault="0B4B5D8E" w:rsidP="477F6D6B">
      <w:pPr>
        <w:rPr>
          <w:rFonts w:ascii="Arial" w:eastAsia="Arial" w:hAnsi="Arial" w:cs="Arial"/>
          <w:sz w:val="24"/>
          <w:szCs w:val="24"/>
        </w:rPr>
      </w:pPr>
      <w:r w:rsidRPr="1F82A51F">
        <w:rPr>
          <w:rFonts w:ascii="Arial" w:eastAsia="Arial" w:hAnsi="Arial" w:cs="Arial"/>
          <w:color w:val="000000" w:themeColor="text1"/>
          <w:sz w:val="24"/>
          <w:szCs w:val="24"/>
        </w:rPr>
        <w:t xml:space="preserve"> </w:t>
      </w:r>
      <w:r w:rsidR="009E3BC0">
        <w:rPr>
          <w:rFonts w:ascii="Arial" w:eastAsia="Arial" w:hAnsi="Arial" w:cs="Arial"/>
          <w:color w:val="000000" w:themeColor="text1"/>
          <w:sz w:val="24"/>
          <w:szCs w:val="24"/>
        </w:rPr>
        <w:t>T</w:t>
      </w:r>
      <w:r w:rsidRPr="1F82A51F">
        <w:rPr>
          <w:rFonts w:ascii="Arial" w:eastAsia="Arial" w:hAnsi="Arial" w:cs="Arial"/>
          <w:color w:val="000000" w:themeColor="text1"/>
          <w:sz w:val="24"/>
          <w:szCs w:val="24"/>
        </w:rPr>
        <w:t>his essay</w:t>
      </w:r>
      <w:r w:rsidR="00B94C8F">
        <w:rPr>
          <w:rFonts w:ascii="Arial" w:eastAsia="Arial" w:hAnsi="Arial" w:cs="Arial"/>
          <w:color w:val="000000" w:themeColor="text1"/>
          <w:sz w:val="24"/>
          <w:szCs w:val="24"/>
        </w:rPr>
        <w:t xml:space="preserve"> </w:t>
      </w:r>
      <w:r w:rsidR="009E3BC0">
        <w:rPr>
          <w:rFonts w:ascii="Arial" w:eastAsia="Arial" w:hAnsi="Arial" w:cs="Arial"/>
          <w:color w:val="000000" w:themeColor="text1"/>
          <w:sz w:val="24"/>
          <w:szCs w:val="24"/>
        </w:rPr>
        <w:t>will include</w:t>
      </w:r>
      <w:r w:rsidRPr="1F82A51F">
        <w:rPr>
          <w:rFonts w:ascii="Arial" w:eastAsia="Arial" w:hAnsi="Arial" w:cs="Arial"/>
          <w:color w:val="000000" w:themeColor="text1"/>
          <w:sz w:val="24"/>
          <w:szCs w:val="24"/>
        </w:rPr>
        <w:t xml:space="preserve"> discussing the </w:t>
      </w:r>
      <w:r w:rsidR="16E4C3E9" w:rsidRPr="1F82A51F">
        <w:rPr>
          <w:rFonts w:ascii="Arial" w:eastAsia="Arial" w:hAnsi="Arial" w:cs="Arial"/>
          <w:color w:val="000000" w:themeColor="text1"/>
          <w:sz w:val="24"/>
          <w:szCs w:val="24"/>
        </w:rPr>
        <w:t>‘</w:t>
      </w:r>
      <w:r w:rsidRPr="1F82A51F">
        <w:rPr>
          <w:rFonts w:ascii="Arial" w:eastAsia="Arial" w:hAnsi="Arial" w:cs="Arial"/>
          <w:color w:val="000000" w:themeColor="text1"/>
          <w:sz w:val="24"/>
          <w:szCs w:val="24"/>
        </w:rPr>
        <w:t xml:space="preserve">What changes did the Coroners and Justice Act (2009) make to the defence of diminished responsibility? Did these amendments change the law in this area for the better? I will consider </w:t>
      </w:r>
      <w:r w:rsidRPr="1F82A51F">
        <w:rPr>
          <w:rFonts w:ascii="Arial" w:eastAsia="Arial" w:hAnsi="Arial" w:cs="Arial"/>
          <w:sz w:val="24"/>
          <w:szCs w:val="24"/>
        </w:rPr>
        <w:t>Section 2 Homicide Act 1957: What were the requirements for diminished responsibility under this legislation, why was there a need for change, how did section 52 Coroners and Justice Act 2009 change the law, what are the advantages and disadvantages of these changes, Are there any recommendations for further reform within this area of law?</w:t>
      </w:r>
      <w:r w:rsidR="61714301" w:rsidRPr="1F82A51F">
        <w:rPr>
          <w:rFonts w:ascii="Arial" w:eastAsia="Arial" w:hAnsi="Arial" w:cs="Arial"/>
          <w:sz w:val="24"/>
          <w:szCs w:val="24"/>
        </w:rPr>
        <w:t xml:space="preserve">’ </w:t>
      </w:r>
    </w:p>
    <w:p w14:paraId="0FF3FEC0" w14:textId="77777777" w:rsidR="006235D4" w:rsidRDefault="297CEE6D" w:rsidP="1F82A51F">
      <w:pPr>
        <w:rPr>
          <w:rFonts w:ascii="Arial" w:eastAsia="Arial" w:hAnsi="Arial" w:cs="Arial"/>
          <w:sz w:val="24"/>
          <w:szCs w:val="24"/>
        </w:rPr>
      </w:pPr>
      <w:r w:rsidRPr="1F82A51F">
        <w:rPr>
          <w:rFonts w:ascii="Arial" w:eastAsia="Arial" w:hAnsi="Arial" w:cs="Arial"/>
          <w:sz w:val="24"/>
          <w:szCs w:val="24"/>
        </w:rPr>
        <w:t>The Coroners and Justice Act of 2009 (the "2009 Act"), calls for certain structural adjustments to the coroner system. It establishes the office of Chief Coroner as the new national leader of the coroner system. It also makes new provisions relating to coroner regions, creates new titles for coroners, and removes limits to where investigations can be held. It also introduces the new idea of "investigations" into fatalities, which, where appropriate, involves an inquest. The Act also establishes a new method of death certification (medical examiners), however this Guide does not address these modifications. The 2009 Act's primary amendments are outlined in this guide, along with any related secondary legislation: The coroners (Investigations) Regulations of 2013 (referred to as "the Investigations Regulations");</w:t>
      </w:r>
      <w:r w:rsidR="4F346046" w:rsidRPr="1F82A51F">
        <w:rPr>
          <w:rFonts w:ascii="Arial" w:eastAsia="Arial" w:hAnsi="Arial" w:cs="Arial"/>
          <w:sz w:val="24"/>
          <w:szCs w:val="24"/>
        </w:rPr>
        <w:t xml:space="preserve"> The Allowances, Fees and Expenses Regulations for Coroners (also known as "the Regulations") were passed in 2013. Unless otherwise specified, references to "sections," "Schedule," "regulations," and "rules" in this guide refer to the sections and Schedules of the 2009 Act, the Investigations Regulation, and the Inquests Rules, respectively. The following Annexes, which summarise some of the key changes made by the 2009 Act, the new procedures, and the new rules and regulations</w:t>
      </w:r>
      <w:r w:rsidR="006235D4">
        <w:rPr>
          <w:rFonts w:ascii="Arial" w:eastAsia="Arial" w:hAnsi="Arial" w:cs="Arial"/>
          <w:sz w:val="24"/>
          <w:szCs w:val="24"/>
        </w:rPr>
        <w:t xml:space="preserve">. </w:t>
      </w:r>
      <w:r w:rsidR="0135DC33" w:rsidRPr="1F82A51F">
        <w:rPr>
          <w:rFonts w:ascii="Arial" w:eastAsia="Arial" w:hAnsi="Arial" w:cs="Arial"/>
          <w:sz w:val="24"/>
          <w:szCs w:val="24"/>
        </w:rPr>
        <w:t>From this point forward, the new system will govern all investigations, including those into fatalities that were already being investigated by a coroner and those that had reached the inquest stage. There are transitional provisions in both the Investigations Regulations and the Inquests Rules, meaning that any decision made by a coroner before the new arrangements went into effect (including any post-mortem examinations or any directions, time limits, adjournments or other decisions made by the coroner) remains valid. Accordingly, any deaths that were reported before the new arrangements went into effect do not need to be handled</w:t>
      </w:r>
      <w:r w:rsidR="71B279CD" w:rsidRPr="1F82A51F">
        <w:rPr>
          <w:rFonts w:ascii="Arial" w:eastAsia="Arial" w:hAnsi="Arial" w:cs="Arial"/>
          <w:sz w:val="24"/>
          <w:szCs w:val="24"/>
        </w:rPr>
        <w:t xml:space="preserve"> 1984 Rules.</w:t>
      </w:r>
      <w:r w:rsidR="6F0F8ECE" w:rsidRPr="1F82A51F">
        <w:rPr>
          <w:rFonts w:ascii="Arial" w:eastAsia="Arial" w:hAnsi="Arial" w:cs="Arial"/>
          <w:sz w:val="24"/>
          <w:szCs w:val="24"/>
        </w:rPr>
        <w:t xml:space="preserve"> To offer judicial oversight of the coroner system, the 2009 Act establishes the new position of Chief Coroner. The Chief Coroner's primary duties include supporting, directing, and leading coroners; setting national standards for all coroners; creating training for coroners and their staff; approving all future coroner appointments; maintaining a register of coroner investigations lasting longer than 12 months; coordinating case transfers among coroners; and monitoring inquiries into the deaths of service members abroad. Senior judge must serve as the Chief Coroner.</w:t>
      </w:r>
      <w:r w:rsidR="061550F4" w:rsidRPr="1F82A51F">
        <w:rPr>
          <w:rFonts w:ascii="Arial" w:eastAsia="Arial" w:hAnsi="Arial" w:cs="Arial"/>
          <w:sz w:val="24"/>
          <w:szCs w:val="24"/>
        </w:rPr>
        <w:t xml:space="preserve"> According to Section 35, the Chief Coroner must be a senior judge appointed by the Lord Chief Justice following a public search (with the Lord Chancellor's approval) for a period determined by the Lord Chief Justice, with a retirement age of 70. Currently, the Lord Chief Justice has no plans to name Deputy Chief Coroners. The term "coroner districts" is replaced by "coroner regions" by the 2009 Act. The Lord Chancellor is authorised to issue an order setting and later changing the boundaries of the coroner areas in England and Wales under Schedule 2 to the Act.</w:t>
      </w:r>
    </w:p>
    <w:p w14:paraId="3BB30CFB" w14:textId="40FEF46E" w:rsidR="297CEE6D" w:rsidRDefault="061550F4" w:rsidP="1F82A51F">
      <w:pPr>
        <w:rPr>
          <w:rFonts w:ascii="Arial" w:eastAsia="Arial" w:hAnsi="Arial" w:cs="Arial"/>
          <w:sz w:val="24"/>
          <w:szCs w:val="24"/>
        </w:rPr>
      </w:pPr>
      <w:r w:rsidRPr="1F82A51F">
        <w:rPr>
          <w:rFonts w:ascii="Arial" w:eastAsia="Arial" w:hAnsi="Arial" w:cs="Arial"/>
          <w:sz w:val="24"/>
          <w:szCs w:val="24"/>
        </w:rPr>
        <w:t xml:space="preserve"> Each coroner area under the Act corresponds to a single or more local authority areas. Coroners and Justice Act 2009 (Coroner Areas and Assistant Coroners)</w:t>
      </w:r>
      <w:r w:rsidR="1B0D22C1" w:rsidRPr="1F82A51F">
        <w:rPr>
          <w:rFonts w:ascii="Arial" w:eastAsia="Arial" w:hAnsi="Arial" w:cs="Arial"/>
          <w:sz w:val="24"/>
          <w:szCs w:val="24"/>
        </w:rPr>
        <w:t>. Order 2013 merely renames all previously existing "districts" as "coroner areas" and maps them into the new structures. The 2009 Coroners and Justice Act is the second regulation (Alteration of Coroner Areas) Then, Order 2013 combines a few areas, particularly where one of those areas pertains to a unitary authority. The goal of Schedule 2 is to gradually reduce the number of coroner regions and increase their size so that each can support a full-time coroner caseload. This strategy complies with the Luce Review's 2003 suggestion to decrease the overall number of coroner areas. Larger coroner regions will allow local governments to save money by sharing resources and people, for example, while full-time coroners can concentrate solely on their coronial duties.</w:t>
      </w:r>
      <w:r w:rsidR="07F927B2" w:rsidRPr="1F82A51F">
        <w:rPr>
          <w:rFonts w:ascii="Arial" w:eastAsia="Arial" w:hAnsi="Arial" w:cs="Arial"/>
          <w:sz w:val="24"/>
          <w:szCs w:val="24"/>
        </w:rPr>
        <w:t xml:space="preserve"> more thoroughly hone their abilities and experiences. Additionally, this will contribute to increased uniformity of practise across disciplines. It is necessary for local authorities to agree on which of them will be the "relevant authority" (formerly known as the "lead authority" for purposes of the 2009 Act) where a coroner area encompasses one or more local authority areas. On how to combine coroner areas, advice has been given to local authorities. Even though the first amalgamations were all approved, it should be emphasised that the Lord Chancellor has the authority to change coroner districts without approval following consultation. appointments with coroners the 2009 Act modifies the appointment process, eligibility standards, and title of the coroner position. The order of coroners is as follows:</w:t>
      </w:r>
      <w:r w:rsidR="4BF46277" w:rsidRPr="1F82A51F">
        <w:rPr>
          <w:rFonts w:ascii="Arial" w:eastAsia="Arial" w:hAnsi="Arial" w:cs="Arial"/>
          <w:sz w:val="24"/>
          <w:szCs w:val="24"/>
        </w:rPr>
        <w:t xml:space="preserve"> Coroners, deputy coroners, and assistant deputy coroners made up section 6 of the 1988 Act (in that order). Senior coroners, area coroners, and assistant coroners are all recognised under the 2009 Act. Coroners who were in office when the major sections of the 1988 Act were repealed (which was concurrently with the 2009 Act's implementation) under the 2009 Act were promoted to senior coroners for their respective regions. Anyone who held the position of deputy coroner or assistant deputy coroner was also designated as the "assistant coroner" for that region. Area coroners are a brand-new position, and because to the 2009 Act's transitional rules, deputy coroners aren't necessarily now in that position. Although full-time salaried deputy coroners have transitioned to salaried assistant coroners,</w:t>
      </w:r>
      <w:r w:rsidR="057DA5BF" w:rsidRPr="1F82A51F">
        <w:rPr>
          <w:rFonts w:ascii="Arial" w:eastAsia="Arial" w:hAnsi="Arial" w:cs="Arial"/>
          <w:sz w:val="24"/>
          <w:szCs w:val="24"/>
        </w:rPr>
        <w:t xml:space="preserve"> It had been anticipated that municipal officials might think about appointing them as local coroners. According to the 2009 Act, each coroner region has one senior coroner. By order, coroners for all of Wales are still treated as senior coroners appointed to coroner areas in Wales, necessitating the appointment of an area coroner or a predetermined number of area coroners for each coroner area. There are no current intentions to use this authority, hence it is up to the relevant authority to decide whether to choose a local coroner. For example, in a coroner region that is exceptionally extensive, area coroners may be appointed to assist the senior coroner in carrying out their duties. 2013 Transitional Order for Coroner Areas and Assistant Coroners under the Coroners and Justice Act mandates that there should be a minimum of one assistant coroner in each area.</w:t>
      </w:r>
    </w:p>
    <w:p w14:paraId="1B03275F" w14:textId="1F9049DC" w:rsidR="2252D9F8" w:rsidRDefault="2252D9F8" w:rsidP="1F82A51F">
      <w:pPr>
        <w:rPr>
          <w:rFonts w:ascii="Arial" w:eastAsia="Arial" w:hAnsi="Arial" w:cs="Arial"/>
          <w:sz w:val="24"/>
          <w:szCs w:val="24"/>
        </w:rPr>
      </w:pPr>
      <w:r w:rsidRPr="1F82A51F">
        <w:rPr>
          <w:rFonts w:ascii="Arial" w:eastAsia="Arial" w:hAnsi="Arial" w:cs="Arial"/>
          <w:sz w:val="24"/>
          <w:szCs w:val="24"/>
        </w:rPr>
        <w:t xml:space="preserve">In England and Wales, the partial defence of diminished culpability for murder is covered in Section 52 of the 2009 Act. It substitutes a new, more contemporary definition of the partial defence for the </w:t>
      </w:r>
      <w:r w:rsidR="4200D914" w:rsidRPr="1F82A51F">
        <w:rPr>
          <w:rFonts w:ascii="Arial" w:eastAsia="Arial" w:hAnsi="Arial" w:cs="Arial"/>
          <w:sz w:val="24"/>
          <w:szCs w:val="24"/>
        </w:rPr>
        <w:t>pre-existing</w:t>
      </w:r>
      <w:r w:rsidRPr="1F82A51F">
        <w:rPr>
          <w:rFonts w:ascii="Arial" w:eastAsia="Arial" w:hAnsi="Arial" w:cs="Arial"/>
          <w:sz w:val="24"/>
          <w:szCs w:val="24"/>
        </w:rPr>
        <w:t xml:space="preserve"> one. It accomplishes this by adding new subsections to section 2(1) of the Homicide Act of 1957. The outcome of a good partial defence argument will nevertheless lead to a manslaughter verdict rather than a murder conviction (section 2(3) of the 1957 Act). Like this, section 2 of the Homicide Act of 1957 still requires the defence to demonstrate that the partial defence is applicable on the balance of probability.</w:t>
      </w:r>
      <w:r w:rsidR="5532F6A5" w:rsidRPr="1F82A51F">
        <w:rPr>
          <w:rFonts w:ascii="Arial" w:eastAsia="Arial" w:hAnsi="Arial" w:cs="Arial"/>
          <w:sz w:val="24"/>
          <w:szCs w:val="24"/>
        </w:rPr>
        <w:t xml:space="preserve"> A defendant who would normally be found guilty of murder will instead be found guilty of manslaughter under the common law partial provocation defence if he or she was caused to lose control by words or deeds (or both). If the jury concludes that the provocation was sufficient to cause a reasonable person to act in the defendant's manner, the defence will be successful. The 2009 Act's Section 56 eliminates this limited defence. The 2009 Act's Sections 54 and 55 together introduce a new partial defence to murder known as "loss of control." The conditions under which the new partial defence of loss of control for murder is allowed are outlined in Section 54(1). They are the ones that Section 54(1)(a) of the Act states that the defendant must be in one of three circumstances (referred to as "qualifying triggers") now of the offence in order to lose control and kill a person. The following situations qualify as qualifying triggers: when the defendant fears serious physical harm; when certain statements or actions amount to extremely grave circumstances; when the defendant has a justifiable sense of having been seriously wronged; or when the first two circumstances apply in tandem. In section 55, the qualifying triggers are thoroughly stated. components of the partial defence of loss of control that are present in both limbs Regardless of which of these qualifying triggers is</w:t>
      </w:r>
      <w:r w:rsidR="607ABD65" w:rsidRPr="1F82A51F">
        <w:rPr>
          <w:rFonts w:ascii="Arial" w:eastAsia="Arial" w:hAnsi="Arial" w:cs="Arial"/>
          <w:sz w:val="24"/>
          <w:szCs w:val="24"/>
        </w:rPr>
        <w:t xml:space="preserve"> implies that the defendant might have acted similarly to someone who shared certain traits. According to section 5</w:t>
      </w:r>
      <w:r w:rsidR="2A7017AE" w:rsidRPr="1F82A51F">
        <w:rPr>
          <w:rFonts w:ascii="Arial" w:eastAsia="Arial" w:hAnsi="Arial" w:cs="Arial"/>
          <w:sz w:val="24"/>
          <w:szCs w:val="24"/>
        </w:rPr>
        <w:t>4</w:t>
      </w:r>
      <w:r w:rsidR="607ABD65" w:rsidRPr="1F82A51F">
        <w:rPr>
          <w:rFonts w:ascii="Arial" w:eastAsia="Arial" w:hAnsi="Arial" w:cs="Arial"/>
          <w:sz w:val="24"/>
          <w:szCs w:val="24"/>
        </w:rPr>
        <w:t xml:space="preserve">, these traits include I their similarity in age and sex to the defendant; (ii) their similarity in tolerance and self-control; and (iii) their similarity in setting. The defendant's circumstances in this context encompass all circumstances, except for those that solely </w:t>
      </w:r>
      <w:r w:rsidR="0CA5892C" w:rsidRPr="1F82A51F">
        <w:rPr>
          <w:rFonts w:ascii="Arial" w:eastAsia="Arial" w:hAnsi="Arial" w:cs="Arial"/>
          <w:sz w:val="24"/>
          <w:szCs w:val="24"/>
        </w:rPr>
        <w:t>influence</w:t>
      </w:r>
      <w:r w:rsidR="607ABD65" w:rsidRPr="1F82A51F">
        <w:rPr>
          <w:rFonts w:ascii="Arial" w:eastAsia="Arial" w:hAnsi="Arial" w:cs="Arial"/>
          <w:sz w:val="24"/>
          <w:szCs w:val="24"/>
        </w:rPr>
        <w:t xml:space="preserve"> the defendant's general ability to tolerate and exercise restraint section 54. In other words, if the defendant is known to have a bad temper, the jury may not consider this in their decision. Alternatively, a person's The victim's history of abuse by others may be taken into consideration. Therefore, the jury must assess whether a woman of that age with that history and with an average degree of tolerance and self-control may have done the same or something </w:t>
      </w:r>
      <w:r w:rsidR="3C36C973" w:rsidRPr="1F82A51F">
        <w:rPr>
          <w:rFonts w:ascii="Arial" w:eastAsia="Arial" w:hAnsi="Arial" w:cs="Arial"/>
          <w:sz w:val="24"/>
          <w:szCs w:val="24"/>
        </w:rPr>
        <w:t>like</w:t>
      </w:r>
      <w:r w:rsidR="607ABD65" w:rsidRPr="1F82A51F">
        <w:rPr>
          <w:rFonts w:ascii="Arial" w:eastAsia="Arial" w:hAnsi="Arial" w:cs="Arial"/>
          <w:sz w:val="24"/>
          <w:szCs w:val="24"/>
        </w:rPr>
        <w:t xml:space="preserve"> their spouse if the defendant, for example, was a 23-year-old woman who routinely beat the partner she killed.</w:t>
      </w:r>
      <w:r w:rsidR="1844B8C6" w:rsidRPr="1F82A51F">
        <w:rPr>
          <w:rFonts w:ascii="Arial" w:eastAsia="Arial" w:hAnsi="Arial" w:cs="Arial"/>
          <w:sz w:val="24"/>
          <w:szCs w:val="24"/>
        </w:rPr>
        <w:t xml:space="preserve"> </w:t>
      </w:r>
    </w:p>
    <w:p w14:paraId="49C283DE" w14:textId="2DB9FCA8" w:rsidR="0056630A" w:rsidRDefault="0056630A" w:rsidP="477F6D6B"/>
    <w:p w14:paraId="5E5787A5" w14:textId="0B99886F" w:rsidR="0056630A" w:rsidRDefault="3251483F" w:rsidP="477F6D6B">
      <w:pPr>
        <w:rPr>
          <w:b/>
          <w:bCs/>
          <w:sz w:val="28"/>
          <w:szCs w:val="28"/>
          <w:u w:val="single"/>
        </w:rPr>
      </w:pPr>
      <w:r w:rsidRPr="1F82A51F">
        <w:rPr>
          <w:b/>
          <w:bCs/>
          <w:sz w:val="28"/>
          <w:szCs w:val="28"/>
          <w:u w:val="single"/>
        </w:rPr>
        <w:t>Referencing</w:t>
      </w:r>
      <w:r w:rsidRPr="1F82A51F">
        <w:rPr>
          <w:b/>
          <w:bCs/>
          <w:sz w:val="28"/>
          <w:szCs w:val="28"/>
        </w:rPr>
        <w:t xml:space="preserve"> </w:t>
      </w:r>
    </w:p>
    <w:p w14:paraId="3B513D31" w14:textId="24230CB6" w:rsidR="29324F16" w:rsidRDefault="00000000" w:rsidP="1F82A51F">
      <w:hyperlink r:id="rId7">
        <w:r w:rsidR="29324F16" w:rsidRPr="1F82A51F">
          <w:rPr>
            <w:rStyle w:val="Hyperlink"/>
            <w:sz w:val="28"/>
            <w:szCs w:val="28"/>
            <w:u w:val="none"/>
          </w:rPr>
          <w:t>https://www.justice.gov.uk/downloads/legislation/bills-acts/circulars/moj/2010/circular-12-2010-coroners-justice-act-homicide-provisions.pdf</w:t>
        </w:r>
      </w:hyperlink>
    </w:p>
    <w:p w14:paraId="7E51FA25" w14:textId="11B3570A" w:rsidR="0BE43C23" w:rsidRDefault="00000000" w:rsidP="1F82A51F">
      <w:hyperlink r:id="rId8">
        <w:r w:rsidR="0BE43C23" w:rsidRPr="1F82A51F">
          <w:rPr>
            <w:rStyle w:val="Hyperlink"/>
            <w:sz w:val="28"/>
            <w:szCs w:val="28"/>
            <w:u w:val="none"/>
          </w:rPr>
          <w:t>https://www.legislation.gov.uk/ukpga/Eliz2/5-6/11/section/3/enacted</w:t>
        </w:r>
      </w:hyperlink>
    </w:p>
    <w:p w14:paraId="38ED07AC" w14:textId="0B44FAEC" w:rsidR="0BE43C23" w:rsidRDefault="00000000" w:rsidP="1F82A51F">
      <w:hyperlink r:id="rId9">
        <w:r w:rsidR="0BE43C23" w:rsidRPr="1F82A51F">
          <w:rPr>
            <w:rStyle w:val="Hyperlink"/>
            <w:sz w:val="28"/>
            <w:szCs w:val="28"/>
            <w:u w:val="none"/>
          </w:rPr>
          <w:t>https://www.judiciary.uk/wp-content/uploads/2022/07/chief-coroners-guide-to-act-sept2013.pdf</w:t>
        </w:r>
      </w:hyperlink>
    </w:p>
    <w:p w14:paraId="1D354638" w14:textId="53E78B79" w:rsidR="1F82A51F" w:rsidRDefault="1F82A51F" w:rsidP="1F82A51F">
      <w:pPr>
        <w:rPr>
          <w:b/>
          <w:bCs/>
          <w:sz w:val="28"/>
          <w:szCs w:val="28"/>
        </w:rPr>
      </w:pPr>
    </w:p>
    <w:sectPr w:rsidR="1F82A51F">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C11E0" w14:textId="77777777" w:rsidR="00B04A44" w:rsidRDefault="00B04A44">
      <w:pPr>
        <w:spacing w:after="0" w:line="240" w:lineRule="auto"/>
      </w:pPr>
      <w:r>
        <w:separator/>
      </w:r>
    </w:p>
  </w:endnote>
  <w:endnote w:type="continuationSeparator" w:id="0">
    <w:p w14:paraId="70157A84" w14:textId="77777777" w:rsidR="00B04A44" w:rsidRDefault="00B04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sans-serif">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9495222" w14:paraId="726D48B0" w14:textId="77777777" w:rsidTr="39495222">
      <w:trPr>
        <w:trHeight w:val="300"/>
      </w:trPr>
      <w:tc>
        <w:tcPr>
          <w:tcW w:w="3005" w:type="dxa"/>
        </w:tcPr>
        <w:p w14:paraId="4671F05D" w14:textId="6C59BE8F" w:rsidR="39495222" w:rsidRDefault="39495222" w:rsidP="39495222">
          <w:pPr>
            <w:pStyle w:val="Header"/>
            <w:ind w:left="-115"/>
          </w:pPr>
        </w:p>
      </w:tc>
      <w:tc>
        <w:tcPr>
          <w:tcW w:w="3005" w:type="dxa"/>
        </w:tcPr>
        <w:p w14:paraId="0B1CF136" w14:textId="69F5A1A8" w:rsidR="39495222" w:rsidRDefault="39495222" w:rsidP="39495222">
          <w:pPr>
            <w:pStyle w:val="Header"/>
            <w:jc w:val="center"/>
          </w:pPr>
        </w:p>
      </w:tc>
      <w:tc>
        <w:tcPr>
          <w:tcW w:w="3005" w:type="dxa"/>
        </w:tcPr>
        <w:p w14:paraId="540B8A7E" w14:textId="09A0EEB6" w:rsidR="39495222" w:rsidRDefault="39495222" w:rsidP="39495222">
          <w:pPr>
            <w:pStyle w:val="Header"/>
            <w:ind w:right="-115"/>
            <w:jc w:val="right"/>
          </w:pPr>
        </w:p>
      </w:tc>
    </w:tr>
  </w:tbl>
  <w:p w14:paraId="50EEB881" w14:textId="075EE430" w:rsidR="39495222" w:rsidRDefault="39495222" w:rsidP="39495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30E4B" w14:textId="77777777" w:rsidR="00B04A44" w:rsidRDefault="00B04A44">
      <w:pPr>
        <w:spacing w:after="0" w:line="240" w:lineRule="auto"/>
      </w:pPr>
      <w:r>
        <w:separator/>
      </w:r>
    </w:p>
  </w:footnote>
  <w:footnote w:type="continuationSeparator" w:id="0">
    <w:p w14:paraId="34285DC7" w14:textId="77777777" w:rsidR="00B04A44" w:rsidRDefault="00B04A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9495222" w14:paraId="4CB794B1" w14:textId="77777777" w:rsidTr="39495222">
      <w:trPr>
        <w:trHeight w:val="300"/>
      </w:trPr>
      <w:tc>
        <w:tcPr>
          <w:tcW w:w="3005" w:type="dxa"/>
        </w:tcPr>
        <w:p w14:paraId="5488073E" w14:textId="72F0FBA7" w:rsidR="39495222" w:rsidRDefault="39495222" w:rsidP="39495222">
          <w:pPr>
            <w:pStyle w:val="Header"/>
            <w:ind w:left="-115"/>
          </w:pPr>
          <w:r>
            <w:t xml:space="preserve">Ellie Jones </w:t>
          </w:r>
        </w:p>
      </w:tc>
      <w:tc>
        <w:tcPr>
          <w:tcW w:w="3005" w:type="dxa"/>
        </w:tcPr>
        <w:p w14:paraId="5B4FC2AC" w14:textId="67AB3094" w:rsidR="39495222" w:rsidRDefault="39495222" w:rsidP="39495222">
          <w:pPr>
            <w:pStyle w:val="Header"/>
            <w:jc w:val="center"/>
          </w:pPr>
        </w:p>
      </w:tc>
      <w:tc>
        <w:tcPr>
          <w:tcW w:w="3005" w:type="dxa"/>
        </w:tcPr>
        <w:p w14:paraId="55FA2127" w14:textId="4092A4D6" w:rsidR="39495222" w:rsidRDefault="39495222" w:rsidP="39495222">
          <w:pPr>
            <w:pStyle w:val="Header"/>
            <w:ind w:right="-115"/>
            <w:jc w:val="right"/>
          </w:pPr>
          <w:r>
            <w:t xml:space="preserve">Student number- 2205267 </w:t>
          </w:r>
        </w:p>
        <w:p w14:paraId="02EC3B54" w14:textId="33F8F544" w:rsidR="39495222" w:rsidRDefault="39495222" w:rsidP="39495222">
          <w:pPr>
            <w:pStyle w:val="Header"/>
            <w:ind w:right="-115"/>
            <w:jc w:val="right"/>
          </w:pPr>
        </w:p>
      </w:tc>
    </w:tr>
  </w:tbl>
  <w:p w14:paraId="17A1DA98" w14:textId="46AFFF4B" w:rsidR="39495222" w:rsidRDefault="39495222" w:rsidP="3949522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468AF"/>
    <w:multiLevelType w:val="hybridMultilevel"/>
    <w:tmpl w:val="FFFFFFFF"/>
    <w:lvl w:ilvl="0" w:tplc="C516558C">
      <w:start w:val="1"/>
      <w:numFmt w:val="bullet"/>
      <w:lvlText w:val="-"/>
      <w:lvlJc w:val="left"/>
      <w:pPr>
        <w:ind w:left="720" w:hanging="360"/>
      </w:pPr>
      <w:rPr>
        <w:rFonts w:ascii="Arial, sans-serif" w:hAnsi="Arial, sans-serif" w:hint="default"/>
      </w:rPr>
    </w:lvl>
    <w:lvl w:ilvl="1" w:tplc="40267ECC">
      <w:start w:val="1"/>
      <w:numFmt w:val="bullet"/>
      <w:lvlText w:val="o"/>
      <w:lvlJc w:val="left"/>
      <w:pPr>
        <w:ind w:left="1440" w:hanging="360"/>
      </w:pPr>
      <w:rPr>
        <w:rFonts w:ascii="Courier New" w:hAnsi="Courier New" w:hint="default"/>
      </w:rPr>
    </w:lvl>
    <w:lvl w:ilvl="2" w:tplc="BA3CFDB6">
      <w:start w:val="1"/>
      <w:numFmt w:val="bullet"/>
      <w:lvlText w:val=""/>
      <w:lvlJc w:val="left"/>
      <w:pPr>
        <w:ind w:left="2160" w:hanging="360"/>
      </w:pPr>
      <w:rPr>
        <w:rFonts w:ascii="Wingdings" w:hAnsi="Wingdings" w:hint="default"/>
      </w:rPr>
    </w:lvl>
    <w:lvl w:ilvl="3" w:tplc="BB6A7D9E">
      <w:start w:val="1"/>
      <w:numFmt w:val="bullet"/>
      <w:lvlText w:val=""/>
      <w:lvlJc w:val="left"/>
      <w:pPr>
        <w:ind w:left="2880" w:hanging="360"/>
      </w:pPr>
      <w:rPr>
        <w:rFonts w:ascii="Symbol" w:hAnsi="Symbol" w:hint="default"/>
      </w:rPr>
    </w:lvl>
    <w:lvl w:ilvl="4" w:tplc="76DC326E">
      <w:start w:val="1"/>
      <w:numFmt w:val="bullet"/>
      <w:lvlText w:val="o"/>
      <w:lvlJc w:val="left"/>
      <w:pPr>
        <w:ind w:left="3600" w:hanging="360"/>
      </w:pPr>
      <w:rPr>
        <w:rFonts w:ascii="Courier New" w:hAnsi="Courier New" w:hint="default"/>
      </w:rPr>
    </w:lvl>
    <w:lvl w:ilvl="5" w:tplc="2ADEEA8C">
      <w:start w:val="1"/>
      <w:numFmt w:val="bullet"/>
      <w:lvlText w:val=""/>
      <w:lvlJc w:val="left"/>
      <w:pPr>
        <w:ind w:left="4320" w:hanging="360"/>
      </w:pPr>
      <w:rPr>
        <w:rFonts w:ascii="Wingdings" w:hAnsi="Wingdings" w:hint="default"/>
      </w:rPr>
    </w:lvl>
    <w:lvl w:ilvl="6" w:tplc="C054E4B0">
      <w:start w:val="1"/>
      <w:numFmt w:val="bullet"/>
      <w:lvlText w:val=""/>
      <w:lvlJc w:val="left"/>
      <w:pPr>
        <w:ind w:left="5040" w:hanging="360"/>
      </w:pPr>
      <w:rPr>
        <w:rFonts w:ascii="Symbol" w:hAnsi="Symbol" w:hint="default"/>
      </w:rPr>
    </w:lvl>
    <w:lvl w:ilvl="7" w:tplc="F9A49D96">
      <w:start w:val="1"/>
      <w:numFmt w:val="bullet"/>
      <w:lvlText w:val="o"/>
      <w:lvlJc w:val="left"/>
      <w:pPr>
        <w:ind w:left="5760" w:hanging="360"/>
      </w:pPr>
      <w:rPr>
        <w:rFonts w:ascii="Courier New" w:hAnsi="Courier New" w:hint="default"/>
      </w:rPr>
    </w:lvl>
    <w:lvl w:ilvl="8" w:tplc="3312BB88">
      <w:start w:val="1"/>
      <w:numFmt w:val="bullet"/>
      <w:lvlText w:val=""/>
      <w:lvlJc w:val="left"/>
      <w:pPr>
        <w:ind w:left="6480" w:hanging="360"/>
      </w:pPr>
      <w:rPr>
        <w:rFonts w:ascii="Wingdings" w:hAnsi="Wingdings" w:hint="default"/>
      </w:rPr>
    </w:lvl>
  </w:abstractNum>
  <w:abstractNum w:abstractNumId="1" w15:restartNumberingAfterBreak="0">
    <w:nsid w:val="32D16957"/>
    <w:multiLevelType w:val="hybridMultilevel"/>
    <w:tmpl w:val="FFFFFFFF"/>
    <w:lvl w:ilvl="0" w:tplc="D2D84F8C">
      <w:start w:val="1"/>
      <w:numFmt w:val="bullet"/>
      <w:lvlText w:val="-"/>
      <w:lvlJc w:val="left"/>
      <w:pPr>
        <w:ind w:left="720" w:hanging="360"/>
      </w:pPr>
      <w:rPr>
        <w:rFonts w:ascii="Arial, sans-serif" w:hAnsi="Arial, sans-serif" w:hint="default"/>
      </w:rPr>
    </w:lvl>
    <w:lvl w:ilvl="1" w:tplc="1B34F3CA">
      <w:start w:val="1"/>
      <w:numFmt w:val="bullet"/>
      <w:lvlText w:val="o"/>
      <w:lvlJc w:val="left"/>
      <w:pPr>
        <w:ind w:left="1440" w:hanging="360"/>
      </w:pPr>
      <w:rPr>
        <w:rFonts w:ascii="Courier New" w:hAnsi="Courier New" w:hint="default"/>
      </w:rPr>
    </w:lvl>
    <w:lvl w:ilvl="2" w:tplc="42924872">
      <w:start w:val="1"/>
      <w:numFmt w:val="bullet"/>
      <w:lvlText w:val=""/>
      <w:lvlJc w:val="left"/>
      <w:pPr>
        <w:ind w:left="2160" w:hanging="360"/>
      </w:pPr>
      <w:rPr>
        <w:rFonts w:ascii="Wingdings" w:hAnsi="Wingdings" w:hint="default"/>
      </w:rPr>
    </w:lvl>
    <w:lvl w:ilvl="3" w:tplc="B0F895F8">
      <w:start w:val="1"/>
      <w:numFmt w:val="bullet"/>
      <w:lvlText w:val=""/>
      <w:lvlJc w:val="left"/>
      <w:pPr>
        <w:ind w:left="2880" w:hanging="360"/>
      </w:pPr>
      <w:rPr>
        <w:rFonts w:ascii="Symbol" w:hAnsi="Symbol" w:hint="default"/>
      </w:rPr>
    </w:lvl>
    <w:lvl w:ilvl="4" w:tplc="CD109E62">
      <w:start w:val="1"/>
      <w:numFmt w:val="bullet"/>
      <w:lvlText w:val="o"/>
      <w:lvlJc w:val="left"/>
      <w:pPr>
        <w:ind w:left="3600" w:hanging="360"/>
      </w:pPr>
      <w:rPr>
        <w:rFonts w:ascii="Courier New" w:hAnsi="Courier New" w:hint="default"/>
      </w:rPr>
    </w:lvl>
    <w:lvl w:ilvl="5" w:tplc="859C4392">
      <w:start w:val="1"/>
      <w:numFmt w:val="bullet"/>
      <w:lvlText w:val=""/>
      <w:lvlJc w:val="left"/>
      <w:pPr>
        <w:ind w:left="4320" w:hanging="360"/>
      </w:pPr>
      <w:rPr>
        <w:rFonts w:ascii="Wingdings" w:hAnsi="Wingdings" w:hint="default"/>
      </w:rPr>
    </w:lvl>
    <w:lvl w:ilvl="6" w:tplc="9BD2680A">
      <w:start w:val="1"/>
      <w:numFmt w:val="bullet"/>
      <w:lvlText w:val=""/>
      <w:lvlJc w:val="left"/>
      <w:pPr>
        <w:ind w:left="5040" w:hanging="360"/>
      </w:pPr>
      <w:rPr>
        <w:rFonts w:ascii="Symbol" w:hAnsi="Symbol" w:hint="default"/>
      </w:rPr>
    </w:lvl>
    <w:lvl w:ilvl="7" w:tplc="D9563A4E">
      <w:start w:val="1"/>
      <w:numFmt w:val="bullet"/>
      <w:lvlText w:val="o"/>
      <w:lvlJc w:val="left"/>
      <w:pPr>
        <w:ind w:left="5760" w:hanging="360"/>
      </w:pPr>
      <w:rPr>
        <w:rFonts w:ascii="Courier New" w:hAnsi="Courier New" w:hint="default"/>
      </w:rPr>
    </w:lvl>
    <w:lvl w:ilvl="8" w:tplc="0A64DC9E">
      <w:start w:val="1"/>
      <w:numFmt w:val="bullet"/>
      <w:lvlText w:val=""/>
      <w:lvlJc w:val="left"/>
      <w:pPr>
        <w:ind w:left="6480" w:hanging="360"/>
      </w:pPr>
      <w:rPr>
        <w:rFonts w:ascii="Wingdings" w:hAnsi="Wingdings" w:hint="default"/>
      </w:rPr>
    </w:lvl>
  </w:abstractNum>
  <w:abstractNum w:abstractNumId="2" w15:restartNumberingAfterBreak="0">
    <w:nsid w:val="3C734BB8"/>
    <w:multiLevelType w:val="hybridMultilevel"/>
    <w:tmpl w:val="FFFFFFFF"/>
    <w:lvl w:ilvl="0" w:tplc="1076C524">
      <w:start w:val="1"/>
      <w:numFmt w:val="bullet"/>
      <w:lvlText w:val="-"/>
      <w:lvlJc w:val="left"/>
      <w:pPr>
        <w:ind w:left="720" w:hanging="360"/>
      </w:pPr>
      <w:rPr>
        <w:rFonts w:ascii="Arial, sans-serif" w:hAnsi="Arial, sans-serif" w:hint="default"/>
      </w:rPr>
    </w:lvl>
    <w:lvl w:ilvl="1" w:tplc="7458F7B4">
      <w:start w:val="1"/>
      <w:numFmt w:val="bullet"/>
      <w:lvlText w:val="o"/>
      <w:lvlJc w:val="left"/>
      <w:pPr>
        <w:ind w:left="1440" w:hanging="360"/>
      </w:pPr>
      <w:rPr>
        <w:rFonts w:ascii="Courier New" w:hAnsi="Courier New" w:hint="default"/>
      </w:rPr>
    </w:lvl>
    <w:lvl w:ilvl="2" w:tplc="376CAC46">
      <w:start w:val="1"/>
      <w:numFmt w:val="bullet"/>
      <w:lvlText w:val=""/>
      <w:lvlJc w:val="left"/>
      <w:pPr>
        <w:ind w:left="2160" w:hanging="360"/>
      </w:pPr>
      <w:rPr>
        <w:rFonts w:ascii="Wingdings" w:hAnsi="Wingdings" w:hint="default"/>
      </w:rPr>
    </w:lvl>
    <w:lvl w:ilvl="3" w:tplc="AE6E618E">
      <w:start w:val="1"/>
      <w:numFmt w:val="bullet"/>
      <w:lvlText w:val=""/>
      <w:lvlJc w:val="left"/>
      <w:pPr>
        <w:ind w:left="2880" w:hanging="360"/>
      </w:pPr>
      <w:rPr>
        <w:rFonts w:ascii="Symbol" w:hAnsi="Symbol" w:hint="default"/>
      </w:rPr>
    </w:lvl>
    <w:lvl w:ilvl="4" w:tplc="ED8837FA">
      <w:start w:val="1"/>
      <w:numFmt w:val="bullet"/>
      <w:lvlText w:val="o"/>
      <w:lvlJc w:val="left"/>
      <w:pPr>
        <w:ind w:left="3600" w:hanging="360"/>
      </w:pPr>
      <w:rPr>
        <w:rFonts w:ascii="Courier New" w:hAnsi="Courier New" w:hint="default"/>
      </w:rPr>
    </w:lvl>
    <w:lvl w:ilvl="5" w:tplc="DAC44A88">
      <w:start w:val="1"/>
      <w:numFmt w:val="bullet"/>
      <w:lvlText w:val=""/>
      <w:lvlJc w:val="left"/>
      <w:pPr>
        <w:ind w:left="4320" w:hanging="360"/>
      </w:pPr>
      <w:rPr>
        <w:rFonts w:ascii="Wingdings" w:hAnsi="Wingdings" w:hint="default"/>
      </w:rPr>
    </w:lvl>
    <w:lvl w:ilvl="6" w:tplc="96E8EE0A">
      <w:start w:val="1"/>
      <w:numFmt w:val="bullet"/>
      <w:lvlText w:val=""/>
      <w:lvlJc w:val="left"/>
      <w:pPr>
        <w:ind w:left="5040" w:hanging="360"/>
      </w:pPr>
      <w:rPr>
        <w:rFonts w:ascii="Symbol" w:hAnsi="Symbol" w:hint="default"/>
      </w:rPr>
    </w:lvl>
    <w:lvl w:ilvl="7" w:tplc="7BF4BE24">
      <w:start w:val="1"/>
      <w:numFmt w:val="bullet"/>
      <w:lvlText w:val="o"/>
      <w:lvlJc w:val="left"/>
      <w:pPr>
        <w:ind w:left="5760" w:hanging="360"/>
      </w:pPr>
      <w:rPr>
        <w:rFonts w:ascii="Courier New" w:hAnsi="Courier New" w:hint="default"/>
      </w:rPr>
    </w:lvl>
    <w:lvl w:ilvl="8" w:tplc="FE584314">
      <w:start w:val="1"/>
      <w:numFmt w:val="bullet"/>
      <w:lvlText w:val=""/>
      <w:lvlJc w:val="left"/>
      <w:pPr>
        <w:ind w:left="6480" w:hanging="360"/>
      </w:pPr>
      <w:rPr>
        <w:rFonts w:ascii="Wingdings" w:hAnsi="Wingdings" w:hint="default"/>
      </w:rPr>
    </w:lvl>
  </w:abstractNum>
  <w:abstractNum w:abstractNumId="3" w15:restartNumberingAfterBreak="0">
    <w:nsid w:val="40FB2A50"/>
    <w:multiLevelType w:val="hybridMultilevel"/>
    <w:tmpl w:val="FFFFFFFF"/>
    <w:lvl w:ilvl="0" w:tplc="F9745D10">
      <w:start w:val="1"/>
      <w:numFmt w:val="bullet"/>
      <w:lvlText w:val="-"/>
      <w:lvlJc w:val="left"/>
      <w:pPr>
        <w:ind w:left="720" w:hanging="360"/>
      </w:pPr>
      <w:rPr>
        <w:rFonts w:ascii="Arial, sans-serif" w:hAnsi="Arial, sans-serif" w:hint="default"/>
      </w:rPr>
    </w:lvl>
    <w:lvl w:ilvl="1" w:tplc="9ABC9A12">
      <w:start w:val="1"/>
      <w:numFmt w:val="bullet"/>
      <w:lvlText w:val="o"/>
      <w:lvlJc w:val="left"/>
      <w:pPr>
        <w:ind w:left="1440" w:hanging="360"/>
      </w:pPr>
      <w:rPr>
        <w:rFonts w:ascii="Courier New" w:hAnsi="Courier New" w:hint="default"/>
      </w:rPr>
    </w:lvl>
    <w:lvl w:ilvl="2" w:tplc="33EC3218">
      <w:start w:val="1"/>
      <w:numFmt w:val="bullet"/>
      <w:lvlText w:val=""/>
      <w:lvlJc w:val="left"/>
      <w:pPr>
        <w:ind w:left="2160" w:hanging="360"/>
      </w:pPr>
      <w:rPr>
        <w:rFonts w:ascii="Wingdings" w:hAnsi="Wingdings" w:hint="default"/>
      </w:rPr>
    </w:lvl>
    <w:lvl w:ilvl="3" w:tplc="2BD88444">
      <w:start w:val="1"/>
      <w:numFmt w:val="bullet"/>
      <w:lvlText w:val=""/>
      <w:lvlJc w:val="left"/>
      <w:pPr>
        <w:ind w:left="2880" w:hanging="360"/>
      </w:pPr>
      <w:rPr>
        <w:rFonts w:ascii="Symbol" w:hAnsi="Symbol" w:hint="default"/>
      </w:rPr>
    </w:lvl>
    <w:lvl w:ilvl="4" w:tplc="C03AFF70">
      <w:start w:val="1"/>
      <w:numFmt w:val="bullet"/>
      <w:lvlText w:val="o"/>
      <w:lvlJc w:val="left"/>
      <w:pPr>
        <w:ind w:left="3600" w:hanging="360"/>
      </w:pPr>
      <w:rPr>
        <w:rFonts w:ascii="Courier New" w:hAnsi="Courier New" w:hint="default"/>
      </w:rPr>
    </w:lvl>
    <w:lvl w:ilvl="5" w:tplc="155474CC">
      <w:start w:val="1"/>
      <w:numFmt w:val="bullet"/>
      <w:lvlText w:val=""/>
      <w:lvlJc w:val="left"/>
      <w:pPr>
        <w:ind w:left="4320" w:hanging="360"/>
      </w:pPr>
      <w:rPr>
        <w:rFonts w:ascii="Wingdings" w:hAnsi="Wingdings" w:hint="default"/>
      </w:rPr>
    </w:lvl>
    <w:lvl w:ilvl="6" w:tplc="48CC0A52">
      <w:start w:val="1"/>
      <w:numFmt w:val="bullet"/>
      <w:lvlText w:val=""/>
      <w:lvlJc w:val="left"/>
      <w:pPr>
        <w:ind w:left="5040" w:hanging="360"/>
      </w:pPr>
      <w:rPr>
        <w:rFonts w:ascii="Symbol" w:hAnsi="Symbol" w:hint="default"/>
      </w:rPr>
    </w:lvl>
    <w:lvl w:ilvl="7" w:tplc="65665BB8">
      <w:start w:val="1"/>
      <w:numFmt w:val="bullet"/>
      <w:lvlText w:val="o"/>
      <w:lvlJc w:val="left"/>
      <w:pPr>
        <w:ind w:left="5760" w:hanging="360"/>
      </w:pPr>
      <w:rPr>
        <w:rFonts w:ascii="Courier New" w:hAnsi="Courier New" w:hint="default"/>
      </w:rPr>
    </w:lvl>
    <w:lvl w:ilvl="8" w:tplc="0C4AE53C">
      <w:start w:val="1"/>
      <w:numFmt w:val="bullet"/>
      <w:lvlText w:val=""/>
      <w:lvlJc w:val="left"/>
      <w:pPr>
        <w:ind w:left="6480" w:hanging="360"/>
      </w:pPr>
      <w:rPr>
        <w:rFonts w:ascii="Wingdings" w:hAnsi="Wingdings" w:hint="default"/>
      </w:rPr>
    </w:lvl>
  </w:abstractNum>
  <w:abstractNum w:abstractNumId="4" w15:restartNumberingAfterBreak="0">
    <w:nsid w:val="6A62FAA2"/>
    <w:multiLevelType w:val="hybridMultilevel"/>
    <w:tmpl w:val="FFFFFFFF"/>
    <w:lvl w:ilvl="0" w:tplc="DD0A5A52">
      <w:start w:val="1"/>
      <w:numFmt w:val="bullet"/>
      <w:lvlText w:val="-"/>
      <w:lvlJc w:val="left"/>
      <w:pPr>
        <w:ind w:left="720" w:hanging="360"/>
      </w:pPr>
      <w:rPr>
        <w:rFonts w:ascii="Arial, sans-serif" w:hAnsi="Arial, sans-serif" w:hint="default"/>
      </w:rPr>
    </w:lvl>
    <w:lvl w:ilvl="1" w:tplc="670839A0">
      <w:start w:val="1"/>
      <w:numFmt w:val="bullet"/>
      <w:lvlText w:val="o"/>
      <w:lvlJc w:val="left"/>
      <w:pPr>
        <w:ind w:left="1440" w:hanging="360"/>
      </w:pPr>
      <w:rPr>
        <w:rFonts w:ascii="Courier New" w:hAnsi="Courier New" w:hint="default"/>
      </w:rPr>
    </w:lvl>
    <w:lvl w:ilvl="2" w:tplc="00983E9C">
      <w:start w:val="1"/>
      <w:numFmt w:val="bullet"/>
      <w:lvlText w:val=""/>
      <w:lvlJc w:val="left"/>
      <w:pPr>
        <w:ind w:left="2160" w:hanging="360"/>
      </w:pPr>
      <w:rPr>
        <w:rFonts w:ascii="Wingdings" w:hAnsi="Wingdings" w:hint="default"/>
      </w:rPr>
    </w:lvl>
    <w:lvl w:ilvl="3" w:tplc="6824CE8A">
      <w:start w:val="1"/>
      <w:numFmt w:val="bullet"/>
      <w:lvlText w:val=""/>
      <w:lvlJc w:val="left"/>
      <w:pPr>
        <w:ind w:left="2880" w:hanging="360"/>
      </w:pPr>
      <w:rPr>
        <w:rFonts w:ascii="Symbol" w:hAnsi="Symbol" w:hint="default"/>
      </w:rPr>
    </w:lvl>
    <w:lvl w:ilvl="4" w:tplc="200AA7D2">
      <w:start w:val="1"/>
      <w:numFmt w:val="bullet"/>
      <w:lvlText w:val="o"/>
      <w:lvlJc w:val="left"/>
      <w:pPr>
        <w:ind w:left="3600" w:hanging="360"/>
      </w:pPr>
      <w:rPr>
        <w:rFonts w:ascii="Courier New" w:hAnsi="Courier New" w:hint="default"/>
      </w:rPr>
    </w:lvl>
    <w:lvl w:ilvl="5" w:tplc="9864CD38">
      <w:start w:val="1"/>
      <w:numFmt w:val="bullet"/>
      <w:lvlText w:val=""/>
      <w:lvlJc w:val="left"/>
      <w:pPr>
        <w:ind w:left="4320" w:hanging="360"/>
      </w:pPr>
      <w:rPr>
        <w:rFonts w:ascii="Wingdings" w:hAnsi="Wingdings" w:hint="default"/>
      </w:rPr>
    </w:lvl>
    <w:lvl w:ilvl="6" w:tplc="709807F8">
      <w:start w:val="1"/>
      <w:numFmt w:val="bullet"/>
      <w:lvlText w:val=""/>
      <w:lvlJc w:val="left"/>
      <w:pPr>
        <w:ind w:left="5040" w:hanging="360"/>
      </w:pPr>
      <w:rPr>
        <w:rFonts w:ascii="Symbol" w:hAnsi="Symbol" w:hint="default"/>
      </w:rPr>
    </w:lvl>
    <w:lvl w:ilvl="7" w:tplc="13F874FC">
      <w:start w:val="1"/>
      <w:numFmt w:val="bullet"/>
      <w:lvlText w:val="o"/>
      <w:lvlJc w:val="left"/>
      <w:pPr>
        <w:ind w:left="5760" w:hanging="360"/>
      </w:pPr>
      <w:rPr>
        <w:rFonts w:ascii="Courier New" w:hAnsi="Courier New" w:hint="default"/>
      </w:rPr>
    </w:lvl>
    <w:lvl w:ilvl="8" w:tplc="863AC16A">
      <w:start w:val="1"/>
      <w:numFmt w:val="bullet"/>
      <w:lvlText w:val=""/>
      <w:lvlJc w:val="left"/>
      <w:pPr>
        <w:ind w:left="6480" w:hanging="360"/>
      </w:pPr>
      <w:rPr>
        <w:rFonts w:ascii="Wingdings" w:hAnsi="Wingdings" w:hint="default"/>
      </w:rPr>
    </w:lvl>
  </w:abstractNum>
  <w:num w:numId="1" w16cid:durableId="85854334">
    <w:abstractNumId w:val="4"/>
  </w:num>
  <w:num w:numId="2" w16cid:durableId="1883982257">
    <w:abstractNumId w:val="1"/>
  </w:num>
  <w:num w:numId="3" w16cid:durableId="699816639">
    <w:abstractNumId w:val="2"/>
  </w:num>
  <w:num w:numId="4" w16cid:durableId="1845824134">
    <w:abstractNumId w:val="0"/>
  </w:num>
  <w:num w:numId="5" w16cid:durableId="20175354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D27EF0"/>
    <w:rsid w:val="002E1423"/>
    <w:rsid w:val="0056630A"/>
    <w:rsid w:val="006235D4"/>
    <w:rsid w:val="007E6FD1"/>
    <w:rsid w:val="009E3BC0"/>
    <w:rsid w:val="00B04A44"/>
    <w:rsid w:val="00B94C8F"/>
    <w:rsid w:val="00FC431B"/>
    <w:rsid w:val="0135DC33"/>
    <w:rsid w:val="033B36BA"/>
    <w:rsid w:val="03B80D0E"/>
    <w:rsid w:val="057DA5BF"/>
    <w:rsid w:val="061550F4"/>
    <w:rsid w:val="07F927B2"/>
    <w:rsid w:val="0AD12D00"/>
    <w:rsid w:val="0B4B5D8E"/>
    <w:rsid w:val="0BC588A7"/>
    <w:rsid w:val="0BE43C23"/>
    <w:rsid w:val="0CA5892C"/>
    <w:rsid w:val="0DE9D951"/>
    <w:rsid w:val="118708CE"/>
    <w:rsid w:val="1322D92F"/>
    <w:rsid w:val="1454F68D"/>
    <w:rsid w:val="157E092F"/>
    <w:rsid w:val="16E4C3E9"/>
    <w:rsid w:val="1844B8C6"/>
    <w:rsid w:val="1A3F435C"/>
    <w:rsid w:val="1B0D22C1"/>
    <w:rsid w:val="1E37B447"/>
    <w:rsid w:val="1EB1B17C"/>
    <w:rsid w:val="1F82A51F"/>
    <w:rsid w:val="2252D9F8"/>
    <w:rsid w:val="29324F16"/>
    <w:rsid w:val="297CEE6D"/>
    <w:rsid w:val="2A7017AE"/>
    <w:rsid w:val="2C5B1ECA"/>
    <w:rsid w:val="2D2B305A"/>
    <w:rsid w:val="2E63D940"/>
    <w:rsid w:val="2FF85393"/>
    <w:rsid w:val="3251483F"/>
    <w:rsid w:val="39495222"/>
    <w:rsid w:val="3C36C973"/>
    <w:rsid w:val="3F717B0A"/>
    <w:rsid w:val="4200D914"/>
    <w:rsid w:val="4444EC2D"/>
    <w:rsid w:val="4447CCA9"/>
    <w:rsid w:val="44B4EAFE"/>
    <w:rsid w:val="46D47F81"/>
    <w:rsid w:val="477F6D6B"/>
    <w:rsid w:val="4BF46277"/>
    <w:rsid w:val="4F346046"/>
    <w:rsid w:val="4F51930D"/>
    <w:rsid w:val="5112DB43"/>
    <w:rsid w:val="5532F6A5"/>
    <w:rsid w:val="56D27EF0"/>
    <w:rsid w:val="579A9E3F"/>
    <w:rsid w:val="5DF397E2"/>
    <w:rsid w:val="607ABD65"/>
    <w:rsid w:val="61714301"/>
    <w:rsid w:val="619856F9"/>
    <w:rsid w:val="6334275A"/>
    <w:rsid w:val="65DEE5E1"/>
    <w:rsid w:val="67DC31F4"/>
    <w:rsid w:val="691A4FE1"/>
    <w:rsid w:val="6B36AEBB"/>
    <w:rsid w:val="6B455DBF"/>
    <w:rsid w:val="6D4E5EF2"/>
    <w:rsid w:val="6EFA9E23"/>
    <w:rsid w:val="6F0F8ECE"/>
    <w:rsid w:val="6F288E62"/>
    <w:rsid w:val="70994F00"/>
    <w:rsid w:val="71B279CD"/>
    <w:rsid w:val="73D0EFC2"/>
    <w:rsid w:val="7EE9F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FD1A9"/>
  <w15:chartTrackingRefBased/>
  <w15:docId w15:val="{90CF8D04-7917-429B-BD79-9F90EEE0E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5-6/11/section/3/enacte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ustice.gov.uk/downloads/legislation/bills-acts/circulars/moj/2010/circular-12-2010-coroners-justice-act-homicide-provision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udiciary.uk/wp-content/uploads/2022/07/chief-coroners-guide-to-act-sept2013.pdf"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1638</Words>
  <Characters>9338</Characters>
  <Application>Microsoft Office Word</Application>
  <DocSecurity>0</DocSecurity>
  <Lines>77</Lines>
  <Paragraphs>21</Paragraphs>
  <ScaleCrop>false</ScaleCrop>
  <Company/>
  <LinksUpToDate>false</LinksUpToDate>
  <CharactersWithSpaces>10955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(2205267)</dc:creator>
  <cp:keywords/>
  <dc:description/>
  <cp:lastModifiedBy>Ellie Jones (2205267)</cp:lastModifiedBy>
  <cp:revision>10</cp:revision>
  <dcterms:created xsi:type="dcterms:W3CDTF">2023-02-06T13:20:00Z</dcterms:created>
  <dcterms:modified xsi:type="dcterms:W3CDTF">2023-03-03T09:58:00Z</dcterms:modified>
</cp:coreProperties>
</file>