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3A4414" wp14:paraId="709A5218" wp14:textId="5BF85B94">
      <w:pPr>
        <w:spacing w:after="160" w:line="360" w:lineRule="auto"/>
        <w:jc w:val="center"/>
        <w:rPr>
          <w:rFonts w:ascii="Times New Roman" w:hAnsi="Times New Roman" w:eastAsia="Times New Roman" w:cs="Times New Roman"/>
          <w:b w:val="0"/>
          <w:bCs w:val="0"/>
          <w:i w:val="0"/>
          <w:iCs w:val="0"/>
          <w:noProof w:val="0"/>
          <w:sz w:val="32"/>
          <w:szCs w:val="32"/>
          <w:lang w:val="en-GB"/>
        </w:rPr>
      </w:pPr>
      <w:r w:rsidRPr="043A4414" w:rsidR="043A4414">
        <w:rPr>
          <w:rFonts w:ascii="Times New Roman" w:hAnsi="Times New Roman" w:eastAsia="Times New Roman" w:cs="Times New Roman"/>
          <w:b w:val="1"/>
          <w:bCs w:val="1"/>
          <w:i w:val="0"/>
          <w:iCs w:val="0"/>
          <w:noProof w:val="0"/>
          <w:sz w:val="32"/>
          <w:szCs w:val="32"/>
          <w:lang w:val="en-GB"/>
        </w:rPr>
        <w:t>BMIH5007 Financial Management for the Hotel Industry</w:t>
      </w:r>
    </w:p>
    <w:p xmlns:wp14="http://schemas.microsoft.com/office/word/2010/wordml" w:rsidP="043A4414" wp14:paraId="178833AE" wp14:textId="6C316541">
      <w:pPr>
        <w:spacing w:after="160" w:line="360" w:lineRule="auto"/>
        <w:jc w:val="both"/>
        <w:rPr>
          <w:rFonts w:ascii="Times New Roman" w:hAnsi="Times New Roman" w:eastAsia="Times New Roman" w:cs="Times New Roman"/>
          <w:b w:val="0"/>
          <w:bCs w:val="0"/>
          <w:i w:val="0"/>
          <w:iCs w:val="0"/>
          <w:noProof w:val="0"/>
          <w:sz w:val="32"/>
          <w:szCs w:val="32"/>
          <w:lang w:val="en-GB"/>
        </w:rPr>
      </w:pPr>
    </w:p>
    <w:p xmlns:wp14="http://schemas.microsoft.com/office/word/2010/wordml" w:rsidP="043A4414" wp14:paraId="44C3D3D1" wp14:textId="0EC9F2DB">
      <w:pPr>
        <w:spacing w:after="160" w:line="259" w:lineRule="auto"/>
        <w:jc w:val="center"/>
        <w:rPr>
          <w:rFonts w:ascii="Times New Roman" w:hAnsi="Times New Roman" w:eastAsia="Times New Roman" w:cs="Times New Roman"/>
          <w:b w:val="0"/>
          <w:bCs w:val="0"/>
          <w:i w:val="0"/>
          <w:iCs w:val="0"/>
          <w:noProof w:val="0"/>
          <w:sz w:val="32"/>
          <w:szCs w:val="32"/>
          <w:lang w:val="en-GB"/>
        </w:rPr>
      </w:pPr>
      <w:r w:rsidRPr="043A4414" w:rsidR="043A4414">
        <w:rPr>
          <w:rFonts w:ascii="Times New Roman" w:hAnsi="Times New Roman" w:eastAsia="Times New Roman" w:cs="Times New Roman"/>
          <w:b w:val="0"/>
          <w:bCs w:val="0"/>
          <w:i w:val="0"/>
          <w:iCs w:val="0"/>
          <w:noProof w:val="0"/>
          <w:sz w:val="32"/>
          <w:szCs w:val="32"/>
          <w:lang w:val="en-GB"/>
        </w:rPr>
        <w:t>Student Name: Humayun Kabir Choudhury</w:t>
      </w:r>
    </w:p>
    <w:p xmlns:wp14="http://schemas.microsoft.com/office/word/2010/wordml" w:rsidP="043A4414" wp14:paraId="0F594046" wp14:textId="6E86ECDA">
      <w:pPr>
        <w:spacing w:after="160" w:line="360" w:lineRule="auto"/>
        <w:jc w:val="center"/>
        <w:rPr>
          <w:rFonts w:ascii="Times New Roman" w:hAnsi="Times New Roman" w:eastAsia="Times New Roman" w:cs="Times New Roman"/>
          <w:b w:val="0"/>
          <w:bCs w:val="0"/>
          <w:i w:val="0"/>
          <w:iCs w:val="0"/>
          <w:noProof w:val="0"/>
          <w:sz w:val="32"/>
          <w:szCs w:val="32"/>
          <w:lang w:val="en-GB"/>
        </w:rPr>
      </w:pPr>
      <w:r w:rsidRPr="043A4414" w:rsidR="043A4414">
        <w:rPr>
          <w:rFonts w:ascii="Times New Roman" w:hAnsi="Times New Roman" w:eastAsia="Times New Roman" w:cs="Times New Roman"/>
          <w:b w:val="0"/>
          <w:bCs w:val="0"/>
          <w:i w:val="0"/>
          <w:iCs w:val="0"/>
          <w:noProof w:val="0"/>
          <w:sz w:val="32"/>
          <w:szCs w:val="32"/>
          <w:lang w:val="en-GB"/>
        </w:rPr>
        <w:t>Student ID: 2131342</w:t>
      </w:r>
    </w:p>
    <w:p xmlns:wp14="http://schemas.microsoft.com/office/word/2010/wordml" w:rsidP="043A4414" wp14:paraId="27F15C05" wp14:textId="040A1D6B">
      <w:pPr>
        <w:spacing w:after="160" w:line="259" w:lineRule="auto"/>
        <w:jc w:val="center"/>
        <w:rPr>
          <w:rFonts w:ascii="Times New Roman" w:hAnsi="Times New Roman" w:eastAsia="Times New Roman" w:cs="Times New Roman"/>
          <w:b w:val="0"/>
          <w:bCs w:val="0"/>
          <w:i w:val="0"/>
          <w:iCs w:val="0"/>
          <w:noProof w:val="0"/>
          <w:sz w:val="32"/>
          <w:szCs w:val="32"/>
          <w:lang w:val="en-GB"/>
        </w:rPr>
      </w:pPr>
      <w:r w:rsidRPr="043A4414" w:rsidR="043A4414">
        <w:rPr>
          <w:rFonts w:ascii="Times New Roman" w:hAnsi="Times New Roman" w:eastAsia="Times New Roman" w:cs="Times New Roman"/>
          <w:b w:val="0"/>
          <w:bCs w:val="0"/>
          <w:i w:val="0"/>
          <w:iCs w:val="0"/>
          <w:noProof w:val="0"/>
          <w:sz w:val="32"/>
          <w:szCs w:val="32"/>
          <w:lang w:val="en-GB"/>
        </w:rPr>
        <w:t>Lecturer Name: Tristan Hawkins</w:t>
      </w:r>
    </w:p>
    <w:p xmlns:wp14="http://schemas.microsoft.com/office/word/2010/wordml" w:rsidP="043A4414" wp14:paraId="01128816" wp14:textId="0819B6E4">
      <w:pPr>
        <w:spacing w:after="160" w:line="360" w:lineRule="auto"/>
        <w:jc w:val="center"/>
        <w:rPr>
          <w:rFonts w:ascii="Times New Roman" w:hAnsi="Times New Roman" w:eastAsia="Times New Roman" w:cs="Times New Roman"/>
          <w:b w:val="0"/>
          <w:bCs w:val="0"/>
          <w:i w:val="0"/>
          <w:iCs w:val="0"/>
          <w:noProof w:val="0"/>
          <w:sz w:val="32"/>
          <w:szCs w:val="32"/>
          <w:lang w:val="en-GB"/>
        </w:rPr>
      </w:pPr>
      <w:r w:rsidRPr="043A4414" w:rsidR="043A4414">
        <w:rPr>
          <w:rFonts w:ascii="Times New Roman" w:hAnsi="Times New Roman" w:eastAsia="Times New Roman" w:cs="Times New Roman"/>
          <w:b w:val="0"/>
          <w:bCs w:val="0"/>
          <w:i w:val="0"/>
          <w:iCs w:val="0"/>
          <w:noProof w:val="0"/>
          <w:sz w:val="32"/>
          <w:szCs w:val="32"/>
          <w:lang w:val="en-GB"/>
        </w:rPr>
        <w:t>Word Count: 1934</w:t>
      </w:r>
    </w:p>
    <w:p xmlns:wp14="http://schemas.microsoft.com/office/word/2010/wordml" w:rsidP="043A4414" wp14:paraId="5C3F1FD7" wp14:textId="532FC526">
      <w:pPr>
        <w:spacing w:after="160" w:line="259" w:lineRule="auto"/>
        <w:jc w:val="left"/>
        <w:rPr>
          <w:rFonts w:ascii="Times New Roman" w:hAnsi="Times New Roman" w:eastAsia="Times New Roman" w:cs="Times New Roman"/>
          <w:b w:val="0"/>
          <w:bCs w:val="0"/>
          <w:i w:val="0"/>
          <w:iCs w:val="0"/>
          <w:noProof w:val="0"/>
          <w:color w:val="2E74B5" w:themeColor="accent5" w:themeTint="FF" w:themeShade="BF"/>
          <w:sz w:val="32"/>
          <w:szCs w:val="32"/>
          <w:lang w:val="en-GB"/>
        </w:rPr>
      </w:pPr>
      <w:r>
        <w:br w:type="page"/>
      </w:r>
    </w:p>
    <w:p xmlns:wp14="http://schemas.microsoft.com/office/word/2010/wordml" w:rsidP="043A4414" wp14:paraId="048DAA45" wp14:textId="41402313">
      <w:pPr>
        <w:keepNext w:val="1"/>
        <w:keepLines w:val="1"/>
        <w:spacing w:before="240" w:after="0" w:line="259" w:lineRule="auto"/>
        <w:jc w:val="left"/>
        <w:rPr>
          <w:rFonts w:ascii="Calibri Light" w:hAnsi="Calibri Light" w:eastAsia="Calibri Light" w:cs="Calibri Light"/>
          <w:b w:val="0"/>
          <w:bCs w:val="0"/>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0"/>
          <w:bCs w:val="0"/>
          <w:i w:val="0"/>
          <w:iCs w:val="0"/>
          <w:noProof w:val="0"/>
          <w:color w:val="2E74B5" w:themeColor="accent5" w:themeTint="FF" w:themeShade="BF"/>
          <w:sz w:val="24"/>
          <w:szCs w:val="24"/>
          <w:lang w:val="en-GB"/>
        </w:rPr>
        <w:t xml:space="preserve">  </w:t>
      </w:r>
      <w:r w:rsidRPr="043A4414" w:rsidR="043A4414">
        <w:rPr>
          <w:rFonts w:ascii="Calibri Light" w:hAnsi="Calibri Light" w:eastAsia="Calibri Light" w:cs="Calibri Light"/>
          <w:b w:val="0"/>
          <w:bCs w:val="0"/>
          <w:i w:val="0"/>
          <w:iCs w:val="0"/>
          <w:noProof w:val="0"/>
          <w:color w:val="2E74B5" w:themeColor="accent5" w:themeTint="FF" w:themeShade="BF"/>
          <w:sz w:val="32"/>
          <w:szCs w:val="32"/>
          <w:lang w:val="en-GB"/>
        </w:rPr>
        <w:t>Contents</w:t>
      </w:r>
    </w:p>
    <w:p xmlns:wp14="http://schemas.microsoft.com/office/word/2010/wordml" w:rsidP="043A4414" wp14:paraId="3F93AFF1" wp14:textId="582572B0">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06298DEA" wp14:textId="7F08B6E1">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480F9033" wp14:textId="3C6004EB">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31372B69" wp14:textId="29669458">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56089FE9" wp14:textId="66E49277">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309F7FDA" wp14:textId="044DED81">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5ED65EA5" wp14:textId="675A58A4">
      <w:pPr>
        <w:tabs>
          <w:tab w:val="right" w:leader="dot" w:pos="9350"/>
        </w:tabs>
        <w:spacing w:after="10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strike w:val="0"/>
          <w:dstrike w:val="0"/>
          <w:noProof w:val="0"/>
          <w:color w:val="0563C1"/>
          <w:sz w:val="24"/>
          <w:szCs w:val="24"/>
          <w:u w:val="single"/>
          <w:lang w:val="en-GB"/>
        </w:rPr>
        <w:t xml:space="preserve"> </w:t>
      </w:r>
    </w:p>
    <w:p xmlns:wp14="http://schemas.microsoft.com/office/word/2010/wordml" w:rsidP="043A4414" wp14:paraId="4D124D97" wp14:textId="2CB9DD8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 </w:t>
      </w:r>
      <w:r w:rsidRPr="043A4414" w:rsidR="043A4414">
        <w:rPr>
          <w:rFonts w:ascii="Times New Roman" w:hAnsi="Times New Roman" w:eastAsia="Times New Roman" w:cs="Times New Roman"/>
          <w:b w:val="1"/>
          <w:bCs w:val="1"/>
          <w:i w:val="0"/>
          <w:iCs w:val="0"/>
          <w:noProof w:val="0"/>
          <w:sz w:val="24"/>
          <w:szCs w:val="24"/>
          <w:lang w:val="en-GB"/>
        </w:rPr>
        <w:t xml:space="preserve"> </w:t>
      </w:r>
    </w:p>
    <w:p xmlns:wp14="http://schemas.microsoft.com/office/word/2010/wordml" w:rsidP="043A4414" wp14:paraId="1CD52B3A" wp14:textId="6CD147EC">
      <w:pPr>
        <w:spacing w:after="160" w:line="259" w:lineRule="auto"/>
        <w:jc w:val="left"/>
        <w:rPr>
          <w:rFonts w:ascii="Times New Roman" w:hAnsi="Times New Roman" w:eastAsia="Times New Roman" w:cs="Times New Roman"/>
          <w:b w:val="0"/>
          <w:bCs w:val="0"/>
          <w:i w:val="0"/>
          <w:iCs w:val="0"/>
          <w:noProof w:val="0"/>
          <w:color w:val="2E74B5" w:themeColor="accent5" w:themeTint="FF" w:themeShade="BF"/>
          <w:sz w:val="32"/>
          <w:szCs w:val="32"/>
          <w:lang w:val="en-GB"/>
        </w:rPr>
      </w:pPr>
      <w:r>
        <w:br w:type="page"/>
      </w:r>
    </w:p>
    <w:p xmlns:wp14="http://schemas.microsoft.com/office/word/2010/wordml" w:rsidP="043A4414" wp14:paraId="7073BCA2" wp14:textId="6C9F5DB3">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 xml:space="preserve">Introduction  </w:t>
      </w:r>
    </w:p>
    <w:p xmlns:wp14="http://schemas.microsoft.com/office/word/2010/wordml" w:rsidP="043A4414" wp14:paraId="708085C3" wp14:textId="42BFBF7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differences between the Mandarin Oriental Hotel Group and Premier Inn are not limited to market positions, revenue analyses, growth prospects, and financial commitments to CSR. Premier Inn is remarkable due to its consistent success within the economy of the lodging industry, its strategic market penetration, and its commitment to the local community. In contrast to the Mandarin Oriental Hotel Group, known for its abundant service, global recognition, and environmental initiatives, Premier Inn is well-known for its commitment to the local community. Each company's distinctive assets and strategies have contributed to its success in the increasingly competitive hospitality industry.</w:t>
      </w:r>
    </w:p>
    <w:p xmlns:wp14="http://schemas.microsoft.com/office/word/2010/wordml" w:rsidP="043A4414" wp14:paraId="2B82359F" wp14:textId="423F1ED3">
      <w:pPr>
        <w:spacing w:after="160" w:line="360" w:lineRule="auto"/>
        <w:jc w:val="both"/>
        <w:rPr>
          <w:rFonts w:ascii="Times New Roman" w:hAnsi="Times New Roman" w:eastAsia="Times New Roman" w:cs="Times New Roman"/>
          <w:b w:val="0"/>
          <w:bCs w:val="0"/>
          <w:i w:val="0"/>
          <w:iCs w:val="0"/>
          <w:noProof w:val="0"/>
          <w:sz w:val="24"/>
          <w:szCs w:val="24"/>
          <w:lang w:val="en-GB"/>
        </w:rPr>
      </w:pPr>
    </w:p>
    <w:p xmlns:wp14="http://schemas.microsoft.com/office/word/2010/wordml" w:rsidP="043A4414" wp14:paraId="014657EF" wp14:textId="4863451F">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043A4414" wp14:paraId="53D3F35F" wp14:textId="27006E5D">
      <w:pPr>
        <w:spacing w:after="160" w:line="360" w:lineRule="auto"/>
        <w:jc w:val="both"/>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4BB705F0" wp14:textId="51097B4F">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Total Revenue</w:t>
      </w:r>
    </w:p>
    <w:p xmlns:wp14="http://schemas.microsoft.com/office/word/2010/wordml" w:rsidP="043A4414" wp14:paraId="5727A08E" wp14:textId="60434CF7">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Earnings of the Mandarin Oriental Hotel Group</w:t>
      </w:r>
    </w:p>
    <w:p xmlns:wp14="http://schemas.microsoft.com/office/word/2010/wordml" w:rsidP="043A4414" wp14:paraId="34E6B22C" wp14:textId="7A22C534">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With hotels under management generating $1.6 billion in revenue in 2022, the Mandarin Oriental Hotel Group showed signs of solid financial recovery. Compared to 2019 levels before the pandemic, this represents an increase of 18%. The rise in revenue can be attributed to the easing of travel restrictions in many parts of the globe, which has increased demand for upscale lodging and personalised service (Drury, 2021).</w:t>
      </w:r>
    </w:p>
    <w:p xmlns:wp14="http://schemas.microsoft.com/office/word/2010/wordml" w:rsidP="043A4414" wp14:paraId="41EBBF29" wp14:textId="0FA6385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Multiple Sources of Income:</w:t>
      </w:r>
    </w:p>
    <w:p xmlns:wp14="http://schemas.microsoft.com/office/word/2010/wordml" w:rsidP="043A4414" wp14:paraId="5E708D82" wp14:textId="53CA48CB">
      <w:pPr>
        <w:pStyle w:val="ListParagraph"/>
        <w:numPr>
          <w:ilvl w:val="0"/>
          <w:numId w:val="1"/>
        </w:num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Hotel ownership is the principal source of revenue, generating $400.9 million.</w:t>
      </w:r>
    </w:p>
    <w:p xmlns:wp14="http://schemas.microsoft.com/office/word/2010/wordml" w:rsidP="043A4414" wp14:paraId="18135B34" wp14:textId="36747127">
      <w:pPr>
        <w:pStyle w:val="ListParagraph"/>
        <w:numPr>
          <w:ilvl w:val="0"/>
          <w:numId w:val="1"/>
        </w:num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Hotel &amp; Residences Branding &amp; Management is a company strength, as evidenced by the $68.5 million invested in this sector.</w:t>
      </w:r>
    </w:p>
    <w:p xmlns:wp14="http://schemas.microsoft.com/office/word/2010/wordml" w:rsidP="043A4414" wp14:paraId="081DBAEA" wp14:textId="46890332">
      <w:pPr>
        <w:pStyle w:val="ListParagraph"/>
        <w:numPr>
          <w:ilvl w:val="0"/>
          <w:numId w:val="1"/>
        </w:num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Negative revenue from a company's segments, measured in millions of dollars, amounts to -15.3 million.</w:t>
      </w:r>
    </w:p>
    <w:p xmlns:wp14="http://schemas.microsoft.com/office/word/2010/wordml" w:rsidP="043A4414" wp14:paraId="3E90CF15" wp14:textId="15D75982">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Analyses of Premier Inn's Financial Results</w:t>
      </w:r>
    </w:p>
    <w:p xmlns:wp14="http://schemas.microsoft.com/office/word/2010/wordml" w:rsidP="043A4414" wp14:paraId="7A167880" wp14:textId="06BBB45B">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overcame setbacks caused by the pandemic and reported a robust recovery in the just-ended fiscal year 2021/22 (ending on March 31). Statutory revenues increased by 189% due to a decrease in the adjusted loss before taxes to £15.8 million from the previous year. This represents a substantial improvement compared to the £635.1 million deficit recorded in 2020/21. Before the outbreak in the UK, occupancy rates and retail sales were lower due to stricter government regulations. These regulations were loosened, resulting in higher occupancy rates and retail sales, leading to increased revenue (Seal, 2019).</w:t>
      </w:r>
    </w:p>
    <w:p xmlns:wp14="http://schemas.microsoft.com/office/word/2010/wordml" w:rsidP="043A4414" wp14:paraId="00A3DDD6" wp14:textId="1A81EBB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Multiple Sources of Income:</w:t>
      </w:r>
    </w:p>
    <w:p xmlns:wp14="http://schemas.microsoft.com/office/word/2010/wordml" w:rsidP="043A4414" wp14:paraId="7945D811" wp14:textId="76100704">
      <w:pPr>
        <w:pStyle w:val="ListParagraph"/>
        <w:numPr>
          <w:ilvl w:val="0"/>
          <w:numId w:val="4"/>
        </w:num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hotel industry is the most profitable in the country, earning a staggering 1,186,90 million pounds in 2016.</w:t>
      </w:r>
    </w:p>
    <w:p xmlns:wp14="http://schemas.microsoft.com/office/word/2010/wordml" w:rsidP="043A4414" wp14:paraId="1869DDE9" wp14:textId="4576197C">
      <w:pPr>
        <w:pStyle w:val="ListParagraph"/>
        <w:numPr>
          <w:ilvl w:val="0"/>
          <w:numId w:val="4"/>
        </w:num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Food, drink, and other items brought in a total of £516.5 million, indicating a recovery trend that is behind pre-pandemic levels due to sporadic closures and a delayed recovery in the food and beverage sector.</w:t>
      </w:r>
    </w:p>
    <w:p xmlns:wp14="http://schemas.microsoft.com/office/word/2010/wordml" w:rsidP="043A4414" wp14:paraId="6815F319" wp14:textId="32A45A79">
      <w:pPr>
        <w:spacing w:after="160" w:line="259" w:lineRule="auto"/>
        <w:jc w:val="left"/>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7F37802F" wp14:textId="26C0574D">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Comparative Evaluation</w:t>
      </w:r>
    </w:p>
    <w:p xmlns:wp14="http://schemas.microsoft.com/office/word/2010/wordml" w:rsidP="043A4414" wp14:paraId="5EF5320D" wp14:textId="51052048">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revenue of the Mandarin Oriental Hotel Group has increased by 18% in 2019 compared to pre-pandemic levels due to an increase in international tourism and technological advancements. Compared to the previous year, Premier Inn's revenue increased by a record-breaking 189% (</w:t>
      </w:r>
      <w:r w:rsidRPr="043A4414" w:rsidR="043A4414">
        <w:rPr>
          <w:rFonts w:ascii="Times New Roman" w:hAnsi="Times New Roman" w:eastAsia="Times New Roman" w:cs="Times New Roman"/>
          <w:b w:val="0"/>
          <w:bCs w:val="0"/>
          <w:i w:val="0"/>
          <w:iCs w:val="0"/>
          <w:noProof w:val="0"/>
          <w:color w:val="222222"/>
          <w:sz w:val="24"/>
          <w:szCs w:val="24"/>
          <w:lang w:val="en-GB"/>
        </w:rPr>
        <w:t>Drobyazko et al., 2020</w:t>
      </w:r>
      <w:r w:rsidRPr="043A4414" w:rsidR="043A4414">
        <w:rPr>
          <w:rFonts w:ascii="Times New Roman" w:hAnsi="Times New Roman" w:eastAsia="Times New Roman" w:cs="Times New Roman"/>
          <w:b w:val="0"/>
          <w:bCs w:val="0"/>
          <w:i w:val="0"/>
          <w:iCs w:val="0"/>
          <w:noProof w:val="0"/>
          <w:sz w:val="24"/>
          <w:szCs w:val="24"/>
          <w:lang w:val="en-GB"/>
        </w:rPr>
        <w:t>). This remarkable achievement is largely due to the relaxation of government regulations and the robust recovery of the British housing market. Notably, Mandarin Oriental's primary revenue source is the administration and operation of its hotels, whereas Premier Inn's primary revenue source is the food and beverage industry. The two companies' revenue streams indicate their distinct organisational structures and clientele (Walker, 2021).</w:t>
      </w:r>
    </w:p>
    <w:p xmlns:wp14="http://schemas.microsoft.com/office/word/2010/wordml" w:rsidP="043A4414" wp14:paraId="2C45FD35" wp14:textId="24926B36">
      <w:pPr>
        <w:spacing w:after="160" w:line="360" w:lineRule="auto"/>
        <w:jc w:val="both"/>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66612E1A" wp14:textId="1058A41D">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Market Position</w:t>
      </w:r>
    </w:p>
    <w:p xmlns:wp14="http://schemas.microsoft.com/office/word/2010/wordml" w:rsidP="043A4414" wp14:paraId="5DC58628" wp14:textId="4E89FDC2">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Mandarin Oriental Hotel Group's Market Position:</w:t>
      </w:r>
    </w:p>
    <w:p xmlns:wp14="http://schemas.microsoft.com/office/word/2010/wordml" w:rsidP="043A4414" wp14:paraId="7F411870" wp14:textId="13DB7A41">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Global Luxury Hospitality Presence:</w:t>
      </w:r>
    </w:p>
    <w:p xmlns:wp14="http://schemas.microsoft.com/office/word/2010/wordml" w:rsidP="043A4414" wp14:paraId="3D1AA4A4" wp14:textId="5C2C35C1">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Mandarin Oriental Hotel Group is a luxury hotel chain that has been in operation for over 60 years and consists of 36 hotels and nine residences in 24 countries and territories around the globe. Its distinctive Oriental heritage and opulent services have earned it worldwide renown. The company has become one of the world's most successful luxury hotel chains by emphasising the preservation of local culture and the creation of unique designs (Atrill and McLaney, 2021).</w:t>
      </w:r>
    </w:p>
    <w:p xmlns:wp14="http://schemas.microsoft.com/office/word/2010/wordml" w:rsidP="043A4414" wp14:paraId="74468E27" wp14:textId="1D20B291">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Brand Equity and Recognition</w:t>
      </w:r>
    </w:p>
    <w:p xmlns:wp14="http://schemas.microsoft.com/office/word/2010/wordml" w:rsidP="043A4414" wp14:paraId="5E79C20E" wp14:textId="47665E87">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When luxury travellers schedule a stay at a Mandarin Oriental hotel, they expect to receive excellent care from a staff that has made the hotel's name synonymous with excellence. The company's commitment to innovation is reflected in its digital innovations and guest recognition programme, which have contributed significantly to developing the brand's equity and leadership position in the luxury hotel industry (Bhimani, 2006).</w:t>
      </w:r>
    </w:p>
    <w:p xmlns:wp14="http://schemas.microsoft.com/office/word/2010/wordml" w:rsidP="043A4414" wp14:paraId="0715D8BA" wp14:textId="09E8AF82">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Financial Standing and Market Presence:</w:t>
      </w:r>
    </w:p>
    <w:p xmlns:wp14="http://schemas.microsoft.com/office/word/2010/wordml" w:rsidP="043A4414" wp14:paraId="74F9695E" wp14:textId="7410624A">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With an adjusted net asset value of more than $4.9 billion US as of December 31, 2022, Mandarin Oriental exhibited a solid financial position and market presence. The group's strategic expansion efforts, most notably planned hotel and housing developments, demonstrate its commitment to long-term growth and shareholder value expansion. As a member of the Jardine Matheson Group, its market standing and strategic partnerships have improved (Guilding, 2014).</w:t>
      </w:r>
    </w:p>
    <w:p xmlns:wp14="http://schemas.microsoft.com/office/word/2010/wordml" w:rsidP="043A4414" wp14:paraId="1B7B121A" wp14:textId="13BBB9E0">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Premier Inn's Industry Position:</w:t>
      </w:r>
    </w:p>
    <w:p xmlns:wp14="http://schemas.microsoft.com/office/word/2010/wordml" w:rsidP="043A4414" wp14:paraId="2EC97D2B" wp14:textId="2D4863D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UK and German Market Penetration</w:t>
      </w:r>
    </w:p>
    <w:p xmlns:wp14="http://schemas.microsoft.com/office/word/2010/wordml" w:rsidP="043A4414" wp14:paraId="1D0047CF" wp14:textId="3AEDE60A">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Premier Inn has established itself as the dominant brand in the budget hotel segment in the United Kingdom, with an anticipated 11% market share in 2020/21. This aids the expansion of Premier Inn into new markets. This brand's historical advantage in attracting customers during periods of reduced consumer expenditure and its resilience in economic downturns have all contributed to its current position as the market leader. Premier Inn's rapid expansion throughout Germany demonstrates the company's commitment to organic and inorganic expansion strategies in the country. </w:t>
      </w:r>
    </w:p>
    <w:p xmlns:wp14="http://schemas.microsoft.com/office/word/2010/wordml" w:rsidP="043A4414" wp14:paraId="42E8FCDA" wp14:textId="25E8FF8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Market Penetration in the UK and Germany</w:t>
      </w:r>
    </w:p>
    <w:p xmlns:wp14="http://schemas.microsoft.com/office/word/2010/wordml" w:rsidP="043A4414" wp14:paraId="0EB3A255" wp14:textId="3720A3C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generally caters to budget-conscious vacationers who are looking for comfortable lodgings and consistent service. The organisation has earned its consumers' devotion by always going the extra mile to ensure their contentment. More and more people are familiar with the brand thanks to its appealing lodging options and strategic branding initiatives such statewide advertising campaigns (Jagels, 2007).</w:t>
      </w:r>
    </w:p>
    <w:p xmlns:wp14="http://schemas.microsoft.com/office/word/2010/wordml" w:rsidP="043A4414" wp14:paraId="75B0CAEC" wp14:textId="20A2D263">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Growth Plan for the Future</w:t>
      </w:r>
    </w:p>
    <w:p xmlns:wp14="http://schemas.microsoft.com/office/word/2010/wordml" w:rsidP="043A4414" wp14:paraId="26E304AC" wp14:textId="37C9F9E7">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has a well-defined plan for long-term growth that represents the company's commitment to remaining the top budget hotel chain in the United Kingdom. Premier Inn is dedicated to its patrons, as evidenced by its focus on long-term growth. Even if the number of available independent hotels is decreasing, the brand is showing its dedication to staying ahead of the market by launching new properties and improving old ones. A secure financial footing is necessary for this confidence (Seal et al., 2008).</w:t>
      </w:r>
    </w:p>
    <w:p xmlns:wp14="http://schemas.microsoft.com/office/word/2010/wordml" w:rsidP="043A4414" wp14:paraId="56CDB2CA" wp14:textId="0513A556">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is a cheap hotel giant thanks to its focus on long-term growth, excellent service, and customer satisfaction. Premier Inn is the undisputed market leader in the economy hotel sector. The Mandarin Oriental Hotel Group, on the other hand, is a frontrunner in the luxury hotel sector, having built its reputation on worldwide renown and impeccable service (Tranter et al., 2014).</w:t>
      </w:r>
    </w:p>
    <w:p xmlns:wp14="http://schemas.microsoft.com/office/word/2010/wordml" w:rsidP="043A4414" wp14:paraId="11C79552" wp14:textId="43F5D25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043A4414" wp14:paraId="4F6223B5" wp14:textId="3AA94F4E">
      <w:pPr>
        <w:spacing w:after="160" w:line="360" w:lineRule="auto"/>
        <w:jc w:val="both"/>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5212D39A" wp14:textId="7A94A661">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Growth Potential: Evaluate the growth potential of each organisation.</w:t>
      </w:r>
    </w:p>
    <w:p xmlns:wp14="http://schemas.microsoft.com/office/word/2010/wordml" w:rsidP="043A4414" wp14:paraId="16785394" wp14:textId="4C9FAA2D">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Mandarin Oriental Hotel Group's Growth Potential:</w:t>
      </w:r>
    </w:p>
    <w:p xmlns:wp14="http://schemas.microsoft.com/office/word/2010/wordml" w:rsidP="043A4414" wp14:paraId="28CBA5CF" wp14:textId="0635F438">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Strategic Expansion Initiatives</w:t>
      </w:r>
    </w:p>
    <w:p xmlns:wp14="http://schemas.microsoft.com/office/word/2010/wordml" w:rsidP="043A4414" wp14:paraId="75700B1D" wp14:textId="7946496F">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Future of the Mandarin Oriental Hotel Group, Including Its Strategic Expansion Initiatives: With ten hotels and residence projects scheduled to open within the next five years, the Mandarin Oriental Hotel Group is well-positioned to continue its rapid expansion (</w:t>
      </w:r>
      <w:r w:rsidRPr="043A4414" w:rsidR="043A4414">
        <w:rPr>
          <w:rFonts w:ascii="Times New Roman" w:hAnsi="Times New Roman" w:eastAsia="Times New Roman" w:cs="Times New Roman"/>
          <w:b w:val="0"/>
          <w:bCs w:val="0"/>
          <w:i w:val="0"/>
          <w:iCs w:val="0"/>
          <w:noProof w:val="0"/>
          <w:color w:val="222222"/>
          <w:sz w:val="24"/>
          <w:szCs w:val="24"/>
          <w:lang w:val="en-GB"/>
        </w:rPr>
        <w:t>Alreahi et al., 2022</w:t>
      </w:r>
      <w:r w:rsidRPr="043A4414" w:rsidR="043A4414">
        <w:rPr>
          <w:rFonts w:ascii="Times New Roman" w:hAnsi="Times New Roman" w:eastAsia="Times New Roman" w:cs="Times New Roman"/>
          <w:b w:val="0"/>
          <w:bCs w:val="0"/>
          <w:i w:val="0"/>
          <w:iCs w:val="0"/>
          <w:noProof w:val="0"/>
          <w:sz w:val="24"/>
          <w:szCs w:val="24"/>
          <w:lang w:val="en-GB"/>
        </w:rPr>
        <w:t>). Focusing on promising global development opportunities demonstrates the company's proactive approach to expanding into new markets and strengthening its brand. This exemplifies the group's efforts to increase brand recognition. However, difficulties in acquiring conspicuous locations in extremely competitive industries may impede rapid expansion (Wild, 2018).</w:t>
      </w:r>
    </w:p>
    <w:p xmlns:wp14="http://schemas.microsoft.com/office/word/2010/wordml" w:rsidP="043A4414" wp14:paraId="015C6F83" wp14:textId="012B0A34">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Market Diversification and Innovation</w:t>
      </w:r>
    </w:p>
    <w:p xmlns:wp14="http://schemas.microsoft.com/office/word/2010/wordml" w:rsidP="043A4414" wp14:paraId="1EC4EFEB" wp14:textId="7D6D66D9">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company has positioned itself for continued growth in the luxury hospitality market. Mandarin Oriental is well-positioned to take advantage of market opportunities and maintain its lead over competitors due to its commitment to innovation and adaptability to customers' evolving preferences. However, long-term expansion may be impeded by the need for consistent technology expenditures and the possibility of digital world disruptions (</w:t>
      </w:r>
      <w:r w:rsidRPr="043A4414" w:rsidR="043A4414">
        <w:rPr>
          <w:rFonts w:ascii="Times New Roman" w:hAnsi="Times New Roman" w:eastAsia="Times New Roman" w:cs="Times New Roman"/>
          <w:b w:val="0"/>
          <w:bCs w:val="0"/>
          <w:i w:val="0"/>
          <w:iCs w:val="0"/>
          <w:noProof w:val="0"/>
          <w:color w:val="222222"/>
          <w:sz w:val="24"/>
          <w:szCs w:val="24"/>
          <w:lang w:val="en-GB"/>
        </w:rPr>
        <w:t>Field, 2010</w:t>
      </w:r>
      <w:r w:rsidRPr="043A4414" w:rsidR="043A4414">
        <w:rPr>
          <w:rFonts w:ascii="Times New Roman" w:hAnsi="Times New Roman" w:eastAsia="Times New Roman" w:cs="Times New Roman"/>
          <w:b w:val="0"/>
          <w:bCs w:val="0"/>
          <w:i w:val="0"/>
          <w:iCs w:val="0"/>
          <w:noProof w:val="0"/>
          <w:sz w:val="24"/>
          <w:szCs w:val="24"/>
          <w:lang w:val="en-GB"/>
        </w:rPr>
        <w:t>).</w:t>
      </w:r>
    </w:p>
    <w:p xmlns:wp14="http://schemas.microsoft.com/office/word/2010/wordml" w:rsidP="043A4414" wp14:paraId="1662BA4B" wp14:textId="707E467F">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Global Economic and Travel Trends</w:t>
      </w:r>
    </w:p>
    <w:p xmlns:wp14="http://schemas.microsoft.com/office/word/2010/wordml" w:rsidP="043A4414" wp14:paraId="418A6FF0" wp14:textId="0AD984A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anticipated increase in international tourism in the years following the pandemic presents Mandarin Oriental with both opportunities and challenges. Despite recent optimism in the hospitality industry due to an increase in international tourism due to the global economic recovery, the group's growth trajectory remains uncertain due to the unpredictability of future shifts in global economic conditions and modifications to travel regulations. For continued success, it will be essential to maintain a solid footing in key international markets and manage the external forces that impact the organisation skillfully (</w:t>
      </w:r>
      <w:r w:rsidRPr="043A4414" w:rsidR="043A4414">
        <w:rPr>
          <w:rFonts w:ascii="Times New Roman" w:hAnsi="Times New Roman" w:eastAsia="Times New Roman" w:cs="Times New Roman"/>
          <w:b w:val="0"/>
          <w:bCs w:val="0"/>
          <w:i w:val="0"/>
          <w:iCs w:val="0"/>
          <w:noProof w:val="0"/>
          <w:color w:val="222222"/>
          <w:sz w:val="24"/>
          <w:szCs w:val="24"/>
          <w:lang w:val="en-GB"/>
        </w:rPr>
        <w:t>Nair, 2019</w:t>
      </w:r>
      <w:r w:rsidRPr="043A4414" w:rsidR="043A4414">
        <w:rPr>
          <w:rFonts w:ascii="Times New Roman" w:hAnsi="Times New Roman" w:eastAsia="Times New Roman" w:cs="Times New Roman"/>
          <w:b w:val="0"/>
          <w:bCs w:val="0"/>
          <w:i w:val="0"/>
          <w:iCs w:val="0"/>
          <w:noProof w:val="0"/>
          <w:sz w:val="24"/>
          <w:szCs w:val="24"/>
          <w:lang w:val="en-GB"/>
        </w:rPr>
        <w:t>).</w:t>
      </w:r>
    </w:p>
    <w:p xmlns:wp14="http://schemas.microsoft.com/office/word/2010/wordml" w:rsidP="043A4414" wp14:paraId="773F7BCA" wp14:textId="0569DCFB">
      <w:pPr>
        <w:spacing w:after="160" w:line="259" w:lineRule="auto"/>
        <w:jc w:val="left"/>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31756F54" wp14:textId="68D330BC">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Premier Inn's Prospects for the Future:</w:t>
      </w:r>
    </w:p>
    <w:p xmlns:wp14="http://schemas.microsoft.com/office/word/2010/wordml" w:rsidP="043A4414" wp14:paraId="24BC3EF2" wp14:textId="54379A78">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Strategic Market Expansion:</w:t>
      </w:r>
    </w:p>
    <w:p xmlns:wp14="http://schemas.microsoft.com/office/word/2010/wordml" w:rsidP="043A4414" wp14:paraId="52741BA8" wp14:textId="652B6F9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is committed to increasing its market share in the United Kingdom and Germany, indicating its robust growth potential. Premier Inn has a well-defined growth strategy focuses on capitalising on the decline of the independent hotel industry, positioning it to capitalise on market opportunities and strengthen its position in the budget hotel segment. Premier Inn relies extensively on this business strategy. It is possible, however, that regulatory obstacles and intensified competition in the budget hotel sector would impede its growth plans (</w:t>
      </w:r>
      <w:r w:rsidRPr="043A4414" w:rsidR="043A4414">
        <w:rPr>
          <w:rFonts w:ascii="Times New Roman" w:hAnsi="Times New Roman" w:eastAsia="Times New Roman" w:cs="Times New Roman"/>
          <w:b w:val="0"/>
          <w:bCs w:val="0"/>
          <w:i w:val="0"/>
          <w:iCs w:val="0"/>
          <w:noProof w:val="0"/>
          <w:color w:val="222222"/>
          <w:sz w:val="24"/>
          <w:szCs w:val="24"/>
          <w:lang w:val="en-GB"/>
        </w:rPr>
        <w:t>Ikkos, 2012</w:t>
      </w:r>
      <w:r w:rsidRPr="043A4414" w:rsidR="043A4414">
        <w:rPr>
          <w:rFonts w:ascii="Times New Roman" w:hAnsi="Times New Roman" w:eastAsia="Times New Roman" w:cs="Times New Roman"/>
          <w:b w:val="0"/>
          <w:bCs w:val="0"/>
          <w:i w:val="0"/>
          <w:iCs w:val="0"/>
          <w:noProof w:val="0"/>
          <w:sz w:val="24"/>
          <w:szCs w:val="24"/>
          <w:lang w:val="en-GB"/>
        </w:rPr>
        <w:t>).</w:t>
      </w:r>
    </w:p>
    <w:p xmlns:wp14="http://schemas.microsoft.com/office/word/2010/wordml" w:rsidP="043A4414" wp14:paraId="13B8D490" wp14:textId="080FB072">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Brand Building and Differentiation</w:t>
      </w:r>
    </w:p>
    <w:p xmlns:wp14="http://schemas.microsoft.com/office/word/2010/wordml" w:rsidP="043A4414" wp14:paraId="590A6BA9" wp14:textId="5527DB86">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is well-positioned for future growth due to its commitment to brand development and emphasis on sustaining high customer satisfaction. Premier Inn can distinguish itself in the congested hotel industry by bolstering its already formidable brand recognition and investing in customer-centric initiatives. Maintaining growth and success in a competitive market requires balancing consumer desires and market requirements (</w:t>
      </w:r>
      <w:r w:rsidRPr="043A4414" w:rsidR="043A4414">
        <w:rPr>
          <w:rFonts w:ascii="Times New Roman" w:hAnsi="Times New Roman" w:eastAsia="Times New Roman" w:cs="Times New Roman"/>
          <w:b w:val="0"/>
          <w:bCs w:val="0"/>
          <w:i w:val="0"/>
          <w:iCs w:val="0"/>
          <w:noProof w:val="0"/>
          <w:color w:val="222222"/>
          <w:sz w:val="24"/>
          <w:szCs w:val="24"/>
          <w:lang w:val="en-GB"/>
        </w:rPr>
        <w:t>Alvarez et al., 2021</w:t>
      </w:r>
      <w:r w:rsidRPr="043A4414" w:rsidR="043A4414">
        <w:rPr>
          <w:rFonts w:ascii="Times New Roman" w:hAnsi="Times New Roman" w:eastAsia="Times New Roman" w:cs="Times New Roman"/>
          <w:b w:val="0"/>
          <w:bCs w:val="0"/>
          <w:i w:val="0"/>
          <w:iCs w:val="0"/>
          <w:noProof w:val="0"/>
          <w:sz w:val="24"/>
          <w:szCs w:val="24"/>
          <w:lang w:val="en-GB"/>
        </w:rPr>
        <w:t>).</w:t>
      </w:r>
    </w:p>
    <w:p xmlns:wp14="http://schemas.microsoft.com/office/word/2010/wordml" w:rsidP="043A4414" wp14:paraId="1DF17D44" wp14:textId="6300EC11">
      <w:pPr>
        <w:spacing w:after="160" w:line="360" w:lineRule="auto"/>
        <w:jc w:val="both"/>
        <w:rPr>
          <w:rFonts w:ascii="Times New Roman" w:hAnsi="Times New Roman" w:eastAsia="Times New Roman" w:cs="Times New Roman"/>
          <w:b w:val="0"/>
          <w:bCs w:val="0"/>
          <w:i w:val="0"/>
          <w:iCs w:val="0"/>
          <w:noProof w:val="0"/>
          <w:sz w:val="24"/>
          <w:szCs w:val="24"/>
          <w:lang w:val="en-GB"/>
        </w:rPr>
      </w:pPr>
    </w:p>
    <w:p xmlns:wp14="http://schemas.microsoft.com/office/word/2010/wordml" w:rsidP="043A4414" wp14:paraId="13D34B9F" wp14:textId="6560FF0F">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043A4414" wp14:paraId="7E2A22E2" wp14:textId="453CD703">
      <w:pPr>
        <w:spacing w:after="160" w:line="360" w:lineRule="auto"/>
        <w:jc w:val="both"/>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1968A3FA" wp14:textId="09B81EA2">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Financial Commitment to CSR (Corporate Social Responsibility): Analyse the financial commitment of each organisation to CSR initiatives.</w:t>
      </w:r>
    </w:p>
    <w:p xmlns:wp14="http://schemas.microsoft.com/office/word/2010/wordml" w:rsidP="043A4414" wp14:paraId="646B1E75" wp14:textId="738B5AF2">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Mandarin Oriental Hotel Group's Financial Commitment to CSR:</w:t>
      </w:r>
    </w:p>
    <w:p xmlns:wp14="http://schemas.microsoft.com/office/word/2010/wordml" w:rsidP="043A4414" wp14:paraId="6E719A73" wp14:textId="0B42EA7C">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Sustainability Practices</w:t>
      </w:r>
    </w:p>
    <w:p xmlns:wp14="http://schemas.microsoft.com/office/word/2010/wordml" w:rsidP="043A4414" wp14:paraId="509196FE" wp14:textId="556AAD2C">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The financial contribution the Mandarin Oriental Hotel Group will make to CSR: sustainability practises demonstrated by eliminating 99 per cent of single-use plastics from its hotel properties. Its substantial investment in sustainable practices demonstrates the company's commitment to reducing its environmental impact and promoting green business practises. In addition, the group's ongoing efforts to implement energy-efficient technology and advocate responsible resource management demonstrate its commitment to sustainable development (</w:t>
      </w:r>
      <w:r w:rsidRPr="043A4414" w:rsidR="043A4414">
        <w:rPr>
          <w:rFonts w:ascii="Times New Roman" w:hAnsi="Times New Roman" w:eastAsia="Times New Roman" w:cs="Times New Roman"/>
          <w:b w:val="0"/>
          <w:bCs w:val="0"/>
          <w:i w:val="0"/>
          <w:iCs w:val="0"/>
          <w:noProof w:val="0"/>
          <w:color w:val="222222"/>
          <w:sz w:val="24"/>
          <w:szCs w:val="24"/>
          <w:lang w:val="en-GB"/>
        </w:rPr>
        <w:t>Alzoubi et al., 2020</w:t>
      </w:r>
      <w:r w:rsidRPr="043A4414" w:rsidR="043A4414">
        <w:rPr>
          <w:rFonts w:ascii="Times New Roman" w:hAnsi="Times New Roman" w:eastAsia="Times New Roman" w:cs="Times New Roman"/>
          <w:b w:val="0"/>
          <w:bCs w:val="0"/>
          <w:i w:val="0"/>
          <w:iCs w:val="0"/>
          <w:noProof w:val="0"/>
          <w:sz w:val="24"/>
          <w:szCs w:val="24"/>
          <w:lang w:val="en-GB"/>
        </w:rPr>
        <w:t>).</w:t>
      </w:r>
    </w:p>
    <w:p xmlns:wp14="http://schemas.microsoft.com/office/word/2010/wordml" w:rsidP="043A4414" wp14:paraId="73A1794F" wp14:textId="5374255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Community Engagement</w:t>
      </w:r>
    </w:p>
    <w:p xmlns:wp14="http://schemas.microsoft.com/office/word/2010/wordml" w:rsidP="043A4414" wp14:paraId="36E2421B" wp14:textId="4151A51F">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Community Involvement The company's extensive CSR initiatives reveal the team's commitment to giving back to the community. The Mandarin Oriental improves the quality of life in its communities through various charitable partnerships, community service programmes, and employee volunteer efforts. By investing in community development projects, the company aims to have a positive social impact and demonstrate that it cares about establishing sustainable communities in its operating regions (Investors, 2023).</w:t>
      </w:r>
    </w:p>
    <w:p xmlns:wp14="http://schemas.microsoft.com/office/word/2010/wordml" w:rsidP="043A4414" wp14:paraId="5A93EBF1" wp14:textId="4172C10A">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Premier Inn's Financial Commitment to CSR:</w:t>
      </w:r>
    </w:p>
    <w:p xmlns:wp14="http://schemas.microsoft.com/office/word/2010/wordml" w:rsidP="043A4414" wp14:paraId="5549ADC0" wp14:textId="1A669CC0">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Sustainability Initiatives</w:t>
      </w:r>
    </w:p>
    <w:p xmlns:wp14="http://schemas.microsoft.com/office/word/2010/wordml" w:rsidP="043A4414" wp14:paraId="3089587E" wp14:textId="02FD594D">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has made tremendous strides towards adopting environmentally friendly policies. As part of its corporate social responsibility programme, the corporation has made this pledge. This calls for funding initiatives to reduce energy consumption, recycle more, and green the supply chain. The company demonstrates its dedication to sustainable growth and environmental stewardship through its efforts to lessen its negative effects on the natural world. Premier Inn is committed to environmentally sustainable business practises, as seen by the chain's initiatives to encourage energy conservation and lower the hotel's overall carbon impact (Net zero carbon emissions, 2020).</w:t>
      </w:r>
    </w:p>
    <w:p xmlns:wp14="http://schemas.microsoft.com/office/word/2010/wordml" w:rsidP="043A4414" wp14:paraId="3029B232" wp14:textId="747626AF">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1"/>
          <w:bCs w:val="1"/>
          <w:i w:val="0"/>
          <w:iCs w:val="0"/>
          <w:noProof w:val="0"/>
          <w:sz w:val="24"/>
          <w:szCs w:val="24"/>
          <w:lang w:val="en-GB"/>
        </w:rPr>
        <w:t>Community Support and Engagement</w:t>
      </w:r>
    </w:p>
    <w:p xmlns:wp14="http://schemas.microsoft.com/office/word/2010/wordml" w:rsidP="043A4414" wp14:paraId="24942430" wp14:textId="45A80676">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Premier Inn has invested heavily in local communities through its support of several local activities and nonprofits. Premier Inn promotes staff involvement and takes part in community improvement activities, both of which enhance the economic and social well-being of the communities in which it is located. Brand's philanthropic investments in community-focused projects show the company's dedication to building strong, sustainable communities and acting responsibly towards such communities (</w:t>
      </w:r>
      <w:r w:rsidRPr="043A4414" w:rsidR="043A4414">
        <w:rPr>
          <w:rFonts w:ascii="Times New Roman" w:hAnsi="Times New Roman" w:eastAsia="Times New Roman" w:cs="Times New Roman"/>
          <w:b w:val="0"/>
          <w:bCs w:val="0"/>
          <w:i w:val="0"/>
          <w:iCs w:val="0"/>
          <w:noProof w:val="0"/>
          <w:color w:val="222222"/>
          <w:sz w:val="24"/>
          <w:szCs w:val="24"/>
          <w:lang w:val="en-GB"/>
        </w:rPr>
        <w:t>Hamdan et al., 2023</w:t>
      </w:r>
      <w:r w:rsidRPr="043A4414" w:rsidR="043A4414">
        <w:rPr>
          <w:rFonts w:ascii="Times New Roman" w:hAnsi="Times New Roman" w:eastAsia="Times New Roman" w:cs="Times New Roman"/>
          <w:b w:val="0"/>
          <w:bCs w:val="0"/>
          <w:i w:val="0"/>
          <w:iCs w:val="0"/>
          <w:noProof w:val="0"/>
          <w:sz w:val="24"/>
          <w:szCs w:val="24"/>
          <w:lang w:val="en-GB"/>
        </w:rPr>
        <w:t>).</w:t>
      </w:r>
    </w:p>
    <w:p xmlns:wp14="http://schemas.microsoft.com/office/word/2010/wordml" w:rsidP="043A4414" wp14:paraId="4D98A9D5" wp14:textId="36437DB6">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043A4414" wp14:paraId="63F68E78" wp14:textId="7AE41F9F">
      <w:pPr>
        <w:spacing w:after="160" w:line="360" w:lineRule="auto"/>
        <w:jc w:val="both"/>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6CE063CD" wp14:textId="02C46ACF">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Conclusion</w:t>
      </w:r>
    </w:p>
    <w:p xmlns:wp14="http://schemas.microsoft.com/office/word/2010/wordml" w:rsidP="043A4414" wp14:paraId="2CB7412A" wp14:textId="4B51704B">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Both Mandarin Oriental Hotel Group and Premier Inn have achieved tremendous success in the hospitality industry, but their differences emphasise how their respective approaches are complementary and unique. Mandarin Oriental has established itself as a leader in the luxury hotel industry by prioritising the highest standards of service, establishing a globally recognisable brand, and devoting significant resources to programmes that promote environmental responsibility and community service. Premier Inn, on the other hand, stands out in the congested budget hotel market due to the company's strategic market development, consistent performance in the budget hotel segment, and outstanding commitment to sustainable practices and community involvement. Both companies have done an exceptional job of capitalising on their unique capabilities and approaches, which has allowed them to establish dominant niches and sustain steady growth.</w:t>
      </w:r>
    </w:p>
    <w:p xmlns:wp14="http://schemas.microsoft.com/office/word/2010/wordml" w:rsidP="043A4414" wp14:paraId="7469DAA6" wp14:textId="7E34020B">
      <w:pPr>
        <w:spacing w:after="160" w:line="360" w:lineRule="auto"/>
        <w:jc w:val="both"/>
        <w:rPr>
          <w:rFonts w:ascii="Times New Roman" w:hAnsi="Times New Roman" w:eastAsia="Times New Roman" w:cs="Times New Roman"/>
          <w:b w:val="0"/>
          <w:bCs w:val="0"/>
          <w:i w:val="0"/>
          <w:iCs w:val="0"/>
          <w:noProof w:val="0"/>
          <w:sz w:val="24"/>
          <w:szCs w:val="24"/>
          <w:lang w:val="en-GB"/>
        </w:rPr>
      </w:pPr>
      <w:r>
        <w:br w:type="page"/>
      </w:r>
    </w:p>
    <w:p xmlns:wp14="http://schemas.microsoft.com/office/word/2010/wordml" w:rsidP="043A4414" wp14:paraId="2C74516B" wp14:textId="6D47D896">
      <w:pPr>
        <w:pStyle w:val="Heading1"/>
        <w:keepNext w:val="1"/>
        <w:keepLines w:val="1"/>
        <w:spacing w:before="240" w:after="0" w:line="360" w:lineRule="auto"/>
        <w:jc w:val="both"/>
        <w:rPr>
          <w:rFonts w:ascii="Times New Roman" w:hAnsi="Times New Roman" w:eastAsia="Times New Roman" w:cs="Times New Roman"/>
          <w:b w:val="1"/>
          <w:bCs w:val="1"/>
          <w:i w:val="0"/>
          <w:iCs w:val="0"/>
          <w:noProof w:val="0"/>
          <w:color w:val="2E74B5" w:themeColor="accent5" w:themeTint="FF" w:themeShade="BF"/>
          <w:sz w:val="32"/>
          <w:szCs w:val="32"/>
          <w:lang w:val="en-GB"/>
        </w:rPr>
      </w:pPr>
      <w:r w:rsidRPr="043A4414" w:rsidR="043A4414">
        <w:rPr>
          <w:rFonts w:ascii="Times New Roman" w:hAnsi="Times New Roman" w:eastAsia="Times New Roman" w:cs="Times New Roman"/>
          <w:b w:val="1"/>
          <w:bCs w:val="1"/>
          <w:i w:val="0"/>
          <w:iCs w:val="0"/>
          <w:noProof w:val="0"/>
          <w:color w:val="2E74B5" w:themeColor="accent5" w:themeTint="FF" w:themeShade="BF"/>
          <w:sz w:val="32"/>
          <w:szCs w:val="32"/>
          <w:lang w:val="en-GB"/>
        </w:rPr>
        <w:t>References</w:t>
      </w:r>
    </w:p>
    <w:p xmlns:wp14="http://schemas.microsoft.com/office/word/2010/wordml" w:rsidP="043A4414" wp14:paraId="1EABE5F6" wp14:textId="147A702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Alreahi, M., Bujdosó, Z., Kabil, M., Akaak, A., Benkó, K. F., Setioningtyas, W. P., &amp; Dávid, L. D. (2022). Green human resources management in the hotel industry: A systematic review. Sustainability, 15(1), 99.</w:t>
      </w:r>
    </w:p>
    <w:p xmlns:wp14="http://schemas.microsoft.com/office/word/2010/wordml" w:rsidP="043A4414" wp14:paraId="7EE48829" wp14:textId="30D17B04">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Alvarez, T., Sensini, L., Bello, C., &amp; Vazquez, M. (2021). Management accounting practices and performance of SMEs in the Hotel industry: Evidence from an emerging economy. International Journal of Business and Social Science, 12(2), 24-35.</w:t>
      </w:r>
    </w:p>
    <w:p xmlns:wp14="http://schemas.microsoft.com/office/word/2010/wordml" w:rsidP="043A4414" wp14:paraId="3C71AFFB" wp14:textId="63443293">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Alzoubi, R. H. M., &amp; Jaaffar, A. H. (2020). Leadership styles, crisis management, and hotel performance: A conceptual perspective of the Jordanian hotel industry. Journal of Critical Reviews, 7(10), 556-562.</w:t>
      </w:r>
    </w:p>
    <w:p xmlns:wp14="http://schemas.microsoft.com/office/word/2010/wordml" w:rsidP="043A4414" wp14:paraId="709BF02C" wp14:textId="2AF7E21B">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Atrill, P., &amp; McLaney, E. (2021). Management Accounting for Decision Makers. FT Prentice Hall.</w:t>
      </w:r>
    </w:p>
    <w:p xmlns:wp14="http://schemas.microsoft.com/office/word/2010/wordml" w:rsidP="043A4414" wp14:paraId="5E979A0E" wp14:textId="53FE19EC">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Bhimani, A. (Ed.). (2006). Contemporary Issues in Management Accounting. Oxford.</w:t>
      </w:r>
    </w:p>
    <w:p xmlns:wp14="http://schemas.microsoft.com/office/word/2010/wordml" w:rsidP="043A4414" wp14:paraId="2CD7509E" wp14:textId="06D088E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Drobyazko, S., Barwinska-Malajowicz, A., Slusarczyk, B., Chubukova, O., &amp; Bielialov, T. (2020). Risk management in the system of financial stability of the service enterprise. Journal of Risk and Financial Management, 13(12), 300.</w:t>
      </w:r>
    </w:p>
    <w:p xmlns:wp14="http://schemas.microsoft.com/office/word/2010/wordml" w:rsidP="043A4414" wp14:paraId="55360603" wp14:textId="6A83564B">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Drury, C. (2021). Management and Cost Accounting (11th Ed.). London, Prentice Hall.</w:t>
      </w:r>
    </w:p>
    <w:p xmlns:wp14="http://schemas.microsoft.com/office/word/2010/wordml" w:rsidP="043A4414" wp14:paraId="09EB92FD" wp14:textId="5ECE0FF8">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Field, H. M. (2010). Financial management implications of hotel management contracts: A UK perspective. In Accounting and finance for the international hospitality industry (pp. 261-277). Routledge.</w:t>
      </w:r>
    </w:p>
    <w:p xmlns:wp14="http://schemas.microsoft.com/office/word/2010/wordml" w:rsidP="043A4414" wp14:paraId="7C41659C" wp14:textId="60F6F49A">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Guilding, C. (2014). Accounting Essentials for Hospitality Managers (3rd Edition). London, Routledge.</w:t>
      </w:r>
    </w:p>
    <w:p xmlns:wp14="http://schemas.microsoft.com/office/word/2010/wordml" w:rsidP="043A4414" wp14:paraId="2A96D97E" wp14:textId="0F06A0FE">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Hamdan, I. Z. P., Othman, M., Hassim, Y. M. M., Marjudi, S., &amp; Yusof, M. M. (2023). Customer Loyalty Prediction for Hotel Industry Using Machine Learning Approach. JOIV: International Journal on Informatics Visualization, 7(3), 695-703.</w:t>
      </w:r>
    </w:p>
    <w:p xmlns:wp14="http://schemas.microsoft.com/office/word/2010/wordml" w:rsidP="043A4414" wp14:paraId="393661BB" wp14:textId="0357ACF7">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Ikkos, A. (2012). The European financial economic crisis and impact on tourism &amp; hotel industry performance-the case of Greece. Review of the Association of Hospitality Financial Management Educators, 23(2), 5-8.</w:t>
      </w:r>
    </w:p>
    <w:p xmlns:wp14="http://schemas.microsoft.com/office/word/2010/wordml" w:rsidP="043A4414" wp14:paraId="110EA25E" wp14:textId="2CBAF5B4">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Investors. (n.d.). Luxury 5 Star Hotels &amp; Resorts Worldwide. Retrieved from </w:t>
      </w:r>
      <w:hyperlink r:id="Rf7bc71221d71482f">
        <w:r w:rsidRPr="043A4414" w:rsidR="043A4414">
          <w:rPr>
            <w:rStyle w:val="Hyperlink"/>
            <w:rFonts w:ascii="Times New Roman" w:hAnsi="Times New Roman" w:eastAsia="Times New Roman" w:cs="Times New Roman"/>
            <w:b w:val="0"/>
            <w:bCs w:val="0"/>
            <w:i w:val="0"/>
            <w:iCs w:val="0"/>
            <w:strike w:val="0"/>
            <w:dstrike w:val="0"/>
            <w:noProof w:val="0"/>
            <w:sz w:val="24"/>
            <w:szCs w:val="24"/>
            <w:lang w:val="en-GB"/>
          </w:rPr>
          <w:t>https://www.mandarinoriental.com/en/investors</w:t>
        </w:r>
      </w:hyperlink>
    </w:p>
    <w:p xmlns:wp14="http://schemas.microsoft.com/office/word/2010/wordml" w:rsidP="043A4414" wp14:paraId="276E77A7" wp14:textId="7F024C33">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Jagels, M. (2007). Hospitality Management Accounting. London, Wiley.</w:t>
      </w:r>
    </w:p>
    <w:p xmlns:wp14="http://schemas.microsoft.com/office/word/2010/wordml" w:rsidP="043A4414" wp14:paraId="66E1E804" wp14:textId="75C2B83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Nair Ph D, G. K. (2019). Dynamics of learning orientation, innovativeness, and financial performance of the hotel industry. Journal of Hospitality Financial Management, 27(1), 4.</w:t>
      </w:r>
    </w:p>
    <w:p xmlns:wp14="http://schemas.microsoft.com/office/word/2010/wordml" w:rsidP="043A4414" wp14:paraId="7A85398D" wp14:textId="45EADA85">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 xml:space="preserve">Net zero carbon emissions. (n.d.). Net zero carbon emissions | News | 2021 | Premier Inn. Retrieved from </w:t>
      </w:r>
      <w:hyperlink r:id="Rde8b85c3a0fa4663">
        <w:r w:rsidRPr="043A4414" w:rsidR="043A4414">
          <w:rPr>
            <w:rStyle w:val="Hyperlink"/>
            <w:rFonts w:ascii="Times New Roman" w:hAnsi="Times New Roman" w:eastAsia="Times New Roman" w:cs="Times New Roman"/>
            <w:b w:val="0"/>
            <w:bCs w:val="0"/>
            <w:i w:val="0"/>
            <w:iCs w:val="0"/>
            <w:strike w:val="0"/>
            <w:dstrike w:val="0"/>
            <w:noProof w:val="0"/>
            <w:sz w:val="24"/>
            <w:szCs w:val="24"/>
            <w:lang w:val="en-GB"/>
          </w:rPr>
          <w:t>https://www.premierinn.com/gb/en/news/2021/net-zero-carbon-emissions.html</w:t>
        </w:r>
      </w:hyperlink>
    </w:p>
    <w:p xmlns:wp14="http://schemas.microsoft.com/office/word/2010/wordml" w:rsidP="043A4414" wp14:paraId="3EBFB952" wp14:textId="75C5A2D6">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Seal, W. (2019). Management Accounting. London, McGraw Hill.</w:t>
      </w:r>
    </w:p>
    <w:p xmlns:wp14="http://schemas.microsoft.com/office/word/2010/wordml" w:rsidP="043A4414" wp14:paraId="7899D066" wp14:textId="6B9235C7">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Seal, W., Garrison, R. H., &amp; Noreen, E. (2008). Management Accounting. McGraw Hill.</w:t>
      </w:r>
    </w:p>
    <w:p xmlns:wp14="http://schemas.microsoft.com/office/word/2010/wordml" w:rsidP="043A4414" wp14:paraId="76A70A5D" wp14:textId="06E4F6AA">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Tranter, K., Stuart-Hill, T., &amp; Parker, J. (2014). Introduction to Revenue Management for the Hospitality Industry. London, Pearson.</w:t>
      </w:r>
    </w:p>
    <w:p xmlns:wp14="http://schemas.microsoft.com/office/word/2010/wordml" w:rsidP="043A4414" wp14:paraId="3933A4D0" wp14:textId="103BD350">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Walker, J. (2021). Introduction to Hospitality. Harlow, Pearson.</w:t>
      </w:r>
    </w:p>
    <w:p xmlns:wp14="http://schemas.microsoft.com/office/word/2010/wordml" w:rsidP="043A4414" wp14:paraId="4B5D3DD0" wp14:textId="266FE25D">
      <w:pPr>
        <w:spacing w:after="160" w:line="360" w:lineRule="auto"/>
        <w:jc w:val="both"/>
        <w:rPr>
          <w:rFonts w:ascii="Times New Roman" w:hAnsi="Times New Roman" w:eastAsia="Times New Roman" w:cs="Times New Roman"/>
          <w:b w:val="0"/>
          <w:bCs w:val="0"/>
          <w:i w:val="0"/>
          <w:iCs w:val="0"/>
          <w:noProof w:val="0"/>
          <w:sz w:val="24"/>
          <w:szCs w:val="24"/>
          <w:lang w:val="en-GB"/>
        </w:rPr>
      </w:pPr>
      <w:r w:rsidRPr="043A4414" w:rsidR="043A4414">
        <w:rPr>
          <w:rFonts w:ascii="Times New Roman" w:hAnsi="Times New Roman" w:eastAsia="Times New Roman" w:cs="Times New Roman"/>
          <w:b w:val="0"/>
          <w:bCs w:val="0"/>
          <w:i w:val="0"/>
          <w:iCs w:val="0"/>
          <w:noProof w:val="0"/>
          <w:sz w:val="24"/>
          <w:szCs w:val="24"/>
          <w:lang w:val="en-GB"/>
        </w:rPr>
        <w:t>Wild, J. (2018). Fundamental Accounting Principles. New York, McGraw Hill.</w:t>
      </w:r>
    </w:p>
    <w:p xmlns:wp14="http://schemas.microsoft.com/office/word/2010/wordml" w:rsidP="043A4414" wp14:paraId="42DF3B88" wp14:textId="702F5263">
      <w:pPr>
        <w:spacing w:after="160" w:line="360" w:lineRule="auto"/>
        <w:jc w:val="both"/>
        <w:rPr>
          <w:rFonts w:ascii="Times New Roman" w:hAnsi="Times New Roman" w:eastAsia="Times New Roman" w:cs="Times New Roman"/>
          <w:b w:val="0"/>
          <w:bCs w:val="0"/>
          <w:i w:val="0"/>
          <w:iCs w:val="0"/>
          <w:noProof w:val="0"/>
          <w:sz w:val="24"/>
          <w:szCs w:val="24"/>
          <w:lang w:val="en-GB"/>
        </w:rPr>
      </w:pPr>
    </w:p>
    <w:p xmlns:wp14="http://schemas.microsoft.com/office/word/2010/wordml" w:rsidP="043A4414" wp14:paraId="5E5787A5" wp14:textId="7002D34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31283e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ab9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08d8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4cb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7a3b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C76C37"/>
    <w:rsid w:val="043A4414"/>
    <w:rsid w:val="08C76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76C37"/>
  <w15:chartTrackingRefBased/>
  <w15:docId w15:val="{0DA91985-1FEB-4514-866E-8818A6FC5B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ndarinoriental.com/en/investors" TargetMode="External" Id="Rf7bc71221d71482f" /><Relationship Type="http://schemas.openxmlformats.org/officeDocument/2006/relationships/hyperlink" Target="https://www.premierinn.com/gb/en/news/2021/net-zero-carbon-emissions.html" TargetMode="External" Id="Rde8b85c3a0fa4663" /><Relationship Type="http://schemas.openxmlformats.org/officeDocument/2006/relationships/numbering" Target="/word/numbering.xml" Id="R31322d6dae9f41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Humayun Chowdhury</dc:creator>
  <keywords/>
  <dc:description/>
  <lastModifiedBy>Humayun Chowdhury</lastModifiedBy>
  <revision>2</revision>
  <dcterms:created xsi:type="dcterms:W3CDTF">2023-10-20T15:42:17.5447212Z</dcterms:created>
  <dcterms:modified xsi:type="dcterms:W3CDTF">2023-10-20T15:42:58.5319765Z</dcterms:modified>
</coreProperties>
</file>