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6D3F" w:rsidRDefault="00586D3F" w:rsidP="00F904DA"/>
    <w:p w:rsidR="00586D3F" w:rsidRDefault="00586D3F" w:rsidP="00F904DA"/>
    <w:p w:rsidR="00586D3F" w:rsidRDefault="00586D3F" w:rsidP="00F904DA"/>
    <w:p w:rsidR="00586D3F" w:rsidRDefault="00586D3F" w:rsidP="00586D3F">
      <w:pPr>
        <w:pStyle w:val="Title"/>
        <w:jc w:val="center"/>
      </w:pPr>
      <w:r w:rsidRPr="00D026D2">
        <w:t>In what ways did King Stephen’s reign provide a contrast to the reigns of his predecessor and successor?</w:t>
      </w:r>
    </w:p>
    <w:p w:rsidR="00586D3F" w:rsidRDefault="00586D3F" w:rsidP="00586D3F"/>
    <w:p w:rsidR="00586D3F" w:rsidRDefault="00586D3F" w:rsidP="00586D3F"/>
    <w:p w:rsidR="00586D3F" w:rsidRDefault="00586D3F" w:rsidP="00586D3F"/>
    <w:p w:rsidR="00586D3F" w:rsidRDefault="00586D3F" w:rsidP="00586D3F"/>
    <w:p w:rsidR="00586D3F" w:rsidRDefault="00586D3F" w:rsidP="00586D3F"/>
    <w:p w:rsidR="00586D3F" w:rsidRDefault="00586D3F" w:rsidP="00586D3F"/>
    <w:p w:rsidR="00586D3F" w:rsidRDefault="00586D3F" w:rsidP="00586D3F">
      <w:pPr>
        <w:jc w:val="center"/>
      </w:pPr>
      <w:r>
        <w:t xml:space="preserve">Adam Mackelden </w:t>
      </w:r>
    </w:p>
    <w:p w:rsidR="00586D3F" w:rsidRPr="00D026D2" w:rsidRDefault="00586D3F" w:rsidP="00586D3F">
      <w:pPr>
        <w:jc w:val="center"/>
      </w:pPr>
      <w:r>
        <w:t>(1600926)</w:t>
      </w:r>
    </w:p>
    <w:p w:rsidR="00586D3F" w:rsidRDefault="00586D3F" w:rsidP="00F904DA"/>
    <w:p w:rsidR="00586D3F" w:rsidRDefault="00586D3F" w:rsidP="00F904DA"/>
    <w:p w:rsidR="00586D3F" w:rsidRDefault="00586D3F" w:rsidP="00F904DA"/>
    <w:p w:rsidR="00586D3F" w:rsidRDefault="00586D3F" w:rsidP="00F904DA"/>
    <w:p w:rsidR="00586D3F" w:rsidRDefault="00586D3F" w:rsidP="00F904DA"/>
    <w:p w:rsidR="00586D3F" w:rsidRDefault="00586D3F" w:rsidP="00F904DA"/>
    <w:p w:rsidR="00586D3F" w:rsidRDefault="00586D3F" w:rsidP="00F904DA"/>
    <w:p w:rsidR="00586D3F" w:rsidRDefault="00586D3F" w:rsidP="00F904DA"/>
    <w:p w:rsidR="00586D3F" w:rsidRDefault="00586D3F" w:rsidP="00F904DA"/>
    <w:p w:rsidR="00586D3F" w:rsidRDefault="00586D3F" w:rsidP="00F904DA"/>
    <w:p w:rsidR="00586D3F" w:rsidRDefault="00586D3F" w:rsidP="00F904DA"/>
    <w:p w:rsidR="00586D3F" w:rsidRDefault="00586D3F" w:rsidP="00F904DA"/>
    <w:p w:rsidR="00586D3F" w:rsidRDefault="00586D3F" w:rsidP="00F904DA"/>
    <w:p w:rsidR="00586D3F" w:rsidRDefault="00586D3F" w:rsidP="00F904DA"/>
    <w:p w:rsidR="00586D3F" w:rsidRDefault="00586D3F" w:rsidP="00F904DA"/>
    <w:p w:rsidR="00F904DA" w:rsidRDefault="00F904DA" w:rsidP="00F904DA">
      <w:r>
        <w:t>The reign of King Stephen was a reign more likened to that of the period of the wars of the roses due to the furious civil war and the constant power shifts, this is further exacerbated when compared to the reign of Stephens’s predecessor Henry I and his successor henry II, although Henry I and Henry II’s reign saw sporadic conflicts with the challenge from Henrys brother Robert de Curthose and Henry II’s sons during the “great rebellion” of 1173-4 and in the final days of his reign due to the constant intrigue of the capetian monarchy. As an unstable England meant the Capetian power was able to slowly rise above that of the kings of England. These conflicts during the reigns of Henry I and Henry II’s were contained for the most to the continent. There were also contrasts in the way in which the three kings conducted themselves with matters of state and church.</w:t>
      </w:r>
    </w:p>
    <w:p w:rsidR="00F904DA" w:rsidRPr="00334036" w:rsidRDefault="00F904DA" w:rsidP="00F904DA">
      <w:pPr>
        <w:rPr>
          <w:color w:val="000000" w:themeColor="text1"/>
        </w:rPr>
      </w:pPr>
      <w:r>
        <w:t xml:space="preserve">‘for where during his reign, had been the fount of righteous judgement and abode of law, there, on his decease, grew up abundance of iniquity and a seed-plot of all manner of wickedness; insomuch as England, formerly the seat of justice, the habitation of peace, the height of piety, the mirror of religion, became thereafter a home of perversity, a haunt of strife, a training ground of disorder, and a teacher of every kind of rebellion’ </w:t>
      </w:r>
      <w:r>
        <w:rPr>
          <w:rStyle w:val="FootnoteReference"/>
        </w:rPr>
        <w:footnoteReference w:id="1"/>
      </w:r>
      <w:r>
        <w:t xml:space="preserve"> this insight into the contrast of the levels of conflict</w:t>
      </w:r>
      <w:r w:rsidR="00334036">
        <w:t xml:space="preserve"> comparing Henrys reign to Stephens</w:t>
      </w:r>
      <w:r>
        <w:t xml:space="preserve">. The source above comes from the Gesta Stephani. Which is a biased view of Stephens’s reign </w:t>
      </w:r>
      <w:r w:rsidR="00334036">
        <w:t xml:space="preserve">which </w:t>
      </w:r>
      <w:r>
        <w:t xml:space="preserve">then goes on to present a harsh evaluation of Stephens reign. Although this is a harsh view it is not one that is not backed with facts. </w:t>
      </w:r>
      <w:r>
        <w:rPr>
          <w:rFonts w:cstheme="minorHAnsi"/>
          <w:color w:val="000000"/>
          <w:szCs w:val="27"/>
        </w:rPr>
        <w:t>‘</w:t>
      </w:r>
      <w:r w:rsidRPr="00EF0A91">
        <w:rPr>
          <w:rFonts w:cstheme="minorHAnsi"/>
          <w:color w:val="000000"/>
          <w:szCs w:val="27"/>
        </w:rPr>
        <w:t>for every rich man built his castles, which they held</w:t>
      </w:r>
      <w:r>
        <w:rPr>
          <w:rFonts w:cstheme="minorHAnsi"/>
          <w:color w:val="000000"/>
          <w:szCs w:val="27"/>
        </w:rPr>
        <w:t xml:space="preserve"> against him: </w:t>
      </w:r>
      <w:r w:rsidRPr="00EF0A91">
        <w:rPr>
          <w:rFonts w:cstheme="minorHAnsi"/>
          <w:color w:val="000000"/>
          <w:szCs w:val="27"/>
        </w:rPr>
        <w:t>and they filled the land full of castles. They</w:t>
      </w:r>
      <w:r>
        <w:rPr>
          <w:rFonts w:cstheme="minorHAnsi"/>
          <w:color w:val="000000"/>
          <w:szCs w:val="27"/>
        </w:rPr>
        <w:t xml:space="preserve"> </w:t>
      </w:r>
      <w:r w:rsidRPr="00EF0A91">
        <w:rPr>
          <w:rFonts w:cstheme="minorHAnsi"/>
          <w:color w:val="000000"/>
          <w:szCs w:val="27"/>
        </w:rPr>
        <w:t>cruelly oppressed the wretched men of the land with castle-works;</w:t>
      </w:r>
      <w:r>
        <w:rPr>
          <w:rFonts w:cstheme="minorHAnsi"/>
          <w:color w:val="000000"/>
          <w:szCs w:val="27"/>
        </w:rPr>
        <w:t xml:space="preserve"> </w:t>
      </w:r>
      <w:r w:rsidRPr="00EF0A91">
        <w:rPr>
          <w:rFonts w:cstheme="minorHAnsi"/>
          <w:color w:val="000000"/>
          <w:szCs w:val="27"/>
        </w:rPr>
        <w:t>and when the castles were made, they filled them with devils and</w:t>
      </w:r>
      <w:r>
        <w:rPr>
          <w:rFonts w:cstheme="minorHAnsi"/>
          <w:color w:val="000000"/>
          <w:szCs w:val="27"/>
        </w:rPr>
        <w:t xml:space="preserve"> </w:t>
      </w:r>
      <w:r w:rsidRPr="00EF0A91">
        <w:rPr>
          <w:rFonts w:cstheme="minorHAnsi"/>
          <w:color w:val="000000"/>
          <w:szCs w:val="27"/>
        </w:rPr>
        <w:t>evil men.</w:t>
      </w:r>
      <w:r>
        <w:rPr>
          <w:rFonts w:cstheme="minorHAnsi"/>
          <w:color w:val="000000"/>
          <w:szCs w:val="27"/>
        </w:rPr>
        <w:t>’</w:t>
      </w:r>
      <w:r>
        <w:rPr>
          <w:rStyle w:val="FootnoteReference"/>
          <w:rFonts w:cstheme="minorHAnsi"/>
          <w:color w:val="000000"/>
          <w:szCs w:val="27"/>
        </w:rPr>
        <w:footnoteReference w:id="2"/>
      </w:r>
      <w:r>
        <w:rPr>
          <w:rFonts w:cstheme="minorHAnsi"/>
          <w:color w:val="000000"/>
          <w:szCs w:val="27"/>
        </w:rPr>
        <w:t xml:space="preserve"> This building of these “illegal castles” turned England to a patch work of territory </w:t>
      </w:r>
      <w:r w:rsidR="00334036">
        <w:rPr>
          <w:rFonts w:cstheme="minorHAnsi"/>
          <w:color w:val="000000"/>
          <w:szCs w:val="27"/>
        </w:rPr>
        <w:t>began a system of provincial government.</w:t>
      </w:r>
      <w:r>
        <w:rPr>
          <w:rFonts w:cstheme="minorHAnsi"/>
          <w:color w:val="000000"/>
          <w:szCs w:val="27"/>
        </w:rPr>
        <w:t xml:space="preserve"> 1141 saw the </w:t>
      </w:r>
      <w:r w:rsidR="00334036">
        <w:rPr>
          <w:rFonts w:cstheme="minorHAnsi"/>
          <w:color w:val="000000"/>
          <w:szCs w:val="27"/>
        </w:rPr>
        <w:t>highest level of</w:t>
      </w:r>
      <w:r>
        <w:rPr>
          <w:rFonts w:cstheme="minorHAnsi"/>
          <w:color w:val="000000"/>
          <w:szCs w:val="27"/>
        </w:rPr>
        <w:t xml:space="preserve"> conflict during the reign of Stephen.</w:t>
      </w:r>
      <w:r w:rsidR="00F645AC">
        <w:rPr>
          <w:rFonts w:cstheme="minorHAnsi"/>
          <w:color w:val="000000"/>
          <w:szCs w:val="27"/>
        </w:rPr>
        <w:t xml:space="preserve"> </w:t>
      </w:r>
      <w:r>
        <w:rPr>
          <w:rFonts w:cstheme="minorHAnsi"/>
          <w:color w:val="000000"/>
          <w:szCs w:val="27"/>
        </w:rPr>
        <w:t>The aftermath of the battle</w:t>
      </w:r>
      <w:r w:rsidR="00F645AC">
        <w:rPr>
          <w:rFonts w:cstheme="minorHAnsi"/>
          <w:color w:val="000000"/>
          <w:szCs w:val="27"/>
        </w:rPr>
        <w:t xml:space="preserve"> of Lincoln where Stephen was captured</w:t>
      </w:r>
      <w:r>
        <w:rPr>
          <w:rFonts w:cstheme="minorHAnsi"/>
          <w:color w:val="000000"/>
          <w:szCs w:val="27"/>
        </w:rPr>
        <w:t xml:space="preserve"> shows the effects of this succession conflict had on the people of England. ‘Some perused the townsmen as they retreated to the town and by slaughtering very many of them </w:t>
      </w:r>
      <w:r>
        <w:rPr>
          <w:rFonts w:cstheme="minorHAnsi"/>
          <w:color w:val="000000"/>
          <w:szCs w:val="27"/>
        </w:rPr>
        <w:lastRenderedPageBreak/>
        <w:t>and likewise plundering and burning houses and churches on every side they created a piteous scene of devastation everywhere,’</w:t>
      </w:r>
      <w:r>
        <w:rPr>
          <w:rStyle w:val="FootnoteReference"/>
          <w:rFonts w:cstheme="minorHAnsi"/>
          <w:color w:val="000000"/>
          <w:szCs w:val="27"/>
        </w:rPr>
        <w:footnoteReference w:id="3"/>
      </w:r>
      <w:r>
        <w:rPr>
          <w:rFonts w:cstheme="minorHAnsi"/>
          <w:color w:val="000000"/>
          <w:szCs w:val="27"/>
        </w:rPr>
        <w:t xml:space="preserve"> </w:t>
      </w:r>
      <w:r>
        <w:t xml:space="preserve"> this is what the people of England could expect from the would be queen. Not controlling her forces leading to the deaths of innocent subjects</w:t>
      </w:r>
      <w:r w:rsidR="00580817">
        <w:t>.</w:t>
      </w:r>
      <w:r>
        <w:t xml:space="preserve"> </w:t>
      </w:r>
      <w:r w:rsidR="00580817">
        <w:t>The</w:t>
      </w:r>
      <w:r>
        <w:t xml:space="preserve"> fact that no attempt was made to prevent this proves the would be queens distain for the English people. </w:t>
      </w:r>
      <w:r w:rsidR="00580817">
        <w:t>It</w:t>
      </w:r>
      <w:r>
        <w:t xml:space="preserve"> is likely that the </w:t>
      </w:r>
      <w:r w:rsidR="00B507A2">
        <w:t xml:space="preserve">people </w:t>
      </w:r>
      <w:r>
        <w:t xml:space="preserve">of England would start to look at Stephen as a king who could clearly not defend his people. </w:t>
      </w:r>
    </w:p>
    <w:p w:rsidR="00F904DA" w:rsidRDefault="00F904DA" w:rsidP="00F904DA"/>
    <w:p w:rsidR="00F904DA" w:rsidRDefault="00F904DA" w:rsidP="00F904DA"/>
    <w:p w:rsidR="005E2819" w:rsidRDefault="005E2819" w:rsidP="00F904DA"/>
    <w:p w:rsidR="005E2819" w:rsidRDefault="005E2819" w:rsidP="00F904DA"/>
    <w:p w:rsidR="005E2819" w:rsidRDefault="005E2819" w:rsidP="00F904DA"/>
    <w:p w:rsidR="00B507A2" w:rsidRDefault="00B507A2" w:rsidP="00F904DA"/>
    <w:p w:rsidR="00580817" w:rsidRDefault="00580817" w:rsidP="00F904DA"/>
    <w:p w:rsidR="00580817" w:rsidRDefault="00580817" w:rsidP="00F904DA"/>
    <w:p w:rsidR="000C2FB5" w:rsidRDefault="000C2FB5" w:rsidP="00F904DA"/>
    <w:p w:rsidR="00F904DA" w:rsidRDefault="00F904DA" w:rsidP="00F904DA">
      <w:r>
        <w:t>When it comes to matters of the church Stephen can be condemned as Edmund king does ‘his agreement with the church and his coronation oath had alike been broken… the arrest of the bishops was synoptic of his mercenary attitude to the church’</w:t>
      </w:r>
      <w:r>
        <w:rPr>
          <w:rStyle w:val="FootnoteReference"/>
        </w:rPr>
        <w:footnoteReference w:id="4"/>
      </w:r>
      <w:r>
        <w:t xml:space="preserve">  Keith J. Stringer proposes that Stephens tough actions during the intensification in his conflict with Mathilda does not mean that Stephen ‘cynically broke his promises (as some historians have concluded), but because during national emergencies he and his war captains naturally expected the clergy to put royal needs first’</w:t>
      </w:r>
      <w:r>
        <w:rPr>
          <w:rStyle w:val="FootnoteReference"/>
        </w:rPr>
        <w:footnoteReference w:id="5"/>
      </w:r>
      <w:r>
        <w:t xml:space="preserve">  this to me </w:t>
      </w:r>
      <w:r w:rsidR="00F645AC">
        <w:t xml:space="preserve">makes more sense as the </w:t>
      </w:r>
      <w:r w:rsidR="005E2819">
        <w:t>church</w:t>
      </w:r>
      <w:r>
        <w:t xml:space="preserve"> support</w:t>
      </w:r>
      <w:r w:rsidR="00F645AC">
        <w:t>ed</w:t>
      </w:r>
      <w:r>
        <w:t xml:space="preserve"> his ascension to the throne I do not feel Stephen would have forsaken the support of the church. When looking at sources from the period regarding the church </w:t>
      </w:r>
      <w:r w:rsidR="005E2819">
        <w:t>only one</w:t>
      </w:r>
      <w:r>
        <w:t xml:space="preserve"> show</w:t>
      </w:r>
      <w:r w:rsidR="005E2819">
        <w:t>s</w:t>
      </w:r>
      <w:r>
        <w:t xml:space="preserve"> Stephen as a pious </w:t>
      </w:r>
      <w:r w:rsidR="00296237">
        <w:t>king, the</w:t>
      </w:r>
      <w:r>
        <w:t xml:space="preserve"> </w:t>
      </w:r>
      <w:r w:rsidRPr="00505428">
        <w:t>Chronicon Anglicanum</w:t>
      </w:r>
      <w:r w:rsidR="00F5726C">
        <w:t>.</w:t>
      </w:r>
      <w:r>
        <w:t xml:space="preserve"> it states  ‘From his queen Mathilda and pious king Stephen’</w:t>
      </w:r>
      <w:r>
        <w:rPr>
          <w:rStyle w:val="FootnoteReference"/>
        </w:rPr>
        <w:footnoteReference w:id="6"/>
      </w:r>
      <w:r>
        <w:t xml:space="preserve"> the Anglicanum later goes on to tell us that Stephen founded many abbacy’s during his reign ‘1140. The abbacy of Coggeshall was founded by king Stephen and queen Mathilda, who had also founded the abbacy of Furness and the abbey of Lungviliers, and the abbey of Faversham’</w:t>
      </w:r>
      <w:r>
        <w:rPr>
          <w:rStyle w:val="FootnoteReference"/>
        </w:rPr>
        <w:footnoteReference w:id="7"/>
      </w:r>
      <w:r w:rsidR="00F5726C">
        <w:t xml:space="preserve"> as</w:t>
      </w:r>
      <w:r>
        <w:t xml:space="preserve"> Stephen had created these abbacy’s it is showing he is arguably holding his coronation promises to the church. But when referencing the Chronicon Anglicanum readers must understand that it is a biased document as it was produced in the abbacy of Coggeshall. </w:t>
      </w:r>
      <w:r w:rsidR="00F5726C">
        <w:t xml:space="preserve">And not present him as the man </w:t>
      </w:r>
      <w:r>
        <w:t>who had not been exploiting the church for personal wealth much like reign of William Rufus</w:t>
      </w:r>
      <w:r w:rsidR="00F5726C">
        <w:t xml:space="preserve">. </w:t>
      </w:r>
      <w:r>
        <w:t xml:space="preserve">Henry of Huntingdon </w:t>
      </w:r>
      <w:r w:rsidR="00F5726C">
        <w:t xml:space="preserve">paints a contrasting picture of the </w:t>
      </w:r>
      <w:r>
        <w:t>‘king Stephen went on to oxford, where he recorded and confirmed the covenants which he had granted to the people and the holy church on the day of his coronation. They are these,* first he vowed never to keep churches in his own hand after bishops had died, but giving speedy consent to canonical election… these were his chief vows to god, and there were others, but he did not keep any of them’</w:t>
      </w:r>
      <w:r>
        <w:rPr>
          <w:rStyle w:val="FootnoteReference"/>
        </w:rPr>
        <w:footnoteReference w:id="8"/>
      </w:r>
      <w:r>
        <w:t xml:space="preserve"> the work</w:t>
      </w:r>
      <w:r w:rsidR="00F645AC">
        <w:t>s</w:t>
      </w:r>
      <w:r>
        <w:t xml:space="preserve"> of Henry of Huntingdon </w:t>
      </w:r>
      <w:r w:rsidR="00F645AC">
        <w:t>,</w:t>
      </w:r>
      <w:r>
        <w:t>a contemporary historian of the time</w:t>
      </w:r>
      <w:r w:rsidR="00F645AC">
        <w:t>,</w:t>
      </w:r>
      <w:r>
        <w:t xml:space="preserve"> paint Stephen in an unsavoury light with regards to the church I feel this source provides an authentic insight into Stephens relationship with the church in comparison to the Chronicon Anglicanum as Henry of Huntingdon does not have any reason to act in any way biased either for or against Stephen providing a source which is more reliable. </w:t>
      </w:r>
    </w:p>
    <w:p w:rsidR="00F904DA" w:rsidRDefault="00F904DA" w:rsidP="00F904DA"/>
    <w:p w:rsidR="00F904DA" w:rsidRDefault="00F904DA" w:rsidP="00F904DA"/>
    <w:p w:rsidR="00F904DA" w:rsidRDefault="00F904DA" w:rsidP="00F904DA"/>
    <w:p w:rsidR="00F904DA" w:rsidRDefault="00F904DA" w:rsidP="00F904DA"/>
    <w:p w:rsidR="00F904DA" w:rsidRDefault="00F904DA" w:rsidP="00F904DA"/>
    <w:p w:rsidR="00F904DA" w:rsidRDefault="00F904DA" w:rsidP="00F904DA"/>
    <w:p w:rsidR="00F5726C" w:rsidRDefault="00F5726C" w:rsidP="00F904DA"/>
    <w:p w:rsidR="00F5726C" w:rsidRDefault="00F5726C" w:rsidP="00F904DA"/>
    <w:p w:rsidR="00F904DA" w:rsidRDefault="00F904DA" w:rsidP="00F904DA">
      <w:r>
        <w:t>‘Stephen, in brief, had a practical approach to kingship’</w:t>
      </w:r>
      <w:r>
        <w:rPr>
          <w:rStyle w:val="FootnoteReference"/>
        </w:rPr>
        <w:footnoteReference w:id="9"/>
      </w:r>
      <w:r>
        <w:t xml:space="preserve"> this practical approach can be seen as his downfall in his royal governance during his reign as although Keith J. Stringer suggests that there is </w:t>
      </w:r>
      <w:r w:rsidR="00F645AC">
        <w:t xml:space="preserve">a </w:t>
      </w:r>
      <w:r>
        <w:t>‘false notion that the only satisfactory form of medieval government was a highly centralised one’</w:t>
      </w:r>
      <w:r>
        <w:rPr>
          <w:rStyle w:val="FootnoteReference"/>
        </w:rPr>
        <w:footnoteReference w:id="10"/>
      </w:r>
      <w:r>
        <w:t xml:space="preserve"> I believe that Stringer’s approach to the reign of king Stephen is relatively biased in his book The Reign of Stephen kingship, warfare and government in Twelfth-century England it is clear that he ,like many historians now, has taken the reign of a king that has always been perceived as an incompetent ruler and only focusing on the good points during their reigns. Throughout the book there is minimal criticism against Stephens reign and the only points criticising Stephens reign come from other historians who is he is trying to disprove. The creation of new earldoms, and the erection of illegal castles effected his ability to govern his lands to their full effect for example during Stephens reign 225 illegal castles were in the hands of the barons</w:t>
      </w:r>
      <w:r w:rsidR="00F645AC">
        <w:t xml:space="preserve">. </w:t>
      </w:r>
      <w:r>
        <w:t xml:space="preserve">Through henry II’s actions it is clear that this was a problem and that these illegal castles had created a power imbalance which was causing problems for the English crown. The same can be seen with relation to the level of earldoms. When henry came to the throne in 1154 there were 24 earldoms. By the end of henrys reign in 1189 that had been halved to 12. As during Stephens reign to garner support he was forced to create new earldoms to provide loyal supporters to fend off the Scottish from the north and the civil war he was fighting. But this lead to the introduction provincial government. </w:t>
      </w:r>
      <w:r w:rsidR="00F645AC">
        <w:t>It</w:t>
      </w:r>
      <w:r>
        <w:t xml:space="preserve"> is clear that this was huge problem for Stephen due firstly to the rise of illegal coinage which the barons had been minting. As this decreased the wealth of the royal treasury. It would also lead to many of these new earls being more concerned with regards to their own </w:t>
      </w:r>
      <w:r>
        <w:lastRenderedPageBreak/>
        <w:t xml:space="preserve">lands rather than that of wealth and the safekeeping of England as while England was in a period of civil war they were able to </w:t>
      </w:r>
      <w:r w:rsidR="00F645AC">
        <w:t xml:space="preserve">take further liberties </w:t>
      </w:r>
      <w:r>
        <w:t xml:space="preserve">without the threat of royal justice exploiting the people within their lands for their own gain. </w:t>
      </w:r>
    </w:p>
    <w:p w:rsidR="00F904DA" w:rsidRDefault="00F904DA" w:rsidP="00F904DA">
      <w:r>
        <w:t>The reign of Henry I and Henry II did see conflict but not the kind of wars of attrition which plagued the reign of King Stephen. All conflicts where dealt with swiftly and were primarily contained to the continent. The only times were the conflict encroached into England were with the dissent of Robert Earl of Belseme. But henry dealt with this swiftly without it coming to a clash of arms. The notable clash of arms in England during the reign of Henry I came when his brother Robert De Curthose took Pevensey castle and henry went to challenge him. This showed Henry I to be a competent military leader which was further proved when capturing his brother after a pitched battle in Normandy</w:t>
      </w:r>
      <w:r w:rsidR="00766916">
        <w:t>.</w:t>
      </w:r>
    </w:p>
    <w:p w:rsidR="00766916" w:rsidRDefault="00766916" w:rsidP="00F904DA"/>
    <w:p w:rsidR="00766916" w:rsidRDefault="00766916" w:rsidP="00F904DA"/>
    <w:p w:rsidR="00766916" w:rsidRDefault="00766916" w:rsidP="00F904DA"/>
    <w:p w:rsidR="00766916" w:rsidRDefault="00766916" w:rsidP="00F904DA"/>
    <w:p w:rsidR="00766916" w:rsidRDefault="00766916" w:rsidP="00F904DA"/>
    <w:p w:rsidR="00766916" w:rsidRDefault="00766916" w:rsidP="00F904DA"/>
    <w:p w:rsidR="00766916" w:rsidRDefault="00766916" w:rsidP="00F904DA"/>
    <w:p w:rsidR="00766916" w:rsidRDefault="00766916" w:rsidP="00F904DA"/>
    <w:p w:rsidR="00906C64" w:rsidRDefault="00906C64" w:rsidP="00F904DA"/>
    <w:p w:rsidR="00F904DA" w:rsidRDefault="00F904DA" w:rsidP="00F904DA">
      <w:r>
        <w:t xml:space="preserve">The Reign of Henry I established the framework for </w:t>
      </w:r>
      <w:r w:rsidR="00766916">
        <w:t>Stephens</w:t>
      </w:r>
      <w:r>
        <w:t xml:space="preserve"> ecclesiastical policy as Henry had begun the policy of compromise leading to a further independent church. This policy of compromise was epitomized by ‘Henry I’s reluctant surrender in 1107 of the right to invest bishops and abbots with ring and pastoral staff, the symbols of spiritual authority, had weakened the </w:t>
      </w:r>
      <w:r>
        <w:lastRenderedPageBreak/>
        <w:t>crowns position’</w:t>
      </w:r>
      <w:r>
        <w:rPr>
          <w:rStyle w:val="FootnoteReference"/>
        </w:rPr>
        <w:footnoteReference w:id="11"/>
      </w:r>
      <w:r>
        <w:t xml:space="preserve"> this does not mean that Henry I was not fighting tooth and nail to keep a hold of his feudal prerogatives ‘he wrote to Pope Paschal II. On approving the election of Bosso as abbot of Bec in 1124, henry made a statement that reveals his conception of his role in ecclesiastical affairs “you must be abbot within your order, and I shall be abbot in external affairs”’</w:t>
      </w:r>
      <w:r>
        <w:rPr>
          <w:rStyle w:val="FootnoteReference"/>
        </w:rPr>
        <w:footnoteReference w:id="12"/>
      </w:r>
      <w:r>
        <w:t xml:space="preserve"> this statement proves that henry I was not afraid to stand up to the pope writing to him to tell him to take a step back from the affairs of the English church. This issue came down to Henrys rights to control church lands when there are vacancies something that Stephen exploited further during his reign which is one of the only points where the reigns of Stephen and Henry I does not provide a contrast. ‘In early 1106 Henry replied by letter to Anselms complaint that he was levying improper fines against churchmen by promising “an explanation that will be so satisfactory to you that, when you and I come to talk it over, I am certain that you will not blame me for what I have done”</w:t>
      </w:r>
      <w:r>
        <w:rPr>
          <w:rStyle w:val="FootnoteReference"/>
        </w:rPr>
        <w:footnoteReference w:id="13"/>
      </w:r>
      <w:r>
        <w:t>’</w:t>
      </w:r>
      <w:r>
        <w:rPr>
          <w:rStyle w:val="FootnoteReference"/>
        </w:rPr>
        <w:footnoteReference w:id="14"/>
      </w:r>
      <w:r>
        <w:t xml:space="preserve">  this shows to me that although Henry I can be seen as being tough on the church this was not without fair reason when this is cross referenced with William of Malmesbury’s evaluation of henry it seems that he was a godly man who was a man of his word also. ‘A man of praiseworthy devotion to God…’</w:t>
      </w:r>
      <w:r>
        <w:rPr>
          <w:rStyle w:val="FootnoteReference"/>
        </w:rPr>
        <w:footnoteReference w:id="15"/>
      </w:r>
      <w:r>
        <w:t xml:space="preserve"> this is what I feel provides the contrast between Henry I and Stephens reigns with relationship to the church, Stephen was not open about his actions in comparison to Henry I.</w:t>
      </w:r>
    </w:p>
    <w:p w:rsidR="00F904DA" w:rsidRDefault="00F904DA" w:rsidP="00F904DA">
      <w:r>
        <w:t>‘Henrys regime contributed much to the development of English medieval institutions: the centralising, ever tightening control’</w:t>
      </w:r>
      <w:r>
        <w:rPr>
          <w:rStyle w:val="FootnoteReference"/>
        </w:rPr>
        <w:footnoteReference w:id="16"/>
      </w:r>
      <w:r>
        <w:t xml:space="preserve"> this development of royal government under Henry had placed England as one of the most effective forms of royal government in Europe. During the reign of Stephen we see a divergence of this providing a stark contrast between the two king’s rules with regards to royal governance. With relative peace in the country it was easier for Henry I to focus on the establishment these administrative advancements, a luxury that Stephen did not have. Henrys effective use of the Exchequer is a prime example of his personal involvement with the </w:t>
      </w:r>
      <w:r w:rsidRPr="003003DC">
        <w:t>intricacies</w:t>
      </w:r>
      <w:r>
        <w:t xml:space="preserve"> of his government something Stephen had no intention in doing. But when looking at that situation objectively it is possible to argue that Stephen did not have the time or resources to have such an involved role like Henry I did. Henry used the older systems of taxation from the Anglo Saxon period for example Danegeld and the changes in coin types every 6 years. This was introduced to prevent the rise of illegal mints devaluing the coin of the crown. The role of justicers taking circuits around the country to hear the king pleas on his behalf and deciding what cases should go to the royal courts show the further streamlining royal government</w:t>
      </w:r>
      <w:r w:rsidR="002D64D9">
        <w:t>.</w:t>
      </w:r>
    </w:p>
    <w:p w:rsidR="00766916" w:rsidRDefault="00766916" w:rsidP="00F904DA"/>
    <w:p w:rsidR="00766916" w:rsidRDefault="00766916" w:rsidP="00F904DA"/>
    <w:p w:rsidR="00906C64" w:rsidRDefault="00906C64" w:rsidP="00F904DA"/>
    <w:p w:rsidR="00906C64" w:rsidRDefault="00906C64" w:rsidP="00F904DA"/>
    <w:p w:rsidR="00296237" w:rsidRDefault="00F904DA" w:rsidP="00F904DA">
      <w:r>
        <w:t xml:space="preserve">Henry II provides the starkest contrast to Stephens reign in regards to the church as Henry II exercised full control over the church until 1170 with the murder of Thomas Becket. Following the murder henry had to abandon the constitution of Clarendon allowing the episcopal </w:t>
      </w:r>
      <w:r w:rsidR="0097271B">
        <w:t>courts to judge themselves.</w:t>
      </w:r>
      <w:r w:rsidR="00296237">
        <w:t xml:space="preserve"> Beckett as </w:t>
      </w:r>
      <w:r>
        <w:t>archbishop of Canterbury provides an insight into henry II’s plans for the church in England. Henry believed that installing a man loyal to him then he would be exercise control over the church, which had been damaged during the reign of Stephen</w:t>
      </w:r>
      <w:r w:rsidR="0097271B">
        <w:t>. T</w:t>
      </w:r>
      <w:r>
        <w:t xml:space="preserve">his was not that case though as shockingly Becket found god even forgoing his lavish clothing for hessian underwear. This </w:t>
      </w:r>
      <w:r w:rsidR="0097271B">
        <w:t>was not what Henry had planned, this</w:t>
      </w:r>
      <w:r>
        <w:t xml:space="preserve"> lead too many clashes resulting in Thomas Becket’s banishment from the kingdom. Only returning when he agreed to capitulate with henrys Constitutions of Clarendon but on his return he again refused to accept the constitutions leading henry to the unfortunate death of Thomas Becket. This is something that Stephen did not have a problem with when he was king the church gave Stephen their full support</w:t>
      </w:r>
      <w:r w:rsidR="00B507A2">
        <w:t>.</w:t>
      </w:r>
    </w:p>
    <w:p w:rsidR="00380273" w:rsidRDefault="00F904DA" w:rsidP="00F904DA">
      <w:r>
        <w:t xml:space="preserve">When looking at the role of Henry II with regards to his handling of state and government it is evidently clear that you must divide the reign into two part firstly from 1154-1165 and then 1165-1189. As in the early years of his reign he was forced to rectify the mistakes Stephen </w:t>
      </w:r>
      <w:r w:rsidR="005E2819">
        <w:t xml:space="preserve">had made, </w:t>
      </w:r>
      <w:r>
        <w:t xml:space="preserve">then in the second half of his reign </w:t>
      </w:r>
      <w:r w:rsidR="008E59AF">
        <w:t xml:space="preserve">he was able to return to the form of centralised government which had been established in his grandfather’s reign. First henry had to </w:t>
      </w:r>
      <w:r w:rsidR="00180652">
        <w:t>demolish these illegal castles which had been erected. Henry also had to bring England out of the debts that been incurred by Steven which had arguably been achieved by 1165.</w:t>
      </w:r>
    </w:p>
    <w:p w:rsidR="00C53636" w:rsidRDefault="007D0ABC" w:rsidP="00F904DA">
      <w:r>
        <w:t>In 1166 Henry</w:t>
      </w:r>
      <w:r w:rsidR="00380273">
        <w:t xml:space="preserve"> II</w:t>
      </w:r>
      <w:r>
        <w:t xml:space="preserve"> </w:t>
      </w:r>
      <w:r w:rsidR="00334036">
        <w:t>produced</w:t>
      </w:r>
      <w:r>
        <w:t xml:space="preserve"> the Cartae Baronum and the assize of Clarendon. Cartae Baronum acted much like</w:t>
      </w:r>
      <w:r w:rsidR="005E2819">
        <w:t xml:space="preserve"> the</w:t>
      </w:r>
      <w:r>
        <w:t xml:space="preserve"> doomsday book</w:t>
      </w:r>
      <w:r w:rsidR="005E2819">
        <w:t xml:space="preserve"> it</w:t>
      </w:r>
      <w:r>
        <w:t xml:space="preserve"> recorded the relationship between tenants and their lord’s as well as what the lord’s lands were producing. This not only allowed Henry to establish the changes which had taken place during the Anarchy but also the rate of Scutage he could request. The Assize of </w:t>
      </w:r>
      <w:r w:rsidR="00CE2908">
        <w:t>Clarendon was introduced ‘to restore law and order after a preceding period of anarchy, Henry II issued a number of ordinances in the Assize of Clarendon in 1166. These took power away from the local courts (and thus from local lords) and returned it to the crown’</w:t>
      </w:r>
      <w:r w:rsidR="00CE2908">
        <w:rPr>
          <w:rStyle w:val="FootnoteReference"/>
        </w:rPr>
        <w:footnoteReference w:id="17"/>
      </w:r>
      <w:r w:rsidR="00EF1595">
        <w:t xml:space="preserve"> this is something that became a key staple in Henrys reign, reasserting royal control </w:t>
      </w:r>
      <w:r w:rsidR="005E2819">
        <w:t xml:space="preserve">in </w:t>
      </w:r>
      <w:r w:rsidR="00EF1595">
        <w:t xml:space="preserve">England. 10 years later </w:t>
      </w:r>
      <w:r w:rsidR="00E34E76">
        <w:t xml:space="preserve">Henry introduced the assize of Northampton </w:t>
      </w:r>
      <w:r w:rsidR="00C64669">
        <w:t xml:space="preserve">taking further power away from the </w:t>
      </w:r>
      <w:r w:rsidR="00402918">
        <w:t>sheriffs</w:t>
      </w:r>
      <w:r w:rsidR="00C64669">
        <w:t xml:space="preserve"> and the lords and placing it </w:t>
      </w:r>
      <w:r w:rsidR="005E2819">
        <w:t xml:space="preserve">firmly </w:t>
      </w:r>
      <w:r w:rsidR="00C64669">
        <w:t xml:space="preserve">back into the hands of the crown ‘Assize of </w:t>
      </w:r>
      <w:r w:rsidR="00402918">
        <w:t>Northampton</w:t>
      </w:r>
      <w:r w:rsidR="00C64669">
        <w:t xml:space="preserve"> of 1176: the local justices are gone and even if the local sheriff’</w:t>
      </w:r>
      <w:r w:rsidR="00C64669">
        <w:rPr>
          <w:rStyle w:val="FootnoteReference"/>
        </w:rPr>
        <w:footnoteReference w:id="18"/>
      </w:r>
      <w:r w:rsidR="00C64669">
        <w:t xml:space="preserve">  this further strengthened the crowns position when it came to matters of the law. </w:t>
      </w:r>
      <w:r w:rsidR="00C53636">
        <w:t>Later in his reign he released the Assize of Arms</w:t>
      </w:r>
      <w:r w:rsidR="00533417">
        <w:t xml:space="preserve"> in 1181</w:t>
      </w:r>
      <w:r w:rsidR="00C53636">
        <w:t xml:space="preserve"> </w:t>
      </w:r>
      <w:r w:rsidR="00533417">
        <w:t xml:space="preserve">which much like the Cartae Baronum </w:t>
      </w:r>
      <w:r w:rsidR="000270E3">
        <w:t xml:space="preserve">but it also had the intention of swearing every capable man in England to swear allegiance to the king and to make sure they are equipped if the king had to call on them to fight for the crown. </w:t>
      </w:r>
    </w:p>
    <w:p w:rsidR="00766916" w:rsidRDefault="00766916" w:rsidP="00F904DA"/>
    <w:p w:rsidR="00766916" w:rsidRDefault="00766916" w:rsidP="00F904DA"/>
    <w:p w:rsidR="00766916" w:rsidRDefault="00766916" w:rsidP="00F904DA"/>
    <w:p w:rsidR="00D43431" w:rsidRDefault="00D43431" w:rsidP="00F904DA"/>
    <w:p w:rsidR="00586D3F" w:rsidRDefault="00586D3F" w:rsidP="00F904DA"/>
    <w:p w:rsidR="00F904DA" w:rsidRDefault="000557AF" w:rsidP="00F904DA">
      <w:r>
        <w:t xml:space="preserve">In conclusion I feel it is evident that Stephens reign provided a stark contrast to that of his predecessor Henry </w:t>
      </w:r>
      <w:proofErr w:type="gramStart"/>
      <w:r>
        <w:t>I</w:t>
      </w:r>
      <w:proofErr w:type="gramEnd"/>
      <w:r>
        <w:t xml:space="preserve"> and his successor Henry II. Primarily due to the relationships with the church </w:t>
      </w:r>
      <w:r>
        <w:lastRenderedPageBreak/>
        <w:t xml:space="preserve">and their acts with ensuring </w:t>
      </w:r>
      <w:r w:rsidR="006418C0">
        <w:t>the strength of the crown something Stephen was incapable</w:t>
      </w:r>
      <w:r w:rsidR="00060D80">
        <w:t xml:space="preserve"> of</w:t>
      </w:r>
      <w:r w:rsidR="006418C0">
        <w:t xml:space="preserve"> do</w:t>
      </w:r>
      <w:r w:rsidR="00060D80">
        <w:t>ing</w:t>
      </w:r>
      <w:r w:rsidR="006418C0">
        <w:t xml:space="preserve"> with the large amounts of concessions he had made to garner support to his cause. </w:t>
      </w:r>
      <w:r w:rsidR="0033252D">
        <w:t xml:space="preserve">I feel the levels of conflict clearly pose the starkest contrast between the three king’s reigns with the peace which had been established by Henry I which had then been shattered by the actions of Stephen during the anarchy </w:t>
      </w:r>
      <w:r w:rsidR="00334036">
        <w:t>weakening</w:t>
      </w:r>
      <w:r w:rsidR="003D34C4">
        <w:t xml:space="preserve"> the crowns position meaning Henry II had to </w:t>
      </w:r>
      <w:r w:rsidR="00334036">
        <w:t>establish</w:t>
      </w:r>
      <w:r w:rsidR="003D34C4">
        <w:t xml:space="preserve"> the crowns authority making himself unpopular with many barons and clergy men due to his harsh actions to do this. </w:t>
      </w:r>
      <w:r w:rsidR="006D0350">
        <w:t xml:space="preserve">So to </w:t>
      </w:r>
      <w:r w:rsidR="00580817">
        <w:t>summarise</w:t>
      </w:r>
      <w:r w:rsidR="006D0350">
        <w:t xml:space="preserve"> the reign of Stephen saw many contrasts between the three kings </w:t>
      </w:r>
      <w:r w:rsidR="00580817">
        <w:t xml:space="preserve">firstly with the change in the conflict levels in the reign of Henry to Stephen and then the changes in royal authority when looking at the reigns of Stephen and Henry II. </w:t>
      </w:r>
    </w:p>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906C64" w:rsidRDefault="00906C64" w:rsidP="00F904DA"/>
    <w:p w:rsidR="00B86C72" w:rsidRDefault="00B86C72" w:rsidP="00F904DA"/>
    <w:p w:rsidR="00B86C72" w:rsidRDefault="00B86C72" w:rsidP="00F904DA"/>
    <w:p w:rsidR="00906C64" w:rsidRDefault="000C117E" w:rsidP="00B86C72">
      <w:pPr>
        <w:pStyle w:val="Title"/>
      </w:pPr>
      <w:r>
        <w:t xml:space="preserve">References </w:t>
      </w:r>
    </w:p>
    <w:p w:rsidR="000C117E" w:rsidRDefault="00FF5A2F" w:rsidP="000C117E">
      <w:pPr>
        <w:pStyle w:val="FootnoteText"/>
        <w:numPr>
          <w:ilvl w:val="0"/>
          <w:numId w:val="3"/>
        </w:numPr>
      </w:pPr>
      <w:r>
        <w:t>ed K.R. Potter, R.H.C Davis</w:t>
      </w:r>
      <w:r>
        <w:t xml:space="preserve">,  </w:t>
      </w:r>
      <w:r w:rsidR="000C117E">
        <w:t>Gesta Stephani (Oxford: Clarendon Press 1976</w:t>
      </w:r>
      <w:r w:rsidR="000C117E">
        <w:t>) p.3</w:t>
      </w:r>
      <w:r w:rsidR="000C117E">
        <w:t xml:space="preserve">   </w:t>
      </w:r>
    </w:p>
    <w:p w:rsidR="000C117E" w:rsidRDefault="000C117E" w:rsidP="000C117E">
      <w:pPr>
        <w:pStyle w:val="FootnoteText"/>
        <w:numPr>
          <w:ilvl w:val="0"/>
          <w:numId w:val="3"/>
        </w:numPr>
      </w:pPr>
      <w:r>
        <w:t xml:space="preserve">Anglo Saxon chronicle 1137 </w:t>
      </w:r>
      <w:hyperlink r:id="rId8" w:history="1">
        <w:r w:rsidRPr="00E81067">
          <w:rPr>
            <w:rStyle w:val="Hyperlink"/>
          </w:rPr>
          <w:t>http://www.britannia.com/history/docs/1137.html</w:t>
        </w:r>
      </w:hyperlink>
      <w:r>
        <w:t xml:space="preserve"> date accessed (08/03/2018)</w:t>
      </w:r>
    </w:p>
    <w:p w:rsidR="000C117E" w:rsidRDefault="00FF5A2F" w:rsidP="000C117E">
      <w:pPr>
        <w:pStyle w:val="FootnoteText"/>
        <w:numPr>
          <w:ilvl w:val="0"/>
          <w:numId w:val="3"/>
        </w:numPr>
      </w:pPr>
      <w:r>
        <w:t>ed K.R. Potter, R.H.C Davis,  Gesta Stephani (Oxford: Clarendon Press 1976)</w:t>
      </w:r>
      <w:r>
        <w:t xml:space="preserve"> </w:t>
      </w:r>
      <w:r w:rsidR="000C117E">
        <w:t>p.113</w:t>
      </w:r>
    </w:p>
    <w:p w:rsidR="000C117E" w:rsidRDefault="000C117E" w:rsidP="000C117E">
      <w:pPr>
        <w:pStyle w:val="FootnoteText"/>
        <w:numPr>
          <w:ilvl w:val="0"/>
          <w:numId w:val="3"/>
        </w:numPr>
      </w:pPr>
      <w:r>
        <w:t>Edmund King, King Stephen(Yale University press New haven and London 2010) p.158</w:t>
      </w:r>
    </w:p>
    <w:p w:rsidR="000C117E" w:rsidRDefault="000C117E" w:rsidP="000C117E">
      <w:pPr>
        <w:pStyle w:val="FootnoteText"/>
        <w:numPr>
          <w:ilvl w:val="0"/>
          <w:numId w:val="3"/>
        </w:numPr>
      </w:pPr>
      <w:r>
        <w:t>Keith J. Stringer. The Reign of Stephen kingship, warfare and govern</w:t>
      </w:r>
      <w:r>
        <w:t>ment in Twelfth-century England</w:t>
      </w:r>
      <w:r>
        <w:t xml:space="preserve"> (London: Routledge 1993) </w:t>
      </w:r>
      <w:r w:rsidR="00FF5A2F">
        <w:t>p</w:t>
      </w:r>
      <w:r>
        <w:t>.64</w:t>
      </w:r>
    </w:p>
    <w:p w:rsidR="000C117E" w:rsidRDefault="000C117E" w:rsidP="000C117E">
      <w:pPr>
        <w:pStyle w:val="FootnoteText"/>
        <w:numPr>
          <w:ilvl w:val="0"/>
          <w:numId w:val="3"/>
        </w:numPr>
      </w:pPr>
      <w:r>
        <w:t>Chronicon Anglicanum</w:t>
      </w:r>
    </w:p>
    <w:p w:rsidR="000C117E" w:rsidRDefault="000C117E" w:rsidP="000C117E">
      <w:pPr>
        <w:pStyle w:val="FootnoteText"/>
        <w:numPr>
          <w:ilvl w:val="0"/>
          <w:numId w:val="3"/>
        </w:numPr>
      </w:pPr>
      <w:r w:rsidRPr="00505428">
        <w:t>Chronicon Anglicanum</w:t>
      </w:r>
    </w:p>
    <w:p w:rsidR="000C117E" w:rsidRDefault="000C117E" w:rsidP="000C117E">
      <w:pPr>
        <w:pStyle w:val="FootnoteText"/>
        <w:numPr>
          <w:ilvl w:val="0"/>
          <w:numId w:val="3"/>
        </w:numPr>
      </w:pPr>
      <w:r>
        <w:t>Henry of Huntingdon: the history of the English people 1000-1154 trans &amp; ed. D. Greenway (Oxford,2002) p.67</w:t>
      </w:r>
    </w:p>
    <w:p w:rsidR="000C117E" w:rsidRDefault="000C117E" w:rsidP="000C117E">
      <w:pPr>
        <w:pStyle w:val="FootnoteText"/>
        <w:numPr>
          <w:ilvl w:val="0"/>
          <w:numId w:val="3"/>
        </w:numPr>
      </w:pPr>
      <w:r>
        <w:t xml:space="preserve">Keith J. Stringer. The Reign of Stephen kingship, warfare and government in Twelfth-century England (London: Routledge 1993) </w:t>
      </w:r>
      <w:r w:rsidR="00FF5A2F">
        <w:t>p</w:t>
      </w:r>
      <w:r>
        <w:t>.</w:t>
      </w:r>
      <w:r>
        <w:t>50</w:t>
      </w:r>
    </w:p>
    <w:p w:rsidR="000C117E" w:rsidRDefault="000C117E" w:rsidP="000C117E">
      <w:pPr>
        <w:pStyle w:val="FootnoteText"/>
        <w:numPr>
          <w:ilvl w:val="0"/>
          <w:numId w:val="3"/>
        </w:numPr>
      </w:pPr>
      <w:r>
        <w:t xml:space="preserve">Keith J. Stringer. The Reign of Stephen kingship, warfare and government in Twelfth-century England (London: Routledge 1993) </w:t>
      </w:r>
      <w:r w:rsidR="00FF5A2F">
        <w:t>p</w:t>
      </w:r>
      <w:r>
        <w:t>.50</w:t>
      </w:r>
    </w:p>
    <w:p w:rsidR="00FF5A2F" w:rsidRDefault="00FF5A2F" w:rsidP="00FF5A2F">
      <w:pPr>
        <w:pStyle w:val="FootnoteText"/>
        <w:numPr>
          <w:ilvl w:val="0"/>
          <w:numId w:val="3"/>
        </w:numPr>
      </w:pPr>
      <w:r>
        <w:t xml:space="preserve">Keith J. Stringer. The Reign of Stephen kingship, warfare and government in Twelfth-century England (London: Routledge 1993) </w:t>
      </w:r>
      <w:r>
        <w:t>p.62</w:t>
      </w:r>
    </w:p>
    <w:p w:rsidR="000C117E" w:rsidRDefault="000C117E" w:rsidP="000C117E">
      <w:pPr>
        <w:pStyle w:val="FootnoteText"/>
        <w:numPr>
          <w:ilvl w:val="0"/>
          <w:numId w:val="3"/>
        </w:numPr>
      </w:pPr>
      <w:r>
        <w:t>C. Warren Hollister ed, Amanda Clark Frost, Henry I (St Edmunsbury: Yale university press 2001) p.373</w:t>
      </w:r>
    </w:p>
    <w:p w:rsidR="000C117E" w:rsidRDefault="000C117E" w:rsidP="000C117E">
      <w:pPr>
        <w:pStyle w:val="FootnoteText"/>
        <w:numPr>
          <w:ilvl w:val="0"/>
          <w:numId w:val="3"/>
        </w:numPr>
      </w:pPr>
      <w:r>
        <w:t>C. Warren Hollister ed, Amanda Clark Frost, Henry I (St Edmunsbury: Yale university press 2001) p.</w:t>
      </w:r>
      <w:r>
        <w:t>374</w:t>
      </w:r>
      <w:r w:rsidRPr="000C117E">
        <w:t xml:space="preserve"> </w:t>
      </w:r>
    </w:p>
    <w:p w:rsidR="000C117E" w:rsidRDefault="000C117E" w:rsidP="00FF5A2F">
      <w:pPr>
        <w:pStyle w:val="FootnoteText"/>
        <w:numPr>
          <w:ilvl w:val="0"/>
          <w:numId w:val="3"/>
        </w:numPr>
      </w:pPr>
      <w:r>
        <w:t>C. Warren Hollister ed, Amanda Clark Frost, Henry I (St Edmunsbury: Yale university press 2001) p.374</w:t>
      </w:r>
    </w:p>
    <w:p w:rsidR="000C117E" w:rsidRDefault="000C117E" w:rsidP="000C117E">
      <w:pPr>
        <w:pStyle w:val="FootnoteText"/>
        <w:numPr>
          <w:ilvl w:val="0"/>
          <w:numId w:val="3"/>
        </w:numPr>
      </w:pPr>
      <w:r>
        <w:t>William of Malmesbury, GR, 5:413</w:t>
      </w:r>
    </w:p>
    <w:p w:rsidR="000C117E" w:rsidRDefault="000C117E" w:rsidP="000C117E">
      <w:pPr>
        <w:pStyle w:val="FootnoteText"/>
        <w:numPr>
          <w:ilvl w:val="0"/>
          <w:numId w:val="3"/>
        </w:numPr>
      </w:pPr>
      <w:r>
        <w:t>C. Warren Hollister ed, Amanda Clark Frost, Henry I (St Edmunsbury: Yale university press 2001) p.</w:t>
      </w:r>
      <w:r>
        <w:t>349</w:t>
      </w:r>
    </w:p>
    <w:p w:rsidR="000C117E" w:rsidRDefault="000C117E" w:rsidP="000C117E">
      <w:pPr>
        <w:pStyle w:val="FootnoteText"/>
        <w:numPr>
          <w:ilvl w:val="0"/>
          <w:numId w:val="3"/>
        </w:numPr>
      </w:pPr>
      <w:r>
        <w:t>Hunt Janin, Medieval justice: cases and laws in France, England and Germany 500-1500 (</w:t>
      </w:r>
      <w:r w:rsidRPr="00022E6D">
        <w:rPr>
          <w:rFonts w:cstheme="minorHAnsi"/>
          <w:color w:val="000000"/>
          <w:shd w:val="clear" w:color="auto" w:fill="FFFFFF"/>
        </w:rPr>
        <w:t>McFarland, 2004</w:t>
      </w:r>
      <w:r>
        <w:t xml:space="preserve">) p.76 </w:t>
      </w:r>
    </w:p>
    <w:p w:rsidR="000C117E" w:rsidRDefault="000C117E" w:rsidP="000C117E">
      <w:pPr>
        <w:pStyle w:val="FootnoteText"/>
        <w:numPr>
          <w:ilvl w:val="0"/>
          <w:numId w:val="3"/>
        </w:numPr>
      </w:pPr>
      <w:r>
        <w:t>Christopher Robert Cheney, Church and Government in the Middle Ages (Cambridge: C</w:t>
      </w:r>
      <w:r>
        <w:t>ambridge university press 1976)</w:t>
      </w:r>
      <w:r>
        <w:t xml:space="preserve"> p.74</w:t>
      </w:r>
    </w:p>
    <w:p w:rsidR="000C117E" w:rsidRDefault="000C117E" w:rsidP="000C117E">
      <w:pPr>
        <w:pStyle w:val="FootnoteText"/>
      </w:pPr>
    </w:p>
    <w:p w:rsidR="000C117E" w:rsidRDefault="000C117E"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bookmarkStart w:id="0" w:name="_GoBack"/>
      <w:bookmarkEnd w:id="0"/>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0C117E">
      <w:pPr>
        <w:pStyle w:val="FootnoteText"/>
      </w:pPr>
    </w:p>
    <w:p w:rsidR="00FF5A2F" w:rsidRDefault="00FF5A2F" w:rsidP="00B86C72">
      <w:pPr>
        <w:pStyle w:val="Title"/>
      </w:pPr>
      <w:r>
        <w:t xml:space="preserve">Bibliography </w:t>
      </w:r>
    </w:p>
    <w:p w:rsidR="000C117E" w:rsidRDefault="000C117E" w:rsidP="000C117E">
      <w:pPr>
        <w:pStyle w:val="FootnoteText"/>
      </w:pPr>
    </w:p>
    <w:p w:rsidR="00B27989" w:rsidRDefault="00B27989" w:rsidP="00FF5A2F">
      <w:pPr>
        <w:pStyle w:val="FootnoteText"/>
      </w:pPr>
      <w:r>
        <w:t xml:space="preserve">Anglo Saxon chronicle 1137 </w:t>
      </w:r>
      <w:hyperlink r:id="rId9" w:history="1">
        <w:r w:rsidRPr="00E81067">
          <w:rPr>
            <w:rStyle w:val="Hyperlink"/>
          </w:rPr>
          <w:t>http://www.britannia.com/history/docs/1137.html</w:t>
        </w:r>
      </w:hyperlink>
      <w:r>
        <w:t xml:space="preserve"> date accessed (08/03/2018)</w:t>
      </w:r>
    </w:p>
    <w:p w:rsidR="00B27989" w:rsidRDefault="00B27989" w:rsidP="00FF5A2F">
      <w:pPr>
        <w:pStyle w:val="FootnoteText"/>
      </w:pPr>
      <w:r>
        <w:t xml:space="preserve">C. Warren Hollister </w:t>
      </w:r>
      <w:proofErr w:type="gramStart"/>
      <w:r>
        <w:t>ed</w:t>
      </w:r>
      <w:proofErr w:type="gramEnd"/>
      <w:r>
        <w:t xml:space="preserve">, Amanda Clark Frost, Henry I (St Edmunsbury: Yale university press 2001) </w:t>
      </w:r>
    </w:p>
    <w:p w:rsidR="00B27989" w:rsidRDefault="00B27989" w:rsidP="00FF5A2F">
      <w:pPr>
        <w:pStyle w:val="FootnoteText"/>
      </w:pPr>
      <w:r>
        <w:t xml:space="preserve">Christopher Robert Cheney, Church and Government in the </w:t>
      </w:r>
      <w:proofErr w:type="gramStart"/>
      <w:r>
        <w:t>Middle</w:t>
      </w:r>
      <w:proofErr w:type="gramEnd"/>
      <w:r>
        <w:t xml:space="preserve"> Ages (Cambridge: Cambridge university press 1976) </w:t>
      </w:r>
    </w:p>
    <w:p w:rsidR="00B27989" w:rsidRDefault="00B27989" w:rsidP="00FF5A2F">
      <w:pPr>
        <w:pStyle w:val="FootnoteText"/>
      </w:pPr>
      <w:r>
        <w:t>Chronicon Anglicanum</w:t>
      </w:r>
    </w:p>
    <w:p w:rsidR="00B27989" w:rsidRDefault="00B27989" w:rsidP="00FF5A2F">
      <w:pPr>
        <w:pStyle w:val="FootnoteText"/>
      </w:pPr>
      <w:proofErr w:type="spellStart"/>
      <w:proofErr w:type="gramStart"/>
      <w:r>
        <w:t>ed</w:t>
      </w:r>
      <w:proofErr w:type="spellEnd"/>
      <w:proofErr w:type="gramEnd"/>
      <w:r>
        <w:t xml:space="preserve"> K.R. Potter, R.H.C Davis,  Gesta Stephani (Oxford: Clarendon Press 1976) </w:t>
      </w:r>
    </w:p>
    <w:p w:rsidR="00B27989" w:rsidRDefault="00B27989" w:rsidP="00FF5A2F">
      <w:pPr>
        <w:pStyle w:val="FootnoteText"/>
      </w:pPr>
      <w:r>
        <w:t xml:space="preserve">Edmund King, King </w:t>
      </w:r>
      <w:proofErr w:type="gramStart"/>
      <w:r>
        <w:t>Stephen(</w:t>
      </w:r>
      <w:proofErr w:type="gramEnd"/>
      <w:r>
        <w:t xml:space="preserve">Yale University press New haven and London 2010) </w:t>
      </w:r>
    </w:p>
    <w:p w:rsidR="00B27989" w:rsidRDefault="00B27989" w:rsidP="00FF5A2F">
      <w:pPr>
        <w:pStyle w:val="FootnoteText"/>
      </w:pPr>
      <w:r>
        <w:t>Henry of Huntingdon: the history of the English people 1000-1154 trans &amp; ed. D. Greenway (Oxford</w:t>
      </w:r>
      <w:proofErr w:type="gramStart"/>
      <w:r>
        <w:t>,2002</w:t>
      </w:r>
      <w:proofErr w:type="gramEnd"/>
      <w:r>
        <w:t xml:space="preserve">) </w:t>
      </w:r>
    </w:p>
    <w:p w:rsidR="00B27989" w:rsidRDefault="00B27989" w:rsidP="00FF5A2F">
      <w:pPr>
        <w:pStyle w:val="FootnoteText"/>
      </w:pPr>
      <w:r>
        <w:t>Hunt Janin, Medieval justice: cases and laws in France, England and Germany 500-1500 (</w:t>
      </w:r>
      <w:r w:rsidRPr="00022E6D">
        <w:rPr>
          <w:rFonts w:cstheme="minorHAnsi"/>
          <w:color w:val="000000"/>
          <w:shd w:val="clear" w:color="auto" w:fill="FFFFFF"/>
        </w:rPr>
        <w:t>McFarland, 2004</w:t>
      </w:r>
      <w:r>
        <w:t xml:space="preserve">) </w:t>
      </w:r>
    </w:p>
    <w:p w:rsidR="00B27989" w:rsidRDefault="00B27989" w:rsidP="00FF5A2F">
      <w:pPr>
        <w:pStyle w:val="FootnoteText"/>
      </w:pPr>
      <w:r>
        <w:t xml:space="preserve">Keith J. Stringer. The Reign of Stephen kingship, warfare and government in Twelfth-century England (London: Routledge 1993) </w:t>
      </w:r>
    </w:p>
    <w:p w:rsidR="00B27989" w:rsidRDefault="00B27989" w:rsidP="00FF5A2F">
      <w:pPr>
        <w:pStyle w:val="FootnoteText"/>
      </w:pPr>
      <w:r>
        <w:t>W.L. Warren Henry II (Yale university press 2000)</w:t>
      </w:r>
    </w:p>
    <w:p w:rsidR="00B27989" w:rsidRDefault="00B27989" w:rsidP="00FF5A2F">
      <w:pPr>
        <w:pStyle w:val="FootnoteText"/>
      </w:pPr>
      <w:r>
        <w:t xml:space="preserve">William of </w:t>
      </w:r>
      <w:proofErr w:type="spellStart"/>
      <w:r>
        <w:t>Malmesbury</w:t>
      </w:r>
      <w:proofErr w:type="spellEnd"/>
      <w:r>
        <w:t>, GR, 5:413</w:t>
      </w:r>
    </w:p>
    <w:p w:rsidR="00B86C72" w:rsidRDefault="00B86C72" w:rsidP="00FF5A2F">
      <w:pPr>
        <w:pStyle w:val="FootnoteText"/>
      </w:pPr>
    </w:p>
    <w:p w:rsidR="000C117E" w:rsidRDefault="000C117E" w:rsidP="000C117E"/>
    <w:p w:rsidR="00906C64" w:rsidRDefault="00906C64" w:rsidP="00F904DA"/>
    <w:p w:rsidR="00906C64" w:rsidRPr="0033252D" w:rsidRDefault="00906C64" w:rsidP="00F904DA">
      <w:pPr>
        <w:rPr>
          <w:i/>
        </w:rPr>
      </w:pPr>
    </w:p>
    <w:sectPr w:rsidR="00906C64" w:rsidRPr="003325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904DA" w:rsidRDefault="00F904DA" w:rsidP="00F904DA">
      <w:pPr>
        <w:spacing w:after="0" w:line="240" w:lineRule="auto"/>
      </w:pPr>
      <w:r>
        <w:separator/>
      </w:r>
    </w:p>
  </w:endnote>
  <w:endnote w:type="continuationSeparator" w:id="0">
    <w:p w:rsidR="00F904DA" w:rsidRDefault="00F904DA" w:rsidP="00F90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904DA" w:rsidRDefault="00F904DA" w:rsidP="00F904DA">
      <w:pPr>
        <w:spacing w:after="0" w:line="240" w:lineRule="auto"/>
      </w:pPr>
      <w:r>
        <w:separator/>
      </w:r>
    </w:p>
  </w:footnote>
  <w:footnote w:type="continuationSeparator" w:id="0">
    <w:p w:rsidR="00F904DA" w:rsidRDefault="00F904DA" w:rsidP="00F904DA">
      <w:pPr>
        <w:spacing w:after="0" w:line="240" w:lineRule="auto"/>
      </w:pPr>
      <w:r>
        <w:continuationSeparator/>
      </w:r>
    </w:p>
  </w:footnote>
  <w:footnote w:id="1">
    <w:p w:rsidR="00F904DA" w:rsidRDefault="00F904DA" w:rsidP="00F904DA">
      <w:pPr>
        <w:pStyle w:val="FootnoteText"/>
      </w:pPr>
      <w:r>
        <w:rPr>
          <w:rStyle w:val="FootnoteReference"/>
        </w:rPr>
        <w:footnoteRef/>
      </w:r>
      <w:r>
        <w:t xml:space="preserve"> Gesta Stephani,</w:t>
      </w:r>
      <w:r w:rsidR="00022E6D">
        <w:t xml:space="preserve"> ed</w:t>
      </w:r>
      <w:r>
        <w:t xml:space="preserve"> K.R. Potter, R.H.C Davis, </w:t>
      </w:r>
      <w:r w:rsidR="00022E6D">
        <w:t>(</w:t>
      </w:r>
      <w:r>
        <w:t>Oxford</w:t>
      </w:r>
      <w:r w:rsidR="00022E6D">
        <w:t>: Clarendon Press</w:t>
      </w:r>
      <w:r>
        <w:t xml:space="preserve"> 1976</w:t>
      </w:r>
      <w:r w:rsidR="00022E6D">
        <w:t>)</w:t>
      </w:r>
      <w:r>
        <w:t xml:space="preserve">  </w:t>
      </w:r>
      <w:r w:rsidR="00022E6D">
        <w:t>p</w:t>
      </w:r>
      <w:r w:rsidR="00022E6D">
        <w:t xml:space="preserve">.3  </w:t>
      </w:r>
      <w:r>
        <w:t xml:space="preserve"> </w:t>
      </w:r>
    </w:p>
  </w:footnote>
  <w:footnote w:id="2">
    <w:p w:rsidR="00F904DA" w:rsidRDefault="00F904DA" w:rsidP="00F904DA">
      <w:pPr>
        <w:pStyle w:val="FootnoteText"/>
      </w:pPr>
      <w:r>
        <w:rPr>
          <w:rStyle w:val="FootnoteReference"/>
        </w:rPr>
        <w:footnoteRef/>
      </w:r>
      <w:r>
        <w:t xml:space="preserve"> Anglo Saxon chronicle 1137 </w:t>
      </w:r>
      <w:hyperlink r:id="rId1" w:history="1">
        <w:r w:rsidRPr="00E81067">
          <w:rPr>
            <w:rStyle w:val="Hyperlink"/>
          </w:rPr>
          <w:t>http://www.britannia.com/history/docs/1137.html</w:t>
        </w:r>
      </w:hyperlink>
      <w:r>
        <w:t xml:space="preserve"> date accessed (08/03/2018)</w:t>
      </w:r>
    </w:p>
  </w:footnote>
  <w:footnote w:id="3">
    <w:p w:rsidR="00F904DA" w:rsidRDefault="00F904DA" w:rsidP="00F904DA">
      <w:pPr>
        <w:pStyle w:val="FootnoteText"/>
      </w:pPr>
      <w:r>
        <w:rPr>
          <w:rStyle w:val="FootnoteReference"/>
        </w:rPr>
        <w:footnoteRef/>
      </w:r>
      <w:r>
        <w:t xml:space="preserve"> </w:t>
      </w:r>
      <w:r w:rsidR="00022E6D">
        <w:t>Gesta Stephani, ed K.R. Potter, R.H.C Davis, (Oxford: Clarendon Press 1976)  p</w:t>
      </w:r>
      <w:r w:rsidR="00022E6D">
        <w:t>.113</w:t>
      </w:r>
    </w:p>
  </w:footnote>
  <w:footnote w:id="4">
    <w:p w:rsidR="00F904DA" w:rsidRDefault="00F904DA" w:rsidP="00573C0A">
      <w:pPr>
        <w:pStyle w:val="FootnoteText"/>
      </w:pPr>
      <w:r>
        <w:rPr>
          <w:rStyle w:val="FootnoteReference"/>
        </w:rPr>
        <w:footnoteRef/>
      </w:r>
      <w:r w:rsidR="00573C0A">
        <w:t>Edmund King</w:t>
      </w:r>
      <w:r w:rsidR="00573C0A">
        <w:t>, King Stephen(</w:t>
      </w:r>
      <w:r>
        <w:t>Yale University press New haven and London 2010</w:t>
      </w:r>
      <w:r w:rsidR="00573C0A">
        <w:t>) p</w:t>
      </w:r>
      <w:r w:rsidR="00573C0A">
        <w:t>.158</w:t>
      </w:r>
    </w:p>
  </w:footnote>
  <w:footnote w:id="5">
    <w:p w:rsidR="00F904DA" w:rsidRDefault="00F904DA" w:rsidP="00022E6D">
      <w:pPr>
        <w:pStyle w:val="FootnoteText"/>
      </w:pPr>
      <w:r>
        <w:rPr>
          <w:rStyle w:val="FootnoteReference"/>
        </w:rPr>
        <w:footnoteRef/>
      </w:r>
      <w:r>
        <w:t xml:space="preserve"> </w:t>
      </w:r>
      <w:r w:rsidR="00022E6D">
        <w:t xml:space="preserve">Keith J. Stringer. </w:t>
      </w:r>
      <w:r>
        <w:t xml:space="preserve">The Reign of Stephen kingship, warfare and government in Twelfth-century England </w:t>
      </w:r>
      <w:r w:rsidR="00022E6D">
        <w:t>(</w:t>
      </w:r>
      <w:r>
        <w:t>London</w:t>
      </w:r>
      <w:r w:rsidR="00022E6D">
        <w:t>:</w:t>
      </w:r>
      <w:r>
        <w:t xml:space="preserve"> Routledge 1993</w:t>
      </w:r>
      <w:r w:rsidR="00022E6D">
        <w:t xml:space="preserve">) </w:t>
      </w:r>
      <w:r w:rsidR="00022E6D">
        <w:t>P.64</w:t>
      </w:r>
    </w:p>
  </w:footnote>
  <w:footnote w:id="6">
    <w:p w:rsidR="00F904DA" w:rsidRDefault="00F904DA" w:rsidP="00F904DA">
      <w:pPr>
        <w:pStyle w:val="FootnoteText"/>
      </w:pPr>
      <w:r>
        <w:rPr>
          <w:rStyle w:val="FootnoteReference"/>
        </w:rPr>
        <w:footnoteRef/>
      </w:r>
      <w:r>
        <w:t xml:space="preserve"> Chronicon Anglicanum</w:t>
      </w:r>
    </w:p>
  </w:footnote>
  <w:footnote w:id="7">
    <w:p w:rsidR="00F904DA" w:rsidRDefault="00F904DA" w:rsidP="00F904DA">
      <w:pPr>
        <w:pStyle w:val="FootnoteText"/>
      </w:pPr>
      <w:r>
        <w:rPr>
          <w:rStyle w:val="FootnoteReference"/>
        </w:rPr>
        <w:footnoteRef/>
      </w:r>
      <w:r>
        <w:t xml:space="preserve"> </w:t>
      </w:r>
      <w:r w:rsidRPr="00505428">
        <w:t>Chronicon Anglicanum</w:t>
      </w:r>
    </w:p>
  </w:footnote>
  <w:footnote w:id="8">
    <w:p w:rsidR="00F904DA" w:rsidRDefault="00F904DA" w:rsidP="00F904DA">
      <w:pPr>
        <w:pStyle w:val="FootnoteText"/>
      </w:pPr>
      <w:r>
        <w:rPr>
          <w:rStyle w:val="FootnoteReference"/>
        </w:rPr>
        <w:footnoteRef/>
      </w:r>
      <w:r>
        <w:t xml:space="preserve"> Henry of Huntingdon: the history of the English people 1000-1154 trans &amp; ed. D. Greenway (Oxford,2002) p.67</w:t>
      </w:r>
    </w:p>
  </w:footnote>
  <w:footnote w:id="9">
    <w:p w:rsidR="00F904DA" w:rsidRDefault="00F904DA" w:rsidP="00906C64">
      <w:pPr>
        <w:pStyle w:val="FootnoteText"/>
      </w:pPr>
      <w:r>
        <w:rPr>
          <w:rStyle w:val="FootnoteReference"/>
        </w:rPr>
        <w:footnoteRef/>
      </w:r>
      <w:r>
        <w:t xml:space="preserve"> </w:t>
      </w:r>
      <w:r w:rsidR="00906C64">
        <w:t xml:space="preserve">K.J.S, </w:t>
      </w:r>
      <w:r>
        <w:t xml:space="preserve">The Reign of Stephen Twelfth-century. </w:t>
      </w:r>
      <w:r w:rsidR="00906C64">
        <w:t>(</w:t>
      </w:r>
      <w:r>
        <w:t>London</w:t>
      </w:r>
      <w:r w:rsidR="00906C64">
        <w:t>:</w:t>
      </w:r>
      <w:r>
        <w:t xml:space="preserve"> Routledge 1993</w:t>
      </w:r>
      <w:r w:rsidR="00906C64">
        <w:t>) p</w:t>
      </w:r>
      <w:r w:rsidR="00906C64">
        <w:t>.50</w:t>
      </w:r>
    </w:p>
  </w:footnote>
  <w:footnote w:id="10">
    <w:p w:rsidR="00F904DA" w:rsidRDefault="00F904DA" w:rsidP="00F904DA">
      <w:pPr>
        <w:pStyle w:val="FootnoteText"/>
      </w:pPr>
      <w:r>
        <w:rPr>
          <w:rStyle w:val="FootnoteReference"/>
        </w:rPr>
        <w:footnoteRef/>
      </w:r>
      <w:r>
        <w:t xml:space="preserve"> </w:t>
      </w:r>
      <w:r w:rsidR="00906C64">
        <w:t>Ibid p</w:t>
      </w:r>
      <w:r>
        <w:t xml:space="preserve">.50 </w:t>
      </w:r>
    </w:p>
  </w:footnote>
  <w:footnote w:id="11">
    <w:p w:rsidR="00F904DA" w:rsidRDefault="00F904DA" w:rsidP="00906C64">
      <w:pPr>
        <w:pStyle w:val="FootnoteText"/>
      </w:pPr>
      <w:r>
        <w:rPr>
          <w:rStyle w:val="FootnoteReference"/>
        </w:rPr>
        <w:footnoteRef/>
      </w:r>
      <w:r w:rsidR="00906C64">
        <w:t xml:space="preserve"> </w:t>
      </w:r>
      <w:r w:rsidR="00906C64">
        <w:t>K</w:t>
      </w:r>
      <w:r w:rsidR="00906C64">
        <w:t xml:space="preserve"> .J.</w:t>
      </w:r>
      <w:r w:rsidR="00906C64">
        <w:t>S</w:t>
      </w:r>
      <w:r w:rsidR="00906C64">
        <w:t xml:space="preserve"> </w:t>
      </w:r>
      <w:r>
        <w:t xml:space="preserve">The Reign of Stephen Twelfth-century </w:t>
      </w:r>
      <w:r w:rsidR="00906C64">
        <w:t>(</w:t>
      </w:r>
      <w:r>
        <w:t>London</w:t>
      </w:r>
      <w:r w:rsidR="00906C64">
        <w:t>:</w:t>
      </w:r>
      <w:r>
        <w:t xml:space="preserve"> Routledge 1993</w:t>
      </w:r>
      <w:r w:rsidR="00906C64">
        <w:t>) p</w:t>
      </w:r>
      <w:r w:rsidR="00906C64">
        <w:t>.62</w:t>
      </w:r>
    </w:p>
  </w:footnote>
  <w:footnote w:id="12">
    <w:p w:rsidR="00F904DA" w:rsidRDefault="00F904DA" w:rsidP="00F904DA">
      <w:pPr>
        <w:pStyle w:val="FootnoteText"/>
      </w:pPr>
      <w:r>
        <w:rPr>
          <w:rStyle w:val="FootnoteReference"/>
        </w:rPr>
        <w:footnoteRef/>
      </w:r>
      <w:r>
        <w:t xml:space="preserve"> </w:t>
      </w:r>
      <w:r w:rsidR="00022E6D">
        <w:t>C. Warren Hollister ed, Amanda Clark Frost, Henry I (St Edmunsbury: Yale university press 2001) p.</w:t>
      </w:r>
      <w:r>
        <w:t>373</w:t>
      </w:r>
    </w:p>
  </w:footnote>
  <w:footnote w:id="13">
    <w:p w:rsidR="00F904DA" w:rsidRDefault="00F904DA" w:rsidP="00F904DA">
      <w:pPr>
        <w:pStyle w:val="FootnoteText"/>
      </w:pPr>
      <w:r>
        <w:rPr>
          <w:rStyle w:val="FootnoteReference"/>
        </w:rPr>
        <w:footnoteRef/>
      </w:r>
      <w:r>
        <w:t xml:space="preserve"> </w:t>
      </w:r>
      <w:r w:rsidR="00906C64">
        <w:t>Ibid p.</w:t>
      </w:r>
      <w:r>
        <w:t>374</w:t>
      </w:r>
    </w:p>
  </w:footnote>
  <w:footnote w:id="14">
    <w:p w:rsidR="00F904DA" w:rsidRDefault="00F904DA" w:rsidP="00F904DA">
      <w:pPr>
        <w:pStyle w:val="FootnoteText"/>
      </w:pPr>
      <w:r>
        <w:rPr>
          <w:rStyle w:val="FootnoteReference"/>
        </w:rPr>
        <w:footnoteRef/>
      </w:r>
      <w:r>
        <w:t xml:space="preserve"> </w:t>
      </w:r>
      <w:r w:rsidR="00906C64">
        <w:t>Ibid p.</w:t>
      </w:r>
      <w:r>
        <w:t>374</w:t>
      </w:r>
    </w:p>
  </w:footnote>
  <w:footnote w:id="15">
    <w:p w:rsidR="00F904DA" w:rsidRDefault="00F904DA" w:rsidP="00F904DA">
      <w:pPr>
        <w:pStyle w:val="FootnoteText"/>
      </w:pPr>
      <w:r>
        <w:rPr>
          <w:rStyle w:val="FootnoteReference"/>
        </w:rPr>
        <w:footnoteRef/>
      </w:r>
      <w:r>
        <w:t xml:space="preserve"> William of Malmesbury, GR, 5:413</w:t>
      </w:r>
    </w:p>
  </w:footnote>
  <w:footnote w:id="16">
    <w:p w:rsidR="00F904DA" w:rsidRDefault="00F904DA" w:rsidP="00F904DA">
      <w:pPr>
        <w:pStyle w:val="FootnoteText"/>
      </w:pPr>
      <w:r>
        <w:rPr>
          <w:rStyle w:val="FootnoteReference"/>
        </w:rPr>
        <w:footnoteRef/>
      </w:r>
      <w:r w:rsidR="00906C64">
        <w:t xml:space="preserve"> </w:t>
      </w:r>
      <w:r w:rsidR="00022E6D">
        <w:t>C.</w:t>
      </w:r>
      <w:r w:rsidR="00022E6D">
        <w:t>W</w:t>
      </w:r>
      <w:r w:rsidR="00022E6D">
        <w:t>.H</w:t>
      </w:r>
      <w:r w:rsidR="00022E6D">
        <w:t xml:space="preserve"> ed, A</w:t>
      </w:r>
      <w:r w:rsidR="00022E6D">
        <w:t>.C.F</w:t>
      </w:r>
      <w:r w:rsidR="00022E6D">
        <w:t>, Henry I (St Edmunsbury: Yale university press 2001)</w:t>
      </w:r>
      <w:r>
        <w:t xml:space="preserve"> </w:t>
      </w:r>
      <w:r w:rsidR="00022E6D">
        <w:t>p.</w:t>
      </w:r>
      <w:r>
        <w:t>349</w:t>
      </w:r>
    </w:p>
  </w:footnote>
  <w:footnote w:id="17">
    <w:p w:rsidR="00CE2908" w:rsidRDefault="00CE2908">
      <w:pPr>
        <w:pStyle w:val="FootnoteText"/>
      </w:pPr>
      <w:r>
        <w:rPr>
          <w:rStyle w:val="FootnoteReference"/>
        </w:rPr>
        <w:footnoteRef/>
      </w:r>
      <w:r>
        <w:t xml:space="preserve"> </w:t>
      </w:r>
      <w:r w:rsidR="00022E6D">
        <w:t>Hunt Janin</w:t>
      </w:r>
      <w:r w:rsidR="00573C0A">
        <w:t>,</w:t>
      </w:r>
      <w:r w:rsidR="00022E6D">
        <w:t xml:space="preserve"> Medieval justice: cases and laws in </w:t>
      </w:r>
      <w:r w:rsidR="00573C0A">
        <w:t>France</w:t>
      </w:r>
      <w:r w:rsidR="00022E6D">
        <w:t>, England and Germany 500-1500 (</w:t>
      </w:r>
      <w:r w:rsidR="00022E6D" w:rsidRPr="00022E6D">
        <w:rPr>
          <w:rFonts w:cstheme="minorHAnsi"/>
          <w:color w:val="000000"/>
          <w:shd w:val="clear" w:color="auto" w:fill="FFFFFF"/>
        </w:rPr>
        <w:t>McFarland, 2004</w:t>
      </w:r>
      <w:r w:rsidR="00022E6D">
        <w:t xml:space="preserve">) p.76 </w:t>
      </w:r>
    </w:p>
  </w:footnote>
  <w:footnote w:id="18">
    <w:p w:rsidR="00C64669" w:rsidRDefault="00C64669">
      <w:pPr>
        <w:pStyle w:val="FootnoteText"/>
      </w:pPr>
      <w:r>
        <w:rPr>
          <w:rStyle w:val="FootnoteReference"/>
        </w:rPr>
        <w:footnoteRef/>
      </w:r>
      <w:r>
        <w:t xml:space="preserve"> </w:t>
      </w:r>
      <w:r w:rsidR="00573C0A">
        <w:t>Christopher Robert Cheney, Church and Government in the Middle Ages (Cambridge: Cambridge university press 1976)  p.74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6122F4"/>
    <w:multiLevelType w:val="hybridMultilevel"/>
    <w:tmpl w:val="597C6C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DC4D96"/>
    <w:multiLevelType w:val="hybridMultilevel"/>
    <w:tmpl w:val="597C6C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151802"/>
    <w:multiLevelType w:val="hybridMultilevel"/>
    <w:tmpl w:val="9404C08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DA54BC"/>
    <w:multiLevelType w:val="hybridMultilevel"/>
    <w:tmpl w:val="EB22240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04DA"/>
    <w:rsid w:val="00022E6D"/>
    <w:rsid w:val="00023E04"/>
    <w:rsid w:val="000270E3"/>
    <w:rsid w:val="000557AF"/>
    <w:rsid w:val="00060D80"/>
    <w:rsid w:val="000C117E"/>
    <w:rsid w:val="000C2FB5"/>
    <w:rsid w:val="00180652"/>
    <w:rsid w:val="001852FC"/>
    <w:rsid w:val="002546B6"/>
    <w:rsid w:val="00296237"/>
    <w:rsid w:val="002D64D9"/>
    <w:rsid w:val="0033252D"/>
    <w:rsid w:val="00334036"/>
    <w:rsid w:val="00380273"/>
    <w:rsid w:val="003B6B77"/>
    <w:rsid w:val="003C54BE"/>
    <w:rsid w:val="003D34C4"/>
    <w:rsid w:val="00402918"/>
    <w:rsid w:val="0049371B"/>
    <w:rsid w:val="004B6BBC"/>
    <w:rsid w:val="00533417"/>
    <w:rsid w:val="00573C0A"/>
    <w:rsid w:val="00580817"/>
    <w:rsid w:val="00586D3F"/>
    <w:rsid w:val="005E2819"/>
    <w:rsid w:val="006418C0"/>
    <w:rsid w:val="00667787"/>
    <w:rsid w:val="006D0350"/>
    <w:rsid w:val="00766916"/>
    <w:rsid w:val="007A3946"/>
    <w:rsid w:val="007D0ABC"/>
    <w:rsid w:val="00810855"/>
    <w:rsid w:val="00821B9F"/>
    <w:rsid w:val="008E59AF"/>
    <w:rsid w:val="008E62C6"/>
    <w:rsid w:val="00906C64"/>
    <w:rsid w:val="0097271B"/>
    <w:rsid w:val="00B27989"/>
    <w:rsid w:val="00B507A2"/>
    <w:rsid w:val="00B86C72"/>
    <w:rsid w:val="00BC4337"/>
    <w:rsid w:val="00BD228E"/>
    <w:rsid w:val="00C0352F"/>
    <w:rsid w:val="00C53636"/>
    <w:rsid w:val="00C64669"/>
    <w:rsid w:val="00C71E65"/>
    <w:rsid w:val="00CD0581"/>
    <w:rsid w:val="00CE2908"/>
    <w:rsid w:val="00D43431"/>
    <w:rsid w:val="00E34E76"/>
    <w:rsid w:val="00EF1595"/>
    <w:rsid w:val="00F5726C"/>
    <w:rsid w:val="00F645AC"/>
    <w:rsid w:val="00F904DA"/>
    <w:rsid w:val="00FF5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A258"/>
  <w15:chartTrackingRefBased/>
  <w15:docId w15:val="{C0C91630-1A2B-427D-9689-8650B9152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04D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904D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04DA"/>
    <w:rPr>
      <w:sz w:val="20"/>
      <w:szCs w:val="20"/>
    </w:rPr>
  </w:style>
  <w:style w:type="character" w:styleId="FootnoteReference">
    <w:name w:val="footnote reference"/>
    <w:basedOn w:val="DefaultParagraphFont"/>
    <w:uiPriority w:val="99"/>
    <w:semiHidden/>
    <w:unhideWhenUsed/>
    <w:rsid w:val="00F904DA"/>
    <w:rPr>
      <w:vertAlign w:val="superscript"/>
    </w:rPr>
  </w:style>
  <w:style w:type="character" w:styleId="Hyperlink">
    <w:name w:val="Hyperlink"/>
    <w:basedOn w:val="DefaultParagraphFont"/>
    <w:uiPriority w:val="99"/>
    <w:unhideWhenUsed/>
    <w:rsid w:val="00F904DA"/>
    <w:rPr>
      <w:color w:val="0563C1" w:themeColor="hyperlink"/>
      <w:u w:val="single"/>
    </w:rPr>
  </w:style>
  <w:style w:type="character" w:customStyle="1" w:styleId="anchor-label">
    <w:name w:val="anchor-label"/>
    <w:basedOn w:val="DefaultParagraphFont"/>
    <w:rsid w:val="00334036"/>
  </w:style>
  <w:style w:type="paragraph" w:styleId="ListParagraph">
    <w:name w:val="List Paragraph"/>
    <w:basedOn w:val="Normal"/>
    <w:uiPriority w:val="34"/>
    <w:qFormat/>
    <w:rsid w:val="000C117E"/>
    <w:pPr>
      <w:ind w:left="720"/>
      <w:contextualSpacing/>
    </w:pPr>
  </w:style>
  <w:style w:type="paragraph" w:styleId="Title">
    <w:name w:val="Title"/>
    <w:basedOn w:val="Normal"/>
    <w:next w:val="Normal"/>
    <w:link w:val="TitleChar"/>
    <w:uiPriority w:val="10"/>
    <w:qFormat/>
    <w:rsid w:val="00B86C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6C7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itannia.com/history/docs/1137.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britannia.com/history/docs/1137.html"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britannia.com/history/docs/113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49426A-8A02-42C3-81AF-65C44A4C82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2774</Words>
  <Characters>15815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Mackelden (1600926)</dc:creator>
  <cp:keywords/>
  <dc:description/>
  <cp:lastModifiedBy>Adam Mackelden (1600926)</cp:lastModifiedBy>
  <cp:revision>2</cp:revision>
  <dcterms:created xsi:type="dcterms:W3CDTF">2018-03-13T18:00:00Z</dcterms:created>
  <dcterms:modified xsi:type="dcterms:W3CDTF">2018-03-13T18:00:00Z</dcterms:modified>
</cp:coreProperties>
</file>