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5793E214" w:rsidR="7908378C" w:rsidRDefault="7908378C" w:rsidP="33572C6E">
            <w:pPr>
              <w:ind w:right="237"/>
              <w:rPr>
                <w:b/>
                <w:bCs/>
                <w:color w:val="auto"/>
                <w:sz w:val="32"/>
                <w:szCs w:val="32"/>
              </w:rPr>
            </w:pPr>
            <w:r w:rsidRPr="33572C6E">
              <w:rPr>
                <w:b/>
                <w:bCs/>
                <w:color w:val="auto"/>
                <w:sz w:val="32"/>
                <w:szCs w:val="32"/>
              </w:rPr>
              <w:t xml:space="preserve">Learner name: </w:t>
            </w:r>
            <w:r w:rsidR="00656425">
              <w:rPr>
                <w:b/>
                <w:bCs/>
                <w:color w:val="auto"/>
                <w:sz w:val="32"/>
                <w:szCs w:val="32"/>
              </w:rPr>
              <w:t>Benjamin Withers</w:t>
            </w:r>
            <w:r w:rsidRPr="33572C6E">
              <w:rPr>
                <w:b/>
                <w:bCs/>
                <w:color w:val="auto"/>
                <w:sz w:val="32"/>
                <w:szCs w:val="32"/>
              </w:rPr>
              <w:t>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A0F548C" w:rsidR="7908378C" w:rsidRDefault="7908378C" w:rsidP="33572C6E">
            <w:pPr>
              <w:ind w:right="237"/>
              <w:rPr>
                <w:b/>
                <w:bCs/>
                <w:color w:val="auto"/>
                <w:sz w:val="32"/>
                <w:szCs w:val="32"/>
              </w:rPr>
            </w:pPr>
            <w:r w:rsidRPr="33572C6E">
              <w:rPr>
                <w:b/>
                <w:bCs/>
                <w:color w:val="auto"/>
                <w:sz w:val="32"/>
                <w:szCs w:val="32"/>
              </w:rPr>
              <w:t>___________</w:t>
            </w:r>
            <w:r w:rsidR="003C38F1">
              <w:rPr>
                <w:b/>
                <w:bCs/>
                <w:color w:val="auto"/>
                <w:sz w:val="32"/>
                <w:szCs w:val="32"/>
              </w:rPr>
              <w:t>2320031</w:t>
            </w:r>
            <w:r w:rsidRPr="33572C6E">
              <w:rPr>
                <w:b/>
                <w:bCs/>
                <w:color w:val="auto"/>
                <w:sz w:val="32"/>
                <w:szCs w:val="32"/>
              </w:rPr>
              <w:t>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3A941A3D" w14:textId="77777777" w:rsidR="0089639E" w:rsidRPr="005504E1" w:rsidRDefault="0089639E" w:rsidP="00B00915">
      <w:pPr>
        <w:spacing w:before="240" w:after="240"/>
        <w:rPr>
          <w:sz w:val="24"/>
          <w:szCs w:val="24"/>
        </w:rPr>
      </w:pPr>
      <w:r w:rsidRPr="005504E1">
        <w:rPr>
          <w:sz w:val="24"/>
          <w:szCs w:val="24"/>
        </w:rPr>
        <w:t>In this essay, I will be discussing a policing incident in which I played a significant role with a victim of crime and reflecting on what happened. I will be giving a brief description of the incident, critically evaluating different approaches and exploring what works in relation to tackling repeat victimisation and repeat offending.</w:t>
      </w:r>
    </w:p>
    <w:p w14:paraId="5EBF7851" w14:textId="77777777" w:rsidR="0089639E" w:rsidRPr="005504E1" w:rsidRDefault="0089639E" w:rsidP="00B00915">
      <w:pPr>
        <w:spacing w:before="240" w:after="240"/>
        <w:rPr>
          <w:sz w:val="24"/>
          <w:szCs w:val="24"/>
        </w:rPr>
      </w:pPr>
      <w:r w:rsidRPr="005504E1">
        <w:rPr>
          <w:sz w:val="24"/>
          <w:szCs w:val="24"/>
        </w:rPr>
        <w:t>Firstly, I will describe an incident in which I have played a significant role with a victim of crime, certain details will be kept ambiguous to comply with data protection. The incident I will be describing is one where I have been assigned as the officer in case by my Sargent and asked to investigate an allegation of assault. The alleged assault had taken place was within a comprehensive school, between two female students who I will refer to as female 1 and female 2. The two females were previously good friends, however female 1 was in a relationship with female 2’s cousin and had kissed another boy several days after a breakup. This has then resulted in female 2 spreading rumours around the school of female 1 being a “cheater” and a “slag”. The two females have then had an argument over social media with one of female 1’s friends telling female 2 “if you have such a big problem with me, come and fight me”.</w:t>
      </w:r>
    </w:p>
    <w:p w14:paraId="72779350" w14:textId="77777777" w:rsidR="0089639E" w:rsidRPr="005504E1" w:rsidRDefault="0089639E" w:rsidP="00B00915">
      <w:pPr>
        <w:spacing w:before="240" w:after="240"/>
        <w:rPr>
          <w:sz w:val="24"/>
          <w:szCs w:val="24"/>
        </w:rPr>
      </w:pPr>
      <w:r w:rsidRPr="005504E1">
        <w:rPr>
          <w:sz w:val="24"/>
          <w:szCs w:val="24"/>
        </w:rPr>
        <w:t xml:space="preserve">Two days later when the females have been in school female 1 has apologised to female 2 and asked female 2 to apologise back, the two have then has a further </w:t>
      </w:r>
      <w:r w:rsidRPr="005504E1">
        <w:rPr>
          <w:sz w:val="24"/>
          <w:szCs w:val="24"/>
        </w:rPr>
        <w:lastRenderedPageBreak/>
        <w:t>verbal argument and female 2 has walked up to female 1 grabbed her by the hair and started to punch her to the head, other students have then separated the two resulting in female 2 ripping a chunk of hair from female 1’s head.</w:t>
      </w:r>
    </w:p>
    <w:p w14:paraId="705B66BC" w14:textId="77777777" w:rsidR="0089639E" w:rsidRPr="005504E1" w:rsidRDefault="0089639E" w:rsidP="00B00915">
      <w:pPr>
        <w:spacing w:before="240" w:after="240"/>
        <w:rPr>
          <w:sz w:val="24"/>
          <w:szCs w:val="24"/>
        </w:rPr>
      </w:pPr>
      <w:r w:rsidRPr="005504E1">
        <w:rPr>
          <w:sz w:val="24"/>
          <w:szCs w:val="24"/>
        </w:rPr>
        <w:t>Due to the two females being in the same school and seeing each other on a daily basis, there are several social concerns; however, the school are aware of this; in terms of legislative context, the level of injury needs to be assessed. The officer who attended the initial call has decided that the assault constituted a common assault, common assault is defined under section 39 of the criminal justice act 1988 “Its is an offence for any person to unlawfully assault or beat another” (Criminal Justice act, 1988), however, female 1 disclosed during statement that she had suffered a concussion, this accompanied with hair being removed from her head could be more suited to the offence of Actual bodily harm (ABH), ABH is defined under section 47 of the offences against the person act 1861 “ A person is guilty of an offence who assaults any person, thereby occasioning him actual bodily harm” (Offences Against the Person Act, 1861).</w:t>
      </w:r>
    </w:p>
    <w:p w14:paraId="7D81321B" w14:textId="77777777" w:rsidR="0089639E" w:rsidRPr="005504E1" w:rsidRDefault="0089639E" w:rsidP="00B00915">
      <w:pPr>
        <w:spacing w:before="240" w:after="240"/>
        <w:rPr>
          <w:sz w:val="24"/>
          <w:szCs w:val="24"/>
        </w:rPr>
      </w:pPr>
      <w:r w:rsidRPr="005504E1">
        <w:rPr>
          <w:sz w:val="24"/>
          <w:szCs w:val="24"/>
        </w:rPr>
        <w:t>One cultural issue I was faced with when dealing with this incident is teenagers’ perception of the police with female 1 the victim being 15 years old, a study conducted in Norman 2009 showed that teenagers often feel police hold negative opinions of them “All of the respondents felt that the police saw them as a ‘problem’ and held negative stereotypes about them.” (Norman, 2009). However, this can be balanced out with Hinds 2007, highlighting how “attitudes toward police legitimacy are positively linked to police use of procedural justice” (Hinds, 2007). Therefore, the cultural challenge of dealing with teenagers can be overcome by showing the incident will be dealt with seriously using procedural justice., in order to build a good rapport with female 1 and gain the best possible account, it was essential that I built her trust within police.</w:t>
      </w:r>
    </w:p>
    <w:p w14:paraId="606C20BB" w14:textId="77777777" w:rsidR="0089639E" w:rsidRPr="005504E1" w:rsidRDefault="0089639E" w:rsidP="00B00915">
      <w:pPr>
        <w:spacing w:before="240" w:after="240"/>
        <w:rPr>
          <w:sz w:val="24"/>
          <w:szCs w:val="24"/>
        </w:rPr>
      </w:pPr>
      <w:r w:rsidRPr="005504E1">
        <w:rPr>
          <w:sz w:val="24"/>
          <w:szCs w:val="24"/>
        </w:rPr>
        <w:t>Vulnerable people are defined by HMICFRS as “A person less able to take care of themselves or protect themselves from exploitation, for example a person with mobility problems, a person with mental health difficulties, and children” (HMICFRS 2023). Therefore, in this incident by definition, female 1 is vulnerable due to being a child. Within policing, vulnerable individuals make up the majority of interactions “Vulnerable people, in their capacity as victims, witnesses or offenders, are involved in 75% of police interactions in most international jurisdictions” (Bartkowiak-Theron, I. and Asquith, N. 2019). Therefore, it is vital to understand vulnerabilities and be able to manage and support vulnerable people.</w:t>
      </w:r>
    </w:p>
    <w:p w14:paraId="2F308791" w14:textId="77777777" w:rsidR="0089639E" w:rsidRPr="005504E1" w:rsidRDefault="0089639E" w:rsidP="00B00915">
      <w:pPr>
        <w:spacing w:before="240" w:after="240"/>
        <w:rPr>
          <w:sz w:val="24"/>
          <w:szCs w:val="24"/>
        </w:rPr>
      </w:pPr>
      <w:r w:rsidRPr="005504E1">
        <w:rPr>
          <w:sz w:val="24"/>
          <w:szCs w:val="24"/>
        </w:rPr>
        <w:t xml:space="preserve">The police and criminal evidence act 1984 (PACE) highlights the need for an appropriate adult (AA) in order to safeguard the welfare and rights of children and mentally vulnerable adults who are detained or interviewed by police. In many cases, the role of an AA is played by a parent or other responsible adult known to the vulnerable person. However, there are volunteers who can play this role if needed. The downside of an adult known to the vulnerable person playing this role is that their presence could influence the vulnerable person to withhold information, </w:t>
      </w:r>
      <w:r w:rsidRPr="005504E1">
        <w:rPr>
          <w:sz w:val="24"/>
          <w:szCs w:val="24"/>
        </w:rPr>
        <w:lastRenderedPageBreak/>
        <w:t>especially that of a sensitive nature, or say what they believe the AA would want them to say.</w:t>
      </w:r>
    </w:p>
    <w:p w14:paraId="73CD9326" w14:textId="77777777" w:rsidR="0089639E" w:rsidRPr="005504E1" w:rsidRDefault="0089639E" w:rsidP="00B00915">
      <w:pPr>
        <w:spacing w:before="240" w:after="240"/>
        <w:rPr>
          <w:sz w:val="24"/>
          <w:szCs w:val="24"/>
        </w:rPr>
      </w:pPr>
      <w:r w:rsidRPr="005504E1">
        <w:rPr>
          <w:sz w:val="24"/>
          <w:szCs w:val="24"/>
        </w:rPr>
        <w:t xml:space="preserve">There were several approaches that could have been used in the incident I have detailed. The option which was taken by the officer who initially attend was that of a Witness Interview booklet (WIB), the purpose of this booklet is to gain information likely to influence decisions made in respect of forensic and medical examination of the victim, scene of crime examination, interviewing of other witnesses and witness support, after completing this booklet the officer has then decided an Achieving best evidence (ABE) interview would be most appropriate due to female 1’s age. This is an interview process where a specially trained officer is used to gain the best possible account from a vulnerable victim or witness. Using this approach is very useful as it can make a vulnerable person feel more relaxed, in turn allowing for the best account to be given. This approach however, comes with a significant time delay due to a back log of ABE interviews with GWENT police, in order to provide a swift response to this allegation, I decided it would be best to invite female 1 along with her mother as an AA to the police station where I could assess the situation and determine whether female 1 has the capacity to be statemented by myself rather than the use of ABE which would come with a time delay, after speaking with female 1 I decided that a statement was appropriate which in turn would mean the investigation could progress promptly. </w:t>
      </w:r>
    </w:p>
    <w:p w14:paraId="309311F7" w14:textId="77777777" w:rsidR="0089639E" w:rsidRPr="005504E1" w:rsidRDefault="0089639E" w:rsidP="00B00915">
      <w:pPr>
        <w:spacing w:before="240" w:after="240"/>
        <w:rPr>
          <w:sz w:val="24"/>
          <w:szCs w:val="24"/>
        </w:rPr>
      </w:pPr>
      <w:r w:rsidRPr="005504E1">
        <w:rPr>
          <w:sz w:val="24"/>
          <w:szCs w:val="24"/>
        </w:rPr>
        <w:t>After obtaining the statement from female 1, I then had to go through the victim care and consent questions. Within the victim care and consent the victim is asked if they are willing to attend court. Attending court can be daunting for any victim whether they are considered vulnerable or not. When asking the questions it was clear that female 1 did not like the idea of going to court. To reassure female 1 I explained that there are other disposals that I would consider to avoid the need of courts, but if she was required to attend court then there is a chance that special measures could be put in place. I explained that I could not guarantee these measures would be used as police only apply for them, and it is the decision of the court if they are utilised or not.</w:t>
      </w:r>
    </w:p>
    <w:p w14:paraId="1524FFA2" w14:textId="77777777" w:rsidR="0089639E" w:rsidRPr="005504E1" w:rsidRDefault="0089639E" w:rsidP="00B00915">
      <w:pPr>
        <w:spacing w:before="240" w:after="240"/>
        <w:rPr>
          <w:sz w:val="24"/>
          <w:szCs w:val="24"/>
        </w:rPr>
      </w:pPr>
      <w:r w:rsidRPr="005504E1">
        <w:rPr>
          <w:sz w:val="24"/>
          <w:szCs w:val="24"/>
        </w:rPr>
        <w:t>Female 1 highlighted to met that the main thing she was nervous of would be being in the court room itself, I explained to her that one special measure that could be applied for would be a video link, where she would give evidence through video and it would be played in the court. I also explained another special measure could be a screen so she would be hidden away from the offender and they would not be able to see her and she would not be able to see them. The special measures that can be used are set out in the Youth Justice and Criminal Evidence Act 1999</w:t>
      </w:r>
    </w:p>
    <w:p w14:paraId="476FA798" w14:textId="77777777" w:rsidR="0089639E" w:rsidRPr="005504E1" w:rsidRDefault="0089639E" w:rsidP="00B00915">
      <w:pPr>
        <w:spacing w:before="240" w:after="240"/>
        <w:rPr>
          <w:sz w:val="24"/>
          <w:szCs w:val="24"/>
        </w:rPr>
      </w:pPr>
      <w:r w:rsidRPr="005504E1">
        <w:rPr>
          <w:sz w:val="24"/>
          <w:szCs w:val="24"/>
        </w:rPr>
        <w:t xml:space="preserve">After discussing special measures, female 1 was much happier and more confident about attending court; however, I reiterated that I could not guarantee these would be put in place as the decision is made by the courts and not the police. </w:t>
      </w:r>
    </w:p>
    <w:p w14:paraId="217D3F79" w14:textId="77777777" w:rsidR="0089639E" w:rsidRPr="005504E1" w:rsidRDefault="0089639E" w:rsidP="00B00915">
      <w:pPr>
        <w:spacing w:before="240" w:after="240"/>
        <w:rPr>
          <w:sz w:val="24"/>
          <w:szCs w:val="24"/>
        </w:rPr>
      </w:pPr>
      <w:r w:rsidRPr="005504E1">
        <w:rPr>
          <w:sz w:val="24"/>
          <w:szCs w:val="24"/>
        </w:rPr>
        <w:t xml:space="preserve">Using special measures for vulnerable or intimated witnessed and victims can be beneficial also in building confidence in the criminal justice system as “Victims and </w:t>
      </w:r>
      <w:r w:rsidRPr="005504E1">
        <w:rPr>
          <w:sz w:val="24"/>
          <w:szCs w:val="24"/>
        </w:rPr>
        <w:lastRenderedPageBreak/>
        <w:t>intimated witnesses using special measures were more confident that the CJS was effective in bringing those who commit crimes to justice and meets the needs of victims” (Hamlyn et al, 2004)</w:t>
      </w:r>
    </w:p>
    <w:p w14:paraId="5CF8C2D9" w14:textId="77777777" w:rsidR="0089639E" w:rsidRPr="005504E1" w:rsidRDefault="0089639E" w:rsidP="00B00915">
      <w:pPr>
        <w:spacing w:before="240" w:after="240"/>
        <w:rPr>
          <w:sz w:val="24"/>
          <w:szCs w:val="24"/>
        </w:rPr>
      </w:pPr>
      <w:r w:rsidRPr="005504E1">
        <w:rPr>
          <w:sz w:val="24"/>
          <w:szCs w:val="24"/>
        </w:rPr>
        <w:t>In this incident, both the subject and the aggrieved were under the age of 16, I completed a child at risk Public Protection Notice (PPN) including both girls within it. These notices go to  social services and in this case as a children had been subject to crime and what could possibly be a traumatic incident, especially with police now involved. It is necessary that a PPN is completed to ensure the children (Or anyone at risk) can get the required support, to prevent these adverse childhood experiences having effect later in life, and potentially leading the child down a path of offending themselves.</w:t>
      </w:r>
    </w:p>
    <w:p w14:paraId="4E57DA05" w14:textId="77777777" w:rsidR="0089639E" w:rsidRPr="005504E1" w:rsidRDefault="0089639E" w:rsidP="00B00915">
      <w:pPr>
        <w:spacing w:before="240" w:after="240"/>
        <w:rPr>
          <w:sz w:val="24"/>
          <w:szCs w:val="24"/>
        </w:rPr>
      </w:pPr>
      <w:r w:rsidRPr="005504E1">
        <w:rPr>
          <w:sz w:val="24"/>
          <w:szCs w:val="24"/>
        </w:rPr>
        <w:t>When someone is a victim of crime, it is important to consider what can be done to ensure they don’t become a repeat victim. A repeat victimisation has different definitions across different police forces, in terms of number of offences and the time period in which the offences need to occur to consider someone a repeat victim, however broader definitions can be found, “Repeat victimisation refers to the repeated criminal victimization of a person, household, place, business, vehicle or other target however defined.” (Nicholas and Farrell, 2013), this definition can be simplified further where a repeat victim is a person who has been aggrieved more than once. Nichoals and Farrell further detail how it is widely accepted that when someone is the victim of crime, they a far more likely to then be revictimized. “small proportion of any population of potential targets experience a vastly disproportionate amount of the crime because they are repeatedly victimised” (Nicholas and Farrel, 2013). This highlights the importance of tackling repeat victimisation, as a way of reducing crime as a whole.</w:t>
      </w:r>
    </w:p>
    <w:p w14:paraId="1B53CDD5" w14:textId="77777777" w:rsidR="0089639E" w:rsidRPr="005504E1" w:rsidRDefault="0089639E" w:rsidP="00B00915">
      <w:pPr>
        <w:spacing w:before="240" w:after="240"/>
        <w:rPr>
          <w:sz w:val="24"/>
          <w:szCs w:val="24"/>
        </w:rPr>
      </w:pPr>
      <w:r w:rsidRPr="005504E1">
        <w:rPr>
          <w:sz w:val="24"/>
          <w:szCs w:val="24"/>
        </w:rPr>
        <w:t>A common method used to safeguard victims and prevent them becoming a repeat victim would be safety advice, this is where the victim is given small steps that could of potentially stop them becoming a victim again in the future, such as not to engage with the certain individual, to lock doors and windows and purchase security camera. Safety advise can also be tailored to the individual to prevent them becoming a repeat victim.</w:t>
      </w:r>
    </w:p>
    <w:p w14:paraId="790C19F3" w14:textId="77777777" w:rsidR="0089639E" w:rsidRPr="005504E1" w:rsidRDefault="0089639E" w:rsidP="00B00915">
      <w:pPr>
        <w:spacing w:before="240" w:after="240"/>
        <w:rPr>
          <w:sz w:val="24"/>
          <w:szCs w:val="24"/>
        </w:rPr>
      </w:pPr>
      <w:r w:rsidRPr="005504E1">
        <w:rPr>
          <w:sz w:val="24"/>
          <w:szCs w:val="24"/>
        </w:rPr>
        <w:t xml:space="preserve">Bail conditions can be implemented when the offender has been interviewed and due to be released from custody. Common bail conditions that can be used to protect a victim and prevent repeat victimisation would be for the subject not to attend the victim's home address, not to attend the location of the offence, or not to contact the victim directly, indirectly or via a third party. Although these are widely used conditions, bail conditions can be as bespoke as they need to be to prevent further offences and protect the victim. </w:t>
      </w:r>
    </w:p>
    <w:p w14:paraId="604C7A9C" w14:textId="77777777" w:rsidR="0089639E" w:rsidRPr="005504E1" w:rsidRDefault="0089639E" w:rsidP="00B00915">
      <w:pPr>
        <w:spacing w:before="240" w:after="240"/>
        <w:rPr>
          <w:sz w:val="24"/>
          <w:szCs w:val="24"/>
        </w:rPr>
      </w:pPr>
      <w:r w:rsidRPr="005504E1">
        <w:rPr>
          <w:sz w:val="24"/>
          <w:szCs w:val="24"/>
        </w:rPr>
        <w:t xml:space="preserve">As well as being a useful method of safeguarding victims, the enforcement of bail conditions can also go some way into tackling repeat offending, as well as the example conditions listed above, which can be used as a deterrent preventing an </w:t>
      </w:r>
      <w:r w:rsidRPr="005504E1">
        <w:rPr>
          <w:sz w:val="24"/>
          <w:szCs w:val="24"/>
        </w:rPr>
        <w:lastRenderedPageBreak/>
        <w:t>offender from contacting an offender or visiting a place where the offences were committed. For example a shop where a theft has been committed. Conditions can also be used to prevent an offender from being in company with an individual who is likely to encourage repeat offending (someone who has aided offences). Curfew can also be used as a way of keeping an offender inside a certain premises at times that they are likely to commit offences.  Another common condition that is used in regards to offences committed electronically, would be that an offender has to surrender their devices upon an officers request, where these devices can then be examined to ensure further offences aren’t being committed on them.</w:t>
      </w:r>
    </w:p>
    <w:p w14:paraId="71088BE9" w14:textId="77777777" w:rsidR="0089639E" w:rsidRPr="005504E1" w:rsidRDefault="0089639E" w:rsidP="00B00915">
      <w:pPr>
        <w:spacing w:before="240" w:after="240"/>
        <w:rPr>
          <w:sz w:val="24"/>
          <w:szCs w:val="24"/>
        </w:rPr>
      </w:pPr>
      <w:r w:rsidRPr="005504E1">
        <w:rPr>
          <w:sz w:val="24"/>
          <w:szCs w:val="24"/>
        </w:rPr>
        <w:t>A downside of bail conditions is that they do not last forever and generally only last as long as an investigation is taking place, depending on if the bail is extended or not.</w:t>
      </w:r>
    </w:p>
    <w:p w14:paraId="6FEC504B" w14:textId="77777777" w:rsidR="0089639E" w:rsidRPr="005504E1" w:rsidRDefault="0089639E" w:rsidP="00B00915">
      <w:pPr>
        <w:spacing w:before="240" w:after="240"/>
        <w:rPr>
          <w:sz w:val="24"/>
          <w:szCs w:val="24"/>
        </w:rPr>
      </w:pPr>
      <w:r w:rsidRPr="005504E1">
        <w:rPr>
          <w:sz w:val="24"/>
          <w:szCs w:val="24"/>
        </w:rPr>
        <w:t xml:space="preserve">With anti-social behaviour (ASB) it is very common to see repeat victims, safety advice can be an effective technique in order to prevent ASB such as advising to purchase a door bell camera, these are even issued within Gwent if victims meet a certain threshold in a victim safety pack. </w:t>
      </w:r>
    </w:p>
    <w:p w14:paraId="57D147C1" w14:textId="77777777" w:rsidR="0089639E" w:rsidRPr="005504E1" w:rsidRDefault="0089639E" w:rsidP="00B00915">
      <w:pPr>
        <w:spacing w:before="240" w:after="240"/>
        <w:rPr>
          <w:sz w:val="24"/>
          <w:szCs w:val="24"/>
        </w:rPr>
      </w:pPr>
      <w:r w:rsidRPr="005504E1">
        <w:rPr>
          <w:sz w:val="24"/>
          <w:szCs w:val="24"/>
        </w:rPr>
        <w:t>Unless offences are committed and subjects arrested then bail conditions cannot be implemented, meaning it is difficult to use this to combat repeat victimisation for ASB.</w:t>
      </w:r>
    </w:p>
    <w:p w14:paraId="12BA905B" w14:textId="77777777" w:rsidR="0089639E" w:rsidRPr="005504E1" w:rsidRDefault="0089639E" w:rsidP="00B00915">
      <w:pPr>
        <w:spacing w:before="240" w:after="240"/>
        <w:rPr>
          <w:sz w:val="24"/>
          <w:szCs w:val="24"/>
        </w:rPr>
      </w:pPr>
      <w:r w:rsidRPr="005504E1">
        <w:rPr>
          <w:sz w:val="24"/>
          <w:szCs w:val="24"/>
        </w:rPr>
        <w:t xml:space="preserve">Offenders of ASB tend to gather in certain hot spots, therefore an effective measure to prevent re victimisation of ASB would be to conduct targeted patrols in these areas. </w:t>
      </w:r>
    </w:p>
    <w:p w14:paraId="1A40B35A" w14:textId="77777777" w:rsidR="0089639E" w:rsidRPr="005504E1" w:rsidRDefault="0089639E" w:rsidP="00B00915">
      <w:pPr>
        <w:spacing w:before="240" w:after="240"/>
        <w:rPr>
          <w:sz w:val="24"/>
          <w:szCs w:val="24"/>
        </w:rPr>
      </w:pPr>
      <w:r w:rsidRPr="005504E1">
        <w:rPr>
          <w:sz w:val="24"/>
          <w:szCs w:val="24"/>
        </w:rPr>
        <w:t>In April 2024 a national ‘hotspot policing drive’ began with Gwent police taking part in this, with officers conducting patrols in 18 hotspot areas across Gwent.</w:t>
      </w:r>
    </w:p>
    <w:p w14:paraId="3F2D3154" w14:textId="77777777" w:rsidR="0089639E" w:rsidRPr="005504E1" w:rsidRDefault="0089639E" w:rsidP="00B00915">
      <w:pPr>
        <w:spacing w:before="240" w:after="240"/>
        <w:rPr>
          <w:sz w:val="24"/>
          <w:szCs w:val="24"/>
        </w:rPr>
      </w:pPr>
      <w:r w:rsidRPr="005504E1">
        <w:rPr>
          <w:sz w:val="24"/>
          <w:szCs w:val="24"/>
        </w:rPr>
        <w:t>This proactive approach has led to a significant reduction in ASB with chief superintendent Carl Willimas stating, “During the first six months of the operation, across the 18 areas in which we’ve increased patrols and we have recorded around 10% fewer incidents of anti-social behaviour when compared to the same period last year.”  (Gwent police, 2024)</w:t>
      </w:r>
    </w:p>
    <w:p w14:paraId="43CA2EBE" w14:textId="77777777" w:rsidR="0089639E" w:rsidRPr="005504E1" w:rsidRDefault="0089639E" w:rsidP="00B00915">
      <w:pPr>
        <w:spacing w:before="240" w:after="240"/>
        <w:rPr>
          <w:sz w:val="24"/>
          <w:szCs w:val="24"/>
        </w:rPr>
      </w:pPr>
      <w:r w:rsidRPr="005504E1">
        <w:rPr>
          <w:sz w:val="24"/>
          <w:szCs w:val="24"/>
        </w:rPr>
        <w:t>In conclusion, having different multi-agency approaches is effective in policing. By having other agencies involved, victims who may not want police involvement can get some level of support in relation to the incident they have experienced. This is especially prominent in domestic cases where victims might not be engaging over fear of their partners/ex partners. Multi agency approaches can also give victims the courage to speak up where previously they might not have felt they could.</w:t>
      </w:r>
    </w:p>
    <w:p w14:paraId="3E7016F3" w14:textId="77777777" w:rsidR="0089639E" w:rsidRPr="005504E1" w:rsidRDefault="0089639E" w:rsidP="00B00915">
      <w:pPr>
        <w:spacing w:before="240" w:after="240"/>
        <w:rPr>
          <w:sz w:val="24"/>
          <w:szCs w:val="24"/>
        </w:rPr>
      </w:pPr>
      <w:r w:rsidRPr="005504E1">
        <w:rPr>
          <w:sz w:val="24"/>
          <w:szCs w:val="24"/>
        </w:rPr>
        <w:lastRenderedPageBreak/>
        <w:t>I believe that the best approach to targeting repeat victimisation, is a proactive approach such as police patrols, however the high call demand and high workloads carried by officers in policing today means that this approach is often unrealistic as officers do not have the time and forces do not have the resources for this to be carried out by officers on shift.</w:t>
      </w:r>
    </w:p>
    <w:p w14:paraId="6D2D3FA4" w14:textId="77777777" w:rsidR="0089639E" w:rsidRPr="005504E1" w:rsidRDefault="0089639E" w:rsidP="00B00915">
      <w:pPr>
        <w:spacing w:before="240" w:after="240"/>
        <w:rPr>
          <w:sz w:val="24"/>
          <w:szCs w:val="24"/>
        </w:rPr>
      </w:pPr>
    </w:p>
    <w:p w14:paraId="7BEF6ED6" w14:textId="77777777" w:rsidR="0089639E" w:rsidRPr="005504E1" w:rsidRDefault="0089639E" w:rsidP="00B00915">
      <w:pPr>
        <w:spacing w:before="240" w:after="240"/>
        <w:rPr>
          <w:sz w:val="24"/>
          <w:szCs w:val="24"/>
        </w:rPr>
      </w:pPr>
      <w:r w:rsidRPr="005504E1">
        <w:rPr>
          <w:sz w:val="24"/>
          <w:szCs w:val="24"/>
        </w:rPr>
        <w:t>Word count = 2123</w:t>
      </w: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12E4C999" w14:textId="77777777" w:rsidR="005504E1" w:rsidRPr="005504E1" w:rsidRDefault="005504E1" w:rsidP="005504E1">
      <w:pPr>
        <w:spacing w:before="240" w:after="240"/>
        <w:ind w:right="237"/>
        <w:jc w:val="both"/>
        <w:rPr>
          <w:color w:val="000000" w:themeColor="text1"/>
          <w:sz w:val="24"/>
          <w:szCs w:val="24"/>
        </w:rPr>
      </w:pPr>
      <w:r w:rsidRPr="005504E1">
        <w:rPr>
          <w:color w:val="000000" w:themeColor="text1"/>
          <w:sz w:val="24"/>
          <w:szCs w:val="24"/>
        </w:rPr>
        <w:t xml:space="preserve">In this essay, I will describe a domestic incident that I attended that was complex in nature in which I played a significant role.I will be critically assessing the challenges associated and strategies developed for effective policing in such situations. </w:t>
      </w:r>
    </w:p>
    <w:p w14:paraId="6E169EF0" w14:textId="77777777" w:rsidR="005504E1" w:rsidRPr="005504E1" w:rsidRDefault="005504E1" w:rsidP="005504E1">
      <w:pPr>
        <w:spacing w:before="240" w:after="240"/>
        <w:ind w:right="237"/>
        <w:jc w:val="both"/>
        <w:rPr>
          <w:color w:val="000000" w:themeColor="text1"/>
          <w:sz w:val="24"/>
          <w:szCs w:val="24"/>
        </w:rPr>
      </w:pPr>
      <w:r w:rsidRPr="005504E1">
        <w:rPr>
          <w:color w:val="000000" w:themeColor="text1"/>
          <w:sz w:val="24"/>
          <w:szCs w:val="24"/>
        </w:rPr>
        <w:t>When describing the incident, I will withhold certain sensitive information in order to comply with data protection.</w:t>
      </w:r>
    </w:p>
    <w:p w14:paraId="74DC4B67" w14:textId="77777777" w:rsidR="005504E1" w:rsidRPr="005504E1" w:rsidRDefault="005504E1" w:rsidP="005504E1">
      <w:pPr>
        <w:spacing w:before="240" w:after="240"/>
        <w:ind w:right="237"/>
        <w:jc w:val="both"/>
        <w:rPr>
          <w:color w:val="000000" w:themeColor="text1"/>
          <w:sz w:val="24"/>
          <w:szCs w:val="24"/>
        </w:rPr>
      </w:pPr>
      <w:r w:rsidRPr="005504E1">
        <w:rPr>
          <w:color w:val="000000" w:themeColor="text1"/>
          <w:sz w:val="24"/>
          <w:szCs w:val="24"/>
        </w:rPr>
        <w:t>Domestic abuse is defined in the Domestic Abuse Act 2021 as “ ‘A’ and ‘B’ which are each aged 16 or over and are personally connected to each other, and the behaviour is abusive.” (Legislation.gov.uk, 2021). This is then further broken down within the act describing behaviour that is abusive as any of the following “physical or sexual abuse; violent or threatening behaviour; controlling or coercive behaviour; economic abuse; psychological, emotional or other abuse” (Legislation.gov.uk, 2021), this list means there are an extensive number of offences that would fall under domestic abuse if A and B are personally connected. The term personally connected is further broken down as A and B are personally connected if “they are, or have been, married to each other; they are, or have been, civil partners of each other; they have agreed to marry one another (whether or not the agreement has been terminated); they have entered into a civil partnership agreement (whether or not the agreement has been terminated); they are, or have been, in an intimate personal relationship with each other; )they each have, or there has been a time when they each have had, a parental relationship in relation to the same child; they are relatives.” (Legislation.gov.uk, 2021).</w:t>
      </w:r>
    </w:p>
    <w:p w14:paraId="4245B61D" w14:textId="77777777" w:rsidR="005504E1" w:rsidRPr="005504E1" w:rsidRDefault="005504E1" w:rsidP="005504E1">
      <w:pPr>
        <w:spacing w:before="240" w:after="240"/>
        <w:ind w:right="237"/>
        <w:jc w:val="both"/>
        <w:rPr>
          <w:color w:val="000000" w:themeColor="text1"/>
          <w:sz w:val="24"/>
          <w:szCs w:val="24"/>
        </w:rPr>
      </w:pPr>
      <w:r w:rsidRPr="005504E1">
        <w:rPr>
          <w:color w:val="000000" w:themeColor="text1"/>
          <w:sz w:val="24"/>
          <w:szCs w:val="24"/>
        </w:rPr>
        <w:t>Within the Domestic Abuse Act 2021, children (under the age of 18) are defined as victims if they are related to A or B, or A or B have parental responsibility, and they “sees or hears, or experiences the effects of, the abuse” (Legislation.gov.uk, 2021). This means that the offence does not have to be committed on the child for them to be considered a victim of domestic abuse.</w:t>
      </w:r>
    </w:p>
    <w:p w14:paraId="07684E94" w14:textId="77777777" w:rsidR="005504E1" w:rsidRPr="005504E1" w:rsidRDefault="005504E1" w:rsidP="005504E1">
      <w:pPr>
        <w:spacing w:before="240" w:after="240"/>
        <w:ind w:right="237"/>
        <w:jc w:val="both"/>
        <w:rPr>
          <w:color w:val="000000" w:themeColor="text1"/>
          <w:sz w:val="24"/>
          <w:szCs w:val="24"/>
        </w:rPr>
      </w:pPr>
      <w:r w:rsidRPr="005504E1">
        <w:rPr>
          <w:color w:val="000000" w:themeColor="text1"/>
          <w:sz w:val="24"/>
          <w:szCs w:val="24"/>
        </w:rPr>
        <w:t xml:space="preserve">Unfortunately, domestic-related incidents are very common “Each year there are over 1 million calls to police in England and Wales about domestic abuse, and on average someone contacts the police every 30 seconds for help with domestic abuse” (Safe Lives, 2022). The incident I attended was an emergency graded call, where a third party was reporting that her sister had been attacked by her ex-partner. On arrival at the address, both females were present, with significant swelling  noticeable on the face of the female, and she was noticeably distressed. In order to give the female time to compose herself, I began to talk to the sister while my colleague comforted the female. After some time, the female felt ready to talk to the police, where she disclosed that she had been around a friend's house after work before coming home to her sister's house, where she had been staying since splitting up with her ex-partner. Her and her sister were watching TV when there was a knock at the door, which her sister answered, and the next thing she knew </w:t>
      </w:r>
      <w:r w:rsidRPr="005504E1">
        <w:rPr>
          <w:color w:val="000000" w:themeColor="text1"/>
          <w:sz w:val="24"/>
          <w:szCs w:val="24"/>
        </w:rPr>
        <w:lastRenderedPageBreak/>
        <w:t xml:space="preserve">her ex-partner burst into the room and punched her to the floor, started kicking her while accusing her of seeing other men. The sister then rang the police at which point the male fled the scene. </w:t>
      </w:r>
    </w:p>
    <w:p w14:paraId="479B47A7" w14:textId="77777777" w:rsidR="005504E1" w:rsidRPr="005504E1" w:rsidRDefault="005504E1" w:rsidP="005504E1">
      <w:pPr>
        <w:spacing w:before="240" w:after="240"/>
        <w:ind w:right="237"/>
        <w:jc w:val="both"/>
        <w:rPr>
          <w:color w:val="000000" w:themeColor="text1"/>
          <w:sz w:val="24"/>
          <w:szCs w:val="24"/>
        </w:rPr>
      </w:pPr>
      <w:r w:rsidRPr="005504E1">
        <w:rPr>
          <w:color w:val="000000" w:themeColor="text1"/>
          <w:sz w:val="24"/>
          <w:szCs w:val="24"/>
        </w:rPr>
        <w:t>The female's sister also disclosed that he had been pushed out of the way at the door when the male gained entry to the house.</w:t>
      </w:r>
    </w:p>
    <w:p w14:paraId="2B189AE0" w14:textId="77777777" w:rsidR="005504E1" w:rsidRPr="005504E1" w:rsidRDefault="005504E1" w:rsidP="005504E1">
      <w:pPr>
        <w:spacing w:before="240" w:after="240"/>
        <w:ind w:right="237"/>
        <w:jc w:val="both"/>
        <w:rPr>
          <w:color w:val="000000" w:themeColor="text1"/>
          <w:sz w:val="24"/>
          <w:szCs w:val="24"/>
        </w:rPr>
      </w:pPr>
      <w:r w:rsidRPr="005504E1">
        <w:rPr>
          <w:color w:val="000000" w:themeColor="text1"/>
          <w:sz w:val="24"/>
          <w:szCs w:val="24"/>
        </w:rPr>
        <w:t>My body-worn video (BWV) was active during this initial interaction; this can be useful in cases where the victim might not want to provide a statement, so the disclosure is captured to aid with the investigation down the line.</w:t>
      </w:r>
    </w:p>
    <w:p w14:paraId="69FA489B" w14:textId="77777777" w:rsidR="005504E1" w:rsidRPr="005504E1" w:rsidRDefault="005504E1" w:rsidP="005504E1">
      <w:pPr>
        <w:spacing w:before="240" w:after="240"/>
        <w:ind w:right="237"/>
        <w:jc w:val="both"/>
        <w:rPr>
          <w:color w:val="000000" w:themeColor="text1"/>
          <w:sz w:val="24"/>
          <w:szCs w:val="24"/>
        </w:rPr>
      </w:pPr>
      <w:r w:rsidRPr="005504E1">
        <w:rPr>
          <w:color w:val="000000" w:themeColor="text1"/>
          <w:sz w:val="24"/>
          <w:szCs w:val="24"/>
        </w:rPr>
        <w:t xml:space="preserve">As the male had left, I took photos of the female's injuries and offered the female the chance to provide a statement; the female stated she did wish to provide a statement; however, she first wanted to go to the hospital. A difficulty with this is that should the male of been arrested that night and a statement was not obtained prior to arrest then it would make things far more difficult while the male was in custody as more actions would need to be completed, however the female was adamant she did not want to provide a statement until after she had been to the hospital. </w:t>
      </w:r>
    </w:p>
    <w:p w14:paraId="41C05C38" w14:textId="77777777" w:rsidR="005504E1" w:rsidRPr="005504E1" w:rsidRDefault="005504E1" w:rsidP="005504E1">
      <w:pPr>
        <w:spacing w:before="240" w:after="240"/>
        <w:ind w:right="237"/>
        <w:jc w:val="both"/>
        <w:rPr>
          <w:color w:val="000000" w:themeColor="text1"/>
          <w:sz w:val="24"/>
          <w:szCs w:val="24"/>
        </w:rPr>
      </w:pPr>
      <w:r w:rsidRPr="005504E1">
        <w:rPr>
          <w:color w:val="000000" w:themeColor="text1"/>
          <w:sz w:val="24"/>
          <w:szCs w:val="24"/>
        </w:rPr>
        <w:t>Arrest enquiries were then conducted for the male who could not be located that night, so I added him to the local priority arrest board and uploaded a statement detailing what the female had told me at the time, should the male be arrested and the female not wish to provide a statement aiding with an evidence led prosecution (ELP). A challenge that is often faced in incidents of domestic abuse is victim engagement and the tendency for victims to retract or even refuse to give a statement; Robinson, 2006, details that victim retraction is viewed as problematic in domestic violence cases by the criminal justice system.</w:t>
      </w:r>
    </w:p>
    <w:p w14:paraId="0B9E9821" w14:textId="77777777" w:rsidR="005504E1" w:rsidRPr="005504E1" w:rsidRDefault="005504E1" w:rsidP="005504E1">
      <w:pPr>
        <w:spacing w:before="240" w:after="240"/>
        <w:ind w:right="237"/>
        <w:jc w:val="both"/>
        <w:rPr>
          <w:color w:val="000000" w:themeColor="text1"/>
          <w:sz w:val="24"/>
          <w:szCs w:val="24"/>
        </w:rPr>
      </w:pPr>
      <w:r w:rsidRPr="005504E1">
        <w:rPr>
          <w:color w:val="000000" w:themeColor="text1"/>
          <w:sz w:val="24"/>
          <w:szCs w:val="24"/>
        </w:rPr>
        <w:t>The female also disclosed that she and the male had two children together who were at the males mothers during the incident; despite the children not being present and the offences not being directed towards the children they were still to be treated as victims of Domestic abuse, as per the Domestic Abuse act 2021 as they were likely to experience the effects of the abuse.</w:t>
      </w:r>
    </w:p>
    <w:p w14:paraId="5E3EDDE9" w14:textId="77777777" w:rsidR="005504E1" w:rsidRPr="005504E1" w:rsidRDefault="005504E1" w:rsidP="005504E1">
      <w:pPr>
        <w:spacing w:before="240" w:after="240"/>
        <w:ind w:right="237"/>
        <w:jc w:val="both"/>
        <w:rPr>
          <w:color w:val="000000" w:themeColor="text1"/>
          <w:sz w:val="24"/>
          <w:szCs w:val="24"/>
        </w:rPr>
      </w:pPr>
      <w:r w:rsidRPr="005504E1">
        <w:rPr>
          <w:color w:val="000000" w:themeColor="text1"/>
          <w:sz w:val="24"/>
          <w:szCs w:val="24"/>
        </w:rPr>
        <w:t>Multi-agency approaches can be used in cases like this to safeguard victims; whether they support police action or not, and any children who might feel the effects of the incident. This is done through the completion of a Public Protection Notice (PPN).</w:t>
      </w:r>
    </w:p>
    <w:p w14:paraId="2CD42F21" w14:textId="77777777" w:rsidR="005504E1" w:rsidRPr="005504E1" w:rsidRDefault="005504E1" w:rsidP="005504E1">
      <w:pPr>
        <w:spacing w:before="240" w:after="240"/>
        <w:ind w:right="237"/>
        <w:jc w:val="both"/>
        <w:rPr>
          <w:color w:val="000000" w:themeColor="text1"/>
          <w:sz w:val="24"/>
          <w:szCs w:val="24"/>
        </w:rPr>
      </w:pPr>
      <w:r w:rsidRPr="005504E1">
        <w:rPr>
          <w:color w:val="000000" w:themeColor="text1"/>
          <w:sz w:val="24"/>
          <w:szCs w:val="24"/>
        </w:rPr>
        <w:t xml:space="preserve">A type of PPN that is used within Gwent police for all domestic cases is a Domestic Abuse Stalking and Harassment form (DASH), this is a series of questions that allow for the level of risk to be graded. It is best practice for this form to be completed with the victim. However, if the victim does not wish to do one or consent for the details of the form to be shared with partner agencies, then this cannot be done, and the form would need to be completed later with no consent to share.  These forms, </w:t>
      </w:r>
      <w:r w:rsidRPr="005504E1">
        <w:rPr>
          <w:color w:val="000000" w:themeColor="text1"/>
          <w:sz w:val="24"/>
          <w:szCs w:val="24"/>
        </w:rPr>
        <w:lastRenderedPageBreak/>
        <w:t>however, are very effective in safeguarding victims who do wish to receive multi-agency support, especially those who don’t want to pursue police action. In cases where the risk is high and the victim does not consent to share details with partner agencies a Multi-Agency Risk Assessment Conference (MARAC) referral can be completed, a MARAC is where the partner agencies and police will have a series of meetings in order to develop a safety plan, this is useful when a victim does not consent as MARAC can share information without consent if the risk is deemed high enough. Results from Robinson 2006 show MARACS to be invaluable: “Agencies assisted victims more efficiently, primarily through enhanced information sharing.” (Robinson, 2006), also suggesting through police and victim data that 6 in 10 victims had not been revictimized.</w:t>
      </w:r>
    </w:p>
    <w:p w14:paraId="6320C5A6" w14:textId="77777777" w:rsidR="005504E1" w:rsidRPr="005504E1" w:rsidRDefault="005504E1" w:rsidP="005504E1">
      <w:pPr>
        <w:spacing w:before="240" w:after="240"/>
        <w:ind w:right="237"/>
        <w:jc w:val="both"/>
        <w:rPr>
          <w:color w:val="000000" w:themeColor="text1"/>
          <w:sz w:val="24"/>
          <w:szCs w:val="24"/>
        </w:rPr>
      </w:pPr>
      <w:r w:rsidRPr="005504E1">
        <w:rPr>
          <w:color w:val="000000" w:themeColor="text1"/>
          <w:sz w:val="24"/>
          <w:szCs w:val="24"/>
        </w:rPr>
        <w:t>PPN’s can also be submitted for vulnerable adults or children who might feel the effects of an incident. It would be fair to suggest that an incident such as the one mentioned would be an Adverse childhood experience (ACEs) the children. “Adverse childhood experiences (ACEs) are highly stressful and potentially traumatic events or situations that occur during childhood and/or adolescence. (Young Minds, 2018). Not only could the initial incident be seen as ACEs, but what the children would be experiencing following the incident, such as custody battles and being raised in a split household with the parents not having a good relationship, would all tie into ACEs. With this in mind a strategy used to support the children within policing would be the completion of a child at risk PPN. With this in mind, I ascertained the children's details along with which GP and school they attend. They explained that I would be submitting a PPN, which would go to relevant agencies, a challenge that is often faced following this is the victims become worried that their children would be taken away from them. In order to not cause the victim any further stress I was as open as possible about the PPN and explained that it ensures the children will have all the support they need following the incident. Being open about the PPN process gave the victim some reassurance, and she acknowledged that the children also required additional support as well as herself.</w:t>
      </w:r>
    </w:p>
    <w:p w14:paraId="7B4B6823" w14:textId="77777777" w:rsidR="005504E1" w:rsidRPr="005504E1" w:rsidRDefault="005504E1" w:rsidP="005504E1">
      <w:pPr>
        <w:spacing w:before="240" w:after="240"/>
        <w:ind w:right="237"/>
        <w:jc w:val="both"/>
        <w:rPr>
          <w:color w:val="000000" w:themeColor="text1"/>
          <w:sz w:val="24"/>
          <w:szCs w:val="24"/>
        </w:rPr>
      </w:pPr>
      <w:r w:rsidRPr="005504E1">
        <w:rPr>
          <w:color w:val="000000" w:themeColor="text1"/>
          <w:sz w:val="24"/>
          <w:szCs w:val="24"/>
        </w:rPr>
        <w:t>Completing a PPN is very useful however in many cases the PPN is the end for some support as research shows that the majority of PPN’s are not taken forward “the majority not being taken forward by statutory agencies as a result of not meeting statutory thresholds” (Barton et al, 2018). This highlights the importance of victim engagement for safeguarding.</w:t>
      </w:r>
    </w:p>
    <w:p w14:paraId="16E70A11" w14:textId="77777777" w:rsidR="005504E1" w:rsidRPr="005504E1" w:rsidRDefault="005504E1" w:rsidP="005504E1">
      <w:pPr>
        <w:spacing w:before="240" w:after="240"/>
        <w:ind w:right="237"/>
        <w:jc w:val="both"/>
        <w:rPr>
          <w:color w:val="000000" w:themeColor="text1"/>
          <w:sz w:val="24"/>
          <w:szCs w:val="24"/>
        </w:rPr>
      </w:pPr>
      <w:r w:rsidRPr="005504E1">
        <w:rPr>
          <w:color w:val="000000" w:themeColor="text1"/>
          <w:sz w:val="24"/>
          <w:szCs w:val="24"/>
        </w:rPr>
        <w:t xml:space="preserve"> The next day, at the start of my shift, I immediately contacted the female. She did wish to be revisited to discuss a statement however, was frightened about being called to court, so I immediately went to talk to the female.  Before beginning the statement, I explained that special measures could be put in place in order to aid her in court, however, these would need to be applied for an would be the courts' decision to grant them or not. After listing a few of the special measures, such as a screen or video link, the female stated that she feels she would benefit from a screen, so she would not have to see her ex-partner. Special measures are a very effective method of combating the challenge of a non-supportive victim due to fear or intimidation. “a third of witnesses using them said they would not otherwise have been able or willing to give evidence” (Hamlyn et al, 2004).</w:t>
      </w:r>
    </w:p>
    <w:p w14:paraId="3879F1B0" w14:textId="77777777" w:rsidR="005504E1" w:rsidRPr="005504E1" w:rsidRDefault="005504E1" w:rsidP="005504E1">
      <w:pPr>
        <w:spacing w:before="240" w:after="240"/>
        <w:ind w:right="237"/>
        <w:jc w:val="both"/>
        <w:rPr>
          <w:color w:val="000000" w:themeColor="text1"/>
          <w:sz w:val="24"/>
          <w:szCs w:val="24"/>
        </w:rPr>
      </w:pPr>
      <w:r w:rsidRPr="005504E1">
        <w:rPr>
          <w:color w:val="000000" w:themeColor="text1"/>
          <w:sz w:val="24"/>
          <w:szCs w:val="24"/>
        </w:rPr>
        <w:lastRenderedPageBreak/>
        <w:t xml:space="preserve"> During the statement the female disclosed that she had been with the male for 15 years, he would tell her what she could and could not do, the female even disclosed sexual assault that has occurred in the past. The female stated that she had never felt she could contact police due to fear of the male and his family, but a week prior had finally built up the courage to leave him, showing that there had been a number of incidents occur before the female informed police, “on average victims experience 50 incidents of abuse before getting effective help” (Safe Lives, 2022). Now that the female had spoken up about the abuse it was vital that I ensured she received effective help, and her engagement would go a long way in achieving that “85% of victims sought help on average five times from professionals in the year before they got effective help to stop the abuse” (Safe Lives, 2022).</w:t>
      </w:r>
    </w:p>
    <w:p w14:paraId="3939B9AA" w14:textId="77777777" w:rsidR="005504E1" w:rsidRPr="005504E1" w:rsidRDefault="005504E1" w:rsidP="005504E1">
      <w:pPr>
        <w:spacing w:before="240" w:after="240"/>
        <w:ind w:right="237"/>
        <w:jc w:val="both"/>
        <w:rPr>
          <w:color w:val="000000" w:themeColor="text1"/>
          <w:sz w:val="24"/>
          <w:szCs w:val="24"/>
        </w:rPr>
      </w:pPr>
      <w:r w:rsidRPr="005504E1">
        <w:rPr>
          <w:color w:val="000000" w:themeColor="text1"/>
          <w:sz w:val="24"/>
          <w:szCs w:val="24"/>
        </w:rPr>
        <w:t xml:space="preserve">After a long statement-taking process in which the female disclosed many instances of domestic abuse between the two, arrest enquiries were conducted for the male, who was located and arrested for Section 47 ABH, Sexual assault by penetration, coercive control, and using violence to secure entry. </w:t>
      </w:r>
    </w:p>
    <w:p w14:paraId="76948898" w14:textId="77777777" w:rsidR="005504E1" w:rsidRPr="005504E1" w:rsidRDefault="005504E1" w:rsidP="005504E1">
      <w:pPr>
        <w:spacing w:before="240" w:after="240"/>
        <w:ind w:right="237"/>
        <w:jc w:val="both"/>
        <w:rPr>
          <w:color w:val="000000" w:themeColor="text1"/>
          <w:sz w:val="24"/>
          <w:szCs w:val="24"/>
        </w:rPr>
      </w:pPr>
      <w:r w:rsidRPr="005504E1">
        <w:rPr>
          <w:color w:val="000000" w:themeColor="text1"/>
          <w:sz w:val="24"/>
          <w:szCs w:val="24"/>
        </w:rPr>
        <w:t>A challenge surrounding domestic incidents is the personal connection between the victim and the perpetrator; many domestic abuse perpetrators will attempt to contact the victim following the incident or even ask other family members to do so. In order to combat this challenge, bail conditions can be implemented following an arrest when the perpetrator is released so that more evidence can be gathered. Examples of conditions that would prevent this would be not to contact the victim, or not to contact through third party. in the incident detailed these bail conditions among others were used. If the perpetrator then breaches bail conditions, then they can be arrested again.</w:t>
      </w:r>
    </w:p>
    <w:p w14:paraId="3B492741" w14:textId="77777777" w:rsidR="005504E1" w:rsidRPr="005504E1" w:rsidRDefault="005504E1" w:rsidP="005504E1">
      <w:pPr>
        <w:spacing w:before="240" w:after="240"/>
        <w:ind w:right="237"/>
        <w:jc w:val="both"/>
        <w:rPr>
          <w:color w:val="000000" w:themeColor="text1"/>
          <w:sz w:val="24"/>
          <w:szCs w:val="24"/>
        </w:rPr>
      </w:pPr>
      <w:r w:rsidRPr="005504E1">
        <w:rPr>
          <w:color w:val="000000" w:themeColor="text1"/>
          <w:sz w:val="24"/>
          <w:szCs w:val="24"/>
        </w:rPr>
        <w:t>Another challenge surrounding domestic abuse incidents is the safeguarding of the victim when there isn’t enough evidence to support an evidence-led prosecution and the victim is not engaging, leading to the case going no further action in custody.  A strategy that could be used in this situation would be the serving of a Domestic Violence Protection Notice (DVPN) to the perpetrator; this is a police-issued non-molestation and eviction notice effective immediately after the time of serving to safeguard the victim in the first instance. Following the serving of a DVPN police have 48hours to apply to magistrate’s court for a Domestic Violence Protection order (DVPO). A DVPO is much the same as a DVPN; however, it lasts for 28 days. Serving a DVPO and DVPN allows the victim time and space where they can reevaluate their relationship and receive support from partner agencies (Home office, 2022). Breaching a DVPO or DVPN are arrestable offences; the difficulty with DVPNs and DVPOs is that they are served when the victim is not engaging, meaning if they are breached, the likelihood it will be reported is very slim, meaning regular checks need to be carried out by police.</w:t>
      </w:r>
    </w:p>
    <w:p w14:paraId="0073C228" w14:textId="77777777" w:rsidR="005504E1" w:rsidRPr="005504E1" w:rsidRDefault="005504E1" w:rsidP="005504E1">
      <w:pPr>
        <w:spacing w:before="240" w:after="240"/>
        <w:ind w:right="237"/>
        <w:jc w:val="both"/>
        <w:rPr>
          <w:color w:val="000000" w:themeColor="text1"/>
          <w:sz w:val="24"/>
          <w:szCs w:val="24"/>
        </w:rPr>
      </w:pPr>
      <w:r w:rsidRPr="005504E1">
        <w:rPr>
          <w:color w:val="000000" w:themeColor="text1"/>
          <w:sz w:val="24"/>
          <w:szCs w:val="24"/>
        </w:rPr>
        <w:t xml:space="preserve">In conclusion, there is a great demand created by domestic calls, and these calls come with a variety of challenges, meaning there is no one solution to the problems. A massive challenge to combat domestic-related incidents is not only encouraging victims to speak out but also maintaining victim engagement when they do. With </w:t>
      </w:r>
      <w:r w:rsidRPr="005504E1">
        <w:rPr>
          <w:color w:val="000000" w:themeColor="text1"/>
          <w:sz w:val="24"/>
          <w:szCs w:val="24"/>
        </w:rPr>
        <w:lastRenderedPageBreak/>
        <w:t>domestic incidents occurring between family members or loved ones, it is very difficult to maintain engagement as victims want to protect the perpetrator, meaning it is not only difficult to get a conviction or CPS charging decision, but it can also be difficult to safeguard the victims leaving them exposed to re-victimization. This can also be seen with some perpetrators becoming arrogant at the fact the victim will not make a complaint against them, leading to more frequent abuse and the victim being less willing to report as they believe nothing was done when they did speak out. This attitude that nothing will be done could then be adopted by others who have seen abuse, leading to an overall negative perception that police will do nothing anyway. It is vital that, as police, we do all we can to get the victim's support and engagement in order to not only gather the best possible evidence to get a charge but to safeguard the victim as effectively as possible and prevent them from experiencing more abuse and the effects of the abuse as a whole.</w:t>
      </w:r>
    </w:p>
    <w:p w14:paraId="73EC2E54" w14:textId="77777777" w:rsidR="005504E1" w:rsidRPr="005504E1" w:rsidRDefault="005504E1" w:rsidP="005504E1">
      <w:pPr>
        <w:spacing w:before="240" w:after="240"/>
        <w:ind w:right="237"/>
        <w:jc w:val="both"/>
        <w:rPr>
          <w:color w:val="000000" w:themeColor="text1"/>
          <w:sz w:val="24"/>
          <w:szCs w:val="24"/>
        </w:rPr>
      </w:pPr>
    </w:p>
    <w:p w14:paraId="46BA3664" w14:textId="77777777" w:rsidR="005504E1" w:rsidRPr="005504E1" w:rsidRDefault="005504E1" w:rsidP="005504E1">
      <w:pPr>
        <w:spacing w:before="240" w:after="240"/>
        <w:ind w:right="237"/>
        <w:jc w:val="both"/>
        <w:rPr>
          <w:color w:val="000000" w:themeColor="text1"/>
          <w:sz w:val="24"/>
          <w:szCs w:val="24"/>
        </w:rPr>
      </w:pPr>
      <w:r w:rsidRPr="005504E1">
        <w:rPr>
          <w:color w:val="000000" w:themeColor="text1"/>
          <w:sz w:val="24"/>
          <w:szCs w:val="24"/>
        </w:rPr>
        <w:t>Word court =  2077</w:t>
      </w: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67C6DBB" w:rsidR="0FF883D4" w:rsidRDefault="5CE196A1" w:rsidP="5CE196A1">
      <w:r w:rsidRPr="5CE196A1">
        <w:rPr>
          <w:rFonts w:eastAsia="Arial"/>
          <w:b/>
          <w:bCs/>
          <w:color w:val="000000" w:themeColor="text1"/>
          <w:sz w:val="24"/>
          <w:szCs w:val="24"/>
        </w:rPr>
        <w:t xml:space="preserve">Signed: </w:t>
      </w:r>
      <w:r w:rsidR="003C38F1">
        <w:rPr>
          <w:rFonts w:eastAsia="Arial"/>
          <w:b/>
          <w:bCs/>
          <w:color w:val="000000" w:themeColor="text1"/>
          <w:sz w:val="24"/>
          <w:szCs w:val="24"/>
        </w:rPr>
        <w:t>B Withers</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1D35BD3B" w:rsidR="0FF883D4" w:rsidRDefault="003C38F1" w:rsidP="003C38F1">
      <w:pPr>
        <w:ind w:right="225"/>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r>
        <w:rPr>
          <w:b/>
          <w:bCs/>
          <w:sz w:val="24"/>
          <w:szCs w:val="24"/>
          <w:lang w:eastAsia="zh-TW"/>
        </w:rPr>
        <w:t>19/032025</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5F457EC" w14:textId="1438F330" w:rsidR="005504E1" w:rsidRDefault="005504E1" w:rsidP="00EA28F1">
      <w:pPr>
        <w:keepNext/>
        <w:spacing w:before="240" w:after="60"/>
        <w:ind w:right="237"/>
        <w:jc w:val="both"/>
      </w:pPr>
    </w:p>
    <w:p w14:paraId="7AB5B414" w14:textId="77777777" w:rsidR="00DA25FE" w:rsidRDefault="00DA25FE" w:rsidP="00DA25FE">
      <w:pPr>
        <w:keepNext/>
        <w:spacing w:before="240" w:after="60"/>
        <w:ind w:left="720" w:right="237"/>
        <w:jc w:val="both"/>
      </w:pPr>
      <w:r>
        <w:t>Bartkowiak-Theron, I. and Asquith, N. (2019) Policing vulnerable people, University of Tasmania</w:t>
      </w:r>
    </w:p>
    <w:p w14:paraId="27CA51F0" w14:textId="77777777" w:rsidR="00DA25FE" w:rsidRPr="00BC121A" w:rsidRDefault="00DA25FE" w:rsidP="00DA25FE">
      <w:pPr>
        <w:overflowPunct/>
        <w:autoSpaceDE/>
        <w:autoSpaceDN/>
        <w:adjustRightInd/>
        <w:spacing w:after="160" w:line="259" w:lineRule="auto"/>
        <w:ind w:left="720"/>
        <w:textAlignment w:val="auto"/>
        <w:rPr>
          <w:rFonts w:ascii="Aptos" w:eastAsia="Aptos" w:hAnsi="Aptos" w:cs="Times New Roman"/>
          <w:color w:val="auto"/>
          <w:kern w:val="2"/>
          <w:sz w:val="22"/>
          <w:szCs w:val="22"/>
          <w:lang w:eastAsia="en-US"/>
          <w14:ligatures w14:val="standardContextual"/>
        </w:rPr>
      </w:pPr>
      <w:r w:rsidRPr="00BC121A">
        <w:rPr>
          <w:rFonts w:ascii="Aptos" w:eastAsia="Aptos" w:hAnsi="Aptos" w:cs="Times New Roman"/>
          <w:color w:val="auto"/>
          <w:kern w:val="2"/>
          <w:sz w:val="22"/>
          <w:szCs w:val="22"/>
          <w:lang w:eastAsia="en-US"/>
          <w14:ligatures w14:val="standardContextual"/>
        </w:rPr>
        <w:t>Barton, E.R., Bezeczky, Z., Newbury, A. and Roberts, J., 2018. </w:t>
      </w:r>
      <w:r w:rsidRPr="00BC121A">
        <w:rPr>
          <w:rFonts w:ascii="Aptos" w:eastAsia="Aptos" w:hAnsi="Aptos" w:cs="Times New Roman"/>
          <w:i/>
          <w:iCs/>
          <w:color w:val="auto"/>
          <w:kern w:val="2"/>
          <w:sz w:val="22"/>
          <w:szCs w:val="22"/>
          <w:lang w:eastAsia="en-US"/>
          <w14:ligatures w14:val="standardContextual"/>
        </w:rPr>
        <w:t>Evaluation of a structured multi-agency, early intervention approach to vulnerability with neighbourhood policing teams</w:t>
      </w:r>
      <w:r w:rsidRPr="00BC121A">
        <w:rPr>
          <w:rFonts w:ascii="Aptos" w:eastAsia="Aptos" w:hAnsi="Aptos" w:cs="Times New Roman"/>
          <w:color w:val="auto"/>
          <w:kern w:val="2"/>
          <w:sz w:val="22"/>
          <w:szCs w:val="22"/>
          <w:lang w:eastAsia="en-US"/>
          <w14:ligatures w14:val="standardContextual"/>
        </w:rPr>
        <w:t>. Public Health Wales.</w:t>
      </w:r>
    </w:p>
    <w:p w14:paraId="17B6229B" w14:textId="77777777" w:rsidR="00DA25FE" w:rsidRPr="00BC121A" w:rsidRDefault="00DA25FE" w:rsidP="00DA25FE">
      <w:pPr>
        <w:overflowPunct/>
        <w:autoSpaceDE/>
        <w:autoSpaceDN/>
        <w:adjustRightInd/>
        <w:spacing w:after="160" w:line="259" w:lineRule="auto"/>
        <w:ind w:left="720"/>
        <w:textAlignment w:val="auto"/>
        <w:rPr>
          <w:rFonts w:ascii="Aptos" w:eastAsia="Aptos" w:hAnsi="Aptos" w:cs="Times New Roman"/>
          <w:color w:val="auto"/>
          <w:kern w:val="2"/>
          <w:sz w:val="22"/>
          <w:szCs w:val="22"/>
          <w:lang w:eastAsia="en-US"/>
          <w14:ligatures w14:val="standardContextual"/>
        </w:rPr>
      </w:pPr>
      <w:r w:rsidRPr="00BC121A">
        <w:rPr>
          <w:rFonts w:ascii="Aptos" w:eastAsia="Aptos" w:hAnsi="Aptos" w:cs="Times New Roman"/>
          <w:color w:val="auto"/>
          <w:kern w:val="2"/>
          <w:sz w:val="22"/>
          <w:szCs w:val="22"/>
          <w:lang w:eastAsia="en-US"/>
          <w14:ligatures w14:val="standardContextual"/>
        </w:rPr>
        <w:t>CPS (2023). </w:t>
      </w:r>
      <w:r w:rsidRPr="00BC121A">
        <w:rPr>
          <w:rFonts w:ascii="Aptos" w:eastAsia="Aptos" w:hAnsi="Aptos" w:cs="Times New Roman"/>
          <w:i/>
          <w:iCs/>
          <w:color w:val="auto"/>
          <w:kern w:val="2"/>
          <w:sz w:val="22"/>
          <w:szCs w:val="22"/>
          <w:lang w:eastAsia="en-US"/>
          <w14:ligatures w14:val="standardContextual"/>
        </w:rPr>
        <w:t>Special Measures | the Crown Prosecution Service</w:t>
      </w:r>
      <w:r w:rsidRPr="00BC121A">
        <w:rPr>
          <w:rFonts w:ascii="Aptos" w:eastAsia="Aptos" w:hAnsi="Aptos" w:cs="Times New Roman"/>
          <w:color w:val="auto"/>
          <w:kern w:val="2"/>
          <w:sz w:val="22"/>
          <w:szCs w:val="22"/>
          <w:lang w:eastAsia="en-US"/>
          <w14:ligatures w14:val="standardContextual"/>
        </w:rPr>
        <w:t xml:space="preserve">. [online] Cps.gov.uk. Available at: </w:t>
      </w:r>
      <w:hyperlink r:id="rId16" w:history="1">
        <w:r w:rsidRPr="00BC121A">
          <w:rPr>
            <w:rFonts w:ascii="Aptos" w:eastAsia="Aptos" w:hAnsi="Aptos" w:cs="Times New Roman"/>
            <w:color w:val="467886"/>
            <w:kern w:val="2"/>
            <w:sz w:val="22"/>
            <w:szCs w:val="22"/>
            <w:u w:val="single"/>
            <w:lang w:eastAsia="en-US"/>
            <w14:ligatures w14:val="standardContextual"/>
          </w:rPr>
          <w:t>https://www.cps.gov.uk/legal-guidance/special-measures</w:t>
        </w:r>
      </w:hyperlink>
      <w:r w:rsidRPr="00BC121A">
        <w:rPr>
          <w:rFonts w:ascii="Aptos" w:eastAsia="Aptos" w:hAnsi="Aptos" w:cs="Times New Roman"/>
          <w:color w:val="auto"/>
          <w:kern w:val="2"/>
          <w:sz w:val="22"/>
          <w:szCs w:val="22"/>
          <w:lang w:eastAsia="en-US"/>
          <w14:ligatures w14:val="standardContextual"/>
        </w:rPr>
        <w:t>.</w:t>
      </w:r>
    </w:p>
    <w:p w14:paraId="415A538C" w14:textId="77777777" w:rsidR="00DA25FE" w:rsidRDefault="00DA25FE" w:rsidP="00DA25FE">
      <w:pPr>
        <w:keepNext/>
        <w:spacing w:before="240" w:after="60"/>
        <w:ind w:left="720" w:right="237"/>
        <w:jc w:val="both"/>
      </w:pPr>
      <w:r>
        <w:t>Great Britain. Home Office. Criminal Justice Act 1988. Great Britain, Home Office, 1989.</w:t>
      </w:r>
    </w:p>
    <w:p w14:paraId="41440763" w14:textId="77777777" w:rsidR="00DA25FE" w:rsidRDefault="00DA25FE" w:rsidP="00DA25FE">
      <w:pPr>
        <w:keepNext/>
        <w:spacing w:before="240" w:after="60"/>
        <w:ind w:left="720" w:right="237"/>
        <w:jc w:val="both"/>
      </w:pPr>
      <w:r>
        <w:t>Great Britain. Offences against the Person Act, 1861. 1861.</w:t>
      </w:r>
    </w:p>
    <w:p w14:paraId="69DC3F86" w14:textId="77777777" w:rsidR="00DA25FE" w:rsidRDefault="00DA25FE" w:rsidP="00DA25FE">
      <w:pPr>
        <w:keepNext/>
        <w:spacing w:before="240" w:after="60"/>
        <w:ind w:left="720" w:right="237"/>
        <w:jc w:val="both"/>
      </w:pPr>
      <w:r>
        <w:t>Gwent police (2024). As anti-social behaviour awareness week begins, we reflect on the last six months of additional patrols targeting disorder. gwent.police.uk.</w:t>
      </w:r>
    </w:p>
    <w:p w14:paraId="417DDA5C" w14:textId="77777777" w:rsidR="00DA25FE" w:rsidRDefault="00DA25FE" w:rsidP="00DA25FE">
      <w:pPr>
        <w:keepNext/>
        <w:spacing w:before="240" w:after="60"/>
        <w:ind w:left="720" w:right="237"/>
        <w:jc w:val="both"/>
      </w:pPr>
      <w:r>
        <w:t>Hamlyn, B., Phelps, A., Turtle, J. and Sattar, G., 2004. Are special measures working?: evidence from surveys of vulnerable and intimidated witnesses (No. 283). London: Home Office.</w:t>
      </w:r>
    </w:p>
    <w:p w14:paraId="142EDDBB" w14:textId="77777777" w:rsidR="00DA25FE" w:rsidRPr="00BC121A" w:rsidRDefault="00DA25FE" w:rsidP="00DA25FE">
      <w:pPr>
        <w:overflowPunct/>
        <w:autoSpaceDE/>
        <w:autoSpaceDN/>
        <w:adjustRightInd/>
        <w:spacing w:after="160" w:line="259" w:lineRule="auto"/>
        <w:ind w:left="720"/>
        <w:textAlignment w:val="auto"/>
        <w:rPr>
          <w:rFonts w:ascii="Aptos" w:eastAsia="Aptos" w:hAnsi="Aptos" w:cs="Times New Roman"/>
          <w:color w:val="auto"/>
          <w:kern w:val="2"/>
          <w:sz w:val="22"/>
          <w:szCs w:val="22"/>
          <w:lang w:eastAsia="en-US"/>
          <w14:ligatures w14:val="standardContextual"/>
        </w:rPr>
      </w:pPr>
      <w:r w:rsidRPr="00BC121A">
        <w:rPr>
          <w:rFonts w:ascii="Aptos" w:eastAsia="Aptos" w:hAnsi="Aptos" w:cs="Times New Roman"/>
          <w:color w:val="auto"/>
          <w:kern w:val="2"/>
          <w:sz w:val="22"/>
          <w:szCs w:val="22"/>
          <w:lang w:eastAsia="en-US"/>
          <w14:ligatures w14:val="standardContextual"/>
        </w:rPr>
        <w:t>Hamlyn, B., Phelps, A., Turtle, J. and Sattar, G., 2004. </w:t>
      </w:r>
      <w:r w:rsidRPr="00BC121A">
        <w:rPr>
          <w:rFonts w:ascii="Aptos" w:eastAsia="Aptos" w:hAnsi="Aptos" w:cs="Times New Roman"/>
          <w:i/>
          <w:iCs/>
          <w:color w:val="auto"/>
          <w:kern w:val="2"/>
          <w:sz w:val="22"/>
          <w:szCs w:val="22"/>
          <w:lang w:eastAsia="en-US"/>
          <w14:ligatures w14:val="standardContextual"/>
        </w:rPr>
        <w:t>Are special measures working?: evidence from surveys of vulnerable and intimidated witnesses</w:t>
      </w:r>
      <w:r w:rsidRPr="00BC121A">
        <w:rPr>
          <w:rFonts w:ascii="Aptos" w:eastAsia="Aptos" w:hAnsi="Aptos" w:cs="Times New Roman"/>
          <w:color w:val="auto"/>
          <w:kern w:val="2"/>
          <w:sz w:val="22"/>
          <w:szCs w:val="22"/>
          <w:lang w:eastAsia="en-US"/>
          <w14:ligatures w14:val="standardContextual"/>
        </w:rPr>
        <w:t> (No. 283). London: Home Office.</w:t>
      </w:r>
    </w:p>
    <w:p w14:paraId="64FD0E65" w14:textId="77777777" w:rsidR="00DA25FE" w:rsidRDefault="00DA25FE" w:rsidP="00DA25FE">
      <w:pPr>
        <w:keepNext/>
        <w:spacing w:before="240" w:after="60"/>
        <w:ind w:left="720" w:right="237"/>
        <w:jc w:val="both"/>
      </w:pPr>
      <w:r>
        <w:t>Hinds, L. (2007). Building Police Youth Relationships: The Importance of Procedural Justice. Youth Justice, 7(3), pp.195–209.</w:t>
      </w:r>
    </w:p>
    <w:p w14:paraId="5B1E331F" w14:textId="77777777" w:rsidR="00DA25FE" w:rsidRDefault="00DA25FE" w:rsidP="00DA25FE">
      <w:pPr>
        <w:keepNext/>
        <w:spacing w:before="240" w:after="60"/>
        <w:ind w:left="720" w:right="237"/>
        <w:jc w:val="both"/>
      </w:pPr>
      <w:r>
        <w:t>HMICFRS (2023). Vulnerable person. [online] His Majesty’s Inspectorate of Constabulary and Fire &amp; Rescue Services. Available at: https://hmicfrs.justiceinspectorates.gov.uk/glossary/vulnerable-person/.</w:t>
      </w:r>
    </w:p>
    <w:p w14:paraId="309C24D3" w14:textId="77777777" w:rsidR="00DA25FE" w:rsidRDefault="00DA25FE" w:rsidP="00DA25FE">
      <w:pPr>
        <w:keepNext/>
        <w:spacing w:before="240" w:after="60"/>
        <w:ind w:left="720" w:right="237"/>
        <w:jc w:val="both"/>
      </w:pPr>
      <w:r>
        <w:t>Home Office (2022). Domestic Violence Protection Notices (DVPNs) and Domestic Violence Protection Orders (DVPOs) Guidance. [online] Gov.UK. Available at: https://www.gov.uk/government/publications/domestic-violence-protection-orders/domestic-violence-protection-notices-dvpns-and-domestic-violence-protection-orders-dvpos-guidance-sections-24-33-crime-and-security-act-2010.</w:t>
      </w:r>
    </w:p>
    <w:p w14:paraId="713D7017" w14:textId="77777777" w:rsidR="00DA25FE" w:rsidRDefault="00DA25FE" w:rsidP="00DA25FE">
      <w:pPr>
        <w:keepNext/>
        <w:spacing w:before="240" w:after="60"/>
        <w:ind w:left="720" w:right="237"/>
        <w:jc w:val="both"/>
      </w:pPr>
      <w:r>
        <w:t>Legislation.gov.uk. (2021). Youth Justice and Criminal Evidence Act 1999. [online] Available at: https://www.legislation.gov.uk/ukpga/1999/23/section/19.</w:t>
      </w:r>
    </w:p>
    <w:p w14:paraId="5D022075" w14:textId="77777777" w:rsidR="00DA25FE" w:rsidRPr="00BC121A" w:rsidRDefault="00DA25FE" w:rsidP="00DA25FE">
      <w:pPr>
        <w:overflowPunct/>
        <w:autoSpaceDE/>
        <w:autoSpaceDN/>
        <w:adjustRightInd/>
        <w:spacing w:after="160" w:line="259" w:lineRule="auto"/>
        <w:ind w:left="720"/>
        <w:textAlignment w:val="auto"/>
        <w:rPr>
          <w:rFonts w:ascii="Aptos" w:eastAsia="Aptos" w:hAnsi="Aptos" w:cs="Times New Roman"/>
          <w:color w:val="auto"/>
          <w:kern w:val="2"/>
          <w:sz w:val="22"/>
          <w:szCs w:val="22"/>
          <w:lang w:eastAsia="en-US"/>
          <w14:ligatures w14:val="standardContextual"/>
        </w:rPr>
      </w:pPr>
      <w:r w:rsidRPr="00BC121A">
        <w:rPr>
          <w:rFonts w:ascii="Aptos" w:eastAsia="Aptos" w:hAnsi="Aptos" w:cs="Times New Roman"/>
          <w:color w:val="auto"/>
          <w:kern w:val="2"/>
          <w:sz w:val="22"/>
          <w:szCs w:val="22"/>
          <w:lang w:eastAsia="en-US"/>
          <w14:ligatures w14:val="standardContextual"/>
        </w:rPr>
        <w:t xml:space="preserve">Legislation.gov.uk. “Domestic Abuse Act 2021.” </w:t>
      </w:r>
      <w:r w:rsidRPr="00BC121A">
        <w:rPr>
          <w:rFonts w:ascii="Aptos" w:eastAsia="Aptos" w:hAnsi="Aptos" w:cs="Times New Roman"/>
          <w:i/>
          <w:iCs/>
          <w:color w:val="auto"/>
          <w:kern w:val="2"/>
          <w:sz w:val="22"/>
          <w:szCs w:val="22"/>
          <w:lang w:eastAsia="en-US"/>
          <w14:ligatures w14:val="standardContextual"/>
        </w:rPr>
        <w:t>Legislation.gov.uk</w:t>
      </w:r>
      <w:r w:rsidRPr="00BC121A">
        <w:rPr>
          <w:rFonts w:ascii="Aptos" w:eastAsia="Aptos" w:hAnsi="Aptos" w:cs="Times New Roman"/>
          <w:color w:val="auto"/>
          <w:kern w:val="2"/>
          <w:sz w:val="22"/>
          <w:szCs w:val="22"/>
          <w:lang w:eastAsia="en-US"/>
          <w14:ligatures w14:val="standardContextual"/>
        </w:rPr>
        <w:t>, 1 Oct. 2021, www.legislation.gov.uk/ukpga/2021/17/section/1.</w:t>
      </w:r>
    </w:p>
    <w:p w14:paraId="35A41D51" w14:textId="77777777" w:rsidR="00DA25FE" w:rsidRDefault="00DA25FE" w:rsidP="00DA25FE">
      <w:pPr>
        <w:keepNext/>
        <w:spacing w:before="240" w:after="60"/>
        <w:ind w:left="720" w:right="237"/>
        <w:jc w:val="both"/>
      </w:pPr>
      <w:r>
        <w:lastRenderedPageBreak/>
        <w:t>Nicholas, L. and Farrell, G., 2013. Repeat victimization. In Dictionary of Policing (pp. 240-241). Willan.</w:t>
      </w:r>
    </w:p>
    <w:p w14:paraId="74058D15" w14:textId="77777777" w:rsidR="00DA25FE" w:rsidRDefault="00DA25FE" w:rsidP="00DA25FE">
      <w:pPr>
        <w:keepNext/>
        <w:spacing w:before="240" w:after="60"/>
        <w:ind w:left="720" w:right="237"/>
        <w:jc w:val="both"/>
      </w:pPr>
      <w:r>
        <w:t>Norman, J. (2009). Seen and Not Heard: Young People’s Perceptions of the Police. Policing, 3(4), pp.364–372.</w:t>
      </w:r>
    </w:p>
    <w:p w14:paraId="1402449C" w14:textId="77777777" w:rsidR="00DA25FE" w:rsidRPr="00BC121A" w:rsidRDefault="00DA25FE" w:rsidP="00DA25FE">
      <w:pPr>
        <w:overflowPunct/>
        <w:autoSpaceDE/>
        <w:autoSpaceDN/>
        <w:adjustRightInd/>
        <w:spacing w:after="160" w:line="259" w:lineRule="auto"/>
        <w:ind w:left="720"/>
        <w:textAlignment w:val="auto"/>
        <w:rPr>
          <w:rFonts w:ascii="Aptos" w:eastAsia="Aptos" w:hAnsi="Aptos" w:cs="Times New Roman"/>
          <w:color w:val="auto"/>
          <w:kern w:val="2"/>
          <w:sz w:val="22"/>
          <w:szCs w:val="22"/>
          <w:lang w:eastAsia="en-US"/>
          <w14:ligatures w14:val="standardContextual"/>
        </w:rPr>
      </w:pPr>
      <w:r w:rsidRPr="00BC121A">
        <w:rPr>
          <w:rFonts w:ascii="Aptos" w:eastAsia="Aptos" w:hAnsi="Aptos" w:cs="Times New Roman"/>
          <w:color w:val="auto"/>
          <w:kern w:val="2"/>
          <w:sz w:val="22"/>
          <w:szCs w:val="22"/>
          <w:lang w:eastAsia="en-US"/>
          <w14:ligatures w14:val="standardContextual"/>
        </w:rPr>
        <w:t>Robinson, A. L. (2006). Reducing Repeat Victimization Among High-Risk Victims of Domestic Violence: The Benefits of a Coordinated Community Response in Cardiff, Wales. </w:t>
      </w:r>
      <w:r w:rsidRPr="00BC121A">
        <w:rPr>
          <w:rFonts w:ascii="Aptos" w:eastAsia="Aptos" w:hAnsi="Aptos" w:cs="Times New Roman"/>
          <w:i/>
          <w:iCs/>
          <w:color w:val="auto"/>
          <w:kern w:val="2"/>
          <w:sz w:val="22"/>
          <w:szCs w:val="22"/>
          <w:lang w:eastAsia="en-US"/>
          <w14:ligatures w14:val="standardContextual"/>
        </w:rPr>
        <w:t>Violence Against Women</w:t>
      </w:r>
      <w:r w:rsidRPr="00BC121A">
        <w:rPr>
          <w:rFonts w:ascii="Aptos" w:eastAsia="Aptos" w:hAnsi="Aptos" w:cs="Times New Roman"/>
          <w:color w:val="auto"/>
          <w:kern w:val="2"/>
          <w:sz w:val="22"/>
          <w:szCs w:val="22"/>
          <w:lang w:eastAsia="en-US"/>
          <w14:ligatures w14:val="standardContextual"/>
        </w:rPr>
        <w:t>, </w:t>
      </w:r>
      <w:r w:rsidRPr="00BC121A">
        <w:rPr>
          <w:rFonts w:ascii="Aptos" w:eastAsia="Aptos" w:hAnsi="Aptos" w:cs="Times New Roman"/>
          <w:i/>
          <w:iCs/>
          <w:color w:val="auto"/>
          <w:kern w:val="2"/>
          <w:sz w:val="22"/>
          <w:szCs w:val="22"/>
          <w:lang w:eastAsia="en-US"/>
          <w14:ligatures w14:val="standardContextual"/>
        </w:rPr>
        <w:t>12</w:t>
      </w:r>
      <w:r w:rsidRPr="00BC121A">
        <w:rPr>
          <w:rFonts w:ascii="Aptos" w:eastAsia="Aptos" w:hAnsi="Aptos" w:cs="Times New Roman"/>
          <w:color w:val="auto"/>
          <w:kern w:val="2"/>
          <w:sz w:val="22"/>
          <w:szCs w:val="22"/>
          <w:lang w:eastAsia="en-US"/>
          <w14:ligatures w14:val="standardContextual"/>
        </w:rPr>
        <w:t>(8), 761-788. </w:t>
      </w:r>
      <w:hyperlink r:id="rId17" w:history="1">
        <w:r w:rsidRPr="00BC121A">
          <w:rPr>
            <w:rFonts w:ascii="Aptos" w:eastAsia="Aptos" w:hAnsi="Aptos" w:cs="Times New Roman"/>
            <w:color w:val="467886"/>
            <w:kern w:val="2"/>
            <w:sz w:val="22"/>
            <w:szCs w:val="22"/>
            <w:u w:val="single"/>
            <w:lang w:eastAsia="en-US"/>
            <w14:ligatures w14:val="standardContextual"/>
          </w:rPr>
          <w:t>https://doi.org/10.1177/1077801206291477</w:t>
        </w:r>
      </w:hyperlink>
      <w:r w:rsidRPr="00BC121A">
        <w:rPr>
          <w:rFonts w:ascii="Aptos" w:eastAsia="Aptos" w:hAnsi="Aptos" w:cs="Times New Roman"/>
          <w:color w:val="auto"/>
          <w:kern w:val="2"/>
          <w:sz w:val="22"/>
          <w:szCs w:val="22"/>
          <w:lang w:eastAsia="en-US"/>
          <w14:ligatures w14:val="standardContextual"/>
        </w:rPr>
        <w:t> (Original work published 2006)</w:t>
      </w:r>
    </w:p>
    <w:p w14:paraId="360ED064" w14:textId="77777777" w:rsidR="00DA25FE" w:rsidRDefault="00DA25FE" w:rsidP="00DA25FE">
      <w:pPr>
        <w:keepNext/>
        <w:spacing w:before="240" w:after="60"/>
        <w:ind w:left="720" w:right="237"/>
        <w:jc w:val="both"/>
      </w:pPr>
      <w:r>
        <w:t>Safe Lives (2022). How long do people live with domestic abuse? [online] SafeLives. Available at: https://safelives.org.uk/about-domestic-abuse/what-is-domestic-abuse/facts-and-figures/length-of-abuse/ [Accessed 18 Mar. 2025].</w:t>
      </w:r>
    </w:p>
    <w:p w14:paraId="715D5D3F" w14:textId="77777777" w:rsidR="00DA25FE" w:rsidRPr="00BC121A" w:rsidRDefault="00DA25FE" w:rsidP="00DA25FE">
      <w:pPr>
        <w:overflowPunct/>
        <w:autoSpaceDE/>
        <w:autoSpaceDN/>
        <w:adjustRightInd/>
        <w:spacing w:after="160" w:line="259" w:lineRule="auto"/>
        <w:ind w:left="720"/>
        <w:textAlignment w:val="auto"/>
        <w:rPr>
          <w:rFonts w:ascii="Aptos" w:eastAsia="Aptos" w:hAnsi="Aptos" w:cs="Times New Roman"/>
          <w:color w:val="auto"/>
          <w:kern w:val="2"/>
          <w:sz w:val="22"/>
          <w:szCs w:val="22"/>
          <w:lang w:eastAsia="en-US"/>
          <w14:ligatures w14:val="standardContextual"/>
        </w:rPr>
      </w:pPr>
      <w:r w:rsidRPr="00BC121A">
        <w:rPr>
          <w:rFonts w:ascii="Aptos" w:eastAsia="Aptos" w:hAnsi="Aptos" w:cs="Times New Roman"/>
          <w:color w:val="auto"/>
          <w:kern w:val="2"/>
          <w:sz w:val="22"/>
          <w:szCs w:val="22"/>
          <w:lang w:eastAsia="en-US"/>
          <w14:ligatures w14:val="standardContextual"/>
        </w:rPr>
        <w:t>Young Minds (2018). </w:t>
      </w:r>
      <w:r w:rsidRPr="00BC121A">
        <w:rPr>
          <w:rFonts w:ascii="Aptos" w:eastAsia="Aptos" w:hAnsi="Aptos" w:cs="Times New Roman"/>
          <w:i/>
          <w:iCs/>
          <w:color w:val="auto"/>
          <w:kern w:val="2"/>
          <w:sz w:val="22"/>
          <w:szCs w:val="22"/>
          <w:lang w:eastAsia="en-US"/>
          <w14:ligatures w14:val="standardContextual"/>
        </w:rPr>
        <w:t>Understanding trauma and adversity</w:t>
      </w:r>
      <w:r w:rsidRPr="00BC121A">
        <w:rPr>
          <w:rFonts w:ascii="Aptos" w:eastAsia="Aptos" w:hAnsi="Aptos" w:cs="Times New Roman"/>
          <w:color w:val="auto"/>
          <w:kern w:val="2"/>
          <w:sz w:val="22"/>
          <w:szCs w:val="22"/>
          <w:lang w:eastAsia="en-US"/>
          <w14:ligatures w14:val="standardContextual"/>
        </w:rPr>
        <w:t xml:space="preserve">. [online] YoungMinds. Available at: </w:t>
      </w:r>
      <w:hyperlink r:id="rId18" w:history="1">
        <w:r w:rsidRPr="00BC121A">
          <w:rPr>
            <w:rFonts w:ascii="Aptos" w:eastAsia="Aptos" w:hAnsi="Aptos" w:cs="Times New Roman"/>
            <w:color w:val="467886"/>
            <w:kern w:val="2"/>
            <w:sz w:val="22"/>
            <w:szCs w:val="22"/>
            <w:u w:val="single"/>
            <w:lang w:eastAsia="en-US"/>
            <w14:ligatures w14:val="standardContextual"/>
          </w:rPr>
          <w:t>https://www.youngminds.org.uk/professional/resources/understanding-trauma-and-adversity/</w:t>
        </w:r>
      </w:hyperlink>
      <w:r w:rsidRPr="00BC121A">
        <w:rPr>
          <w:rFonts w:ascii="Aptos" w:eastAsia="Aptos" w:hAnsi="Aptos" w:cs="Times New Roman"/>
          <w:color w:val="auto"/>
          <w:kern w:val="2"/>
          <w:sz w:val="22"/>
          <w:szCs w:val="22"/>
          <w:lang w:eastAsia="en-US"/>
          <w14:ligatures w14:val="standardContextual"/>
        </w:rPr>
        <w:t>.</w:t>
      </w:r>
    </w:p>
    <w:sectPr w:rsidR="00DA25FE" w:rsidRPr="00BC121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F7B3BA" w14:textId="77777777" w:rsidR="00740006" w:rsidRDefault="00740006">
      <w:r>
        <w:separator/>
      </w:r>
    </w:p>
  </w:endnote>
  <w:endnote w:type="continuationSeparator" w:id="0">
    <w:p w14:paraId="7337C4E8" w14:textId="77777777" w:rsidR="00740006" w:rsidRDefault="007400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552686" w14:textId="77777777" w:rsidR="00740006" w:rsidRDefault="00740006">
      <w:r>
        <w:separator/>
      </w:r>
    </w:p>
  </w:footnote>
  <w:footnote w:type="continuationSeparator" w:id="0">
    <w:p w14:paraId="172F94E0" w14:textId="77777777" w:rsidR="00740006" w:rsidRDefault="00740006">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61E6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38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578E4"/>
    <w:rsid w:val="004608B9"/>
    <w:rsid w:val="00460ADB"/>
    <w:rsid w:val="00461372"/>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04E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4D2D"/>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425"/>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006"/>
    <w:rsid w:val="007406E1"/>
    <w:rsid w:val="00743E40"/>
    <w:rsid w:val="00751263"/>
    <w:rsid w:val="0075704F"/>
    <w:rsid w:val="00763B2D"/>
    <w:rsid w:val="00772924"/>
    <w:rsid w:val="00784EC4"/>
    <w:rsid w:val="007872F2"/>
    <w:rsid w:val="007874BC"/>
    <w:rsid w:val="007908E0"/>
    <w:rsid w:val="00793EB3"/>
    <w:rsid w:val="00794205"/>
    <w:rsid w:val="00797012"/>
    <w:rsid w:val="007A1DC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639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4018D"/>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0915"/>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21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37B1A"/>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57702"/>
    <w:rsid w:val="00D607EF"/>
    <w:rsid w:val="00D60F88"/>
    <w:rsid w:val="00D625E7"/>
    <w:rsid w:val="00D646BD"/>
    <w:rsid w:val="00D70239"/>
    <w:rsid w:val="00D71201"/>
    <w:rsid w:val="00D720C7"/>
    <w:rsid w:val="00D77A04"/>
    <w:rsid w:val="00D81D06"/>
    <w:rsid w:val="00D8652C"/>
    <w:rsid w:val="00D876E6"/>
    <w:rsid w:val="00DA1025"/>
    <w:rsid w:val="00DA22EC"/>
    <w:rsid w:val="00DA25FE"/>
    <w:rsid w:val="00DA5860"/>
    <w:rsid w:val="00DB2767"/>
    <w:rsid w:val="00DC4729"/>
    <w:rsid w:val="00DE556F"/>
    <w:rsid w:val="00E03B6D"/>
    <w:rsid w:val="00E0649E"/>
    <w:rsid w:val="00E17160"/>
    <w:rsid w:val="00E35BEC"/>
    <w:rsid w:val="00E50821"/>
    <w:rsid w:val="00E50EF8"/>
    <w:rsid w:val="00E51F91"/>
    <w:rsid w:val="00E6078D"/>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youngminds.org.uk/professional/resources/understanding-trauma-and-adversity/" TargetMode="Externa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1177/1077801206291477" TargetMode="External"/><Relationship Id="rId2" Type="http://schemas.openxmlformats.org/officeDocument/2006/relationships/customXml" Target="../customXml/item2.xml"/><Relationship Id="rId16" Type="http://schemas.openxmlformats.org/officeDocument/2006/relationships/hyperlink" Target="https://www.cps.gov.uk/legal-guidance/special-measur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26</Pages>
  <Words>6734</Words>
  <Characters>36355</Characters>
  <Application>Microsoft Office Word</Application>
  <DocSecurity>0</DocSecurity>
  <Lines>982</Lines>
  <Paragraphs>251</Paragraphs>
  <ScaleCrop>false</ScaleCrop>
  <Company>Powys County Council</Company>
  <LinksUpToDate>false</LinksUpToDate>
  <CharactersWithSpaces>42838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Withers, Benjamin</cp:lastModifiedBy>
  <cp:revision>14</cp:revision>
  <cp:lastPrinted>2014-08-26T08:55:00Z</cp:lastPrinted>
  <dcterms:created xsi:type="dcterms:W3CDTF">2023-09-25T13:12:00Z</dcterms:created>
  <dcterms:modified xsi:type="dcterms:W3CDTF">2025-03-19T13:54:00Z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2025-02-19T12:12:21Z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4b2e5346-c6f0-4257-8e05-d73b013d1752</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