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A9E7F7" wp14:paraId="112080AE" wp14:textId="57EE1735">
      <w:pPr>
        <w:spacing w:line="480" w:lineRule="auto"/>
        <w:jc w:val="both"/>
        <w:rPr>
          <w:rFonts w:ascii="Aptos" w:hAnsi="Aptos" w:eastAsia="Aptos" w:cs="Aptos"/>
          <w:b w:val="0"/>
          <w:bCs w:val="0"/>
          <w:i w:val="0"/>
          <w:iCs w:val="0"/>
          <w:caps w:val="0"/>
          <w:smallCaps w:val="0"/>
          <w:noProof w:val="0"/>
          <w:color w:val="D13438"/>
          <w:sz w:val="28"/>
          <w:szCs w:val="28"/>
          <w:lang w:val="en-GB"/>
        </w:rPr>
      </w:pPr>
      <w:r w:rsidRPr="20A9E7F7" w:rsidR="3FE94D39">
        <w:rPr>
          <w:rFonts w:ascii="Aptos" w:hAnsi="Aptos" w:eastAsia="Aptos" w:cs="Aptos"/>
          <w:b w:val="1"/>
          <w:bCs w:val="1"/>
          <w:i w:val="1"/>
          <w:iCs w:val="1"/>
          <w:caps w:val="0"/>
          <w:smallCaps w:val="0"/>
          <w:strike w:val="0"/>
          <w:dstrike w:val="0"/>
          <w:noProof w:val="0"/>
          <w:color w:val="000000" w:themeColor="text1" w:themeTint="FF" w:themeShade="FF"/>
          <w:sz w:val="28"/>
          <w:szCs w:val="28"/>
          <w:u w:val="single"/>
          <w:lang w:val="en-US"/>
        </w:rPr>
        <w:t>Introduction</w:t>
      </w:r>
    </w:p>
    <w:p xmlns:wp14="http://schemas.microsoft.com/office/word/2010/wordml" w:rsidP="20A9E7F7" wp14:paraId="66E95195" wp14:textId="004FF0FD">
      <w:pPr>
        <w:spacing w:line="480" w:lineRule="auto"/>
        <w:jc w:val="both"/>
        <w:rPr>
          <w:rFonts w:ascii="Aptos" w:hAnsi="Aptos" w:eastAsia="Aptos" w:cs="Aptos"/>
          <w:b w:val="0"/>
          <w:bCs w:val="0"/>
          <w:i w:val="0"/>
          <w:iCs w:val="0"/>
          <w:caps w:val="0"/>
          <w:smallCaps w:val="0"/>
          <w:noProof w:val="0"/>
          <w:color w:val="000000" w:themeColor="text1" w:themeTint="FF" w:themeShade="FF"/>
          <w:sz w:val="22"/>
          <w:szCs w:val="22"/>
          <w:lang w:val="en-GB"/>
        </w:rPr>
      </w:pPr>
    </w:p>
    <w:p xmlns:wp14="http://schemas.microsoft.com/office/word/2010/wordml" w:rsidP="20A9E7F7" wp14:paraId="32012439" wp14:textId="0C79C900">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project is an empirical study and aims to investigate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the value a Detached Youth Work provision has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It will focus on the lives of the young people, job roles within services, and businesses within the community. This proposal was manifested through the researcher’s own job role within a short Police and Crime Commissioner funded pilot scheme, employing Anti-Social Behaviour (ASB) Youth Workers to work with other services and agencies to support the initiative, using targeted Youth Work to manage young people committing ASB in hotspot areas.  The role also involves identifying hot spot areas within the community and working with the young people within these, with the purpose of ASB Reduction, and health and wellbeing improvement.  While being involved in this role the researcher has acknowledged the need for a detached youth worker in the community, however, not to be solely focused on ASB issues as they have had many more supportive interactions with young people. Additionally, there have been many discussions involving cost verses the efficacy of this role. In the last decade budget cuts have been constantly looming (UK Youth, 2024) and the researcher would like to find out if this approach of detached Youth Work could be seen as a solution, or could add value to already existing provisions, and community well-being. This has brought an interest to the researcher of investigating the value that having a detached Youth Work provision has on young people, services, and local businesses within the community. There are several Youth Work Teams in Pembrokeshire however these involve either referrals to them or having the young people attend a youth setting. Therefore, there are many young people that do not have access to Youth Work provisions within the community. The researcher aims to gain knowledge on the possible further value that their Detached Youth Work project has had within that community, if any.</w:t>
      </w:r>
    </w:p>
    <w:p xmlns:wp14="http://schemas.microsoft.com/office/word/2010/wordml" w:rsidP="20A9E7F7" wp14:paraId="0655079D" wp14:textId="179556C1">
      <w:pPr>
        <w:spacing w:line="480" w:lineRule="auto"/>
        <w:jc w:val="both"/>
        <w:rPr>
          <w:rFonts w:ascii="Aptos" w:hAnsi="Aptos" w:eastAsia="Aptos" w:cs="Aptos"/>
          <w:b w:val="0"/>
          <w:bCs w:val="0"/>
          <w:i w:val="0"/>
          <w:iCs w:val="0"/>
          <w:caps w:val="0"/>
          <w:smallCaps w:val="0"/>
          <w:noProof w:val="0"/>
          <w:color w:val="D13438"/>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This study will consist of five further chapters:  Firstly, this research will involve a short literature review. The purpose of this will be to provide reinforcement to the researcher’s thinking while enforcing new thinking, and to gather further information and provide clarity in the understanding of the data produced by the research. The literature review will also delve into the practicality, benefit, and the worth of the Detached Youth Worker role to find the viability of having such provision, and the effects it can have on the community and people within it, especially the potential to make a positive difference to young people</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 xml:space="preserve">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and give them the best chance of a positive future (Hall et al, 2024) and to link the purpose and understandings to the research (Cottrell, 2009). The literature review will pay attention to the rich and long history of Detached youth work. To explore its aspects of cost, access, risk management, educational aspects, business and policy, along with the importance of a community to other youth work provisions. It will be delving into the importance of Detached Youth Work and its definitions that are often confused with Outreach Youth Work.</w:t>
      </w:r>
    </w:p>
    <w:p xmlns:wp14="http://schemas.microsoft.com/office/word/2010/wordml" w:rsidP="20A9E7F7" wp14:paraId="08B1FBBE" wp14:textId="03FC058A">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5DB6459F" wp14:textId="00295A27">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Next, there will be a chapter on the Methods and Methodology being used, which will provide an insight into the consideration given to the research steps and tools used to gain the data. The chapter will discuss why the researcher thought the mixed methods approach was the best methodological framework to use and why it was chosen. It will outline the boundaries and scope to the research with an argument of why the researcher thought the methods are the most appropriate for the question and the circumstances (Sapin, 2013). The researcher will use an empirical study to develop this research. An empirical study is a process of using real life experiences to develop research that can then have a conclusion drawn upon (Cohen et al, 2010). The researcher will adopt a Mixed Methods methodology, using a data collection method of a survey via MS Forms. The researcher will be using both quantitative and qualitative questions in this survey, where the research is provided by statistics from responses to closed as well as open ended questions (Sapin, 2013: Cohen et al, 2010). This will be a way of getting more in-depth answers, to understand and to explore with a larger perspective. It also provides opportunities to get a wider perspective of views and opinions (Braun and Clarke, 2022).</w:t>
      </w:r>
    </w:p>
    <w:p xmlns:wp14="http://schemas.microsoft.com/office/word/2010/wordml" w:rsidP="20A9E7F7" wp14:paraId="03D7EFF0" wp14:textId="6D12FB6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Following this there will be a Presentation of Data chapter, which will provide an insight into the results from the research. This will be to allow the researcher to focus on the information provided, allowing to be recorded via thematic analysis and to make direct comparisons between responses and identify themes (Braun and Clarke, 2022). As well as the use of questions which will elicit a quantitative response, the survey will also use qualitative questions to further scope of the value of having a Detached Youth Work provision within the Researcher’s role in the community.</w:t>
      </w:r>
    </w:p>
    <w:p xmlns:wp14="http://schemas.microsoft.com/office/word/2010/wordml" w:rsidP="20A9E7F7" wp14:paraId="628CC6D6" wp14:textId="4840732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subsequent chapter will discuss and analyse the data collected, making links to the Literature Review. The researcher will adopt a thematic analysis method when analysing the data, where the researcher will identify themes of the value of having a Detached Youth Work provision within a community and critically discuss these themes (ibid).</w:t>
      </w:r>
    </w:p>
    <w:p xmlns:wp14="http://schemas.microsoft.com/office/word/2010/wordml" w:rsidP="20A9E7F7" wp14:paraId="548A1A1C" wp14:textId="7112AA13">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Dissertation will finish with a conclusion to the research and its findings, providing recommendations for practice. This will bring together the previous chapters to allow a discussion on</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 xml:space="preserve"> The Value a Detached Youth Work provision has within a community.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If this research is successful it could lead to a compelling argument for sustaining detached youth workers in the community and implementing this further county wide.  To begin to explore the Dissertation question, the next chapter will provide an in-depth Literature Review which will explore the themes associated with this empirical study.</w:t>
      </w:r>
    </w:p>
    <w:p xmlns:wp14="http://schemas.microsoft.com/office/word/2010/wordml" w:rsidP="20A9E7F7" wp14:paraId="782EE5F0" wp14:textId="5BB00910">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4DA44370" wp14:textId="50C2D8FA">
      <w:p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single"/>
          <w:lang w:val="en-GB"/>
        </w:rPr>
        <w:t xml:space="preserve">Reference List: </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 xml:space="preserve">Ethics form – intro- </w:t>
      </w:r>
    </w:p>
    <w:p xmlns:wp14="http://schemas.microsoft.com/office/word/2010/wordml" w:rsidP="20A9E7F7" wp14:paraId="45B33C10" wp14:textId="30A2CC0C">
      <w:pPr>
        <w:pStyle w:val="ListParagraph"/>
        <w:numPr>
          <w:ilvl w:val="0"/>
          <w:numId w:val="1"/>
        </w:numPr>
        <w:spacing w:line="480" w:lineRule="auto"/>
        <w:rPr>
          <w:rFonts w:ascii="Aptos" w:hAnsi="Aptos" w:eastAsia="Aptos" w:cs="Aptos"/>
          <w:b w:val="0"/>
          <w:bCs w:val="0"/>
          <w:i w:val="0"/>
          <w:iCs w:val="0"/>
          <w:caps w:val="0"/>
          <w:smallCaps w:val="0"/>
          <w:noProof w:val="0"/>
          <w:color w:val="1F1F1F"/>
          <w:sz w:val="24"/>
          <w:szCs w:val="24"/>
          <w:lang w:val="en-GB"/>
        </w:rPr>
      </w:pPr>
      <w:r w:rsidRPr="20A9E7F7" w:rsidR="3FE94D39">
        <w:rPr>
          <w:rFonts w:ascii="Aptos" w:hAnsi="Aptos" w:eastAsia="Aptos" w:cs="Aptos"/>
          <w:b w:val="0"/>
          <w:bCs w:val="0"/>
          <w:i w:val="0"/>
          <w:iCs w:val="0"/>
          <w:caps w:val="0"/>
          <w:smallCaps w:val="0"/>
          <w:noProof w:val="0"/>
          <w:color w:val="1F1F1F"/>
          <w:sz w:val="24"/>
          <w:szCs w:val="24"/>
          <w:lang w:val="en-GB"/>
        </w:rPr>
        <w:t xml:space="preserve">Braun. V, and Clarke. V. (2022) </w:t>
      </w:r>
      <w:r w:rsidRPr="20A9E7F7" w:rsidR="3FE94D39">
        <w:rPr>
          <w:rFonts w:ascii="Aptos" w:hAnsi="Aptos" w:eastAsia="Aptos" w:cs="Aptos"/>
          <w:b w:val="0"/>
          <w:bCs w:val="0"/>
          <w:i w:val="1"/>
          <w:iCs w:val="1"/>
          <w:caps w:val="0"/>
          <w:smallCaps w:val="0"/>
          <w:noProof w:val="0"/>
          <w:color w:val="1F1F1F"/>
          <w:sz w:val="24"/>
          <w:szCs w:val="24"/>
          <w:lang w:val="en-GB"/>
        </w:rPr>
        <w:t xml:space="preserve">Thematic analysis: A practical guide. </w:t>
      </w:r>
      <w:r w:rsidRPr="20A9E7F7" w:rsidR="3FE94D39">
        <w:rPr>
          <w:rFonts w:ascii="Aptos" w:hAnsi="Aptos" w:eastAsia="Aptos" w:cs="Aptos"/>
          <w:b w:val="0"/>
          <w:bCs w:val="0"/>
          <w:i w:val="0"/>
          <w:iCs w:val="0"/>
          <w:caps w:val="0"/>
          <w:smallCaps w:val="0"/>
          <w:noProof w:val="0"/>
          <w:color w:val="1F1F1F"/>
          <w:sz w:val="24"/>
          <w:szCs w:val="24"/>
          <w:lang w:val="en-GB"/>
        </w:rPr>
        <w:t>London: SAGE.</w:t>
      </w:r>
    </w:p>
    <w:p xmlns:wp14="http://schemas.microsoft.com/office/word/2010/wordml" w:rsidP="20A9E7F7" wp14:paraId="7CEB66D6" wp14:textId="2616B9F9">
      <w:pPr>
        <w:pStyle w:val="ListParagraph"/>
        <w:numPr>
          <w:ilvl w:val="0"/>
          <w:numId w:val="1"/>
        </w:numPr>
        <w:spacing w:line="480" w:lineRule="auto"/>
        <w:rPr>
          <w:rFonts w:ascii="Aptos" w:hAnsi="Aptos" w:eastAsia="Aptos" w:cs="Aptos"/>
          <w:b w:val="0"/>
          <w:bCs w:val="0"/>
          <w:i w:val="0"/>
          <w:iCs w:val="0"/>
          <w:caps w:val="0"/>
          <w:smallCaps w:val="0"/>
          <w:noProof w:val="0"/>
          <w:color w:val="1F1F1F"/>
          <w:sz w:val="24"/>
          <w:szCs w:val="24"/>
          <w:lang w:val="en-GB"/>
        </w:rPr>
      </w:pPr>
      <w:r w:rsidRPr="20A9E7F7" w:rsidR="3FE94D39">
        <w:rPr>
          <w:rFonts w:ascii="Aptos" w:hAnsi="Aptos" w:eastAsia="Aptos" w:cs="Aptos"/>
          <w:b w:val="0"/>
          <w:bCs w:val="0"/>
          <w:i w:val="0"/>
          <w:iCs w:val="0"/>
          <w:caps w:val="0"/>
          <w:smallCaps w:val="0"/>
          <w:noProof w:val="0"/>
          <w:color w:val="1F1F1F"/>
          <w:sz w:val="24"/>
          <w:szCs w:val="24"/>
          <w:lang w:val="en-GB"/>
        </w:rPr>
        <w:t xml:space="preserve">British Educational Research Association (2018) </w:t>
      </w:r>
      <w:r w:rsidRPr="20A9E7F7" w:rsidR="3FE94D39">
        <w:rPr>
          <w:rFonts w:ascii="Aptos" w:hAnsi="Aptos" w:eastAsia="Aptos" w:cs="Aptos"/>
          <w:b w:val="0"/>
          <w:bCs w:val="0"/>
          <w:i w:val="1"/>
          <w:iCs w:val="1"/>
          <w:caps w:val="0"/>
          <w:smallCaps w:val="0"/>
          <w:noProof w:val="0"/>
          <w:color w:val="1F1F1F"/>
          <w:sz w:val="24"/>
          <w:szCs w:val="24"/>
          <w:lang w:val="en-GB"/>
        </w:rPr>
        <w:t>Ethical guidelines for educational research.</w:t>
      </w:r>
      <w:r w:rsidRPr="20A9E7F7" w:rsidR="3FE94D39">
        <w:rPr>
          <w:rFonts w:ascii="Aptos" w:hAnsi="Aptos" w:eastAsia="Aptos" w:cs="Aptos"/>
          <w:b w:val="0"/>
          <w:bCs w:val="0"/>
          <w:i w:val="0"/>
          <w:iCs w:val="0"/>
          <w:caps w:val="0"/>
          <w:smallCaps w:val="0"/>
          <w:noProof w:val="0"/>
          <w:color w:val="1F1F1F"/>
          <w:sz w:val="24"/>
          <w:szCs w:val="24"/>
          <w:lang w:val="en-GB"/>
        </w:rPr>
        <w:t xml:space="preserve"> 4</w:t>
      </w:r>
      <w:r w:rsidRPr="20A9E7F7" w:rsidR="3FE94D39">
        <w:rPr>
          <w:rFonts w:ascii="Aptos" w:hAnsi="Aptos" w:eastAsia="Aptos" w:cs="Aptos"/>
          <w:b w:val="0"/>
          <w:bCs w:val="0"/>
          <w:i w:val="0"/>
          <w:iCs w:val="0"/>
          <w:caps w:val="0"/>
          <w:smallCaps w:val="0"/>
          <w:noProof w:val="0"/>
          <w:color w:val="1F1F1F"/>
          <w:sz w:val="24"/>
          <w:szCs w:val="24"/>
          <w:vertAlign w:val="superscript"/>
          <w:lang w:val="en-GB"/>
        </w:rPr>
        <w:t>th</w:t>
      </w:r>
      <w:r w:rsidRPr="20A9E7F7" w:rsidR="3FE94D39">
        <w:rPr>
          <w:rFonts w:ascii="Aptos" w:hAnsi="Aptos" w:eastAsia="Aptos" w:cs="Aptos"/>
          <w:b w:val="0"/>
          <w:bCs w:val="0"/>
          <w:i w:val="0"/>
          <w:iCs w:val="0"/>
          <w:caps w:val="0"/>
          <w:smallCaps w:val="0"/>
          <w:noProof w:val="0"/>
          <w:color w:val="1F1F1F"/>
          <w:sz w:val="24"/>
          <w:szCs w:val="24"/>
          <w:lang w:val="en-GB"/>
        </w:rPr>
        <w:t xml:space="preserve"> edn. Available at: </w:t>
      </w:r>
      <w:hyperlink r:id="Rd556ba516f5c47bd">
        <w:r w:rsidRPr="20A9E7F7" w:rsidR="3FE94D39">
          <w:rPr>
            <w:rStyle w:val="Hyperlink"/>
            <w:rFonts w:ascii="Aptos" w:hAnsi="Aptos" w:eastAsia="Aptos" w:cs="Aptos"/>
            <w:b w:val="0"/>
            <w:bCs w:val="0"/>
            <w:i w:val="0"/>
            <w:iCs w:val="0"/>
            <w:caps w:val="0"/>
            <w:smallCaps w:val="0"/>
            <w:strike w:val="0"/>
            <w:dstrike w:val="0"/>
            <w:noProof w:val="0"/>
            <w:sz w:val="24"/>
            <w:szCs w:val="24"/>
            <w:lang w:val="en-GB"/>
          </w:rPr>
          <w:t>https://www.bera.ac.uk/researchers-resources/publications/ethical-guidelines-for-educational-research-2018</w:t>
        </w:r>
      </w:hyperlink>
      <w:r w:rsidRPr="20A9E7F7" w:rsidR="3FE94D39">
        <w:rPr>
          <w:rFonts w:ascii="Aptos" w:hAnsi="Aptos" w:eastAsia="Aptos" w:cs="Aptos"/>
          <w:b w:val="0"/>
          <w:bCs w:val="0"/>
          <w:i w:val="0"/>
          <w:iCs w:val="0"/>
          <w:caps w:val="0"/>
          <w:smallCaps w:val="0"/>
          <w:noProof w:val="0"/>
          <w:color w:val="040C28"/>
          <w:sz w:val="24"/>
          <w:szCs w:val="24"/>
          <w:lang w:val="en-GB"/>
        </w:rPr>
        <w:t xml:space="preserve"> </w:t>
      </w:r>
      <w:r w:rsidRPr="20A9E7F7" w:rsidR="3FE94D39">
        <w:rPr>
          <w:rFonts w:ascii="Aptos" w:hAnsi="Aptos" w:eastAsia="Aptos" w:cs="Aptos"/>
          <w:b w:val="0"/>
          <w:bCs w:val="0"/>
          <w:i w:val="0"/>
          <w:iCs w:val="0"/>
          <w:caps w:val="0"/>
          <w:smallCaps w:val="0"/>
          <w:noProof w:val="0"/>
          <w:color w:val="1F1F1F"/>
          <w:sz w:val="24"/>
          <w:szCs w:val="24"/>
          <w:lang w:val="en-GB"/>
        </w:rPr>
        <w:t xml:space="preserve"> (Accessed: 18 April 2024).</w:t>
      </w:r>
    </w:p>
    <w:p xmlns:wp14="http://schemas.microsoft.com/office/word/2010/wordml" w:rsidP="20A9E7F7" wp14:paraId="220C3026" wp14:textId="45C68032">
      <w:pPr>
        <w:pStyle w:val="ListParagraph"/>
        <w:numPr>
          <w:ilvl w:val="0"/>
          <w:numId w:val="1"/>
        </w:numPr>
        <w:spacing w:line="480" w:lineRule="auto"/>
        <w:rPr>
          <w:rFonts w:ascii="Aptos" w:hAnsi="Aptos" w:eastAsia="Aptos" w:cs="Aptos"/>
          <w:b w:val="0"/>
          <w:bCs w:val="0"/>
          <w:i w:val="0"/>
          <w:iCs w:val="0"/>
          <w:caps w:val="0"/>
          <w:smallCaps w:val="0"/>
          <w:noProof w:val="0"/>
          <w:color w:val="1F1F1F"/>
          <w:sz w:val="24"/>
          <w:szCs w:val="24"/>
          <w:lang w:val="en-GB"/>
        </w:rPr>
      </w:pPr>
      <w:r w:rsidRPr="20A9E7F7" w:rsidR="3FE94D39">
        <w:rPr>
          <w:rFonts w:ascii="Aptos" w:hAnsi="Aptos" w:eastAsia="Aptos" w:cs="Aptos"/>
          <w:b w:val="0"/>
          <w:bCs w:val="0"/>
          <w:i w:val="0"/>
          <w:iCs w:val="0"/>
          <w:caps w:val="0"/>
          <w:smallCaps w:val="0"/>
          <w:noProof w:val="0"/>
          <w:color w:val="1F1F1F"/>
          <w:sz w:val="24"/>
          <w:szCs w:val="24"/>
          <w:lang w:val="en-GB"/>
        </w:rPr>
        <w:t xml:space="preserve">Cohen. L et al (2010) </w:t>
      </w:r>
      <w:r w:rsidRPr="20A9E7F7" w:rsidR="3FE94D39">
        <w:rPr>
          <w:rFonts w:ascii="Aptos" w:hAnsi="Aptos" w:eastAsia="Aptos" w:cs="Aptos"/>
          <w:b w:val="0"/>
          <w:bCs w:val="0"/>
          <w:i w:val="1"/>
          <w:iCs w:val="1"/>
          <w:caps w:val="0"/>
          <w:smallCaps w:val="0"/>
          <w:noProof w:val="0"/>
          <w:color w:val="1F1F1F"/>
          <w:sz w:val="24"/>
          <w:szCs w:val="24"/>
          <w:lang w:val="en-GB"/>
        </w:rPr>
        <w:t xml:space="preserve">Research methods in education. </w:t>
      </w:r>
      <w:r w:rsidRPr="20A9E7F7" w:rsidR="3FE94D39">
        <w:rPr>
          <w:rFonts w:ascii="Aptos" w:hAnsi="Aptos" w:eastAsia="Aptos" w:cs="Aptos"/>
          <w:b w:val="0"/>
          <w:bCs w:val="0"/>
          <w:i w:val="0"/>
          <w:iCs w:val="0"/>
          <w:caps w:val="0"/>
          <w:smallCaps w:val="0"/>
          <w:noProof w:val="0"/>
          <w:color w:val="1F1F1F"/>
          <w:sz w:val="24"/>
          <w:szCs w:val="24"/>
          <w:lang w:val="en-GB"/>
        </w:rPr>
        <w:t>6</w:t>
      </w:r>
      <w:r w:rsidRPr="20A9E7F7" w:rsidR="3FE94D39">
        <w:rPr>
          <w:rFonts w:ascii="Aptos" w:hAnsi="Aptos" w:eastAsia="Aptos" w:cs="Aptos"/>
          <w:b w:val="0"/>
          <w:bCs w:val="0"/>
          <w:i w:val="0"/>
          <w:iCs w:val="0"/>
          <w:caps w:val="0"/>
          <w:smallCaps w:val="0"/>
          <w:noProof w:val="0"/>
          <w:color w:val="1F1F1F"/>
          <w:sz w:val="24"/>
          <w:szCs w:val="24"/>
          <w:vertAlign w:val="superscript"/>
          <w:lang w:val="en-GB"/>
        </w:rPr>
        <w:t>th</w:t>
      </w:r>
      <w:r w:rsidRPr="20A9E7F7" w:rsidR="3FE94D39">
        <w:rPr>
          <w:rFonts w:ascii="Aptos" w:hAnsi="Aptos" w:eastAsia="Aptos" w:cs="Aptos"/>
          <w:b w:val="0"/>
          <w:bCs w:val="0"/>
          <w:i w:val="0"/>
          <w:iCs w:val="0"/>
          <w:caps w:val="0"/>
          <w:smallCaps w:val="0"/>
          <w:noProof w:val="0"/>
          <w:color w:val="1F1F1F"/>
          <w:sz w:val="24"/>
          <w:szCs w:val="24"/>
          <w:lang w:val="en-GB"/>
        </w:rPr>
        <w:t xml:space="preserve"> edn. London and New York: Routledge.</w:t>
      </w:r>
    </w:p>
    <w:p xmlns:wp14="http://schemas.microsoft.com/office/word/2010/wordml" w:rsidP="20A9E7F7" wp14:paraId="777A68DF" wp14:textId="249119E6">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Style w:val="normaltextrun"/>
          <w:rFonts w:ascii="Aptos" w:hAnsi="Aptos" w:eastAsia="Aptos" w:cs="Aptos"/>
          <w:b w:val="0"/>
          <w:bCs w:val="0"/>
          <w:i w:val="0"/>
          <w:iCs w:val="0"/>
          <w:caps w:val="0"/>
          <w:smallCaps w:val="0"/>
          <w:noProof w:val="0"/>
          <w:color w:val="000000" w:themeColor="text1" w:themeTint="FF" w:themeShade="FF"/>
          <w:sz w:val="24"/>
          <w:szCs w:val="24"/>
          <w:lang w:val="en-GB"/>
        </w:rPr>
        <w:t xml:space="preserve">Cottrell, S. (2019) </w:t>
      </w:r>
      <w:r w:rsidRPr="20A9E7F7" w:rsidR="3FE94D39">
        <w:rPr>
          <w:rStyle w:val="normaltextrun"/>
          <w:rFonts w:ascii="Aptos" w:hAnsi="Aptos" w:eastAsia="Aptos" w:cs="Aptos"/>
          <w:b w:val="0"/>
          <w:bCs w:val="0"/>
          <w:i w:val="1"/>
          <w:iCs w:val="1"/>
          <w:caps w:val="0"/>
          <w:smallCaps w:val="0"/>
          <w:noProof w:val="0"/>
          <w:color w:val="000000" w:themeColor="text1" w:themeTint="FF" w:themeShade="FF"/>
          <w:sz w:val="24"/>
          <w:szCs w:val="24"/>
          <w:lang w:val="en-GB"/>
        </w:rPr>
        <w:t>The Study Skills Handbook.</w:t>
      </w:r>
      <w:r w:rsidRPr="20A9E7F7" w:rsidR="3FE94D39">
        <w:rPr>
          <w:rStyle w:val="normaltextrun"/>
          <w:rFonts w:ascii="Aptos" w:hAnsi="Aptos" w:eastAsia="Aptos" w:cs="Aptos"/>
          <w:b w:val="0"/>
          <w:bCs w:val="0"/>
          <w:i w:val="0"/>
          <w:iCs w:val="0"/>
          <w:caps w:val="0"/>
          <w:smallCaps w:val="0"/>
          <w:noProof w:val="0"/>
          <w:color w:val="000000" w:themeColor="text1" w:themeTint="FF" w:themeShade="FF"/>
          <w:sz w:val="24"/>
          <w:szCs w:val="24"/>
          <w:lang w:val="en-GB"/>
        </w:rPr>
        <w:t xml:space="preserve"> 5</w:t>
      </w:r>
      <w:r w:rsidRPr="20A9E7F7" w:rsidR="3FE94D39">
        <w:rPr>
          <w:rStyle w:val="normaltextrun"/>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20A9E7F7" w:rsidR="3FE94D39">
        <w:rPr>
          <w:rStyle w:val="normaltextrun"/>
          <w:rFonts w:ascii="Aptos" w:hAnsi="Aptos" w:eastAsia="Aptos" w:cs="Aptos"/>
          <w:b w:val="0"/>
          <w:bCs w:val="0"/>
          <w:i w:val="0"/>
          <w:iCs w:val="0"/>
          <w:caps w:val="0"/>
          <w:smallCaps w:val="0"/>
          <w:noProof w:val="0"/>
          <w:color w:val="000000" w:themeColor="text1" w:themeTint="FF" w:themeShade="FF"/>
          <w:sz w:val="24"/>
          <w:szCs w:val="24"/>
          <w:lang w:val="en-GB"/>
        </w:rPr>
        <w:t xml:space="preserve"> edn. London: Red Globe Press. </w:t>
      </w:r>
    </w:p>
    <w:p xmlns:wp14="http://schemas.microsoft.com/office/word/2010/wordml" w:rsidP="20A9E7F7" wp14:paraId="530FAC8F" wp14:textId="54E9C0C1">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CLD Standards Council Scotland. (2019)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Youth Work National Occupational Standards</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Introduction.</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Glasgow: Standards Council Scotland. </w:t>
      </w:r>
    </w:p>
    <w:p xmlns:wp14="http://schemas.microsoft.com/office/word/2010/wordml" w:rsidP="20A9E7F7" wp14:paraId="60E60DAC" wp14:textId="0EC0A432">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Education Workforce Council. (2022)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Code of professional conduct and practice. </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484d877730184129">
        <w:r w:rsidRPr="20A9E7F7" w:rsidR="3FE94D39">
          <w:rPr>
            <w:rStyle w:val="Hyperlink"/>
            <w:rFonts w:ascii="Aptos" w:hAnsi="Aptos" w:eastAsia="Aptos" w:cs="Aptos"/>
            <w:b w:val="0"/>
            <w:bCs w:val="0"/>
            <w:i w:val="0"/>
            <w:iCs w:val="0"/>
            <w:caps w:val="0"/>
            <w:smallCaps w:val="0"/>
            <w:strike w:val="0"/>
            <w:dstrike w:val="0"/>
            <w:noProof w:val="0"/>
            <w:sz w:val="24"/>
            <w:szCs w:val="24"/>
            <w:lang w:val="en-GB"/>
          </w:rPr>
          <w:t>https://www.ewc.wales/site/index.php/en/fitness-to-practise/code-of-professional-conduct-and-practice/the-code</w:t>
        </w:r>
      </w:hyperlink>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17 January 2025).</w:t>
      </w:r>
    </w:p>
    <w:p xmlns:wp14="http://schemas.microsoft.com/office/word/2010/wordml" w:rsidP="20A9E7F7" wp14:paraId="34F01C29" wp14:textId="3226E57B">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Hall. C, et al. (2024) The health effects of a youth labor market activation policy. [pdf]. Available at: </w:t>
      </w:r>
      <w:hyperlink r:id="R3d6c57c5e6c94ba6">
        <w:r w:rsidRPr="20A9E7F7" w:rsidR="3FE94D39">
          <w:rPr>
            <w:rStyle w:val="Hyperlink"/>
            <w:rFonts w:ascii="Aptos" w:hAnsi="Aptos" w:eastAsia="Aptos" w:cs="Aptos"/>
            <w:b w:val="0"/>
            <w:bCs w:val="0"/>
            <w:i w:val="0"/>
            <w:iCs w:val="0"/>
            <w:caps w:val="0"/>
            <w:smallCaps w:val="0"/>
            <w:strike w:val="0"/>
            <w:dstrike w:val="0"/>
            <w:noProof w:val="0"/>
            <w:sz w:val="24"/>
            <w:szCs w:val="24"/>
            <w:lang w:val="en-GB"/>
          </w:rPr>
          <w:t>https://www.econstor.eu/handle/10419/306742</w:t>
        </w:r>
      </w:hyperlink>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04 December 2025).</w:t>
      </w:r>
    </w:p>
    <w:p xmlns:wp14="http://schemas.microsoft.com/office/word/2010/wordml" w:rsidP="20A9E7F7" wp14:paraId="0B4F1EAD" wp14:textId="191353AB">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Sapin, K. (2013)</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US"/>
        </w:rPr>
        <w:t xml:space="preserve"> Essential Skills For Youth Work Practice,</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 2</w:t>
      </w:r>
      <w:r w:rsidRPr="20A9E7F7" w:rsidR="3FE94D39">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nd</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 Edn, London: SAGE Publications Ltd.</w:t>
      </w:r>
    </w:p>
    <w:p xmlns:wp14="http://schemas.microsoft.com/office/word/2010/wordml" w:rsidP="20A9E7F7" wp14:paraId="0FFDD8FF" wp14:textId="1C0DECEC">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Welsh Government. (2018)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The National Youth Work Strategy for Wales.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[pdf] Available at: </w:t>
      </w:r>
      <w:hyperlink r:id="R67d6964558e04d01">
        <w:r w:rsidRPr="20A9E7F7" w:rsidR="3FE94D39">
          <w:rPr>
            <w:rStyle w:val="Hyperlink"/>
            <w:rFonts w:ascii="Aptos" w:hAnsi="Aptos" w:eastAsia="Aptos" w:cs="Aptos"/>
            <w:b w:val="0"/>
            <w:bCs w:val="0"/>
            <w:i w:val="0"/>
            <w:iCs w:val="0"/>
            <w:caps w:val="0"/>
            <w:smallCaps w:val="0"/>
            <w:strike w:val="0"/>
            <w:dstrike w:val="0"/>
            <w:noProof w:val="0"/>
            <w:sz w:val="24"/>
            <w:szCs w:val="24"/>
            <w:lang w:val="en-US"/>
          </w:rPr>
          <w:t>https://infed.org/mobi/young-people-youth-work-youth-service-national-youth-service-strategy-for-wales/</w:t>
        </w:r>
      </w:hyperlink>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24 February 2023).</w:t>
      </w:r>
    </w:p>
    <w:p xmlns:wp14="http://schemas.microsoft.com/office/word/2010/wordml" w:rsidP="20A9E7F7" wp14:paraId="198ACF32" wp14:textId="03511CBE">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Welsh Government (2019)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Youth Work Strategy for Wales</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[pdf]. Available at:</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 xml:space="preserve"> </w:t>
      </w:r>
      <w:hyperlink r:id="Rb0a935023e1d4a29">
        <w:r w:rsidRPr="20A9E7F7" w:rsidR="3FE94D39">
          <w:rPr>
            <w:rStyle w:val="Hyperlink"/>
            <w:rFonts w:ascii="Aptos" w:hAnsi="Aptos" w:eastAsia="Aptos" w:cs="Aptos"/>
            <w:b w:val="0"/>
            <w:bCs w:val="0"/>
            <w:i w:val="1"/>
            <w:iCs w:val="1"/>
            <w:caps w:val="0"/>
            <w:smallCaps w:val="0"/>
            <w:strike w:val="0"/>
            <w:dstrike w:val="0"/>
            <w:noProof w:val="0"/>
            <w:sz w:val="24"/>
            <w:szCs w:val="24"/>
            <w:lang w:val="en-GB"/>
          </w:rPr>
          <w:t>https://www.gov.wales/sites/default/files/publications/2019-06/youth-work-strategy-for-wales.pdf</w:t>
        </w:r>
      </w:hyperlink>
      <w:r w:rsidRPr="20A9E7F7" w:rsidR="3FE94D39">
        <w:rPr>
          <w:rFonts w:ascii="Aptos" w:hAnsi="Aptos" w:eastAsia="Aptos" w:cs="Aptos"/>
          <w:b w:val="0"/>
          <w:bCs w:val="0"/>
          <w:i w:val="1"/>
          <w:iCs w:val="1"/>
          <w:caps w:val="0"/>
          <w:smallCaps w:val="0"/>
          <w:noProof w:val="0"/>
          <w:color w:val="00B0F0"/>
          <w:sz w:val="24"/>
          <w:szCs w:val="24"/>
          <w:lang w:val="en-GB"/>
        </w:rPr>
        <w:t xml:space="preserve">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(Accessed: 5 March 2024).</w:t>
      </w:r>
    </w:p>
    <w:p xmlns:wp14="http://schemas.microsoft.com/office/word/2010/wordml" w:rsidP="20A9E7F7" wp14:paraId="6FE785CB" wp14:textId="7F102605">
      <w:pPr>
        <w:pStyle w:val="ListParagraph"/>
        <w:numPr>
          <w:ilvl w:val="0"/>
          <w:numId w:val="1"/>
        </w:numPr>
        <w:spacing w:after="160" w:line="276"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Youth Work in Wales Review Group. (2022)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US"/>
        </w:rPr>
        <w:t>Youth Work in Wales: Principles and Purposes.</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 Cardiff: Youth Work in Wales Review Group.</w:t>
      </w:r>
    </w:p>
    <w:p xmlns:wp14="http://schemas.microsoft.com/office/word/2010/wordml" w:rsidP="20A9E7F7" wp14:paraId="305CA3B8" wp14:textId="2563A485">
      <w:pPr>
        <w:pStyle w:val="ListParagraph"/>
        <w:numPr>
          <w:ilvl w:val="0"/>
          <w:numId w:val="1"/>
        </w:numPr>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114AEF67" wp14:textId="23F1BE7C">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3ADFD562" wp14:textId="09CCF85B">
      <w:pPr>
        <w:spacing w:line="480" w:lineRule="auto"/>
        <w:jc w:val="both"/>
        <w:rPr>
          <w:rFonts w:ascii="Aptos" w:hAnsi="Aptos" w:eastAsia="Aptos" w:cs="Aptos"/>
          <w:b w:val="0"/>
          <w:bCs w:val="0"/>
          <w:i w:val="0"/>
          <w:iCs w:val="0"/>
          <w:caps w:val="0"/>
          <w:smallCaps w:val="0"/>
          <w:noProof w:val="0"/>
          <w:color w:val="000000" w:themeColor="text1" w:themeTint="FF" w:themeShade="FF"/>
          <w:sz w:val="32"/>
          <w:szCs w:val="32"/>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Literature Review.</w:t>
      </w:r>
    </w:p>
    <w:p xmlns:wp14="http://schemas.microsoft.com/office/word/2010/wordml" w:rsidP="20A9E7F7" wp14:paraId="0C69028E" wp14:textId="4C9FB28E">
      <w:pPr>
        <w:spacing w:before="0" w:beforeAutospacing="off" w:after="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literature review is based on Detached Youth Work. The National Youth Agency (2020) and Council for Wales of Voluntary Youth Services (2014) define Detached Youth Work as engaging young people in informal settings like streets and parks, focusing on their needs and concerns to support their development. It offers an alternative to centre-based programmes, making it more accessible to those who may not attend traditional services. It focuses on engaging young people in their natural environments, rather than in formal settings, to build trust and address the issues young people may be facing (NYA, 2020; CWVYS, 2014).</w:t>
      </w:r>
    </w:p>
    <w:p xmlns:wp14="http://schemas.microsoft.com/office/word/2010/wordml" w:rsidP="20A9E7F7" wp14:paraId="4512F95E" wp14:textId="6C1A1880">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purpose of this literature review is to explore literature linked to the themes of the dissertation which investigates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 xml:space="preserve">The Value of a Detached Youth Work provision within a Community. </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literature review proposes to examine the potential value that Detached Youth Work has within communities, its effectiveness, challenges and its role in building relationships with marginalized groups. </w:t>
      </w:r>
    </w:p>
    <w:p xmlns:wp14="http://schemas.microsoft.com/office/word/2010/wordml" w:rsidP="20A9E7F7" wp14:paraId="65E01177" wp14:textId="215FDF98">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chapter will review existing research and literature to outline the historical background of Detached Youth Work, discussing its origins and how it has evolved over time. The literature review will follow key themes in Detached Youth Work literature including theoretical frameworks and approaches and methods which will describe the different approaches and the engagement techniques that Detached Youth Workers use. The impact and effectiveness of Detached Youth Work will be explored, including a review of the studies that have measured the impact of Detached Youth Work. The literature review will also highlight the policies and practices’, such as the UK Government's policies and support through funding for Detached Youth Workers. These themes will highlight the strengths and weaknesses of current research, which will allow the researcher to navigate and structure their own research.  The literature review will also explore limitations that impact upon Detached Youth Work practice.</w:t>
      </w:r>
    </w:p>
    <w:p xmlns:wp14="http://schemas.microsoft.com/office/word/2010/wordml" w:rsidP="20A9E7F7" wp14:paraId="1FFBD2F7" wp14:textId="1B4DC256">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2.1 Background</w:t>
      </w:r>
    </w:p>
    <w:p xmlns:wp14="http://schemas.microsoft.com/office/word/2010/wordml" w:rsidP="20A9E7F7" wp14:paraId="223381EA" wp14:textId="568C5796">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According to Batsleer and Davies (2011) the beginnings of Detached Youth Work can be traced to the broader development of Youth Work in the early 20th century. However, in the late 1950s and early 1960s through the development of the Albemarle Report, Detached youth work was recognised in Britian as a powerful and effective way to support and guide young people (Smith and Doyle, 2002: Batsleer and Davies, 2011).  Smith and Doyle (2002) note that in Britain, youth work began to transpire as a response to concerns over the strong characters and social well-being of young people, particularly those from working-class backgrounds, who were seen as vulnerable to social problems like delinquency and poverty (Smith and Doyle, 2002).  Rogers (N/D) states that in the United States of America in 1955 prevention street-based projects were aimed to reduce on-street grooming and exploitation, and targeted in crime reduction (Rogers, N/D).  Similarly, in other countries such as the Netherlands, Segulin et al (2019, p. 9) state that Detached Youth Work came in the 1960s in the wake of the Second World War, to tackle the issues on the streets such as, “preventing crime, drug problems, and supporting them in the transition to the labour market” (Segulin et al, 2019, p. 9). This brings a strong argument that the recognition and pivotal movement in Youth Work that was made after the Second World War was further than in Britain. This emphasises that meeting young people in environments where they felt comfortable would benefit young people and the wider community. </w:t>
      </w:r>
    </w:p>
    <w:p xmlns:wp14="http://schemas.microsoft.com/office/word/2010/wordml" w:rsidP="20A9E7F7" wp14:paraId="796D682C" wp14:textId="738D2D45">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By the 1980s, detached youth work had gained prominence as Governments sought to address issues such as youth unemployment and gang violence. It was increasingly seen as a tool to divert young people from antisocial behaviour in economically deprived areas (Tett, 2011,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cited in</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Ord, 2012). The field also adopted youth empowerment and participation, with a heightened focus on giving young people a voice in their communities with the introduction of the United Nations Convention on the Rights of the Child, known as the UNCRC (UNICEF, 1989).  However, by the 1990s and early 2000s, detached youth work began to shift toward targeted work, with Jeffs and Smith (2002) stating that this meant working with "problem youth," influenced by Governmental priorities around crime prevention and social control (Jeffs &amp; Smith, 2002).</w:t>
      </w:r>
    </w:p>
    <w:p xmlns:wp14="http://schemas.microsoft.com/office/word/2010/wordml" w:rsidP="20A9E7F7" wp14:paraId="317000F3" wp14:textId="07367024">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New challenges were introduced in the early 21st century, such as Covid 19, with the rise of digital engagement and the need for youth workers to adapt to online spaces. The National Youth Agency (2020, p. 2) acknowledged “The need to transform our practice from working inside to virtual or detached youth work” (NYA, 2020, p.2). However, going passed the pandemic, and moving back into the youth centres/spaces, together with the economic crisis and funding cuts, UK Youth (2024) states that despite this strong evidence of youth work’s life-changing impact, the research also shows funding has fallen by hundreds of millions of pounds in 10 years – putting young people at risk. This in turn poses significant threats to the sustainability of detached youth work services (UK Youth, 2024). </w:t>
      </w:r>
    </w:p>
    <w:p xmlns:wp14="http://schemas.microsoft.com/office/word/2010/wordml" w:rsidP="20A9E7F7" wp14:paraId="5022CD7E" wp14:textId="409A14FC">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2.2 Theoretical frameworks</w:t>
      </w:r>
    </w:p>
    <w:p xmlns:wp14="http://schemas.microsoft.com/office/word/2010/wordml" w:rsidP="20A9E7F7" wp14:paraId="035A3D40" wp14:textId="2F09D4BD">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theoretical underpinnings of Detached Youth Work are learned by humanistic and social learning theories. Humanistic approaches, particularly those of Carl Rogers (2020),  highlight the importance of establishing a supportive and non-judgemental relationship with young people. This approach is adopted by Detached Youth Work, supporting young people as individuals with the potential for growth, providing that they receive the appropriate support in a non-coercive environment (Rogers, 2020; McLeod, 2025). Similarly, with Social Learning Theory (Tassoni et al, 2005), young people learn from interacting with their peers and adults, as outlined by Albert Bandura, who notes that behaviour is learned and developed through observing and imitating others. This concept plays a significant role in Detached Youth Work by emphasising the importance of observational learning, behaviour modelling, and the influence of social interactions in shaping young people's actions (Tassoni et al, 2005).</w:t>
      </w:r>
    </w:p>
    <w:p xmlns:wp14="http://schemas.microsoft.com/office/word/2010/wordml" w:rsidP="20A9E7F7" wp14:paraId="0FAEF26E" wp14:textId="6A741224">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Bronfenbrenner’s Ecological Systems Theory (Bronfenbrenner, 1979) supports this view by emphasising that a person’s development is influenced not only by their immediate family but also by the wider community and environment. He argues that various layers of an individual's surroundings play a vital role in shaping their growth. Within the microsystem, the way individuals are treated by those around them can significantly impact their behaviour. According to Bronfenbrenner (1979), humans are inherently social beings, and their development is shaped by the relationships they form—whether deep or superficial, all contribute to social development (Bronfenbrenner, 1979; Guy-Evans, 2024; Antony, 2022).</w:t>
      </w:r>
    </w:p>
    <w:p xmlns:wp14="http://schemas.microsoft.com/office/word/2010/wordml" w:rsidP="20A9E7F7" wp14:paraId="2DD5EE7D" wp14:textId="09013DB9">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Detached Youth Workers use the Frameworks above to form and build strong relationships and trust with young people in the community. They follow policies and guidance from the likes of Youth Work in Wales: Principles and Purposes (YWWRG, 2022), the Youth Work National Occupational Standards (CLDSCS, 2019) as well as the UNCRC (UNICEF, 1989) to adopt that youth empowerment and participation are paramount for young people to be able to drive their own change. Youth workers can support young people by connecting with local businesses, being active in the community, and fostering meaningful conversations. Smith (1994) highlights that relationship building through dialogue is key to effective community work. Techniques like street work, outreach and community profiling help understand young people's situations. Identifying surveillance and high-risk areas enables targeted interventions. Even without direct young people involvement, action programmes can be created to address community issues (Smith, 1994). </w:t>
      </w:r>
    </w:p>
    <w:p xmlns:wp14="http://schemas.microsoft.com/office/word/2010/wordml" w:rsidP="20A9E7F7" wp14:paraId="20C6C652" wp14:textId="353E6593">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2.3 Approaches</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20A9E7F7" wp14:paraId="5BBB25BE" wp14:textId="2A70647E">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focus in all Youth Work is on the process of participation rather than the product of group activities (CLD, 2019: YWWRG, 2022). However, Detached Youth Work works with young people with their own natural friendship groups within their communities. The primary aim is to support individual and group learning, particularly in developing social awareness and skills, rather than simply achieving a material outcome. However, skilled detached workers strive to ensure positive outcomes in both the process and the final product (The Youth Association, N/D).</w:t>
      </w:r>
    </w:p>
    <w:p xmlns:wp14="http://schemas.microsoft.com/office/word/2010/wordml" w:rsidP="20A9E7F7" wp14:paraId="4931ACD3" wp14:textId="0DF1A75C">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Detached youth work is often rooted in meaningful conversation, engaging young people in dialogue to help them explore and reframe the issues they are facing, often using humour. Practitioners model positive relationships to support young people in building healthy connections with family, peers, schools, and the wider community. They also guide young people toward relevant services and support networks. Beyond conversation, detached youth work can include street-based projects such as sports, outdoor games, or art activities. These are </w:t>
      </w:r>
      <w:r w:rsidRPr="20A9E7F7" w:rsidR="3FE94D39">
        <w:rPr>
          <w:rFonts w:ascii="Aptos" w:hAnsi="Aptos" w:eastAsia="Aptos" w:cs="Aptos"/>
          <w:b w:val="0"/>
          <w:bCs w:val="0"/>
          <w:i w:val="0"/>
          <w:iCs w:val="0"/>
          <w:caps w:val="0"/>
          <w:smallCaps w:val="0"/>
          <w:strike w:val="0"/>
          <w:dstrike w:val="0"/>
          <w:noProof w:val="0"/>
          <w:color w:val="001D35"/>
          <w:sz w:val="24"/>
          <w:szCs w:val="24"/>
          <w:u w:val="none"/>
          <w:lang w:val="en-GB"/>
        </w:rPr>
        <w:t>specifically crafted for a particular individual or situation,</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with aims such as strengthening relationships, increasing social capital, improving access to support, and reducing the risk of exploitation or involvement in crime. Importantly, this work also addresses wider community concerns, fostering a greater sense of safety and connection among young people and their communities (Hall et al, 2024: Furlong et al, 1997).</w:t>
      </w:r>
    </w:p>
    <w:p xmlns:wp14="http://schemas.microsoft.com/office/word/2010/wordml" w:rsidP="20A9E7F7" wp14:paraId="6AB5C7EF" wp14:textId="063CED86">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Using these spaces to engage with young people shifts the usual power dynamic, giving young people a greater sense of power in their interactions with professionals. Detached youth workers must build trusting relationships on the young people’s terms. They do this by maintaining a consistent and long-term presence within a community, gradually earning the young people’s trust. This ongoing engagement allows Youth Workers to observe how young people interact within their peer groups and understand the power dynamics that exist in those local settings. Over time, this insight allows them to observe peer dynamics, understand local contexts, and develop empathy for young people's lived experiences (Fritz et al, 2016; Young, 2006).</w:t>
      </w:r>
    </w:p>
    <w:p xmlns:wp14="http://schemas.microsoft.com/office/word/2010/wordml" w:rsidP="20A9E7F7" wp14:paraId="245D4D24" wp14:textId="3A18C157">
      <w:pPr>
        <w:spacing w:before="24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2.4 Impact and effectiveness</w:t>
      </w:r>
    </w:p>
    <w:p xmlns:wp14="http://schemas.microsoft.com/office/word/2010/wordml" w:rsidP="20A9E7F7" wp14:paraId="0246F003" wp14:textId="3B290613">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 are many bodies of research evaluating the effectiveness of Detached Youth Work on young people’s lives.  For example, Thompson (2001) found that Detached Youth Work contributed to positive changes in young people’s behaviour, especially in reducing crime and ASB, with young people who were engaged being more connected within their communities (Thompson, 2001). Although many studies have provided insight to the nature of Detached Youth Work and explored experiences and perspectives of it, there seems yet to be strong quantitative evidence regarding impact, and there is a need for further exploration of whether strong impact evaluation is achievable. There were limitations in accessing literature and existing studies due to these difficulties. According to Hall et al (2024) various studies have examined young people’s experiences of detached youth work and described its practice, however there is still a lack of strong quantitative evidence on its impact. This gap largely stems from the flexible, youth-led nature of Detached Youth Work, which makes it difficult to apply rigorous, causal evaluation methods. The lack of fixed eligibility criteria and a non-programmatic structure complicate efforts to measure engagement levels and establish suitable comparison groups (Hall et al, 2024). </w:t>
      </w:r>
    </w:p>
    <w:p xmlns:wp14="http://schemas.microsoft.com/office/word/2010/wordml" w:rsidP="20A9E7F7" wp14:paraId="6904E182" wp14:textId="20554D91">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Detached Youth Workers should relate and complement other services such as schools, community centres, police and community stakeholders. Rose (2018) notes that by uniting all key partners in a community, it can create a coordinated network of support and opportunities that help young people realise their rights and potential (Rose, 2018). Tiffany (2007) agrees, noting that having a strong network within a community, ensuring that services and stakeholders work together, providing updates in the community is key to success (Tiffany, 2007).</w:t>
      </w:r>
    </w:p>
    <w:p xmlns:wp14="http://schemas.microsoft.com/office/word/2010/wordml" w:rsidP="20A9E7F7" wp14:paraId="5AC483F1" wp14:textId="1FD9A7E7">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2.5 Limitations</w:t>
      </w: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20A9E7F7" wp14:paraId="345EDFFB" wp14:textId="2E30A3E3">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New types of initiatives rely heavily on Detached Youth Workers to achieve their goals, for example, Essex Violence and Vulnerability Unit (2025) introduced a Detached Youth Worker to support at risk young people, on a six month project, however, due to its success, it has gained an extension of further funding (Essex Violence and Vulnerability Unit, 2025). The influx of new funding has led to the creation of innovative projects, many of which have brought in a fresh wave of non-traditional Youth Workers. However, these are often targeted for crime and examine the role of Detached and Outreach Youth Work in promoting community safety (Pitts et al, 2002). Based on secondary research by Bernard Davies, Strayhorn (2024) investigated the effects of UK Conservative Government policies on open access Youth Work since 2010, with a specific focus on developments in England from 2018 onwards. It starts by outlining the distinctive features of open access Youth Work, before examining how austerity measures have led to the erosion of much of its local provision (Strayhorn, 2024).  </w:t>
      </w:r>
    </w:p>
    <w:p xmlns:wp14="http://schemas.microsoft.com/office/word/2010/wordml" w:rsidP="20A9E7F7" wp14:paraId="6F905A12" wp14:textId="756E864C">
      <w:pPr>
        <w:spacing w:before="0" w:beforeAutospacing="off" w:after="24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Furthermore, Thomas et al (2012) stated that Detached Youth Work contributed to positive changes in young people’s behaviours, particularly in terms of reducing involvement in crime and ASB (Thomas et al, 2012). The youth development field has shifted toward community-based outreach, recognising that traditional programmes cannot meet all young people's needs. Therefore, this means having Youth Workers directly engage with vulnerable and disconnected young people, rather than waiting for them to access services at fixed locations. While this study reinforced many of the benefits, it also highlighted the persistent challenges that make such outreach efforts difficult to sustain. These include organisational instability, inconsistent or short-term funding, and high staff turnover. Although these programmes often launch with strong potential and enthusiasm, their long-term viability is frequently compromised by these structural issues (Bocarro and Witt, 2002).  Huddleston (2022) acknowledges that much funding was awarded for Detached Youth Work however, it was targeted towards crime and ASB, not fluid Detached Youth Work (Huddleston, 2022; Sunak Conservative Government, 2024). However, in contrast, Rogers (2011) notes that Detached Youth Work must have some sort of structure, otherwise it is just chatting and less effective (Rogers, 2011). </w:t>
      </w:r>
    </w:p>
    <w:p xmlns:wp14="http://schemas.microsoft.com/office/word/2010/wordml" w:rsidP="20A9E7F7" wp14:paraId="1DE99436" wp14:textId="53DB5EDE">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2.6 Conclusion.</w:t>
      </w:r>
    </w:p>
    <w:p xmlns:wp14="http://schemas.microsoft.com/office/word/2010/wordml" w:rsidP="20A9E7F7" wp14:paraId="7B1262FA" wp14:textId="08B8F1BA">
      <w:pPr>
        <w:spacing w:before="0" w:beforeAutospacing="off" w:after="160" w:afterAutospacing="off"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Detached Youth Work has become an essential method for connecting with young people within their own communities, providing tailored support that reflects their unique needs and situations. Despite ongoing challenges around funding and measuring impact, the focus on building trust and nurturing meaningful relationships remains at the heart of this practice. With sustained investment and thoughtful strategic planning, Detached Youth Work holds the potential to significantly enhance the well-being and growth of young people throughout Wales and to support communities to thrive. To begin to explore the methods of the study the next chapter will be a Methodology Chapter, which will provide an insight into the ways in which the study was carried out and reasons behind them.</w:t>
      </w:r>
    </w:p>
    <w:p xmlns:wp14="http://schemas.microsoft.com/office/word/2010/wordml" w:rsidP="20A9E7F7" wp14:paraId="5CDEC842" wp14:textId="6B6E379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64F2BEC5" wp14:textId="6E55E113">
      <w:pPr>
        <w:rPr>
          <w:rFonts w:ascii="Aptos" w:hAnsi="Aptos" w:eastAsia="Aptos" w:cs="Aptos"/>
          <w:b w:val="0"/>
          <w:bCs w:val="0"/>
          <w:i w:val="0"/>
          <w:iCs w:val="0"/>
          <w:caps w:val="0"/>
          <w:smallCaps w:val="0"/>
          <w:noProof w:val="0"/>
          <w:color w:val="000000" w:themeColor="text1" w:themeTint="FF" w:themeShade="FF"/>
          <w:sz w:val="32"/>
          <w:szCs w:val="32"/>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Methodology.</w:t>
      </w:r>
    </w:p>
    <w:p xmlns:wp14="http://schemas.microsoft.com/office/word/2010/wordml" w:rsidP="20A9E7F7" wp14:paraId="6C620126" wp14:textId="3902A5D8">
      <w:pPr>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20A9E7F7" wp14:paraId="688ED58B" wp14:textId="5E76DD4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outlines the research design, method and methodology of the research used to conduct this study to investigate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Value of a Detached Youth Work provision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It will delve into the research design of using the method of a survey using mixed methods methodology of both qualitative and quantitative questions, to provide an extensive examination of the research question. This mixed-methods design allows for triangulation, and the opportunity where qualitative insights complement and enrich quantitative data, leading to a more complex understanding of the research topic (Bruan and Clarke, 2022; Cohen, et al, 2010; Cottrell, 2019). It will consider how the survey will be provided to participants on a voluntary basis, and the participants will be selected using purposive sampling to collect data from young people, local services, and stakeholders within the community that have had contact or engagement with a Detached Youth Worker, allowing the opportunity for them to express their opinions and add value to the research (Bruan and Clarke, 2022; CLD, 2019; W.G, 2018). The researcher will investigate data analysis showing the techniques that will be used to analyse the data provided from the survey. Additionally, this chapter will discuss the ethical considerations related to the research</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for example the participants will have to provide informed consent to participate, and participants who are under 18 will have to gain consent form their parent or guardian in addition to their own consent to take part in the research. This will flow into exploring the limitations to the study, for example, the sample sizes used and the methodological constraints (Bruan and Clarke, 2022; BERA, 2018; EWC, 2022).</w:t>
      </w:r>
    </w:p>
    <w:p xmlns:wp14="http://schemas.microsoft.com/office/word/2010/wordml" w:rsidP="20A9E7F7" wp14:paraId="1B4C0ADA" wp14:textId="4AA5086F">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3.1 Research Design and Analysis.</w:t>
      </w:r>
    </w:p>
    <w:p xmlns:wp14="http://schemas.microsoft.com/office/word/2010/wordml" w:rsidP="20A9E7F7" wp14:paraId="127BD442" wp14:textId="4DA4D0D4">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utilises a mixed methods methodology, using a mixed research data collection method of a survey via Microsoft Forms, following a convergent parallel design, using a combination of qualitative and quantitative questions. Convergent Parallel Design involves collecting and analysing both qualitative and quantitative data and then bringing them together. This aims to provide a broader understanding by bringing together different data types to expand the insights (Alele and Malau-Aduli, 2023; </w:t>
      </w:r>
      <w:r w:rsidRPr="20A9E7F7" w:rsidR="3FE94D39">
        <w:rPr>
          <w:rFonts w:ascii="Aptos" w:hAnsi="Aptos" w:eastAsia="Aptos" w:cs="Aptos"/>
          <w:b w:val="0"/>
          <w:bCs w:val="0"/>
          <w:i w:val="0"/>
          <w:iCs w:val="0"/>
          <w:caps w:val="0"/>
          <w:smallCaps w:val="0"/>
          <w:noProof w:val="0"/>
          <w:color w:val="1F1F1F"/>
          <w:sz w:val="24"/>
          <w:szCs w:val="24"/>
          <w:lang w:val="en-GB"/>
        </w:rPr>
        <w:t xml:space="preserve">Chicoine, Cote, Pepin, et al, 2021).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researcher in this instance requires obvious answers to the questions through quantitative questions, used as closed questions, with answers that can be used as tick boxes to provide numerical data that can be analysed in a more general way (Braun and Clarke; Kara, 2022; Cohen et al, 2010). However, the researcher desires the participants to have the opportunity to elaborate on their answers through qualitative questions, as open questions allowing the participant to further expand on their answers, which offers an in-depth insight into the participants own experiences and perceptions. The answers from both the qualitative and quantitative questions will be analysed separately and then brought together.  This will be done using Thematic Analysis, to find common themes throughout the answers provided. The researcher has offered this as a way for developing a richer data set and the ability for the participants to answer various aspects of the research question and for the researcher to find out why the answers have been given, adding more value to the answers and understandings to them (Braun and Clarke, 2022; Kara, 2022; Cohen, et al, 2010). The researcher will use the information from quantitative data and use thematical analysis as a tool to be used bring together these answers from the qualitative data and draw upon a conclusion using convergent parallel analysis. The model below shows how a mixed research survey can be used to collect both qualitative and quantitative data to be analysed separately and brought back together for the results to have a conclusion drawn upon. </w:t>
      </w:r>
    </w:p>
    <w:p xmlns:wp14="http://schemas.microsoft.com/office/word/2010/wordml" w:rsidP="20A9E7F7" wp14:paraId="58AC8056" wp14:textId="0248834B">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08173F05" wp14:textId="20FB442F">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Figure 1: A model of mixed methods convergent parallel design.</w:t>
      </w:r>
    </w:p>
    <w:p xmlns:wp14="http://schemas.microsoft.com/office/word/2010/wordml" w:rsidP="20A9E7F7" wp14:paraId="5DF9BBA0" wp14:textId="4B68940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29B18128" wp14:textId="5C02CF34">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65F5EF74" wp14:anchorId="64A7E9CE">
            <wp:extent cx="5276852" cy="2905125"/>
            <wp:effectExtent l="0" t="0" r="0" b="0"/>
            <wp:docPr id="1181091588" name="" descr="Picture, Picture" title=""/>
            <wp:cNvGraphicFramePr>
              <a:graphicFrameLocks noChangeAspect="1"/>
            </wp:cNvGraphicFramePr>
            <a:graphic>
              <a:graphicData uri="http://schemas.openxmlformats.org/drawingml/2006/picture">
                <pic:pic>
                  <pic:nvPicPr>
                    <pic:cNvPr id="0" name=""/>
                    <pic:cNvPicPr/>
                  </pic:nvPicPr>
                  <pic:blipFill>
                    <a:blip r:embed="R3062a982e9d34af3">
                      <a:extLst>
                        <a:ext xmlns:a="http://schemas.openxmlformats.org/drawingml/2006/main" uri="{28A0092B-C50C-407E-A947-70E740481C1C}">
                          <a14:useLocalDpi val="0"/>
                        </a:ext>
                      </a:extLst>
                    </a:blip>
                    <a:stretch>
                      <a:fillRect/>
                    </a:stretch>
                  </pic:blipFill>
                  <pic:spPr>
                    <a:xfrm>
                      <a:off x="0" y="0"/>
                      <a:ext cx="5276852" cy="2905125"/>
                    </a:xfrm>
                    <a:prstGeom prst="rect">
                      <a:avLst/>
                    </a:prstGeom>
                  </pic:spPr>
                </pic:pic>
              </a:graphicData>
            </a:graphic>
          </wp:inline>
        </w:drawing>
      </w:r>
    </w:p>
    <w:p xmlns:wp14="http://schemas.microsoft.com/office/word/2010/wordml" w:rsidP="20A9E7F7" wp14:paraId="354F9898" wp14:textId="0358298A">
      <w:pPr>
        <w:spacing w:line="480" w:lineRule="auto"/>
        <w:jc w:val="both"/>
        <w:rPr>
          <w:rFonts w:ascii="Aptos" w:hAnsi="Aptos" w:eastAsia="Aptos" w:cs="Aptos"/>
          <w:b w:val="0"/>
          <w:bCs w:val="0"/>
          <w:i w:val="0"/>
          <w:iCs w:val="0"/>
          <w:caps w:val="0"/>
          <w:smallCaps w:val="0"/>
          <w:noProof w:val="0"/>
          <w:color w:val="1F1F1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w:t>
      </w:r>
      <w:r w:rsidRPr="20A9E7F7" w:rsidR="3FE94D39">
        <w:rPr>
          <w:rFonts w:ascii="Aptos" w:hAnsi="Aptos" w:eastAsia="Aptos" w:cs="Aptos"/>
          <w:b w:val="0"/>
          <w:bCs w:val="0"/>
          <w:i w:val="0"/>
          <w:iCs w:val="0"/>
          <w:caps w:val="0"/>
          <w:smallCaps w:val="0"/>
          <w:noProof w:val="0"/>
          <w:color w:val="1F1F1F"/>
          <w:sz w:val="24"/>
          <w:szCs w:val="24"/>
          <w:lang w:val="en-GB"/>
        </w:rPr>
        <w:t>Chicoine, Cote, Pepin, et al, 2021).</w:t>
      </w:r>
    </w:p>
    <w:p xmlns:wp14="http://schemas.microsoft.com/office/word/2010/wordml" w:rsidP="20A9E7F7" wp14:paraId="10BE7D72" wp14:textId="1C1EEFE2">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3.2 Research Questions.</w:t>
      </w:r>
    </w:p>
    <w:p xmlns:wp14="http://schemas.microsoft.com/office/word/2010/wordml" w:rsidP="20A9E7F7" wp14:paraId="75FDE06D" wp14:textId="4C04CCB1">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research questions that are guiding this study begin with quantitative questions asking how long and how often the participants have had contact with the Detached Youth Worker. This will set the scene on the time span and the possible number of interactions that have been made. The qualitative questions will then follow into the effectiveness of these interactions on the participants’ personal and professional lives. They will explore whether or not the participants think that the Detached Youth Worker has added value to their lives/work and if so how. Additionally, adding further scope with qualitative questions such as,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since being involved with the Youth Worker, what is the biggest change you have seen in your life? And has your work or your business/service benefited from having a Detached Youth Worker in the community, if so, in what way has it benefited? This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offers the opportunity in an open question for the participants to draw upon their experiences of their contact with the Detached Youth Worker and if it has had a positive impact to them or not (CLD, 2019; YWWRG, 2022). </w:t>
      </w:r>
    </w:p>
    <w:p xmlns:wp14="http://schemas.microsoft.com/office/word/2010/wordml" w:rsidP="20A9E7F7" wp14:paraId="5FD5955A" wp14:textId="110FF5E5">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3.3 Participants and Data Collection.</w:t>
      </w:r>
    </w:p>
    <w:p xmlns:wp14="http://schemas.microsoft.com/office/word/2010/wordml" w:rsidP="20A9E7F7" wp14:paraId="55695085" wp14:textId="2441BE61">
      <w:pPr>
        <w:spacing w:line="480" w:lineRule="auto"/>
        <w:jc w:val="both"/>
        <w:rPr>
          <w:rFonts w:ascii="Aptos" w:hAnsi="Aptos" w:eastAsia="Aptos" w:cs="Aptos"/>
          <w:b w:val="0"/>
          <w:bCs w:val="0"/>
          <w:i w:val="0"/>
          <w:iCs w:val="0"/>
          <w:caps w:val="0"/>
          <w:smallCaps w:val="0"/>
          <w:noProof w:val="0"/>
          <w:color w:val="222222"/>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participants will be a mix of young people, community stakeholders, and local services, such as Police and Fire Service personnel, with the expectation of a sample size of 10 young people and two from each service/stakeholder group. The participants will be selected using purposive sampling (Nikolopolou, 2022; </w:t>
      </w:r>
      <w:r w:rsidRPr="20A9E7F7" w:rsidR="3FE94D39">
        <w:rPr>
          <w:rFonts w:ascii="Aptos" w:hAnsi="Aptos" w:eastAsia="Aptos" w:cs="Aptos"/>
          <w:b w:val="0"/>
          <w:bCs w:val="0"/>
          <w:i w:val="0"/>
          <w:iCs w:val="0"/>
          <w:caps w:val="0"/>
          <w:smallCaps w:val="0"/>
          <w:noProof w:val="0"/>
          <w:color w:val="222222"/>
          <w:sz w:val="24"/>
          <w:szCs w:val="24"/>
          <w:lang w:val="en-GB"/>
        </w:rPr>
        <w:t xml:space="preserve">Palinkas, Horwitz, and Green, </w:t>
      </w:r>
      <w:r w:rsidRPr="20A9E7F7" w:rsidR="3FE94D39">
        <w:rPr>
          <w:rFonts w:ascii="Aptos" w:hAnsi="Aptos" w:eastAsia="Aptos" w:cs="Aptos"/>
          <w:b w:val="0"/>
          <w:bCs w:val="0"/>
          <w:i w:val="1"/>
          <w:iCs w:val="1"/>
          <w:caps w:val="0"/>
          <w:smallCaps w:val="0"/>
          <w:noProof w:val="0"/>
          <w:color w:val="222222"/>
          <w:sz w:val="24"/>
          <w:szCs w:val="24"/>
          <w:lang w:val="en-GB"/>
        </w:rPr>
        <w:t xml:space="preserve">et al, </w:t>
      </w:r>
      <w:r w:rsidRPr="20A9E7F7" w:rsidR="3FE94D39">
        <w:rPr>
          <w:rFonts w:ascii="Aptos" w:hAnsi="Aptos" w:eastAsia="Aptos" w:cs="Aptos"/>
          <w:b w:val="0"/>
          <w:bCs w:val="0"/>
          <w:i w:val="0"/>
          <w:iCs w:val="0"/>
          <w:caps w:val="0"/>
          <w:smallCaps w:val="0"/>
          <w:noProof w:val="0"/>
          <w:color w:val="222222"/>
          <w:sz w:val="24"/>
          <w:szCs w:val="24"/>
          <w:lang w:val="en-GB"/>
        </w:rPr>
        <w:t>2015; Dawson, 2019).</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This is where the participants are purposefully selected to take part in the research, in this instance by having had contact or engagement with the Detached Youth Worker. T</w:t>
      </w:r>
      <w:r w:rsidRPr="20A9E7F7" w:rsidR="3FE94D39">
        <w:rPr>
          <w:rFonts w:ascii="Aptos" w:hAnsi="Aptos" w:eastAsia="Aptos" w:cs="Aptos"/>
          <w:b w:val="0"/>
          <w:bCs w:val="0"/>
          <w:i w:val="0"/>
          <w:iCs w:val="0"/>
          <w:caps w:val="0"/>
          <w:smallCaps w:val="0"/>
          <w:noProof w:val="0"/>
          <w:color w:val="222222"/>
          <w:sz w:val="24"/>
          <w:szCs w:val="24"/>
          <w:lang w:val="en-GB"/>
        </w:rPr>
        <w:t xml:space="preserve">here would be no purpose to the research if a participant had not had contact with the Detached Youth Worker as the aim of the research is to find out if there has been any value to having contact with a Detached Youth Worker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(Nikolopolou, 2022; </w:t>
      </w:r>
      <w:r w:rsidRPr="20A9E7F7" w:rsidR="3FE94D39">
        <w:rPr>
          <w:rFonts w:ascii="Aptos" w:hAnsi="Aptos" w:eastAsia="Aptos" w:cs="Aptos"/>
          <w:b w:val="0"/>
          <w:bCs w:val="0"/>
          <w:i w:val="0"/>
          <w:iCs w:val="0"/>
          <w:caps w:val="0"/>
          <w:smallCaps w:val="0"/>
          <w:noProof w:val="0"/>
          <w:color w:val="222222"/>
          <w:sz w:val="24"/>
          <w:szCs w:val="24"/>
          <w:lang w:val="en-GB"/>
        </w:rPr>
        <w:t xml:space="preserve">Palinkas, Horwitz, and Green, </w:t>
      </w:r>
      <w:r w:rsidRPr="20A9E7F7" w:rsidR="3FE94D39">
        <w:rPr>
          <w:rFonts w:ascii="Aptos" w:hAnsi="Aptos" w:eastAsia="Aptos" w:cs="Aptos"/>
          <w:b w:val="0"/>
          <w:bCs w:val="0"/>
          <w:i w:val="1"/>
          <w:iCs w:val="1"/>
          <w:caps w:val="0"/>
          <w:smallCaps w:val="0"/>
          <w:noProof w:val="0"/>
          <w:color w:val="222222"/>
          <w:sz w:val="24"/>
          <w:szCs w:val="24"/>
          <w:lang w:val="en-GB"/>
        </w:rPr>
        <w:t xml:space="preserve">et al, </w:t>
      </w:r>
      <w:r w:rsidRPr="20A9E7F7" w:rsidR="3FE94D39">
        <w:rPr>
          <w:rFonts w:ascii="Aptos" w:hAnsi="Aptos" w:eastAsia="Aptos" w:cs="Aptos"/>
          <w:b w:val="0"/>
          <w:bCs w:val="0"/>
          <w:i w:val="0"/>
          <w:iCs w:val="0"/>
          <w:caps w:val="0"/>
          <w:smallCaps w:val="0"/>
          <w:noProof w:val="0"/>
          <w:color w:val="222222"/>
          <w:sz w:val="24"/>
          <w:szCs w:val="24"/>
          <w:lang w:val="en-GB"/>
        </w:rPr>
        <w:t xml:space="preserve">2015; Dawson, 2019). Young people will be the main focus of the research as Youth Workers work towards giving young people a voice and an opportunity to share their own experiences (WG, 2018, YWWRG, 2022; CLD, 2019; Sapin, 2013). The survey will be sent to community stakeholders and local services Via a MS Forms QR Code through an email. This way the survey will be available to access when their schedule suits. The young people will be offered the survey via a MS Forms QR Code that they can scan on their phones, or they will be given the opportunity to use a Youth Service device. Once the survey has been completed the data will automatically be on the online forms, therefore, there will be no retrieval of the data needed. This will be done for ease and speed of data collection to benefit both the participants and the researcher (Brauna and Clarke, 2022; Cohen et al, 2010). </w:t>
      </w:r>
    </w:p>
    <w:p xmlns:wp14="http://schemas.microsoft.com/office/word/2010/wordml" w:rsidP="20A9E7F7" wp14:paraId="35E19D77" wp14:textId="4F7D3F96">
      <w:pPr>
        <w:spacing w:line="480" w:lineRule="auto"/>
        <w:jc w:val="both"/>
        <w:rPr>
          <w:rFonts w:ascii="Aptos" w:hAnsi="Aptos" w:eastAsia="Aptos" w:cs="Aptos"/>
          <w:b w:val="0"/>
          <w:bCs w:val="0"/>
          <w:i w:val="0"/>
          <w:iCs w:val="0"/>
          <w:caps w:val="0"/>
          <w:smallCaps w:val="0"/>
          <w:noProof w:val="0"/>
          <w:color w:val="222222"/>
          <w:sz w:val="24"/>
          <w:szCs w:val="24"/>
          <w:lang w:val="en-GB"/>
        </w:rPr>
      </w:pPr>
      <w:r w:rsidRPr="20A9E7F7" w:rsidR="3FE94D39">
        <w:rPr>
          <w:rFonts w:ascii="Aptos" w:hAnsi="Aptos" w:eastAsia="Aptos" w:cs="Aptos"/>
          <w:b w:val="1"/>
          <w:bCs w:val="1"/>
          <w:i w:val="0"/>
          <w:iCs w:val="0"/>
          <w:caps w:val="0"/>
          <w:smallCaps w:val="0"/>
          <w:noProof w:val="0"/>
          <w:color w:val="222222"/>
          <w:sz w:val="24"/>
          <w:szCs w:val="24"/>
          <w:lang w:val="en-GB"/>
        </w:rPr>
        <w:t xml:space="preserve">3.4 Ethical Considerations.  </w:t>
      </w:r>
    </w:p>
    <w:p xmlns:wp14="http://schemas.microsoft.com/office/word/2010/wordml" w:rsidP="20A9E7F7" wp14:paraId="6B606830" wp14:textId="3CC11447">
      <w:pPr>
        <w:shd w:val="clear" w:color="auto" w:fill="FFFFFF" w:themeFill="background1"/>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222222"/>
          <w:sz w:val="24"/>
          <w:szCs w:val="24"/>
          <w:lang w:val="en-GB"/>
        </w:rPr>
        <w:t xml:space="preserve">These ethical considerations can be seen in detail in the Ethics Form in Appendices 8.1. These ethical considerations are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in accordance with UWTSD Research Ethics and Integrity Code of Practice (UWTSD, 2022) and the BERA Ethical Guidelines for Educational Research (BERA, 2024).  In addition, ethical considerations include adhering with GDPR and Data Protection Act 2018 requirements, along with the requirements of the UWTSD Research Data Management Policy (Data Protection Act, 2018; University of Wales Trinity Saint David, 2022).</w:t>
      </w:r>
    </w:p>
    <w:p xmlns:wp14="http://schemas.microsoft.com/office/word/2010/wordml" w:rsidP="20A9E7F7" wp14:paraId="623E1B9D" wp14:textId="0B102429">
      <w:pPr>
        <w:shd w:val="clear" w:color="auto" w:fill="FFFFFF" w:themeFill="background1"/>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222222"/>
          <w:sz w:val="24"/>
          <w:szCs w:val="24"/>
          <w:lang w:val="en-GB"/>
        </w:rPr>
        <w:t xml:space="preserve">A critical ethical consideration is the need to ensure participants’ informed consent.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participants will be verbally informed of details of the research procedures and their roles within the research process. In addition, they will be provided with a detailed information sheet that will be attached to the consent form and at the start of the surveys, along with contact details should they need further information. The researcher will not assume that the participants understand the research, and any potential risks. Therefore, the researcher will ensure all participants understand their roles within the research, any potential risks to themselves and how these will be mitigated, why, where, and how the research will take place. The researcher will ensure that the participants understand that they have a right to withdraw consent and their participation at any time in the research, and the information that they have contributed to the data, even though they have given written consent. The researcher will go through the information sheet with every participant before the beginning of the research to ensure all participants have a clear understanding and have no more questions (ibid). </w:t>
      </w:r>
    </w:p>
    <w:p xmlns:wp14="http://schemas.microsoft.com/office/word/2010/wordml" w:rsidP="20A9E7F7" wp14:paraId="37A1B00D" wp14:textId="0DCF061B">
      <w:pPr>
        <w:shd w:val="clear" w:color="auto" w:fill="FFFFFF" w:themeFill="background1"/>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participants’ consent will be needed verbally and in writing before the research takes place. Consent forms will be kept on a secure device, password protected and will not be needed, or linked to individual contributions, therefore the participants will not be recognised by their contribution to the research (Data Protection Act, 2018; UWTSD</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2022</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0A9E7F7" wp14:paraId="3F1061A5" wp14:textId="21E728AD">
      <w:pPr>
        <w:shd w:val="clear" w:color="auto" w:fill="FFFFFF" w:themeFill="background1"/>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222222"/>
          <w:sz w:val="24"/>
          <w:szCs w:val="24"/>
          <w:lang w:val="en-GB"/>
        </w:rPr>
        <w:t>Debriefing is an important consideration, and</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all participants will be told in writing and will also be provided with an information session included in each survey before the research begins. This will be done to provide answers to any questions the participants may have and to ensure all participants have full understanding. The consent forms will have an option to provide contact details to receive a copy of the research findings.  This will be done via email link or post. There will also be an opportunity for a catch-up session, where the results of the findings can be explained and explored (BERA, 2018; UWTSD</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2022</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20A9E7F7" wp14:paraId="1435B8CC" wp14:textId="0C986657">
      <w:pPr>
        <w:shd w:val="clear" w:color="auto" w:fill="FFFFFF" w:themeFill="background1"/>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222222"/>
          <w:sz w:val="24"/>
          <w:szCs w:val="24"/>
          <w:lang w:val="en-GB"/>
        </w:rPr>
        <w:t xml:space="preserve">Another important ethical consideration is confidentiality and anonymity.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Names will only be asked for on the consent forms of under 18-year-old participants, and their names are not necessary for the research data. Due to the lack of young people participants under the age of 18 returning signed consent forms, although the young people themselves have consented to take part, the senior manager of the local youth club has provided a letter of consent for the young people involved in the youth club setting to take part in the research (please see appendices 3 for a copy of the letter).  These young people have had contact with the Detached Youth Worker both within the youth club and out in the community in her role as Detached Youth Worker. This will not have individual names identified on it therefore, the data cannot identify the participant. This will be explored further in the limitations section of this chapter. The researcher will be the only person to have access to the raw data. This will be stored on a password protected device (Data Protection Act, 2018; UWTSD</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2022</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20A9E7F7" wp14:paraId="11984330" wp14:textId="251DE110">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222222"/>
          <w:sz w:val="24"/>
          <w:szCs w:val="24"/>
          <w:lang w:val="en-GB"/>
        </w:rPr>
        <w:t>Another key ethical consideration to consider is conflict of intere</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st, particularly when considering that the Dissertation question is based on the researcher’s paid role. The Survey will be written in a non-biased way, and the questions will be followed without deviation. The participants can choose to complete the survey at a time convenient with them within a set time limit. Therefore, the researcher is to have the least amount of involvement possible when participants are completing the Survey. The Participants will be chosen on a first come first serve basis from a selected group who have been supported by the Detached Youth Work project (BERA, 2018; UWTSD</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2022</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20A9E7F7" wp14:paraId="2CFDBA5B" wp14:textId="36C04B26">
      <w:pPr>
        <w:spacing w:line="480" w:lineRule="auto"/>
        <w:jc w:val="both"/>
        <w:rPr>
          <w:rFonts w:ascii="Aptos" w:hAnsi="Aptos" w:eastAsia="Aptos" w:cs="Aptos"/>
          <w:b w:val="0"/>
          <w:bCs w:val="0"/>
          <w:i w:val="0"/>
          <w:iCs w:val="0"/>
          <w:caps w:val="0"/>
          <w:smallCaps w:val="0"/>
          <w:noProof w:val="0"/>
          <w:color w:val="222222"/>
          <w:sz w:val="24"/>
          <w:szCs w:val="24"/>
          <w:lang w:val="en-GB"/>
        </w:rPr>
      </w:pPr>
      <w:r w:rsidRPr="20A9E7F7" w:rsidR="3FE94D39">
        <w:rPr>
          <w:rFonts w:ascii="Aptos" w:hAnsi="Aptos" w:eastAsia="Aptos" w:cs="Aptos"/>
          <w:b w:val="1"/>
          <w:bCs w:val="1"/>
          <w:i w:val="0"/>
          <w:iCs w:val="0"/>
          <w:caps w:val="0"/>
          <w:smallCaps w:val="0"/>
          <w:noProof w:val="0"/>
          <w:color w:val="222222"/>
          <w:sz w:val="24"/>
          <w:szCs w:val="24"/>
          <w:lang w:val="en-GB"/>
        </w:rPr>
        <w:t>3.5 Limitations of the Study.</w:t>
      </w:r>
    </w:p>
    <w:p xmlns:wp14="http://schemas.microsoft.com/office/word/2010/wordml" w:rsidP="20A9E7F7" wp14:paraId="7573541E" wp14:textId="6B1887C6">
      <w:pPr>
        <w:spacing w:line="480" w:lineRule="auto"/>
        <w:jc w:val="both"/>
        <w:rPr>
          <w:rFonts w:ascii="Aptos" w:hAnsi="Aptos" w:eastAsia="Aptos" w:cs="Aptos"/>
          <w:b w:val="0"/>
          <w:bCs w:val="0"/>
          <w:i w:val="0"/>
          <w:iCs w:val="0"/>
          <w:caps w:val="0"/>
          <w:smallCaps w:val="0"/>
          <w:noProof w:val="0"/>
          <w:color w:val="222222"/>
          <w:sz w:val="24"/>
          <w:szCs w:val="24"/>
          <w:lang w:val="en-GB"/>
        </w:rPr>
      </w:pPr>
      <w:r w:rsidRPr="20A9E7F7" w:rsidR="3FE94D39">
        <w:rPr>
          <w:rFonts w:ascii="Aptos" w:hAnsi="Aptos" w:eastAsia="Aptos" w:cs="Aptos"/>
          <w:b w:val="0"/>
          <w:bCs w:val="0"/>
          <w:i w:val="0"/>
          <w:iCs w:val="0"/>
          <w:caps w:val="0"/>
          <w:smallCaps w:val="0"/>
          <w:noProof w:val="0"/>
          <w:color w:val="222222"/>
          <w:sz w:val="24"/>
          <w:szCs w:val="24"/>
          <w:lang w:val="en-GB"/>
        </w:rPr>
        <w:t>There has been barrier through time limitations to the study having a brief time frame and due to there being an incident in the community.  Many of the young people that have had contact with the Detached Youth Worker have not been seen out and about to be able to offer the opportunity of taking part in the study (Dawson, 2019; Creswell, 2013). Additionally, the young people not appreciating the importance and urgency to having a signed consent from a parent/guardian. Although young people have been very forward in choosing to take part in the study, there has been an issue in receiving signed consent forms from their parent/guardian.  The young people have not understood why they cannot participate with their own consent alone, and this has been explained to them. Due to the lack of parent/guardian consent forms returned, the Senior Manager of the Youth Club has provided a letter of consent for the researcher to be able to conduct the survey with members that attend the local youth club and have had contact with the Detached Youth Worker.  This approach offers up more participants, however, limiting these participants to a specific group (Dawson, 2019; Creswell, 2013).  This heightens the risk of sampling bias, with the lack of broader population of participants due to purposeful sampling and the lack of understanding to the urgency of returning the parental consent forms for the under 18-year-old participants (Dawson, 2019; Creswell, 2013).</w:t>
      </w:r>
    </w:p>
    <w:p xmlns:wp14="http://schemas.microsoft.com/office/word/2010/wordml" w:rsidP="20A9E7F7" wp14:paraId="0F0C8A6B" wp14:textId="7935A51B">
      <w:pPr>
        <w:spacing w:line="480" w:lineRule="auto"/>
        <w:jc w:val="both"/>
        <w:rPr>
          <w:rFonts w:ascii="Aptos" w:hAnsi="Aptos" w:eastAsia="Aptos" w:cs="Aptos"/>
          <w:b w:val="0"/>
          <w:bCs w:val="0"/>
          <w:i w:val="0"/>
          <w:iCs w:val="0"/>
          <w:caps w:val="0"/>
          <w:smallCaps w:val="0"/>
          <w:noProof w:val="0"/>
          <w:color w:val="222222"/>
          <w:sz w:val="24"/>
          <w:szCs w:val="24"/>
          <w:lang w:val="en-GB"/>
        </w:rPr>
      </w:pPr>
      <w:r w:rsidRPr="20A9E7F7" w:rsidR="3FE94D39">
        <w:rPr>
          <w:rFonts w:ascii="Aptos" w:hAnsi="Aptos" w:eastAsia="Aptos" w:cs="Aptos"/>
          <w:b w:val="1"/>
          <w:bCs w:val="1"/>
          <w:i w:val="0"/>
          <w:iCs w:val="0"/>
          <w:caps w:val="0"/>
          <w:smallCaps w:val="0"/>
          <w:noProof w:val="0"/>
          <w:color w:val="222222"/>
          <w:sz w:val="24"/>
          <w:szCs w:val="24"/>
          <w:lang w:val="en-GB"/>
        </w:rPr>
        <w:t>3.6 Conclusion.</w:t>
      </w:r>
    </w:p>
    <w:p xmlns:wp14="http://schemas.microsoft.com/office/word/2010/wordml" w:rsidP="20A9E7F7" wp14:paraId="7EB95961" wp14:textId="5842D765">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has described the methodology used in this study, outlining the research design, in using a mixed-methods survey approach ensuring an extensive understanding of the research problem by merging the strengths of both the qualitative and quantitative research. Data collection methods and data analysis techniques that will be used will separate the results using a mixed methods convergent parallel design (Alele and Malau-Aduli, 2023; </w:t>
      </w:r>
      <w:r w:rsidRPr="20A9E7F7" w:rsidR="3FE94D39">
        <w:rPr>
          <w:rFonts w:ascii="Aptos" w:hAnsi="Aptos" w:eastAsia="Aptos" w:cs="Aptos"/>
          <w:b w:val="0"/>
          <w:bCs w:val="0"/>
          <w:i w:val="0"/>
          <w:iCs w:val="0"/>
          <w:caps w:val="0"/>
          <w:smallCaps w:val="0"/>
          <w:noProof w:val="0"/>
          <w:color w:val="1F1F1F"/>
          <w:sz w:val="24"/>
          <w:szCs w:val="24"/>
          <w:lang w:val="en-GB"/>
        </w:rPr>
        <w:t xml:space="preserve">Chicoine, Cote, Pepin, et al, 2021).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Then bringing these results back together using thematic analysis to find themes within the data. The participants and sampling strategy used is purposive sampling to ensure the participants have had contact with the Detached Youth Worker. The researcher’s ethical considerations have been discussed, such as debriefing the participants, ensuring informed consent is given, full confidentiality is kept throughout and after the research is conducted, and conflict of interest is mitigated against, with the researcher's minimal involvement in the data collection. This chapter ends in discussing limitations of the study, where the researcher had to mitigate the barrier of young people not having the consent forms filled in to be able to take part in the study, by utilising a local youth setting to gain organisational consent to use participants that attend the youth club. This allowed further limiting to the samples of young people used. To begin to explore the data, the next chapter will be a Presentation of Data chapter, which will provide an insight into the results from the research.</w:t>
      </w:r>
    </w:p>
    <w:p xmlns:wp14="http://schemas.microsoft.com/office/word/2010/wordml" w:rsidP="20A9E7F7" wp14:paraId="06DAC70D" wp14:textId="518B72FA">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7061B360" wp14:textId="499EF003">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32"/>
          <w:szCs w:val="32"/>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32"/>
          <w:szCs w:val="32"/>
          <w:u w:val="single"/>
          <w:lang w:val="en-US"/>
        </w:rPr>
        <w:t>Presentation Of Data.</w:t>
      </w:r>
    </w:p>
    <w:p xmlns:wp14="http://schemas.microsoft.com/office/word/2010/wordml" w:rsidP="20A9E7F7" wp14:paraId="4B2190F7" wp14:textId="601518E6">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will begin to explore the data collected, which will provide an insight into the results from the research. This data will start to show us if the research has been successful in investigating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Value of a Detached Youth Work Provision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This chapter will follow a Convergent Parallel Design (Alele and Malau-Aduli, 2023; Chicoine, Cote, Pepin, et al, 2021). Initially the quantitative data will be looked at starting with the young person's survey, followed by the professional and businesses survey, before moving on to share details from the qualitative data. Using Thematic Analysis, both sets of data will then be brought together to the find commonalities and themes (Braun and Clarke, 2022; Kara, 2022; Cohen, et al, 2010). Due to the constraints of the word count in this chapter the researcher has chosen to present the data against the three main themes found. The main theme found was Community Engagement, followed by Building Relationships, and finally, Facilitating Change and Support when Issues Arise, such as ASB.  Before the chapter presents the data against each theme, some demographic information will be shared.</w:t>
      </w:r>
    </w:p>
    <w:p xmlns:wp14="http://schemas.microsoft.com/office/word/2010/wordml" w:rsidP="20A9E7F7" wp14:paraId="6CF9BFF6" wp14:textId="2822A96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 xml:space="preserve">Figure 1: </w:t>
      </w:r>
    </w:p>
    <w:p xmlns:wp14="http://schemas.microsoft.com/office/word/2010/wordml" w:rsidP="20A9E7F7" wp14:paraId="7552A253" wp14:textId="1E847F9C">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0091C02F" wp14:anchorId="4AEE0796">
            <wp:extent cx="5715000" cy="1428750"/>
            <wp:effectExtent l="0" t="0" r="0" b="0"/>
            <wp:docPr id="1727758393" name="" descr="Picture, Picture" title=""/>
            <wp:cNvGraphicFramePr>
              <a:graphicFrameLocks noChangeAspect="1"/>
            </wp:cNvGraphicFramePr>
            <a:graphic>
              <a:graphicData uri="http://schemas.openxmlformats.org/drawingml/2006/picture">
                <pic:pic>
                  <pic:nvPicPr>
                    <pic:cNvPr id="0" name=""/>
                    <pic:cNvPicPr/>
                  </pic:nvPicPr>
                  <pic:blipFill>
                    <a:blip r:embed="Rdbfac41137b34a68">
                      <a:extLst>
                        <a:ext xmlns:a="http://schemas.openxmlformats.org/drawingml/2006/main" uri="{28A0092B-C50C-407E-A947-70E740481C1C}">
                          <a14:useLocalDpi val="0"/>
                        </a:ext>
                      </a:extLst>
                    </a:blip>
                    <a:stretch>
                      <a:fillRect/>
                    </a:stretch>
                  </pic:blipFill>
                  <pic:spPr>
                    <a:xfrm>
                      <a:off x="0" y="0"/>
                      <a:ext cx="5715000" cy="1428750"/>
                    </a:xfrm>
                    <a:prstGeom prst="rect">
                      <a:avLst/>
                    </a:prstGeom>
                  </pic:spPr>
                </pic:pic>
              </a:graphicData>
            </a:graphic>
          </wp:inline>
        </w:drawing>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Pie Chart refers to the ages of the young people participants. Four young people were in the age bracket of 11-13 and three were 14-16, and all young people were therefore aged between 11-16 years old. </w:t>
      </w:r>
    </w:p>
    <w:p xmlns:wp14="http://schemas.microsoft.com/office/word/2010/wordml" w:rsidP="20A9E7F7" wp14:paraId="46B3A0AB" wp14:textId="6CFEA155">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 xml:space="preserve">Community Engagement </w:t>
      </w:r>
    </w:p>
    <w:p xmlns:wp14="http://schemas.microsoft.com/office/word/2010/wordml" w:rsidP="20A9E7F7" wp14:paraId="208E734D" wp14:textId="49704434">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2:</w:t>
      </w:r>
    </w:p>
    <w:p xmlns:wp14="http://schemas.microsoft.com/office/word/2010/wordml" w:rsidP="20A9E7F7" wp14:paraId="4F0AB60F" wp14:textId="59691450">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4990735F" wp14:anchorId="1F578C10">
            <wp:extent cx="5715000" cy="1457325"/>
            <wp:effectExtent l="0" t="0" r="0" b="0"/>
            <wp:docPr id="1923294669" name="" descr="Picture, Picture" title=""/>
            <wp:cNvGraphicFramePr>
              <a:graphicFrameLocks noChangeAspect="1"/>
            </wp:cNvGraphicFramePr>
            <a:graphic>
              <a:graphicData uri="http://schemas.openxmlformats.org/drawingml/2006/picture">
                <pic:pic>
                  <pic:nvPicPr>
                    <pic:cNvPr id="0" name=""/>
                    <pic:cNvPicPr/>
                  </pic:nvPicPr>
                  <pic:blipFill>
                    <a:blip r:embed="R7ad0d08fc2bf43d7">
                      <a:extLst>
                        <a:ext xmlns:a="http://schemas.openxmlformats.org/drawingml/2006/main" uri="{28A0092B-C50C-407E-A947-70E740481C1C}">
                          <a14:useLocalDpi val="0"/>
                        </a:ext>
                      </a:extLst>
                    </a:blip>
                    <a:stretch>
                      <a:fillRect/>
                    </a:stretch>
                  </pic:blipFill>
                  <pic:spPr>
                    <a:xfrm>
                      <a:off x="0" y="0"/>
                      <a:ext cx="5715000" cy="1457325"/>
                    </a:xfrm>
                    <a:prstGeom prst="rect">
                      <a:avLst/>
                    </a:prstGeom>
                  </pic:spPr>
                </pic:pic>
              </a:graphicData>
            </a:graphic>
          </wp:inline>
        </w:drawing>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Pie Chart in Figure 2 refers to the question “How long ago was your first ever meeting with the Youth Worker in the Community”. Five out of the seven young people had met with the Detached Youth Worker at around the start of the pilot. This is also reflected in the answers from the question answered by the professionals and businesses “how many months have you been working with the Detached Youth Worker?”. With P/B one, two, five, and six answering “10 months”. When considering how regularly the young people engage with the Detached Youth Worker, the pie chart in Figure 3 below, created in response to the question,  “how often do you have contact with the Detached Youth Worker”, shows that four of the seven young people have had regular contact with the Detached Youth Worker on a weekly basis. Together these represent and acknowledge active community engagement.  </w:t>
      </w:r>
    </w:p>
    <w:p xmlns:wp14="http://schemas.microsoft.com/office/word/2010/wordml" w:rsidP="20A9E7F7" wp14:paraId="61164690" wp14:textId="606CA9A7">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3:</w:t>
      </w:r>
    </w:p>
    <w:p xmlns:wp14="http://schemas.microsoft.com/office/word/2010/wordml" w:rsidP="20A9E7F7" wp14:paraId="7BF73FD3" wp14:textId="777D7D46">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4714EE60" wp14:anchorId="3B35BB00">
            <wp:extent cx="5715000" cy="1533525"/>
            <wp:effectExtent l="0" t="0" r="0" b="0"/>
            <wp:docPr id="620962314" name="" descr="Picture, Picture" title=""/>
            <wp:cNvGraphicFramePr>
              <a:graphicFrameLocks noChangeAspect="1"/>
            </wp:cNvGraphicFramePr>
            <a:graphic>
              <a:graphicData uri="http://schemas.openxmlformats.org/drawingml/2006/picture">
                <pic:pic>
                  <pic:nvPicPr>
                    <pic:cNvPr id="0" name=""/>
                    <pic:cNvPicPr/>
                  </pic:nvPicPr>
                  <pic:blipFill>
                    <a:blip r:embed="R2373810c1c8641db">
                      <a:extLst>
                        <a:ext xmlns:a="http://schemas.openxmlformats.org/drawingml/2006/main" uri="{28A0092B-C50C-407E-A947-70E740481C1C}">
                          <a14:useLocalDpi val="0"/>
                        </a:ext>
                      </a:extLst>
                    </a:blip>
                    <a:stretch>
                      <a:fillRect/>
                    </a:stretch>
                  </pic:blipFill>
                  <pic:spPr>
                    <a:xfrm>
                      <a:off x="0" y="0"/>
                      <a:ext cx="5715000" cy="1533525"/>
                    </a:xfrm>
                    <a:prstGeom prst="rect">
                      <a:avLst/>
                    </a:prstGeom>
                  </pic:spPr>
                </pic:pic>
              </a:graphicData>
            </a:graphic>
          </wp:inline>
        </w:drawing>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pie chart in Figure 3 shows how often the young person has contact with the Detached Youth Worker, where more than half of the participants shared that they have contact once or more times a week.</w:t>
      </w:r>
    </w:p>
    <w:p xmlns:wp14="http://schemas.microsoft.com/office/word/2010/wordml" w:rsidP="20A9E7F7" wp14:paraId="4C6A81D1" wp14:textId="34F721B5">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4:</w:t>
      </w:r>
    </w:p>
    <w:p xmlns:wp14="http://schemas.microsoft.com/office/word/2010/wordml" w:rsidP="20A9E7F7" wp14:paraId="7A93F969" wp14:textId="0ABE15C1">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331CEBBD" wp14:anchorId="4C9217E8">
            <wp:extent cx="5715000" cy="2314575"/>
            <wp:effectExtent l="0" t="0" r="0" b="0"/>
            <wp:docPr id="346779291" name="" descr="Picture, Picture" title=""/>
            <wp:cNvGraphicFramePr>
              <a:graphicFrameLocks noChangeAspect="1"/>
            </wp:cNvGraphicFramePr>
            <a:graphic>
              <a:graphicData uri="http://schemas.openxmlformats.org/drawingml/2006/picture">
                <pic:pic>
                  <pic:nvPicPr>
                    <pic:cNvPr id="0" name=""/>
                    <pic:cNvPicPr/>
                  </pic:nvPicPr>
                  <pic:blipFill>
                    <a:blip r:embed="Re88618126b1e44ff">
                      <a:extLst>
                        <a:ext xmlns:a="http://schemas.openxmlformats.org/drawingml/2006/main" uri="{28A0092B-C50C-407E-A947-70E740481C1C}">
                          <a14:useLocalDpi val="0"/>
                        </a:ext>
                      </a:extLst>
                    </a:blip>
                    <a:stretch>
                      <a:fillRect/>
                    </a:stretch>
                  </pic:blipFill>
                  <pic:spPr>
                    <a:xfrm>
                      <a:off x="0" y="0"/>
                      <a:ext cx="5715000" cy="2314575"/>
                    </a:xfrm>
                    <a:prstGeom prst="rect">
                      <a:avLst/>
                    </a:prstGeom>
                  </pic:spPr>
                </pic:pic>
              </a:graphicData>
            </a:graphic>
          </wp:inline>
        </w:drawing>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graph in Figure 4 shows the areas where the participants have had contact with the Detached Youth Worker. It shows that the most popular areas are McDonalds, where six out of the seven participants have had contact. The second most popular area being near the leisure centre with five of the seven participants having had contact there. The response to this question shows that the Youth Worker has had contact with young people in several different areas within the community and that both the young people and the Youth Worker do not stick to single areas. </w:t>
      </w:r>
    </w:p>
    <w:p xmlns:wp14="http://schemas.microsoft.com/office/word/2010/wordml" w:rsidP="20A9E7F7" wp14:paraId="67EA922A" wp14:textId="1984E6D6">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5:</w:t>
      </w:r>
    </w:p>
    <w:p xmlns:wp14="http://schemas.microsoft.com/office/word/2010/wordml" w:rsidP="20A9E7F7" wp14:paraId="170F3839" wp14:textId="78D52ADC">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70D6A2A5" wp14:anchorId="4DA18220">
            <wp:extent cx="5715000" cy="1457325"/>
            <wp:effectExtent l="0" t="0" r="0" b="0"/>
            <wp:docPr id="1590400622" name="" descr="Picture, Picture" title=""/>
            <wp:cNvGraphicFramePr>
              <a:graphicFrameLocks noChangeAspect="1"/>
            </wp:cNvGraphicFramePr>
            <a:graphic>
              <a:graphicData uri="http://schemas.openxmlformats.org/drawingml/2006/picture">
                <pic:pic>
                  <pic:nvPicPr>
                    <pic:cNvPr id="0" name=""/>
                    <pic:cNvPicPr/>
                  </pic:nvPicPr>
                  <pic:blipFill>
                    <a:blip r:embed="Rdc6dd0a838224bb1">
                      <a:extLst>
                        <a:ext xmlns:a="http://schemas.openxmlformats.org/drawingml/2006/main" uri="{28A0092B-C50C-407E-A947-70E740481C1C}">
                          <a14:useLocalDpi val="0"/>
                        </a:ext>
                      </a:extLst>
                    </a:blip>
                    <a:stretch>
                      <a:fillRect/>
                    </a:stretch>
                  </pic:blipFill>
                  <pic:spPr>
                    <a:xfrm>
                      <a:off x="0" y="0"/>
                      <a:ext cx="5715000" cy="1457325"/>
                    </a:xfrm>
                    <a:prstGeom prst="rect">
                      <a:avLst/>
                    </a:prstGeom>
                  </pic:spPr>
                </pic:pic>
              </a:graphicData>
            </a:graphic>
          </wp:inline>
        </w:drawing>
      </w:r>
    </w:p>
    <w:p xmlns:wp14="http://schemas.microsoft.com/office/word/2010/wordml" w:rsidP="20A9E7F7" wp14:paraId="3FE45C39" wp14:textId="48C0CBA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graph in Figure 5 shows the how often the Detached Youth Worker has contact with individual professionals and businesses. A theme to this graph shows that the Detached Youth Worker regularly has contact/communicates within the community. This is echoed in the graph below (Figure 6) which shows how the professionals and businesses have responded to the question  “How would you rate your experience with working with a Detached youth worker?”.  Three respondents rated this experience as 5 out of 5, and three rated their experience as 4 out of 5, giving an overall average rating of 4.5 out of 5.</w:t>
      </w:r>
    </w:p>
    <w:p xmlns:wp14="http://schemas.microsoft.com/office/word/2010/wordml" w:rsidP="20A9E7F7" wp14:paraId="725FD7A0" wp14:textId="359E40B9">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6.</w:t>
      </w:r>
    </w:p>
    <w:p xmlns:wp14="http://schemas.microsoft.com/office/word/2010/wordml" w:rsidP="20A9E7F7" wp14:paraId="28D2650B" wp14:textId="53490C3F">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 xml:space="preserve"> </w:t>
      </w:r>
      <w:r>
        <w:tab/>
      </w:r>
      <w:r w:rsidR="3FE94D39">
        <w:drawing>
          <wp:inline xmlns:wp14="http://schemas.microsoft.com/office/word/2010/wordprocessingDrawing" wp14:editId="788687E9" wp14:anchorId="5E03A525">
            <wp:extent cx="5715000" cy="1590675"/>
            <wp:effectExtent l="0" t="0" r="0" b="0"/>
            <wp:docPr id="1207353728" name="" descr="Picture, Picture" title=""/>
            <wp:cNvGraphicFramePr>
              <a:graphicFrameLocks noChangeAspect="1"/>
            </wp:cNvGraphicFramePr>
            <a:graphic>
              <a:graphicData uri="http://schemas.openxmlformats.org/drawingml/2006/picture">
                <pic:pic>
                  <pic:nvPicPr>
                    <pic:cNvPr id="0" name=""/>
                    <pic:cNvPicPr/>
                  </pic:nvPicPr>
                  <pic:blipFill>
                    <a:blip r:embed="Ra2141a50669545cf">
                      <a:extLst>
                        <a:ext xmlns:a="http://schemas.openxmlformats.org/drawingml/2006/main" uri="{28A0092B-C50C-407E-A947-70E740481C1C}">
                          <a14:useLocalDpi val="0"/>
                        </a:ext>
                      </a:extLst>
                    </a:blip>
                    <a:stretch>
                      <a:fillRect/>
                    </a:stretch>
                  </pic:blipFill>
                  <pic:spPr>
                    <a:xfrm>
                      <a:off x="0" y="0"/>
                      <a:ext cx="5715000" cy="1590675"/>
                    </a:xfrm>
                    <a:prstGeom prst="rect">
                      <a:avLst/>
                    </a:prstGeom>
                  </pic:spPr>
                </pic:pic>
              </a:graphicData>
            </a:graphic>
          </wp:inline>
        </w:drawing>
      </w:r>
    </w:p>
    <w:p xmlns:wp14="http://schemas.microsoft.com/office/word/2010/wordml" w:rsidP="20A9E7F7" wp14:paraId="754F2D69" wp14:textId="4A848BF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A theme that has emerged from the responses presented in Figures two, three, four, and five shows that the Detached Youth Worker regularly has contact/communicates within the community.  This reflects the responses presented in Figure six, where many young people stated they often have contact with the Detached Youth Worker in the community.  These responses show that there is a theme of strong community engagement. Additionally, the young people respondents, in response to question eight, “have you been involved in any of the activities the youth worker has arranged, or sign posted you to?”, showed that they have been involved in other community activities.  For example, four respondents have attended community events such as “darts on the marina” (Y/P4),  “hook a duck and the police street activity day” (Y/P5), “ASB session with the police and fire” (Y/P6), and Y/P7 stating they had been to “some of them”. </w:t>
      </w:r>
    </w:p>
    <w:p xmlns:wp14="http://schemas.microsoft.com/office/word/2010/wordml" w:rsidP="20A9E7F7" wp14:paraId="61F13B51" wp14:textId="27069923">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notion of strong community engagement is followed with the responses from the Professionals and Businesses survey.  For example, question four asked “Have you found your interactions effective?” (which refers to their interactions with the Detached Youth Worker) where P/B3’s response was positive stating that  “Partnership working with the youth worker has enabled me to engage with young people who traditionally would shy away from speaking an officer in public”, thus breaking down stereotyping in the community.  In addition, P/B6 stated that liaising with the Detached Youth Worker “helped us with not only advice but putting a plan into place and getting other services involved”, therefore showing a wider service involvement. The responses from question 5 of the Professionals and Businesses Survey, “has your work or your business/service benefited from having a Detached Youth Worker in the community?”, echoes this.  For example, P/B3 responded with “Yes, young people are safeguarded, local community can see that partners are actively addressing ASB in their area”. Furthermore, these responses were echoed in the responses to question 7 of the Professionals and Businesses Survey, “Do you think there is a need for this type of youth work in this community”, which elaborated on the responses to question 6.  For example, P/B3 responded with, “Having someone to bridge the gap between the council and the local business is an excellent asset to the community”. This reinforces the perception of encouraged community engagement and partnership working and acknowledges the appreciation from the community of this.  </w:t>
      </w:r>
    </w:p>
    <w:p xmlns:wp14="http://schemas.microsoft.com/office/word/2010/wordml" w:rsidP="20A9E7F7" wp14:paraId="18BC75FC" wp14:textId="6C7D483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Building Relationships</w:t>
      </w:r>
    </w:p>
    <w:p xmlns:wp14="http://schemas.microsoft.com/office/word/2010/wordml" w:rsidP="20A9E7F7" wp14:paraId="0B20F04E" wp14:textId="1C9D2F08">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 xml:space="preserve">Figure 7. </w:t>
      </w:r>
    </w:p>
    <w:p xmlns:wp14="http://schemas.microsoft.com/office/word/2010/wordml" w:rsidP="20A9E7F7" wp14:paraId="23C8E9F5" wp14:textId="7AB911BC">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529BEBE5" wp14:anchorId="45694A5A">
            <wp:extent cx="5715000" cy="1885950"/>
            <wp:effectExtent l="0" t="0" r="0" b="0"/>
            <wp:docPr id="861954900" name="" descr="Picture, Picture" title=""/>
            <wp:cNvGraphicFramePr>
              <a:graphicFrameLocks noChangeAspect="1"/>
            </wp:cNvGraphicFramePr>
            <a:graphic>
              <a:graphicData uri="http://schemas.openxmlformats.org/drawingml/2006/picture">
                <pic:pic>
                  <pic:nvPicPr>
                    <pic:cNvPr id="0" name=""/>
                    <pic:cNvPicPr/>
                  </pic:nvPicPr>
                  <pic:blipFill>
                    <a:blip r:embed="Rd6410f22bca1484d">
                      <a:extLst>
                        <a:ext xmlns:a="http://schemas.openxmlformats.org/drawingml/2006/main" uri="{28A0092B-C50C-407E-A947-70E740481C1C}">
                          <a14:useLocalDpi val="0"/>
                        </a:ext>
                      </a:extLst>
                    </a:blip>
                    <a:stretch>
                      <a:fillRect/>
                    </a:stretch>
                  </pic:blipFill>
                  <pic:spPr>
                    <a:xfrm>
                      <a:off x="0" y="0"/>
                      <a:ext cx="5715000" cy="1885950"/>
                    </a:xfrm>
                    <a:prstGeom prst="rect">
                      <a:avLst/>
                    </a:prstGeom>
                  </pic:spPr>
                </pic:pic>
              </a:graphicData>
            </a:graphic>
          </wp:inline>
        </w:drawing>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graph in Figure 7 shows the context of the contacts made with the Detached Youth Worker.  Respondents could select all that applied to them.  The area which gleaned most responses was “befriending” with 4 young people selecting this. Two young people selected “signposting”, and two selected “ASB related” reasons.  “Mentoring”, “Advising”, “Offering Support Services” and “Other” reasons were also identified as the context for the young people’s contact with the Detached Youth Worker.  When linking the responses presented in Figure 7 with the young people’s rating of their interactions with the Detached Youth Worker (presented in Figure 8 below), where all 7 young people rated their interactions with the Detached Youth Worker as being 5 out of 6, this shows strongly  that the young people have had positive experiences and value building a relationship with the Detached Youth Worker, as has been acknowledged in their responses.</w:t>
      </w:r>
    </w:p>
    <w:p xmlns:wp14="http://schemas.microsoft.com/office/word/2010/wordml" w:rsidP="20A9E7F7" wp14:paraId="0262918A" wp14:textId="3B2C7879">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8:</w:t>
      </w:r>
    </w:p>
    <w:p xmlns:wp14="http://schemas.microsoft.com/office/word/2010/wordml" w:rsidP="20A9E7F7" wp14:paraId="30CD3C7F" wp14:textId="6DD707D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0D6C57F1" wp14:anchorId="3145BAC8">
            <wp:extent cx="5676902" cy="1571625"/>
            <wp:effectExtent l="0" t="0" r="0" b="0"/>
            <wp:docPr id="1937110125" name="" descr="Picture, Picture" title=""/>
            <wp:cNvGraphicFramePr>
              <a:graphicFrameLocks noChangeAspect="1"/>
            </wp:cNvGraphicFramePr>
            <a:graphic>
              <a:graphicData uri="http://schemas.openxmlformats.org/drawingml/2006/picture">
                <pic:pic>
                  <pic:nvPicPr>
                    <pic:cNvPr id="0" name=""/>
                    <pic:cNvPicPr/>
                  </pic:nvPicPr>
                  <pic:blipFill>
                    <a:blip r:embed="R6750dcc1be5c4db8">
                      <a:extLst>
                        <a:ext xmlns:a="http://schemas.openxmlformats.org/drawingml/2006/main" uri="{28A0092B-C50C-407E-A947-70E740481C1C}">
                          <a14:useLocalDpi val="0"/>
                        </a:ext>
                      </a:extLst>
                    </a:blip>
                    <a:stretch>
                      <a:fillRect/>
                    </a:stretch>
                  </pic:blipFill>
                  <pic:spPr>
                    <a:xfrm>
                      <a:off x="0" y="0"/>
                      <a:ext cx="5676902" cy="1571625"/>
                    </a:xfrm>
                    <a:prstGeom prst="rect">
                      <a:avLst/>
                    </a:prstGeom>
                  </pic:spPr>
                </pic:pic>
              </a:graphicData>
            </a:graphic>
          </wp:inline>
        </w:drawing>
      </w:r>
    </w:p>
    <w:p xmlns:wp14="http://schemas.microsoft.com/office/word/2010/wordml" w:rsidP="20A9E7F7" wp14:paraId="6CB4D061" wp14:textId="5ECFD518">
      <w:pPr>
        <w:shd w:val="clear" w:color="auto" w:fill="FFFFFF" w:themeFill="background1"/>
        <w:spacing w:after="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scale in Figure 8, shows the rating the young people gave the Detached Youth Worker and their interactions. The impact of the Youth Worker and young person relationship is reflected in their responses, where all respondents unanimously rated their experience with the youth worker as five out of five. </w:t>
      </w:r>
    </w:p>
    <w:p xmlns:wp14="http://schemas.microsoft.com/office/word/2010/wordml" w:rsidP="20A9E7F7" wp14:paraId="5563640D" wp14:textId="4557E706">
      <w:pPr>
        <w:shd w:val="clear" w:color="auto" w:fill="FFFFFF" w:themeFill="background1"/>
        <w:spacing w:after="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A growing theme from the responses of the question “How does the Youth Worker support you during your interactions” is of positive interactions with the Youth Worker, which reflects the Youth Worker and young person's relationship.  For example, Y/P1 described the Youth Worker support as “being Kind” and Y/P4 described this as “Being friendly”, with Y/P6 describing this as “Just chatting”. Together with the response from question 11, “add any further comments here about your experience with the Detached Youth Worker that you may not have had the opportunity to share yet”, Y/P3 stated they have had a “good experience” with the Youth Worker. This also shows that there has been a gap filled in the involvement with the Youth Services</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as in Question 10, “Do you have any other involvement with Youth Workers?”, participants unanimously stated they attended youth clubs, with Y/P2 stating that they were also involved with the school-based Youth Worker. This shows that the Detached Youth Worker has built on the relationships with young people within the community. </w:t>
      </w:r>
    </w:p>
    <w:p xmlns:wp14="http://schemas.microsoft.com/office/word/2010/wordml" w:rsidP="20A9E7F7" wp14:paraId="73E0640E" wp14:textId="71CBDB3B">
      <w:pPr>
        <w:shd w:val="clear" w:color="auto" w:fill="FFFFFF" w:themeFill="background1"/>
        <w:spacing w:after="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positive impact of building relationships can also be seen in the responses to question four of the Professionals and Businesses Survey, “have you found your interactions [with the Detached Youth Worker] effective?” Responses highlight the added relationships that have been built within the community, with P/B3 responding with “breaking down barriers, to higher levels of quality engagement”, and P/B5 stating  “yes, the young people have seemed to engage better when with the detached youth worker”. These all re-enforcing the notion of stronger relationship building within the community. Added to this is the response from question nine, “Please add any further comments here about your experience with the Detached Youth Worker that you may not have had the opportunity to share yet”.  For example, P/B2 stated </w:t>
      </w:r>
    </w:p>
    <w:p xmlns:wp14="http://schemas.microsoft.com/office/word/2010/wordml" w:rsidP="20A9E7F7" wp14:paraId="665D5A81" wp14:textId="6E709AC9">
      <w:pPr>
        <w:shd w:val="clear" w:color="auto" w:fill="FFFFFF" w:themeFill="background1"/>
        <w:spacing w:after="0" w:line="240" w:lineRule="auto"/>
        <w:ind w:left="567" w:right="567"/>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I’ve found since talking with her that I’ve better learnt how to deal with youngsters and that through continued interaction I have gained a better relationship with most youngsters in the area. Overall, she is a credit to the youth worker department. </w:t>
      </w:r>
    </w:p>
    <w:p xmlns:wp14="http://schemas.microsoft.com/office/word/2010/wordml" w:rsidP="20A9E7F7" wp14:paraId="36E98676" wp14:textId="5ED1FD91">
      <w:pPr>
        <w:shd w:val="clear" w:color="auto" w:fill="FFFFFF" w:themeFill="background1"/>
        <w:spacing w:after="0" w:line="480" w:lineRule="auto"/>
        <w:jc w:val="right"/>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(P/B2, 2025)</w:t>
      </w:r>
    </w:p>
    <w:p xmlns:wp14="http://schemas.microsoft.com/office/word/2010/wordml" w:rsidP="20A9E7F7" wp14:paraId="49504CE3" wp14:textId="01C72DA0">
      <w:pPr>
        <w:shd w:val="clear" w:color="auto" w:fill="FFFFFF" w:themeFill="background1"/>
        <w:spacing w:after="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Thus, this strengthens the notion that relationship building has reached further than that of Youth Worker to young person. </w:t>
      </w:r>
    </w:p>
    <w:p xmlns:wp14="http://schemas.microsoft.com/office/word/2010/wordml" w:rsidP="20A9E7F7" wp14:paraId="6857A340" wp14:textId="1688E0E3">
      <w:pPr>
        <w:shd w:val="clear" w:color="auto" w:fill="FFFFFF" w:themeFill="background1"/>
        <w:spacing w:after="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3E605958" wp14:textId="5DF3083B">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Facilitating Change and Support when Issues Arise</w:t>
      </w:r>
    </w:p>
    <w:p xmlns:wp14="http://schemas.microsoft.com/office/word/2010/wordml" w:rsidP="20A9E7F7" wp14:paraId="4A4B2186" wp14:textId="60B35B92">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final theme identified from the data collected was being supportive when issues arise. For example, question seven from the young person’s survey, “how does the youth worker support you during your interactions”, saw Y/P 3 stating “by helping me agree with the manager of McDonalds” and Y/P5 noted how the Detached Youth Worker “helps me if I get bullied and helped me and my friend when</w:t>
      </w:r>
      <w:r w:rsidRPr="20A9E7F7" w:rsidR="3FE94D39">
        <w:rPr>
          <w:rFonts w:ascii="Aptos" w:hAnsi="Aptos" w:eastAsia="Aptos" w:cs="Aptos"/>
          <w:b w:val="0"/>
          <w:bCs w:val="0"/>
          <w:i w:val="0"/>
          <w:iCs w:val="0"/>
          <w:caps w:val="0"/>
          <w:smallCaps w:val="0"/>
          <w:strike w:val="1"/>
          <w:noProof w:val="0"/>
          <w:color w:val="D13438"/>
          <w:sz w:val="24"/>
          <w:szCs w:val="24"/>
          <w:u w:val="none"/>
          <w:lang w:val="en-GB"/>
        </w:rPr>
        <w:t xml:space="preserve">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we needed help”. This shows that on two occasions the Youth Worker was available when support was needed in the community, when possibly there could have been an escalation. This theme is followed through with the responses from the Professionals and Businesses Survey, with the responses to question four “have you found your interactions [with the Detached Youth Worker] effective” including “yes, her knowledge with the young people has helped in situations” P/B1), P/B2 stated how the Detached Youth Worker “has been very helpful with my interactions with the youth in the area”, and P/B3 stating “this provides an additional layer of safeguarding and assist us in directing resources to emerging hotspots”.  In addition, P/B6 responded by stating “I feel we have more support to help combat the anti-social behaviour that we see at the business”. These responses support the notion that support has been given by the Detached Youth Worker to young people, services and businesses alike to support against issues with ASB within the community. </w:t>
      </w:r>
    </w:p>
    <w:p xmlns:wp14="http://schemas.microsoft.com/office/word/2010/wordml" w:rsidP="20A9E7F7" wp14:paraId="6D2592C3" wp14:textId="2A4017E2">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Question five of the Professionals and Businesses Survey asked “Has your work or your business/service benefited from having a Detached Youth Worker in the Community? If so, in what way has it benefited?”.  The respondents unanimously responded positively to this questions with three responses to the theme of having support with information, decision making, and facilitating the implementation of new thinking and systems. For example, P/B4 stated “Yes, gathering information and using their local knowledge to help in decision making”, P/B5 stated “Yes as joint patrols have been carried out and local knowledge shared between service and detached worker”, and P/B6 stated “the support has helped us get a system in place to help combat the antisocial behaviour”.</w:t>
      </w:r>
    </w:p>
    <w:p xmlns:wp14="http://schemas.microsoft.com/office/word/2010/wordml" w:rsidP="20A9E7F7" wp14:paraId="0764399F" wp14:textId="676F731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Figure 9.</w:t>
      </w:r>
    </w:p>
    <w:p xmlns:wp14="http://schemas.microsoft.com/office/word/2010/wordml" w:rsidP="20A9E7F7" wp14:paraId="26E8776B" wp14:textId="3E41EB76">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FE94D39">
        <w:drawing>
          <wp:inline xmlns:wp14="http://schemas.microsoft.com/office/word/2010/wordprocessingDrawing" wp14:editId="16D30742" wp14:anchorId="12AF5361">
            <wp:extent cx="5715000" cy="1571625"/>
            <wp:effectExtent l="0" t="0" r="0" b="0"/>
            <wp:docPr id="1235864684" name="" descr="Picture, Picture" title=""/>
            <wp:cNvGraphicFramePr>
              <a:graphicFrameLocks noChangeAspect="1"/>
            </wp:cNvGraphicFramePr>
            <a:graphic>
              <a:graphicData uri="http://schemas.openxmlformats.org/drawingml/2006/picture">
                <pic:pic>
                  <pic:nvPicPr>
                    <pic:cNvPr id="0" name=""/>
                    <pic:cNvPicPr/>
                  </pic:nvPicPr>
                  <pic:blipFill>
                    <a:blip r:embed="R72b69031c6d743a5">
                      <a:extLst>
                        <a:ext xmlns:a="http://schemas.openxmlformats.org/drawingml/2006/main" uri="{28A0092B-C50C-407E-A947-70E740481C1C}">
                          <a14:useLocalDpi val="0"/>
                        </a:ext>
                      </a:extLst>
                    </a:blip>
                    <a:stretch>
                      <a:fillRect/>
                    </a:stretch>
                  </pic:blipFill>
                  <pic:spPr>
                    <a:xfrm>
                      <a:off x="0" y="0"/>
                      <a:ext cx="5715000" cy="1571625"/>
                    </a:xfrm>
                    <a:prstGeom prst="rect">
                      <a:avLst/>
                    </a:prstGeom>
                  </pic:spPr>
                </pic:pic>
              </a:graphicData>
            </a:graphic>
          </wp:inline>
        </w:drawing>
      </w:r>
    </w:p>
    <w:p xmlns:wp14="http://schemas.microsoft.com/office/word/2010/wordml" w:rsidP="20A9E7F7" wp14:paraId="2BE6C007" wp14:textId="1E15B1FD">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pie chart in Figure 9 shows the responses to question six from the Professionals and Businesses Survey, “Do you think there is a need for this type of Youth Work in this community?”, with five responses answering yes and one stating maybe.  The subsequent question “Please, elaborate on your answer for the previous question?” saw a response from P/B5, who chose the maybe on the previous question, stating “I believe in some cases it works but it all depends on whether the youths in the area are open to engage”. However, P/B1 noted that “As there isn't much for youths to do in our local area, having a youth worker Helps give them things to do rather than turn to antisocial behaviour".  This highlighted the support given to young people for alternative activities. The responses from question nine of the Professionals and Businesses Survey, “please add any further comments here about your experiences with the Detached Youth Worker that you may not have had the opportunity to share yet”, echoed this, with P/B3 stating “The project has been a benefit to the local community.  To enhance this further, a budget for resources/hosting regular activities to entice young people to attend”.  Additionally, P/B6 responded with “Through no fault of the youth worker, I feel like you could have done more had you been given more time &amp; funding”.  Therefore, more than one respondent shared the opinion that more time and further funding could benefit this type of work further. </w:t>
      </w:r>
    </w:p>
    <w:p xmlns:wp14="http://schemas.microsoft.com/office/word/2010/wordml" w:rsidP="20A9E7F7" wp14:paraId="0379B8EB" wp14:textId="79087579">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1DBE31D0" wp14:textId="7342FCF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Conclusion</w:t>
      </w:r>
    </w:p>
    <w:p xmlns:wp14="http://schemas.microsoft.com/office/word/2010/wordml" w:rsidP="20A9E7F7" wp14:paraId="349C4C0E" wp14:textId="2F7C973B">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An insight into the data gathered follows three clear themes of a positive nature.  Firstly, community engagement, which has been acknowledged in the responses from both the young people along with the professionals and businesses with statements recognising this.  Secondly, the building of relationships has been appreciated by the young people despite having contact with the Detached Youth Worker through ASB issues. This highlights the ways Youth Workers address issues, differently to maybe how others work. Additionally, an acknowledgement was made through the professionals and businesses survey of strong relationship building within the wider community. The third theme of facilitating change and support when issues arise, highlighted the support given when ASB issues arise, and support in understanding young people's behaviour and providing information to support systems for change. To explore the data further, the next chapter will provide a discussion and interpretation of the data which will provide an in-depth exploration of the results from the research into </w:t>
      </w:r>
      <w:r w:rsidRPr="20A9E7F7" w:rsidR="3FE94D39">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GB"/>
        </w:rPr>
        <w:t>The Value of a Detached Youth Work Provision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w:t>
      </w:r>
    </w:p>
    <w:p xmlns:wp14="http://schemas.microsoft.com/office/word/2010/wordml" w:rsidP="20A9E7F7" wp14:paraId="2C5104F1" wp14:textId="21CD12D3">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36"/>
          <w:szCs w:val="36"/>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US"/>
        </w:rPr>
        <w:t>Discussion of Data.</w:t>
      </w:r>
    </w:p>
    <w:p xmlns:wp14="http://schemas.microsoft.com/office/word/2010/wordml" w:rsidP="20A9E7F7" wp14:paraId="28CC12B6" wp14:textId="6DE0114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232ED1F6" wp14:textId="2A8273C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This chapter will provide an in-depth exploration of the data collected within the research. It will discuss the findings in relation to the research question which explores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US"/>
        </w:rPr>
        <w:t>The Value of a Detached Youth Work provision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 It will compare and relate the data to the existing literature reviewed earlier in Chapter 2, while exploring what the findings mean in relation to the Detached Youth Worker providing value to the community. Additionally, it will acknowledge the limitations of the research and identify potential areas for further studies. It will follow the main themes found in the previous Presentation of Data chapter; firstly, Community Engagement, followed by Building Relationships, and finally Facilitating Change and Support when Issues Arise. </w:t>
      </w:r>
    </w:p>
    <w:p xmlns:wp14="http://schemas.microsoft.com/office/word/2010/wordml" w:rsidP="20A9E7F7" wp14:paraId="640369E0" wp14:textId="2DB6964D">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4CEE64D5" wp14:textId="2E0B2D27">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 xml:space="preserve">Community Engagement. </w:t>
      </w:r>
    </w:p>
    <w:p xmlns:wp14="http://schemas.microsoft.com/office/word/2010/wordml" w:rsidP="20A9E7F7" wp14:paraId="1AF76990" wp14:textId="6D993F66">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theme that emerged from the data of Community Engagement can be linked to Chapter Two where both Rose (2018) and Tiffany (2007) acknowledged the importance of uniting key partners and building strong networks within a community to enable support</w:t>
      </w:r>
      <w:r w:rsidRPr="20A9E7F7" w:rsidR="3FE94D39">
        <w:rPr>
          <w:rFonts w:ascii="Aptos" w:hAnsi="Aptos" w:eastAsia="Aptos" w:cs="Aptos"/>
          <w:b w:val="0"/>
          <w:bCs w:val="0"/>
          <w:i w:val="0"/>
          <w:iCs w:val="0"/>
          <w:caps w:val="0"/>
          <w:smallCaps w:val="0"/>
          <w:strike w:val="1"/>
          <w:noProof w:val="0"/>
          <w:color w:val="D13438"/>
          <w:sz w:val="24"/>
          <w:szCs w:val="24"/>
          <w:u w:val="non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and opportunities to facilitate young people to reach their potential. Fritz et al (2016) and Young (2006) concur this stating that maintaining a consistent, long-term presence in the community is key to gaining the trust of young people. Additionally, the researcher has recognised new findings in literature by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YMCA Swansea (N/D) where they stated that they have found that using a multi-agency approach is effective in their work. The data displayed in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Figures two, three, four, five, and six in Chapter Four provide an insight into the location and presence the Detached Youth Worker has had within the community. This provides clear findings that the Detached Youth Worker has profiled the community that they are working within and understands the places young people go.  Figure three identifies how often the young people have had contact with the Detached Youth Worker.</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 xml:space="preserve">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The findings were that over half of the participants have contact with the Detached Youth Worker in the community once or more times a week. Figure four strengthens this notion showing the areas the Detached Youth Worker has contact with the young people. For example, there were 24 responses to the question “</w:t>
      </w:r>
      <w:r w:rsidRPr="20A9E7F7" w:rsidR="3FE94D39">
        <w:rPr>
          <w:rFonts w:ascii="Segoe UI" w:hAnsi="Segoe UI" w:eastAsia="Segoe UI" w:cs="Segoe UI"/>
          <w:b w:val="0"/>
          <w:bCs w:val="0"/>
          <w:i w:val="0"/>
          <w:iCs w:val="0"/>
          <w:caps w:val="0"/>
          <w:smallCaps w:val="0"/>
          <w:noProof w:val="0"/>
          <w:color w:val="000000" w:themeColor="text1" w:themeTint="FF" w:themeShade="FF"/>
          <w:sz w:val="21"/>
          <w:szCs w:val="21"/>
          <w:lang w:val="en-GB"/>
        </w:rPr>
        <w:t>Where have you seen the youth worker in the community? Please click on all that apply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this shows that the young people do not have contact with the Detached Youth Worker in one area, proving that both the Detached Youth Worker and the young people move within the community. Furthermore, Figure five reflects the contact the Detached Youth Worker has had with the professionals and businesses. Although three participants stated weekly contact and three participants stated monthly contact, as these findings only reflect the contact with the individual and not with the setting to which they work</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this does not fully reflect the engagement that may have been had with the service or business, only that with the individual. However, from the responses given to the question “have you found your interactions [with the Detached Youth Worker] effective?” P/B6 stated that collaborating with the Detached Youth Worker “helped us with not only advice but putting a plan into place and getting other services involved”. Thus, this demonstrates the level of support provided and the significance of providing strong community engagement for further multi-agency working. </w:t>
      </w:r>
    </w:p>
    <w:p xmlns:wp14="http://schemas.microsoft.com/office/word/2010/wordml" w:rsidP="20A9E7F7" wp14:paraId="6D16435E" wp14:textId="4E8231E8">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1CAB318C" wp14:textId="2A1A99FF">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Building Relationships.</w:t>
      </w:r>
    </w:p>
    <w:p xmlns:wp14="http://schemas.microsoft.com/office/word/2010/wordml" w:rsidP="20A9E7F7" wp14:paraId="6E058B5A" wp14:textId="61FE8C93">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A strong theme that materialised from the findings was one of the Detached Youth Worker having built trusting relationships with the young people. This links to the literature found in Chapter Two, where Rogers (2020) and Smith (1994) highlight the importance of building strong supportive relationships with young people and how this is key to making Detached Youth Work work (Rogers, 2020; Smith, 1994). Additionally</w:t>
      </w:r>
      <w:r w:rsidRPr="20A9E7F7" w:rsidR="3FE94D39">
        <w:rPr>
          <w:rFonts w:ascii="Aptos" w:hAnsi="Aptos" w:eastAsia="Aptos" w:cs="Aptos"/>
          <w:b w:val="0"/>
          <w:bCs w:val="0"/>
          <w:i w:val="0"/>
          <w:iCs w:val="0"/>
          <w:caps w:val="0"/>
          <w:smallCaps w:val="0"/>
          <w:strike w:val="1"/>
          <w:noProof w:val="0"/>
          <w:color w:val="D13438"/>
          <w:sz w:val="24"/>
          <w:szCs w:val="24"/>
          <w:u w:val="non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to this</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National Youth Agency (N/D), CLDSCS (2019) and the YWWRG (2022) provide aims and guidance on how relationships between Youth Workers and young people provide opportunities for learning (NYA, N/D; CLDSCS, 2019; YWWRG, 2022). Youth Link Scotland (N/D, p.3) states that Youth Workers must “build effective and meaningful relationships with young people through regular contact, mutual trust, respect and understanding” (Youth Link Scotland, N/D, p.3). Moreover, the findings show that strong relationships were built, for example, Figure seven identifies the reasons why the Detached Youth Worker has engaged with the young people. All the areas presented were selected, with 4 responses to “befriending”, two responses to “signposting” and two responses to “ASB related” reasons. When linking this to the responses in Figure eight, showing the rating of five out of five from all respondents, this provides an insight into the strong relationships that have been formed between the Detached Youth Worker and the young people.  Despite having had initial contact through ASB related issues, the young people identify that they have had positive experiences that they have shown to be of value to them, despite the possible reasons of  the initial contact being of a negative nature. </w:t>
      </w:r>
    </w:p>
    <w:p xmlns:wp14="http://schemas.microsoft.com/office/word/2010/wordml" w:rsidP="20A9E7F7" wp14:paraId="1DC315F7" wp14:textId="002AC2CF">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67B889C9" wp14:textId="69E50B9D">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Facilitating Change and Support when Issues Arise.</w:t>
      </w:r>
    </w:p>
    <w:p xmlns:wp14="http://schemas.microsoft.com/office/word/2010/wordml" w:rsidP="20A9E7F7" wp14:paraId="44DCBEB7" wp14:textId="5C98FB54">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final theme that was apparent within the findings was one of being supportive and encouraging change, and this was mirrored in the findings of the Literature Review.  For example, literature identified in Chapter two by Tassoni et al (2005) outlined the importance of observational learning, behaviour modelling, and social interactions, and how these play a crucial role in shaping the actions and development of young people . In addition, Thomas et al (2012) note that Detached Youth Work plays a significant role in promoting positive behavioural changes among young people, particularly by reducing their involvement in crime and antisocial behaviour. The data presented in Chapter 4 shows that a young person saw value through having the Detached Youth Worker advocate for the young people and giving them a voice.  This was one of the responses to the question “how does the youth worker support you during your interactions”, which saw Y/P 3 stating “by helping me agree with the manager of McDonalds” and Y/P5 noted how the Detached Youth Worker “helps me if I get bullied and helped me and my friend when we needed help”. This presents a clear view of the power of having a Detached Youth Worker providing support to the young person and in empowering them to have a voice, and that the Detached Youth Worker has worked in accordance with Youth Work’s principles and values, as outlined in the National Occupational Standards (CLDSCS, 2019), Youth Work in Wales: Principles and Purposes (YWWRG, 2022), and the Youth Work Strategy for Wales (WG, 2019). The results from the Professionals and Businesses survey echoed this when responding to the question “Has your work or your business/service benefited from having a Detached Youth Worker in the Community? If so, in what way has it benefited?”. P/B5 responded with “Yes, gathering information and using their local knowledge to help in decision making”.  P/B5 also stated “Yes as joint patrols have been carried out and local knowledge shared between service and detached worker”, and P/B6 stated “the support has helped us get a system in place to help combat the antisocial behaviour”. These reinforce the notion that change has been facilitated and support has been given to young people and the wider community. </w:t>
      </w:r>
    </w:p>
    <w:p xmlns:wp14="http://schemas.microsoft.com/office/word/2010/wordml" w:rsidP="20A9E7F7" wp14:paraId="1689C990" wp14:textId="762097D8">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06E303BF" wp14:textId="5F3CECC5">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 xml:space="preserve">Limitations and Sample Characteristics. </w:t>
      </w:r>
    </w:p>
    <w:p xmlns:wp14="http://schemas.microsoft.com/office/word/2010/wordml" w:rsidP="20A9E7F7" wp14:paraId="2BF1699C" wp14:textId="6E9DF60F">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A barrier that was encountered by the researcher during the research was obtaining signed consent forms from the participants’ parents and guardians.  Young people were not as proactive in getting these signed as had been hoped. This caused concern to the researcher due to time constraints, therefore, to ensure that data was collected, the researcher obtained a written letter of consent from the manager of the local Youth Centre. Therefore, the researcher was able to ask young people who were both supported by the Detached Youth Worker and were attached to this Youth Centre to take part in the survey. However, this approach limited the study by restricting the young people participants, and this was reflected in the findings from the demographics presented in Figure 1. Figure 1 indicates that the young people participants were aged between 11-16 years, therefore, the data does not fully reflect the views of all the young people that have had contact with the Detached Youth Worker.  Further studies could be undertaken with more time with a wider cohort of young people. Additionally, as this Detached Youth Work project was new at the time the research was undertaken, in order to add value to this research it would be good to engage in further research after the project has had time to develop and evolve, thus potentially adding value to the research. This recognises</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 xml:space="preserve"> what Hall et al (2024) stated in Chapter Two, that it is difficult to apply rigorous, casual evaluation methods, and there are often complications in efforts to research and measurement (Hall et al, 2024).  The concept of further research will also be discussed in the final chapter of this dissertation.</w:t>
      </w:r>
    </w:p>
    <w:p xmlns:wp14="http://schemas.microsoft.com/office/word/2010/wordml" w:rsidP="20A9E7F7" wp14:paraId="3A24BAB6" wp14:textId="718ADD5A">
      <w:pPr>
        <w:spacing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6118E77D" wp14:textId="125C761E">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Conclusion.</w:t>
      </w:r>
    </w:p>
    <w:p xmlns:wp14="http://schemas.microsoft.com/office/word/2010/wordml" w:rsidP="20A9E7F7" wp14:paraId="6E5BDDD0" wp14:textId="5D068BD5">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 research demonstrates that Detached Youth Work holds significant value within the community by fostering engagement, building strong relationships, and supporting young people through times of need. The data supports existing literature and reveals clear benefits, particularly in promoting trust, facilitating change, and encouraging multi-agency collaboration. Despite limitations in participant diversity and sample size, the findings suggest that this model of Youth Work is effective and well-received. Continued support and future investment are crucial, alongside broader studies to assess long-term impact. Overall, the data has identified that the Detached Youth Worker plays a vital and positive role in shaping outcomes for young people and communities. To end the research</w:t>
      </w:r>
      <w:r w:rsidRPr="20A9E7F7" w:rsidR="3FE94D39">
        <w:rPr>
          <w:rFonts w:ascii="Aptos" w:hAnsi="Aptos" w:eastAsia="Aptos" w:cs="Aptos"/>
          <w:b w:val="0"/>
          <w:bCs w:val="0"/>
          <w:i w:val="0"/>
          <w:iCs w:val="0"/>
          <w:caps w:val="0"/>
          <w:smallCaps w:val="0"/>
          <w:strike w:val="0"/>
          <w:dstrike w:val="0"/>
          <w:noProof w:val="0"/>
          <w:color w:val="D13438"/>
          <w:sz w:val="24"/>
          <w:szCs w:val="24"/>
          <w:u w:val="singl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the final chapter will provide a final summary of the research, combining the key findings and their connections to the research question which explores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The Value of a Detached Youth Work Provision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The final chapter will also consider recommendations for further research, and will present recommendations for Youth Work practice.</w:t>
      </w:r>
    </w:p>
    <w:p xmlns:wp14="http://schemas.microsoft.com/office/word/2010/wordml" w:rsidP="20A9E7F7" wp14:paraId="78B76956" wp14:textId="310C3C95">
      <w:pPr>
        <w:spacing w:before="240" w:after="240" w:line="480" w:lineRule="auto"/>
        <w:jc w:val="both"/>
        <w:rPr>
          <w:rFonts w:ascii="Aptos" w:hAnsi="Aptos" w:eastAsia="Aptos" w:cs="Aptos"/>
          <w:b w:val="0"/>
          <w:bCs w:val="0"/>
          <w:i w:val="0"/>
          <w:iCs w:val="0"/>
          <w:caps w:val="0"/>
          <w:smallCaps w:val="0"/>
          <w:noProof w:val="0"/>
          <w:color w:val="D13438"/>
          <w:sz w:val="28"/>
          <w:szCs w:val="28"/>
          <w:lang w:val="en-GB"/>
        </w:rPr>
      </w:pPr>
    </w:p>
    <w:p xmlns:wp14="http://schemas.microsoft.com/office/word/2010/wordml" w:rsidP="20A9E7F7" wp14:paraId="2C52BE98" wp14:textId="369CE681">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36"/>
          <w:szCs w:val="36"/>
          <w:lang w:val="en-GB"/>
        </w:rPr>
      </w:pPr>
      <w:r w:rsidRPr="20A9E7F7" w:rsidR="3FE94D39">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US"/>
        </w:rPr>
        <w:t xml:space="preserve">Conclusion and Recommendations. </w:t>
      </w:r>
    </w:p>
    <w:p xmlns:wp14="http://schemas.microsoft.com/office/word/2010/wordml" w:rsidP="20A9E7F7" wp14:paraId="1A2ABA2E" wp14:textId="3BB46F4A">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645B14D8" wp14:textId="15251E8B">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chapter presents a summary of the key findings from this research project, revisiting the researcher’s examination of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the Value of a Detached Youth Work Provision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It outlines how the research contributes to understanding the distinctive role of Detached Youth Work, before offering implications for practice and policy. The chapter also presents targeted recommendations for future research and concludes with final reflections from the researcher.</w:t>
      </w:r>
    </w:p>
    <w:p xmlns:wp14="http://schemas.microsoft.com/office/word/2010/wordml" w:rsidP="20A9E7F7" wp14:paraId="3E264480" wp14:textId="156C29C3">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Summary of Findings.</w:t>
      </w:r>
    </w:p>
    <w:p xmlns:wp14="http://schemas.microsoft.com/office/word/2010/wordml" w:rsidP="20A9E7F7" wp14:paraId="2FAD8E66" wp14:textId="4E3B8B51">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This study has investigated the practice, impact and </w:t>
      </w:r>
      <w:r w:rsidRPr="20A9E7F7" w:rsidR="3FE94D39">
        <w:rPr>
          <w:rFonts w:ascii="Aptos" w:hAnsi="Aptos" w:eastAsia="Aptos" w:cs="Aptos"/>
          <w:b w:val="0"/>
          <w:bCs w:val="0"/>
          <w:i w:val="1"/>
          <w:iCs w:val="1"/>
          <w:caps w:val="0"/>
          <w:smallCaps w:val="0"/>
          <w:noProof w:val="0"/>
          <w:color w:val="000000" w:themeColor="text1" w:themeTint="FF" w:themeShade="FF"/>
          <w:sz w:val="24"/>
          <w:szCs w:val="24"/>
          <w:lang w:val="en-GB"/>
        </w:rPr>
        <w:t>the Value of a Detached Youth Worker within a Community</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as a provision of engaging young people in informal settings outside of traditional provisions. Detached Youth Work is defined by its outreach approach, meeting young people in the spaces they naturally occupy such as parks, and streets, rather than requiring them to attend set programmes or settings (Smith, 1994; Bocarro and Witt, 2002). Through using surveys with young people and local professionals and businesses and a review of relevant literature, this research has brought to light the approach’s potential alongside its practical constraints.</w:t>
      </w:r>
    </w:p>
    <w:p xmlns:wp14="http://schemas.microsoft.com/office/word/2010/wordml" w:rsidP="20A9E7F7" wp14:paraId="4AFC0ACD" wp14:textId="235BB0ED">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One of the primary findings was that the Detached Youth Worker offered an inclusive, flexible, and accessible form of young person and community engagement. The Detached Youth Worker built trusting, meaningful relationships through repeated, informal contact over time. These emerged as a central theme throughout the research, where young people were more likely to engage with the Detached Youth Worker they viewed as consistent, non-judgemental, and community embedded. Furthermore, the findings highlighted that the Detached Youth Worker played a crucial role in intervention, by establishing a non-intrusive presence in young people’s environments, networking and community engagement. The Detached Youth Worker identified emerging risks and provided support before situations escalated. This included signposting to relevant services, informal mentoring, and support. This model also fosters a sense of community ownership and inclusion by giving young people a voice in local decision-making processes. However, the research also identified significant challenges. Among the most pressing is the issue of funding, which hampers the ability to sustain long-term relationships and plan strategically. Detached Youth Work often falls outside formalised statutory Youth Services, making it vulnerable to cuts and reorganisation (Bocarro and Witt, 2002; UK Youth, 2024; Huddleston, 2022</w:t>
      </w:r>
      <w:r w:rsidRPr="20A9E7F7" w:rsidR="3FE94D39">
        <w:rPr>
          <w:rFonts w:ascii="Aptos" w:hAnsi="Aptos" w:eastAsia="Aptos" w:cs="Aptos"/>
          <w:b w:val="0"/>
          <w:bCs w:val="0"/>
          <w:i w:val="0"/>
          <w:iCs w:val="0"/>
          <w:caps w:val="0"/>
          <w:smallCaps w:val="0"/>
          <w:strike w:val="1"/>
          <w:noProof w:val="0"/>
          <w:color w:val="0078D4"/>
          <w:sz w:val="24"/>
          <w:szCs w:val="24"/>
          <w:u w:val="none"/>
          <w:lang w:val="en-GB"/>
        </w:rPr>
        <w:t>)</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In addition, there is a lack of universally accepted frameworks for evaluating outcomes in Detached Youth Work, due to its informal and often non-linear nature. This makes it difficult to quantify impact in ways that satisfy policymakers or funding bodies.</w:t>
      </w:r>
    </w:p>
    <w:p xmlns:wp14="http://schemas.microsoft.com/office/word/2010/wordml" w:rsidP="20A9E7F7" wp14:paraId="41499770" wp14:textId="656E2C2E">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Despite these limitations, the research clearly illustrates that the Detached Youth Worker remains a vital asset in promoting social inclusion, supporting in the reduction of anti-social behaviour, and fostering community cohesion. Its strengths lie in its adaptability, grassroots connection, and ability to meet young people on their own terms within this community.</w:t>
      </w:r>
    </w:p>
    <w:p xmlns:wp14="http://schemas.microsoft.com/office/word/2010/wordml" w:rsidP="20A9E7F7" wp14:paraId="1339B4A1" wp14:textId="517E6F2F">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Implications for Practice and Policy.</w:t>
      </w:r>
    </w:p>
    <w:p xmlns:wp14="http://schemas.microsoft.com/office/word/2010/wordml" w:rsidP="20A9E7F7" wp14:paraId="21F2A558" wp14:textId="4C16D09C">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The findings of this study have direct implications for both practitioners and policymakers. For practice, there is a need to embed reflective, trauma-informed, and culturally sensitive approaches within detached provisions. Detached Youth Workers must be equipped with the tools to not only build relationships but to effectively respond to complex needs without replicating the power dynamics of statutory systems. Policymakers should recognise Detached Youth Work as an essential element within youth engagement strategies.  Its informal nature should not exclude it from receiving structured support or investment; it should be acknowledged as a complementary provision that fills the gap where other services may not reach. Investment in Detached Youth Work can contribute to early intervention targets, reduce young person offending rates, and support mental health and wellbeing. This requires a shift in perception, from seeing Detached Youth Work as a reactive or supplementary service, to understanding it as a proactive and preventative force within this community. </w:t>
      </w:r>
    </w:p>
    <w:p xmlns:wp14="http://schemas.microsoft.com/office/word/2010/wordml" w:rsidP="20A9E7F7" wp14:paraId="211DA90D" wp14:textId="203E9C69">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Recommendations for Further Research.</w:t>
      </w:r>
    </w:p>
    <w:p xmlns:wp14="http://schemas.microsoft.com/office/word/2010/wordml" w:rsidP="20A9E7F7" wp14:paraId="1EF1EF0F" wp14:textId="4BB28341">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Building on the findings, the following areas are proposed for future research:</w:t>
      </w:r>
    </w:p>
    <w:p xmlns:wp14="http://schemas.microsoft.com/office/word/2010/wordml" w:rsidP="20A9E7F7" wp14:paraId="001BC07C" wp14:textId="272BF335">
      <w:pPr>
        <w:pStyle w:val="ListParagraph"/>
        <w:numPr>
          <w:ilvl w:val="0"/>
          <w:numId w:val="2"/>
        </w:numPr>
        <w:spacing w:before="240" w:after="240"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Conduct Longitudinal Studies</w:t>
      </w:r>
      <w:r>
        <w:br/>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To better understand the sustained impact of the Detached Youth Work, longitudinal studies should be conducted. These would track individuals over time, expressing the long-term influence of early relationships formed through Detached Youth Work in this community, and evaluating life outcomes in areas such as education, employment, and wellbeing.</w:t>
      </w:r>
    </w:p>
    <w:p xmlns:wp14="http://schemas.microsoft.com/office/word/2010/wordml" w:rsidP="20A9E7F7" wp14:paraId="12EDC858" wp14:textId="28923819">
      <w:pPr>
        <w:pStyle w:val="ListParagraph"/>
        <w:numPr>
          <w:ilvl w:val="0"/>
          <w:numId w:val="2"/>
        </w:num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Explore Links Between Detached Youth Work and Anti-Social Behaviour Reduction</w:t>
      </w:r>
      <w:r>
        <w:br/>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There is anecdotal evidence through the researchers practice that Detached Youth Work can reduce incidents of Anti-Social Behaviour by building rapport with young people and offering meaningful alternatives. Further research could examine this link in a structured way, using both qualitative and quantitative data to assess the community impact.</w:t>
      </w:r>
    </w:p>
    <w:p xmlns:wp14="http://schemas.microsoft.com/office/word/2010/wordml" w:rsidP="20A9E7F7" wp14:paraId="4CE14C5C" wp14:textId="14E0FC8A">
      <w:pPr>
        <w:pStyle w:val="ListParagraph"/>
        <w:numPr>
          <w:ilvl w:val="0"/>
          <w:numId w:val="2"/>
        </w:num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Evaluate Training Needs for Practitioners</w:t>
      </w:r>
    </w:p>
    <w:p xmlns:wp14="http://schemas.microsoft.com/office/word/2010/wordml" w:rsidP="20A9E7F7" wp14:paraId="2510268E" wp14:textId="43A2D9B1">
      <w:pPr>
        <w:spacing w:before="240" w:after="240" w:line="480" w:lineRule="auto"/>
        <w:ind w:left="72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A focused study on training gaps would help ensure that the Detached Youth Worker is equipped with the skills necessary for effective practice. This includes areas such as trauma-informed care, de-escalation techniques, cultural competence, and safeguarding in unregulated environments.</w:t>
      </w:r>
    </w:p>
    <w:p xmlns:wp14="http://schemas.microsoft.com/office/word/2010/wordml" w:rsidP="20A9E7F7" wp14:paraId="6EC4019D" wp14:textId="5C92D50C">
      <w:pPr>
        <w:pStyle w:val="ListParagraph"/>
        <w:numPr>
          <w:ilvl w:val="0"/>
          <w:numId w:val="2"/>
        </w:num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Investigate the Impact of Public Policy</w:t>
      </w:r>
    </w:p>
    <w:p xmlns:wp14="http://schemas.microsoft.com/office/word/2010/wordml" w:rsidP="20A9E7F7" wp14:paraId="796ADBBD" wp14:textId="081B87C7">
      <w:pPr>
        <w:spacing w:before="240" w:after="240" w:line="480" w:lineRule="auto"/>
        <w:ind w:left="72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Detached Youth Work is heavily shaped by policy shifts, such as austerity and Youth Service restructuring. Research should analyse how changes in public policy have affected the availability, structure, and outcomes of Detached Youth Work provisions.</w:t>
      </w:r>
    </w:p>
    <w:p xmlns:wp14="http://schemas.microsoft.com/office/word/2010/wordml" w:rsidP="20A9E7F7" wp14:paraId="542E5060" wp14:textId="1920C4D7">
      <w:pPr>
        <w:pStyle w:val="ListParagraph"/>
        <w:numPr>
          <w:ilvl w:val="0"/>
          <w:numId w:val="2"/>
        </w:num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Involve Young People as Co-Researchers</w:t>
      </w:r>
    </w:p>
    <w:p xmlns:wp14="http://schemas.microsoft.com/office/word/2010/wordml" w:rsidP="20A9E7F7" wp14:paraId="7AC916BF" wp14:textId="45D426D2">
      <w:pPr>
        <w:spacing w:before="240" w:after="240" w:line="480" w:lineRule="auto"/>
        <w:ind w:left="72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To ensure authenticity and relevance, future evaluations of Detached Youth Work should incorporate young person led research. Involving young people as co-researchers empowers them and ensures their perspectives and experiences are central to evaluating and developing practice.</w:t>
      </w:r>
    </w:p>
    <w:p xmlns:wp14="http://schemas.microsoft.com/office/word/2010/wordml" w:rsidP="20A9E7F7" wp14:paraId="4D150C94" wp14:textId="073E696B">
      <w:pPr>
        <w:spacing w:before="240" w:after="240"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rsidP="20A9E7F7" wp14:paraId="287E09F1" wp14:textId="1BA17FB9">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1"/>
          <w:bCs w:val="1"/>
          <w:i w:val="0"/>
          <w:iCs w:val="0"/>
          <w:caps w:val="0"/>
          <w:smallCaps w:val="0"/>
          <w:noProof w:val="0"/>
          <w:color w:val="000000" w:themeColor="text1" w:themeTint="FF" w:themeShade="FF"/>
          <w:sz w:val="24"/>
          <w:szCs w:val="24"/>
          <w:lang w:val="en-GB"/>
        </w:rPr>
        <w:t>Final Reflections.</w:t>
      </w:r>
    </w:p>
    <w:p xmlns:wp14="http://schemas.microsoft.com/office/word/2010/wordml" w:rsidP="20A9E7F7" wp14:paraId="7B8F1BF4" wp14:textId="7847A928">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US"/>
        </w:rPr>
        <w:t>The study’s findings, supported by existing literature, highlight the importance of maintaining a Detached Youth Worker in the community, as this role effectively engages young people through trust-based relationships. However, the evidence also suggests that one worker may not be enough to meet the area's diverse needs. Expanding the team or adding support staff could enhance reach and impact. Overall, the research not only supports continuing the role but also makes a strong case for scaling it up through further investment and evaluation.</w:t>
      </w: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20A9E7F7" wp14:paraId="04930A1A" wp14:textId="6D3AC27B">
      <w:pPr>
        <w:spacing w:before="240" w:after="240"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20A9E7F7" w:rsidR="3FE94D39">
        <w:rPr>
          <w:rFonts w:ascii="Aptos" w:hAnsi="Aptos" w:eastAsia="Aptos" w:cs="Aptos"/>
          <w:b w:val="0"/>
          <w:bCs w:val="0"/>
          <w:i w:val="0"/>
          <w:iCs w:val="0"/>
          <w:caps w:val="0"/>
          <w:smallCaps w:val="0"/>
          <w:noProof w:val="0"/>
          <w:color w:val="000000" w:themeColor="text1" w:themeTint="FF" w:themeShade="FF"/>
          <w:sz w:val="24"/>
          <w:szCs w:val="24"/>
          <w:lang w:val="en-GB"/>
        </w:rPr>
        <w:t>This research project has confirmed the unique role that the Detached Youth Worker has played in supporting vulnerable young people and strengthening this community. It has affirmed that relationships, presence, and trust are increasingly vital in a rapidly changing social environment. The findings highlight that young people have benefited from this service that sees them as individuals, not problems, and meets them in the spaces they occupy. Despite structural challenges, the commitment and creativity of the Detached Youth Worker stands out as a strength to the community. If appropriately supported, this has the potential to transform how we engage with young people, moving from service delivery to partnership, from intervention to empowerment. Detached Youth Work should not be seen as an emergency response to social breakdown, but as a consistent, valued presence in the lives of young people. This research concludes that the findings from this research have highlighted that value has been added to the community through having access to a Detached Youth Worker. However, through ensuring further funding and time for the role to strengthen, it will add more value to the role and outcomes seen within the community.</w:t>
      </w:r>
    </w:p>
    <w:p xmlns:wp14="http://schemas.microsoft.com/office/word/2010/wordml" w:rsidP="20A9E7F7" wp14:paraId="60CAB293" wp14:textId="5EA0D2A1">
      <w:pPr>
        <w:spacing w:line="48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20A9E7F7" wp14:paraId="1E812B63" wp14:textId="5C9E51B1">
      <w:pPr>
        <w:spacing w:before="240" w:after="240" w:line="480" w:lineRule="auto"/>
        <w:jc w:val="both"/>
        <w:rPr>
          <w:rFonts w:ascii="Aptos" w:hAnsi="Aptos" w:eastAsia="Aptos" w:cs="Aptos"/>
          <w:b w:val="0"/>
          <w:bCs w:val="0"/>
          <w:i w:val="0"/>
          <w:iCs w:val="0"/>
          <w:caps w:val="0"/>
          <w:smallCaps w:val="0"/>
          <w:noProof w:val="0"/>
          <w:color w:val="D13438"/>
          <w:sz w:val="24"/>
          <w:szCs w:val="24"/>
          <w:lang w:val="en-GB"/>
        </w:rPr>
      </w:pPr>
    </w:p>
    <w:p xmlns:wp14="http://schemas.microsoft.com/office/word/2010/wordml" wp14:paraId="5E5787A5" wp14:textId="1DE2262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1e47926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aa1d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E2860D"/>
    <w:rsid w:val="20A9E7F7"/>
    <w:rsid w:val="3FE94D39"/>
    <w:rsid w:val="61E28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2860D"/>
  <w15:chartTrackingRefBased/>
  <w15:docId w15:val="{4709711D-AAE0-499E-8D2C-E5847AA080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normaltextrun" w:customStyle="true">
    <w:uiPriority w:val="1"/>
    <w:name w:val="normaltextrun"/>
    <w:basedOn w:val="DefaultParagraphFont"/>
    <w:rsid w:val="20A9E7F7"/>
    <w:rPr>
      <w:rFonts w:ascii="Aptos" w:hAnsi="Aptos" w:eastAsia="Aptos" w:cs="" w:asciiTheme="minorAscii" w:hAnsiTheme="minorAscii" w:eastAsiaTheme="minorAscii" w:cstheme="minorBidi"/>
      <w:sz w:val="22"/>
      <w:szCs w:val="22"/>
    </w:rPr>
  </w:style>
  <w:style w:type="paragraph" w:styleId="ListParagraph">
    <w:uiPriority w:val="34"/>
    <w:name w:val="List Paragraph"/>
    <w:basedOn w:val="Normal"/>
    <w:qFormat/>
    <w:rsid w:val="20A9E7F7"/>
    <w:pPr>
      <w:spacing/>
      <w:ind w:left="720"/>
      <w:contextualSpacing/>
    </w:pPr>
  </w:style>
  <w:style w:type="character" w:styleId="Hyperlink">
    <w:uiPriority w:val="99"/>
    <w:name w:val="Hyperlink"/>
    <w:basedOn w:val="DefaultParagraphFont"/>
    <w:unhideWhenUsed/>
    <w:rsid w:val="20A9E7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era.ac.uk/researchers-resources/publications/ethical-guidelines-for-educational-research-2018" TargetMode="External" Id="Rd556ba516f5c47bd" /><Relationship Type="http://schemas.openxmlformats.org/officeDocument/2006/relationships/hyperlink" Target="https://www.ewc.wales/site/index.php/en/fitness-to-practise/code-of-professional-conduct-and-practice/the-code" TargetMode="External" Id="R484d877730184129" /><Relationship Type="http://schemas.openxmlformats.org/officeDocument/2006/relationships/hyperlink" Target="https://www.econstor.eu/handle/10419/306742" TargetMode="External" Id="R3d6c57c5e6c94ba6" /><Relationship Type="http://schemas.openxmlformats.org/officeDocument/2006/relationships/hyperlink" Target="https://infed.org/mobi/young-people-youth-work-youth-service-national-youth-service-strategy-for-wales/" TargetMode="External" Id="R67d6964558e04d01" /><Relationship Type="http://schemas.openxmlformats.org/officeDocument/2006/relationships/hyperlink" Target="https://www.gov.wales/sites/default/files/publications/2019-06/youth-work-strategy-for-wales.pdf" TargetMode="External" Id="Rb0a935023e1d4a29" /><Relationship Type="http://schemas.openxmlformats.org/officeDocument/2006/relationships/image" Target="/media/image.png" Id="R3062a982e9d34af3" /><Relationship Type="http://schemas.openxmlformats.org/officeDocument/2006/relationships/image" Target="/media/image2.png" Id="Rdbfac41137b34a68" /><Relationship Type="http://schemas.openxmlformats.org/officeDocument/2006/relationships/image" Target="/media/image3.png" Id="R7ad0d08fc2bf43d7" /><Relationship Type="http://schemas.openxmlformats.org/officeDocument/2006/relationships/image" Target="/media/image4.png" Id="R2373810c1c8641db" /><Relationship Type="http://schemas.openxmlformats.org/officeDocument/2006/relationships/image" Target="/media/image5.png" Id="Re88618126b1e44ff" /><Relationship Type="http://schemas.openxmlformats.org/officeDocument/2006/relationships/image" Target="/media/image6.png" Id="Rdc6dd0a838224bb1" /><Relationship Type="http://schemas.openxmlformats.org/officeDocument/2006/relationships/image" Target="/media/image7.png" Id="Ra2141a50669545cf" /><Relationship Type="http://schemas.openxmlformats.org/officeDocument/2006/relationships/image" Target="/media/image8.png" Id="Rd6410f22bca1484d" /><Relationship Type="http://schemas.openxmlformats.org/officeDocument/2006/relationships/image" Target="/media/image9.png" Id="R6750dcc1be5c4db8" /><Relationship Type="http://schemas.openxmlformats.org/officeDocument/2006/relationships/image" Target="/media/imagea.png" Id="R72b69031c6d743a5" /><Relationship Type="http://schemas.openxmlformats.org/officeDocument/2006/relationships/numbering" Target="/word/numbering.xml" Id="R3b8a806a01d74c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Carina Walters (2206384)</dc:creator>
  <keywords/>
  <dc:description/>
  <lastModifiedBy>Carina Walters (2206384)</lastModifiedBy>
  <revision>2</revision>
  <dcterms:created xsi:type="dcterms:W3CDTF">2025-05-04T16:44:48.1148406Z</dcterms:created>
  <dcterms:modified xsi:type="dcterms:W3CDTF">2025-05-04T16:45:28.4710423Z</dcterms:modified>
</coreProperties>
</file>