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4DDE860">
      <w:pPr>
        <w:spacing w:line="360" w:lineRule="auto"/>
        <w:jc w:val="center"/>
        <w:rPr>
          <w:rFonts w:ascii="Times New Roman" w:hAnsi="Times New Roman" w:cs="Times New Roman"/>
          <w:b/>
          <w:bCs/>
          <w:sz w:val="32"/>
          <w:szCs w:val="36"/>
        </w:rPr>
      </w:pPr>
      <w:r>
        <w:rPr>
          <w:rFonts w:ascii="Times New Roman" w:hAnsi="Times New Roman" w:cs="Times New Roman"/>
          <w:b/>
          <w:bCs/>
          <w:sz w:val="32"/>
          <w:szCs w:val="36"/>
        </w:rPr>
        <w:t>A Critical Review of EIA Process Quality for the Craig y Perthi Solar Farm in Wales</w:t>
      </w:r>
    </w:p>
    <w:p w14:paraId="11F837EE">
      <w:pPr>
        <w:spacing w:line="360" w:lineRule="auto"/>
        <w:jc w:val="center"/>
        <w:rPr>
          <w:rFonts w:ascii="Times New Roman" w:hAnsi="Times New Roman" w:cs="Times New Roman"/>
          <w:b/>
          <w:bCs/>
          <w:sz w:val="32"/>
          <w:szCs w:val="36"/>
        </w:rPr>
      </w:pPr>
    </w:p>
    <w:p w14:paraId="0F9B9A87">
      <w:pPr>
        <w:spacing w:line="360" w:lineRule="auto"/>
        <w:jc w:val="center"/>
        <w:rPr>
          <w:rFonts w:ascii="Times New Roman" w:hAnsi="Times New Roman" w:cs="Times New Roman"/>
          <w:b/>
          <w:bCs/>
          <w:sz w:val="32"/>
          <w:szCs w:val="36"/>
        </w:rPr>
      </w:pPr>
    </w:p>
    <w:p w14:paraId="5FB6B218">
      <w:pPr>
        <w:spacing w:line="360" w:lineRule="auto"/>
        <w:jc w:val="center"/>
        <w:rPr>
          <w:rFonts w:ascii="Times New Roman" w:hAnsi="Times New Roman" w:cs="Times New Roman"/>
          <w:b/>
          <w:bCs/>
          <w:sz w:val="32"/>
          <w:szCs w:val="36"/>
        </w:rPr>
      </w:pPr>
    </w:p>
    <w:p w14:paraId="370BA9D0">
      <w:pPr>
        <w:spacing w:line="360" w:lineRule="auto"/>
        <w:jc w:val="center"/>
        <w:rPr>
          <w:rFonts w:ascii="Times New Roman" w:hAnsi="Times New Roman" w:cs="Times New Roman"/>
          <w:b/>
          <w:bCs/>
          <w:sz w:val="32"/>
          <w:szCs w:val="36"/>
        </w:rPr>
      </w:pPr>
    </w:p>
    <w:p w14:paraId="6ACDE53B">
      <w:pPr>
        <w:spacing w:line="360" w:lineRule="auto"/>
        <w:jc w:val="center"/>
        <w:rPr>
          <w:rFonts w:ascii="Times New Roman" w:hAnsi="Times New Roman" w:cs="Times New Roman"/>
          <w:b/>
          <w:bCs/>
          <w:sz w:val="32"/>
          <w:szCs w:val="36"/>
        </w:rPr>
      </w:pPr>
    </w:p>
    <w:p w14:paraId="64F81228">
      <w:pPr>
        <w:spacing w:line="360" w:lineRule="auto"/>
        <w:jc w:val="center"/>
        <w:rPr>
          <w:rFonts w:ascii="Times New Roman" w:hAnsi="Times New Roman" w:cs="Times New Roman"/>
          <w:b/>
          <w:bCs/>
          <w:sz w:val="32"/>
          <w:szCs w:val="36"/>
        </w:rPr>
      </w:pPr>
    </w:p>
    <w:p w14:paraId="175E64D3">
      <w:pPr>
        <w:spacing w:line="360" w:lineRule="auto"/>
        <w:jc w:val="center"/>
        <w:rPr>
          <w:rFonts w:ascii="Times New Roman" w:hAnsi="Times New Roman" w:cs="Times New Roman"/>
          <w:b/>
          <w:bCs/>
          <w:sz w:val="32"/>
          <w:szCs w:val="36"/>
        </w:rPr>
      </w:pPr>
    </w:p>
    <w:p w14:paraId="346784BB">
      <w:pPr>
        <w:spacing w:line="360" w:lineRule="auto"/>
        <w:jc w:val="center"/>
        <w:rPr>
          <w:rFonts w:ascii="Times New Roman" w:hAnsi="Times New Roman" w:cs="Times New Roman"/>
          <w:b/>
          <w:bCs/>
          <w:sz w:val="32"/>
          <w:szCs w:val="36"/>
        </w:rPr>
      </w:pPr>
    </w:p>
    <w:p w14:paraId="13829686">
      <w:pPr>
        <w:spacing w:line="360" w:lineRule="auto"/>
        <w:jc w:val="center"/>
        <w:rPr>
          <w:rFonts w:ascii="Times New Roman" w:hAnsi="Times New Roman" w:cs="Times New Roman"/>
          <w:b/>
          <w:bCs/>
          <w:sz w:val="32"/>
          <w:szCs w:val="36"/>
        </w:rPr>
      </w:pPr>
    </w:p>
    <w:p w14:paraId="7A8C3733">
      <w:pPr>
        <w:spacing w:line="360" w:lineRule="auto"/>
        <w:jc w:val="center"/>
        <w:rPr>
          <w:rFonts w:ascii="Times New Roman" w:hAnsi="Times New Roman" w:cs="Times New Roman"/>
          <w:b/>
          <w:bCs/>
          <w:sz w:val="32"/>
          <w:szCs w:val="36"/>
        </w:rPr>
      </w:pPr>
    </w:p>
    <w:p w14:paraId="46B885DB">
      <w:pPr>
        <w:spacing w:line="360" w:lineRule="auto"/>
        <w:jc w:val="center"/>
        <w:rPr>
          <w:rFonts w:ascii="Times New Roman" w:hAnsi="Times New Roman" w:cs="Times New Roman"/>
          <w:b/>
          <w:bCs/>
          <w:sz w:val="32"/>
          <w:szCs w:val="36"/>
        </w:rPr>
      </w:pPr>
    </w:p>
    <w:p w14:paraId="4015107C">
      <w:pPr>
        <w:spacing w:line="360" w:lineRule="auto"/>
        <w:jc w:val="center"/>
        <w:rPr>
          <w:rFonts w:ascii="Times New Roman" w:hAnsi="Times New Roman" w:cs="Times New Roman"/>
          <w:b/>
          <w:bCs/>
          <w:sz w:val="32"/>
          <w:szCs w:val="36"/>
        </w:rPr>
      </w:pPr>
    </w:p>
    <w:p w14:paraId="6A78BC77">
      <w:pPr>
        <w:spacing w:line="360" w:lineRule="auto"/>
        <w:jc w:val="center"/>
        <w:rPr>
          <w:rFonts w:ascii="Times New Roman" w:hAnsi="Times New Roman" w:cs="Times New Roman"/>
          <w:b/>
          <w:bCs/>
          <w:sz w:val="32"/>
          <w:szCs w:val="36"/>
        </w:rPr>
      </w:pPr>
    </w:p>
    <w:p w14:paraId="07A09259">
      <w:pPr>
        <w:spacing w:line="360" w:lineRule="auto"/>
        <w:jc w:val="center"/>
        <w:rPr>
          <w:rFonts w:ascii="Times New Roman" w:hAnsi="Times New Roman" w:cs="Times New Roman"/>
          <w:b/>
          <w:bCs/>
          <w:sz w:val="32"/>
          <w:szCs w:val="36"/>
        </w:rPr>
      </w:pPr>
    </w:p>
    <w:p w14:paraId="49D086FB">
      <w:pPr>
        <w:spacing w:line="360" w:lineRule="auto"/>
        <w:jc w:val="center"/>
        <w:rPr>
          <w:rFonts w:ascii="Times New Roman" w:hAnsi="Times New Roman" w:cs="Times New Roman"/>
          <w:b/>
          <w:bCs/>
          <w:sz w:val="32"/>
          <w:szCs w:val="36"/>
        </w:rPr>
      </w:pPr>
    </w:p>
    <w:p w14:paraId="67F9A382">
      <w:pPr>
        <w:pStyle w:val="2"/>
        <w:spacing w:line="240" w:lineRule="auto"/>
        <w:jc w:val="both"/>
        <w:rPr>
          <w:rFonts w:ascii="Times New Roman" w:hAnsi="Times New Roman" w:cs="Times New Roman"/>
        </w:rPr>
      </w:pPr>
      <w:r>
        <w:rPr>
          <w:rFonts w:ascii="Times New Roman" w:hAnsi="Times New Roman" w:cs="Times New Roman"/>
        </w:rPr>
        <w:t>Contents</w:t>
      </w:r>
    </w:p>
    <w:p w14:paraId="6F029428">
      <w:pPr>
        <w:tabs>
          <w:tab w:val="right" w:leader="dot" w:pos="8306"/>
        </w:tabs>
        <w:spacing w:line="240" w:lineRule="auto"/>
        <w:jc w:val="both"/>
        <w:rPr>
          <w:rFonts w:hint="default" w:ascii="Times New Roman" w:hAnsi="Times New Roman" w:cs="Times New Roman"/>
          <w:lang w:val="en-US"/>
        </w:rPr>
      </w:pPr>
      <w:r>
        <w:rPr>
          <w:rFonts w:hint="default" w:ascii="Times New Roman" w:hAnsi="Times New Roman" w:cs="Times New Roman"/>
          <w:lang w:val="en-US"/>
        </w:rPr>
        <w:t>Abstract</w:t>
      </w:r>
    </w:p>
    <w:p w14:paraId="50FAABE1">
      <w:pPr>
        <w:tabs>
          <w:tab w:val="right" w:leader="dot" w:pos="8306"/>
        </w:tabs>
        <w:spacing w:line="240" w:lineRule="auto"/>
        <w:jc w:val="both"/>
        <w:rPr>
          <w:rFonts w:ascii="Times New Roman" w:hAnsi="Times New Roman" w:cs="Times New Roman"/>
        </w:rPr>
      </w:pPr>
      <w:r>
        <w:rPr>
          <w:rFonts w:ascii="Times New Roman" w:hAnsi="Times New Roman" w:cs="Times New Roman"/>
        </w:rPr>
        <w:t>1. Introduction</w:t>
      </w:r>
    </w:p>
    <w:p w14:paraId="20E1D593">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1</w:t>
      </w:r>
      <w:r>
        <w:rPr>
          <w:rFonts w:ascii="Times New Roman" w:hAnsi="Times New Roman" w:cs="Times New Roman"/>
        </w:rPr>
        <w:t>.1 Case context</w:t>
      </w:r>
    </w:p>
    <w:p w14:paraId="12CB2F36">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1</w:t>
      </w:r>
      <w:r>
        <w:rPr>
          <w:rFonts w:ascii="Times New Roman" w:hAnsi="Times New Roman" w:cs="Times New Roman"/>
        </w:rPr>
        <w:t>.2 Supporting legislation</w:t>
      </w:r>
    </w:p>
    <w:p w14:paraId="17DEF70C">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1</w:t>
      </w:r>
      <w:r>
        <w:rPr>
          <w:rFonts w:ascii="Times New Roman" w:hAnsi="Times New Roman" w:cs="Times New Roman"/>
        </w:rPr>
        <w:t>.3 Sustainability context and intent</w:t>
      </w:r>
    </w:p>
    <w:p w14:paraId="5FB84553">
      <w:pPr>
        <w:tabs>
          <w:tab w:val="right" w:leader="dot" w:pos="8306"/>
        </w:tabs>
        <w:spacing w:line="240" w:lineRule="auto"/>
        <w:jc w:val="both"/>
        <w:rPr>
          <w:rFonts w:ascii="Times New Roman" w:hAnsi="Times New Roman" w:cs="Times New Roman"/>
        </w:rPr>
      </w:pPr>
      <w:r>
        <w:rPr>
          <w:rFonts w:hint="default" w:ascii="Times New Roman" w:hAnsi="Times New Roman" w:cs="Times New Roman"/>
          <w:lang w:val="en-US"/>
        </w:rPr>
        <w:t>2</w:t>
      </w:r>
      <w:r>
        <w:rPr>
          <w:rFonts w:ascii="Times New Roman" w:hAnsi="Times New Roman" w:cs="Times New Roman"/>
        </w:rPr>
        <w:t>. Methodology</w:t>
      </w:r>
    </w:p>
    <w:p w14:paraId="42029943">
      <w:pPr>
        <w:tabs>
          <w:tab w:val="right" w:leader="dot" w:pos="8306"/>
        </w:tabs>
        <w:spacing w:line="240" w:lineRule="auto"/>
        <w:jc w:val="both"/>
        <w:rPr>
          <w:rFonts w:ascii="Times New Roman" w:hAnsi="Times New Roman" w:cs="Times New Roman"/>
        </w:rPr>
      </w:pPr>
      <w:r>
        <w:rPr>
          <w:rFonts w:hint="eastAsia" w:ascii="Times New Roman" w:hAnsi="Times New Roman" w:cs="Times New Roman"/>
        </w:rPr>
        <w:t>3. Results</w:t>
      </w:r>
    </w:p>
    <w:p w14:paraId="3B48634F">
      <w:pPr>
        <w:tabs>
          <w:tab w:val="right" w:leader="dot" w:pos="8306"/>
        </w:tabs>
        <w:spacing w:line="240" w:lineRule="auto"/>
        <w:ind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 EIA process quality (dimension-by-dimension)</w:t>
      </w:r>
    </w:p>
    <w:p w14:paraId="6316A597">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w:t>
      </w:r>
      <w:r>
        <w:rPr>
          <w:rFonts w:ascii="Times New Roman" w:hAnsi="Times New Roman" w:cs="Times New Roman"/>
        </w:rPr>
        <w:t>.1</w:t>
      </w:r>
      <w:r>
        <w:rPr>
          <w:rFonts w:hint="default" w:ascii="Times New Roman" w:hAnsi="Times New Roman" w:cs="Times New Roman"/>
          <w:lang w:val="en-US"/>
        </w:rPr>
        <w:t>.1</w:t>
      </w:r>
      <w:r>
        <w:rPr>
          <w:rFonts w:ascii="Times New Roman" w:hAnsi="Times New Roman" w:cs="Times New Roman"/>
        </w:rPr>
        <w:t xml:space="preserve"> Scoping and baseline data quality</w:t>
      </w:r>
    </w:p>
    <w:p w14:paraId="76DB6E2A">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.2 Alternatives assessment</w:t>
      </w:r>
    </w:p>
    <w:p w14:paraId="5B1E3911">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.3 Impact identification, prediction and significance reasoning</w:t>
      </w:r>
    </w:p>
    <w:p w14:paraId="31802C1A">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.4 Mitigation, monitoring and EIA follow-up</w:t>
      </w:r>
    </w:p>
    <w:p w14:paraId="1D289CA4">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5 Consultation and stakeholder engagement</w:t>
      </w:r>
    </w:p>
    <w:p w14:paraId="3A0E0616">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3.1</w:t>
      </w:r>
      <w:r>
        <w:rPr>
          <w:rFonts w:ascii="Times New Roman" w:hAnsi="Times New Roman" w:cs="Times New Roman"/>
        </w:rPr>
        <w:t>.6 Reporting quality and accessibility</w:t>
      </w:r>
    </w:p>
    <w:p w14:paraId="470C50E9">
      <w:pPr>
        <w:tabs>
          <w:tab w:val="right" w:leader="dot" w:pos="8306"/>
        </w:tabs>
        <w:spacing w:line="240" w:lineRule="auto"/>
        <w:ind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 xml:space="preserve"> Theory/law versus practice: gap analysis</w:t>
      </w:r>
    </w:p>
    <w:p w14:paraId="3E88C918">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.1 Alternatives as description rather than decision shaping</w:t>
      </w:r>
    </w:p>
    <w:p w14:paraId="20977E61">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.2 Procedural consultation versus legitimacy and learning</w:t>
      </w:r>
    </w:p>
    <w:p w14:paraId="6ED80EDA">
      <w:pPr>
        <w:tabs>
          <w:tab w:val="right" w:leader="dot" w:pos="8306"/>
        </w:tabs>
        <w:spacing w:line="240" w:lineRule="auto"/>
        <w:ind w:firstLine="660" w:firstLineChars="30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 xml:space="preserve">.3 Management plans exist but commitments are not fully auditable at decision </w:t>
      </w:r>
      <w:r>
        <w:rPr>
          <w:rFonts w:hint="default" w:ascii="Times New Roman" w:hAnsi="Times New Roman" w:cs="Times New Roman"/>
          <w:lang w:val="en-US"/>
        </w:rPr>
        <w:t xml:space="preserve">  </w:t>
      </w:r>
      <w:r>
        <w:rPr>
          <w:rFonts w:ascii="Times New Roman" w:hAnsi="Times New Roman" w:cs="Times New Roman"/>
        </w:rPr>
        <w:t>time</w:t>
      </w:r>
    </w:p>
    <w:p w14:paraId="71BEA333">
      <w:pPr>
        <w:tabs>
          <w:tab w:val="right" w:leader="dot" w:pos="8306"/>
        </w:tabs>
        <w:spacing w:line="240" w:lineRule="auto"/>
        <w:ind w:left="360" w:firstLine="330" w:firstLineChars="150"/>
        <w:jc w:val="both"/>
        <w:rPr>
          <w:rFonts w:ascii="Times New Roman" w:hAnsi="Times New Roman" w:cs="Times New Roman"/>
        </w:rPr>
      </w:pPr>
      <w:r>
        <w:rPr>
          <w:rFonts w:hint="default" w:ascii="Times New Roman" w:hAnsi="Times New Roman" w:cs="Times New Roman"/>
          <w:lang w:val="en-US"/>
        </w:rPr>
        <w:t>3.2</w:t>
      </w:r>
      <w:r>
        <w:rPr>
          <w:rFonts w:ascii="Times New Roman" w:hAnsi="Times New Roman" w:cs="Times New Roman"/>
        </w:rPr>
        <w:t>.4 Comparative case: Cleve Hill Solar Park (England, NSIP)</w:t>
      </w:r>
    </w:p>
    <w:p w14:paraId="3987CBD8">
      <w:pPr>
        <w:tabs>
          <w:tab w:val="right" w:leader="dot" w:pos="8306"/>
        </w:tabs>
        <w:spacing w:line="240" w:lineRule="auto"/>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 Recommendations</w:t>
      </w:r>
    </w:p>
    <w:p w14:paraId="29A40219">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.1 For the competent authority</w:t>
      </w:r>
    </w:p>
    <w:p w14:paraId="13F150C0">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.2 For the EIA consultant</w:t>
      </w:r>
    </w:p>
    <w:p w14:paraId="2BB39D29">
      <w:pPr>
        <w:tabs>
          <w:tab w:val="right" w:leader="dot" w:pos="8306"/>
        </w:tabs>
        <w:spacing w:line="240" w:lineRule="auto"/>
        <w:ind w:left="360"/>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.3 For the developer/applicant</w:t>
      </w:r>
    </w:p>
    <w:p w14:paraId="24A0E558">
      <w:pPr>
        <w:tabs>
          <w:tab w:val="right" w:leader="dot" w:pos="8306"/>
        </w:tabs>
        <w:spacing w:line="240" w:lineRule="auto"/>
        <w:jc w:val="both"/>
        <w:rPr>
          <w:rFonts w:hint="default" w:ascii="Times New Roman" w:hAnsi="Times New Roman" w:cs="Times New Roman"/>
          <w:lang w:val="en-US"/>
        </w:rPr>
      </w:pPr>
      <w:r>
        <w:rPr>
          <w:rFonts w:hint="default" w:ascii="Times New Roman" w:hAnsi="Times New Roman" w:cs="Times New Roman"/>
          <w:lang w:val="en-US"/>
        </w:rPr>
        <w:t>5</w:t>
      </w:r>
      <w:r>
        <w:rPr>
          <w:rFonts w:ascii="Times New Roman" w:hAnsi="Times New Roman" w:cs="Times New Roman"/>
        </w:rPr>
        <w:t>. Conclusion</w:t>
      </w:r>
      <w:r>
        <w:rPr>
          <w:rFonts w:hint="default" w:ascii="Times New Roman" w:hAnsi="Times New Roman" w:cs="Times New Roman"/>
          <w:lang w:val="en-US"/>
        </w:rPr>
        <w:t>s</w:t>
      </w:r>
    </w:p>
    <w:p w14:paraId="4B8B2454">
      <w:pPr>
        <w:tabs>
          <w:tab w:val="right" w:leader="dot" w:pos="8306"/>
        </w:tabs>
        <w:spacing w:line="240" w:lineRule="auto"/>
        <w:jc w:val="both"/>
        <w:rPr>
          <w:rFonts w:ascii="Times New Roman" w:hAnsi="Times New Roman" w:cs="Times New Roman"/>
        </w:rPr>
      </w:pPr>
      <w:r>
        <w:rPr>
          <w:rFonts w:ascii="Times New Roman" w:hAnsi="Times New Roman" w:cs="Times New Roman"/>
        </w:rPr>
        <w:t>Reference</w:t>
      </w:r>
    </w:p>
    <w:p w14:paraId="33FD8FAB">
      <w:pPr>
        <w:tabs>
          <w:tab w:val="right" w:leader="dot" w:pos="8306"/>
        </w:tabs>
        <w:spacing w:line="240" w:lineRule="auto"/>
        <w:jc w:val="both"/>
        <w:rPr>
          <w:rFonts w:ascii="Times New Roman" w:hAnsi="Times New Roman" w:cs="Times New Roman"/>
        </w:rPr>
      </w:pPr>
      <w:r>
        <w:rPr>
          <w:rFonts w:ascii="Times New Roman" w:hAnsi="Times New Roman" w:cs="Times New Roman"/>
        </w:rPr>
        <w:t>Appendix A. Lee &amp; Colley grading legend (abridged)</w:t>
      </w:r>
    </w:p>
    <w:p w14:paraId="217D7534">
      <w:pPr>
        <w:pStyle w:val="2"/>
        <w:spacing w:line="360" w:lineRule="auto"/>
        <w:jc w:val="both"/>
        <w:rPr>
          <w:rFonts w:hint="default" w:ascii="Times New Roman" w:hAnsi="Times New Roman" w:cs="Times New Roman"/>
          <w:lang w:val="en-US"/>
        </w:rPr>
      </w:pPr>
      <w:r>
        <w:rPr>
          <w:rFonts w:hint="default" w:ascii="Times New Roman" w:hAnsi="Times New Roman" w:cs="Times New Roman"/>
          <w:lang w:val="en-US"/>
        </w:rPr>
        <w:t>Abstract</w:t>
      </w:r>
    </w:p>
    <w:p w14:paraId="296CDB5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quality of the processes of the Environmental Impact Assessment (EIA) drafted to the Craig y Perthi Solar Farm near Newport, South Wales is critically reviewed as a Development of National Significance (DNS) application. The paper does not make the case as to whether the application is justified or not. Rather it assesses the credibility of the EIA process and ensuing Environmental Statement (ES) to present, offer, transparent and significant opportunities of questioning and involvement as is the sustainability focused intention of EIA.</w:t>
      </w:r>
    </w:p>
    <w:p w14:paraId="5027F3D8">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review is in accordance with Lee and Colley Environmental Statement Review Package (Lee and Colley, 1992) and also compares the significant requirements of Town and Country Planning (Environmental Impact Assessment) (Wales) Regulations 2017 (Welsh Government, 2017) with the evidence available through the ES Non-Technical summary, the Alternatives chapter, the ES summary of effects, management plans (CEMP/LEMP), the statutory pre-application notice and the formal scoping direction.</w:t>
      </w:r>
    </w:p>
    <w:p w14:paraId="27C291BE">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ES has the following strengths: documented scoping outcome with scoped out and in topics (PEDW, 2023), considerable ecology evidence base (with specific survey like eDNA on great crested newt) summarised in the ES conclusions (Axis P. E. D. Ltd, 2023c), the presence of implementation tools to implement mitigation to construction and operation (Axis P. E. D. Ltd, 2023e; Axis P. E. D. Ltd, The key areas of weakness include: how the reasonable alternatives are being formulated and demonstrated (Axis P. E. D. Ltd, 2023b), lack of public traceability in the transition of consultation to project design development (Axis P. E. D. Ltd, 2023d) and post-award undertakings which are not gathered in a non-malleable record of commitments.</w:t>
      </w:r>
    </w:p>
    <w:p w14:paraId="716DC81F">
      <w:pPr>
        <w:spacing w:after="240" w:line="360" w:lineRule="auto"/>
        <w:jc w:val="both"/>
        <w:rPr>
          <w:rFonts w:ascii="Times New Roman" w:hAnsi="Times New Roman" w:cs="Times New Roman"/>
          <w:sz w:val="24"/>
        </w:rPr>
      </w:pPr>
      <w:r>
        <w:rPr>
          <w:rFonts w:hint="eastAsia" w:ascii="Times New Roman" w:hAnsi="Times New Roman" w:cs="Times New Roman"/>
          <w:sz w:val="24"/>
        </w:rPr>
        <w:t>In general, it is suggested by this case that modern day EIA practice never truly becomes inept at the existing functions identifying impact and mitigating the plan but might fail to achieve adequacy in performing on upstream decision shaping, legitimacy and learning. Actions that can be taken are: Issue a transparent alternatives appraisal matrix; whether including lively exchanges, Construct open EIA commitments register which links effects with monitoring markers and duties and Include a consultation traceability report (“you said/we did to convince and establish trust.</w:t>
      </w:r>
    </w:p>
    <w:p w14:paraId="1BA33C75">
      <w:pPr>
        <w:pStyle w:val="2"/>
        <w:spacing w:line="360" w:lineRule="auto"/>
        <w:jc w:val="both"/>
        <w:rPr>
          <w:rFonts w:ascii="Times New Roman" w:hAnsi="Times New Roman" w:cs="Times New Roman"/>
        </w:rPr>
      </w:pPr>
      <w:r>
        <w:rPr>
          <w:rFonts w:ascii="Times New Roman" w:hAnsi="Times New Roman" w:cs="Times New Roman"/>
        </w:rPr>
        <w:t>1. Introduction</w:t>
      </w:r>
    </w:p>
    <w:p w14:paraId="754C98E5">
      <w:pPr>
        <w:spacing w:after="240" w:line="360" w:lineRule="auto"/>
        <w:jc w:val="both"/>
        <w:rPr>
          <w:rFonts w:ascii="Times New Roman" w:hAnsi="Times New Roman" w:cs="Times New Roman"/>
          <w:sz w:val="24"/>
        </w:rPr>
      </w:pPr>
      <w:r>
        <w:rPr>
          <w:rFonts w:ascii="Times New Roman" w:hAnsi="Times New Roman" w:cs="Times New Roman"/>
          <w:sz w:val="24"/>
        </w:rPr>
        <w:t>Environmental impact assessments were developed to ensure that environmental and social issues are considered early in development planning, rather than being considered at the end. Various areas have developed extensive guidelines and detailed content requirements over the years, however studies continue to find large variations in the quality of these assessments (Sadler, 1996; Jay et al. , 2007; Morgan, 2012). Good reports allow for checking and design improvements while others serve to provide paperwork evidencing decisions that were made anyway (Lee and Colley, 1992; Cashmore, 2004; Jay et al. , 2007). Recent writings about the usefulness of EIA extend beyond simply following steps and place more importance on other aspects such as trustworthiness, learning and the ability to make choices earlier in the process (Caro-Gonzalez et al. , 2023; Morgan, 2012; Jay et al. , 2007).</w:t>
      </w:r>
      <w:r>
        <w:rPr>
          <w:rFonts w:ascii="Times New Roman" w:hAnsi="Times New Roman" w:cs="Times New Roman"/>
          <w:sz w:val="24"/>
        </w:rPr>
        <w:br w:type="textWrapping"/>
      </w:r>
      <w:r>
        <w:rPr>
          <w:rFonts w:ascii="Times New Roman" w:hAnsi="Times New Roman" w:cs="Times New Roman"/>
          <w:sz w:val="24"/>
        </w:rPr>
        <w:t>This paper investigates the Craig y Perthi Solar Farm report as a current example from Wales, . The document contains a Non-Technical Summary which explains that this provides a brief description of the plans and possible environmental effects using simpler language (Axis P. E. D. Ltd, 2023g). There is also a section about different choices, acknowledging that reports should describe other reasonable options that were looked at and why the chosen option was made (Axis P. E. D. Ltd, 2023b). The development consent system also gives official guidance which states what should and should not be included (PEDW, 2023), as well as the required paperwork before applying which describes the consultation plans (Axis P. E. D. Ltd, 2023d). In short all these things mean that Craig y Perthi is helpful in acting as a current case to see what the impact of the legal rules made are, meaning the quality of how they work in practice.</w:t>
      </w:r>
      <w:r>
        <w:rPr>
          <w:rFonts w:ascii="Times New Roman" w:hAnsi="Times New Roman" w:cs="Times New Roman"/>
          <w:sz w:val="24"/>
        </w:rPr>
        <w:br w:type="textWrapping"/>
      </w:r>
      <w:r>
        <w:rPr>
          <w:rFonts w:ascii="Times New Roman" w:hAnsi="Times New Roman" w:cs="Times New Roman"/>
          <w:sz w:val="24"/>
        </w:rPr>
        <w:t>The aim is to look at the quality of EIA process features, , not the project itself which is good or bad. The paper explores the following questions: (1) How much does the EIA meets the legal requirements and best practice features, specifically for the aspects of scoping, baseline information, alternatives, information about impact prediction and its significance, mitigation and monitoring, plus consultation and reporting? (2) Where in this case it shows differences between EIA theory and the intention of sustainability, as well as legal expectations and then what actually happens in practice? (3) What improvements features can realistically be made within the existing regulatory context in Wales, and also, how can a structured review method support them ?</w:t>
      </w:r>
    </w:p>
    <w:p w14:paraId="0BA59C5C">
      <w:pPr>
        <w:pStyle w:val="3"/>
        <w:spacing w:line="360" w:lineRule="auto"/>
        <w:jc w:val="both"/>
        <w:rPr>
          <w:rFonts w:cs="Times New Roman"/>
        </w:rPr>
      </w:pPr>
      <w:r>
        <w:rPr>
          <w:rFonts w:hint="default" w:cs="Times New Roman"/>
          <w:lang w:val="en-US"/>
        </w:rPr>
        <w:t>1</w:t>
      </w:r>
      <w:r>
        <w:rPr>
          <w:rFonts w:cs="Times New Roman"/>
        </w:rPr>
        <w:t>.1 Case context</w:t>
      </w:r>
    </w:p>
    <w:p w14:paraId="6B6C2F90">
      <w:pPr>
        <w:spacing w:after="240" w:line="360" w:lineRule="auto"/>
        <w:jc w:val="both"/>
        <w:rPr>
          <w:rFonts w:ascii="Times New Roman" w:hAnsi="Times New Roman" w:cs="Times New Roman"/>
          <w:sz w:val="24"/>
        </w:rPr>
      </w:pPr>
      <w:r>
        <w:rPr>
          <w:rFonts w:ascii="Times New Roman" w:hAnsi="Times New Roman" w:cs="Times New Roman"/>
          <w:sz w:val="24"/>
        </w:rPr>
        <w:t>Craig y Perthi is proposed to be a solar photovoltaic generating with battery storage facility on land adjoining to Newport, South Wales. NTS “says that the Environmental Statement describes likely important effects associated with construction, operation and the decommissioning phase (Axis P. E. D. Ltd, 2023g). Solar planning proposals are often promoted as low carbon infrastructure, but in respect of their local impacts, landscape character and biodiversity and water environment matters and community amenity, . The quality of Environmental Statement is therefore critical: a project can be argued to be positive for society in the broad sense, while also requiring strong local proof and also accountability mechanisms.</w:t>
      </w:r>
    </w:p>
    <w:p w14:paraId="3069A5B8">
      <w:pPr>
        <w:pStyle w:val="3"/>
        <w:spacing w:line="360" w:lineRule="auto"/>
        <w:jc w:val="both"/>
        <w:rPr>
          <w:rFonts w:cs="Times New Roman"/>
        </w:rPr>
      </w:pPr>
      <w:r>
        <w:rPr>
          <w:rFonts w:hint="default" w:cs="Times New Roman"/>
          <w:lang w:val="en-US"/>
        </w:rPr>
        <w:t>1</w:t>
      </w:r>
      <w:r>
        <w:rPr>
          <w:rFonts w:cs="Times New Roman"/>
        </w:rPr>
        <w:t>.2 Supporting legislation</w:t>
      </w:r>
    </w:p>
    <w:p w14:paraId="125A7A03">
      <w:pPr>
        <w:spacing w:after="240" w:line="360" w:lineRule="auto"/>
        <w:jc w:val="both"/>
        <w:rPr>
          <w:rFonts w:ascii="Times New Roman" w:hAnsi="Times New Roman" w:cs="Times New Roman"/>
          <w:sz w:val="24"/>
        </w:rPr>
      </w:pPr>
      <w:r>
        <w:rPr>
          <w:rFonts w:ascii="Times New Roman" w:hAnsi="Times New Roman" w:cs="Times New Roman"/>
          <w:sz w:val="24"/>
        </w:rPr>
        <w:t>The project EIA relevant requirements are provided by Town and Country Planning (Environmental Impact Assessment) (Wales) Regulations 2017. These require, among other things, description of the development, the likely significant effects, description of the reasonable alternatives and the primary reasons why it is chosen, non-technical summary and the reference list of sources (Welsh Government, 2017). This duty is explicitly mentioned in Craig y Perthi Alternatives chapter (Axis P. E. D. Ltd, 2023b) and provides a clear point of engagement to review the treatment of alternatives as a meaningful appraisal or the minimum description of it. Key regulatory anchors and review expectations used in the paper are summarised in Table 1 (see Table 1).</w:t>
      </w:r>
      <w:r>
        <w:rPr>
          <w:rFonts w:ascii="Times New Roman" w:hAnsi="Times New Roman" w:cs="Times New Roman"/>
          <w:sz w:val="24"/>
        </w:rPr>
        <w:br w:type="textWrapping"/>
      </w:r>
      <w:r>
        <w:rPr>
          <w:rFonts w:ascii="Times New Roman" w:hAnsi="Times New Roman" w:cs="Times New Roman"/>
          <w:sz w:val="24"/>
        </w:rPr>
        <w:t>Developments of National Significance (DNS) regime is used to promote Craig y Perthi. The process of DNS process creates the expectations in the pre-application consultation and publicity. As it is said in the public notice related to Craig y Perthi the consultation was carried out in accordance with Articles 8 and 9(2) (Axis P. E. D. Ltd, 2023d). This provides a clear legal point of engagement, but the quality question is was there effective and influential engagement but procedurally done.</w:t>
      </w:r>
    </w:p>
    <w:p w14:paraId="34078634">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Table 1. Regulatory and best-practice anchors used in this review</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69"/>
        <w:gridCol w:w="2769"/>
        <w:gridCol w:w="2769"/>
      </w:tblGrid>
      <w:tr w14:paraId="44E9313C">
        <w:tc>
          <w:tcPr>
            <w:tcW w:w="2769" w:type="dxa"/>
          </w:tcPr>
          <w:p w14:paraId="1FB44CD0">
            <w:pPr>
              <w:spacing w:line="276" w:lineRule="auto"/>
              <w:rPr>
                <w:rFonts w:ascii="Times New Roman" w:hAnsi="Times New Roman" w:cs="Times New Roman"/>
                <w:sz w:val="24"/>
              </w:rPr>
            </w:pPr>
            <w:r>
              <w:rPr>
                <w:rFonts w:ascii="Times New Roman" w:hAnsi="Times New Roman" w:cs="Times New Roman"/>
                <w:sz w:val="24"/>
              </w:rPr>
              <w:t>Anchor</w:t>
            </w:r>
          </w:p>
        </w:tc>
        <w:tc>
          <w:tcPr>
            <w:tcW w:w="2769" w:type="dxa"/>
          </w:tcPr>
          <w:p w14:paraId="62F38BD2">
            <w:pPr>
              <w:spacing w:line="276" w:lineRule="auto"/>
              <w:rPr>
                <w:rFonts w:ascii="Times New Roman" w:hAnsi="Times New Roman" w:cs="Times New Roman"/>
                <w:sz w:val="24"/>
              </w:rPr>
            </w:pPr>
            <w:r>
              <w:rPr>
                <w:rFonts w:ascii="Times New Roman" w:hAnsi="Times New Roman" w:cs="Times New Roman"/>
                <w:sz w:val="24"/>
              </w:rPr>
              <w:t>Relevance to this review</w:t>
            </w:r>
          </w:p>
        </w:tc>
        <w:tc>
          <w:tcPr>
            <w:tcW w:w="2769" w:type="dxa"/>
          </w:tcPr>
          <w:p w14:paraId="3447E356">
            <w:pPr>
              <w:spacing w:line="276" w:lineRule="auto"/>
              <w:rPr>
                <w:rFonts w:ascii="Times New Roman" w:hAnsi="Times New Roman" w:cs="Times New Roman"/>
                <w:sz w:val="24"/>
              </w:rPr>
            </w:pPr>
            <w:r>
              <w:rPr>
                <w:rFonts w:ascii="Times New Roman" w:hAnsi="Times New Roman" w:cs="Times New Roman"/>
                <w:sz w:val="24"/>
              </w:rPr>
              <w:t>How it is used in the paper</w:t>
            </w:r>
          </w:p>
        </w:tc>
      </w:tr>
      <w:tr w14:paraId="3FEC4ED3">
        <w:tc>
          <w:tcPr>
            <w:tcW w:w="2769" w:type="dxa"/>
          </w:tcPr>
          <w:p w14:paraId="4112A037">
            <w:pPr>
              <w:spacing w:line="276" w:lineRule="auto"/>
              <w:rPr>
                <w:rFonts w:ascii="Times New Roman" w:hAnsi="Times New Roman" w:cs="Times New Roman"/>
                <w:sz w:val="24"/>
              </w:rPr>
            </w:pPr>
            <w:r>
              <w:rPr>
                <w:rFonts w:ascii="Times New Roman" w:hAnsi="Times New Roman" w:cs="Times New Roman"/>
                <w:sz w:val="24"/>
              </w:rPr>
              <w:t>EIA Regulations (Wales) 2017</w:t>
            </w:r>
          </w:p>
        </w:tc>
        <w:tc>
          <w:tcPr>
            <w:tcW w:w="2769" w:type="dxa"/>
          </w:tcPr>
          <w:p w14:paraId="02993A85">
            <w:pPr>
              <w:spacing w:line="276" w:lineRule="auto"/>
              <w:rPr>
                <w:rFonts w:ascii="Times New Roman" w:hAnsi="Times New Roman" w:cs="Times New Roman"/>
                <w:sz w:val="24"/>
              </w:rPr>
            </w:pPr>
            <w:r>
              <w:rPr>
                <w:rFonts w:ascii="Times New Roman" w:hAnsi="Times New Roman" w:cs="Times New Roman"/>
                <w:sz w:val="24"/>
              </w:rPr>
              <w:t>Sets statutory minimum ES content and process expectations</w:t>
            </w:r>
          </w:p>
        </w:tc>
        <w:tc>
          <w:tcPr>
            <w:tcW w:w="2769" w:type="dxa"/>
          </w:tcPr>
          <w:p w14:paraId="4B66C04E">
            <w:pPr>
              <w:spacing w:line="276" w:lineRule="auto"/>
              <w:rPr>
                <w:rFonts w:ascii="Times New Roman" w:hAnsi="Times New Roman" w:cs="Times New Roman"/>
                <w:sz w:val="24"/>
              </w:rPr>
            </w:pPr>
            <w:r>
              <w:rPr>
                <w:rFonts w:ascii="Times New Roman" w:hAnsi="Times New Roman" w:cs="Times New Roman"/>
                <w:sz w:val="24"/>
              </w:rPr>
              <w:t>Used to test whether key topics are addressed beyond box-ticking</w:t>
            </w:r>
          </w:p>
        </w:tc>
      </w:tr>
      <w:tr w14:paraId="05AD4F91">
        <w:tc>
          <w:tcPr>
            <w:tcW w:w="2769" w:type="dxa"/>
          </w:tcPr>
          <w:p w14:paraId="6798C101">
            <w:pPr>
              <w:spacing w:line="276" w:lineRule="auto"/>
              <w:rPr>
                <w:rFonts w:ascii="Times New Roman" w:hAnsi="Times New Roman" w:cs="Times New Roman"/>
                <w:sz w:val="24"/>
              </w:rPr>
            </w:pPr>
            <w:r>
              <w:rPr>
                <w:rFonts w:ascii="Times New Roman" w:hAnsi="Times New Roman" w:cs="Times New Roman"/>
                <w:sz w:val="24"/>
              </w:rPr>
              <w:t>DNS process requirements</w:t>
            </w:r>
          </w:p>
        </w:tc>
        <w:tc>
          <w:tcPr>
            <w:tcW w:w="2769" w:type="dxa"/>
          </w:tcPr>
          <w:p w14:paraId="6A3120B9">
            <w:pPr>
              <w:spacing w:line="276" w:lineRule="auto"/>
              <w:rPr>
                <w:rFonts w:ascii="Times New Roman" w:hAnsi="Times New Roman" w:cs="Times New Roman"/>
                <w:sz w:val="24"/>
              </w:rPr>
            </w:pPr>
            <w:r>
              <w:rPr>
                <w:rFonts w:ascii="Times New Roman" w:hAnsi="Times New Roman" w:cs="Times New Roman"/>
                <w:sz w:val="24"/>
              </w:rPr>
              <w:t>Frames decision-making and consultation steps</w:t>
            </w:r>
          </w:p>
        </w:tc>
        <w:tc>
          <w:tcPr>
            <w:tcW w:w="2769" w:type="dxa"/>
          </w:tcPr>
          <w:p w14:paraId="79C13F7B">
            <w:pPr>
              <w:spacing w:line="276" w:lineRule="auto"/>
              <w:rPr>
                <w:rFonts w:ascii="Times New Roman" w:hAnsi="Times New Roman" w:cs="Times New Roman"/>
                <w:sz w:val="24"/>
              </w:rPr>
            </w:pPr>
            <w:r>
              <w:rPr>
                <w:rFonts w:ascii="Times New Roman" w:hAnsi="Times New Roman" w:cs="Times New Roman"/>
                <w:sz w:val="24"/>
              </w:rPr>
              <w:t>Used to evaluate procedural compliance versus meaningful engagement</w:t>
            </w:r>
          </w:p>
        </w:tc>
      </w:tr>
      <w:tr w14:paraId="272C69A9">
        <w:tc>
          <w:tcPr>
            <w:tcW w:w="2769" w:type="dxa"/>
          </w:tcPr>
          <w:p w14:paraId="64D22725">
            <w:pPr>
              <w:spacing w:line="276" w:lineRule="auto"/>
              <w:rPr>
                <w:rFonts w:ascii="Times New Roman" w:hAnsi="Times New Roman" w:cs="Times New Roman"/>
                <w:sz w:val="24"/>
              </w:rPr>
            </w:pPr>
            <w:r>
              <w:rPr>
                <w:rFonts w:ascii="Times New Roman" w:hAnsi="Times New Roman" w:cs="Times New Roman"/>
                <w:sz w:val="24"/>
              </w:rPr>
              <w:t>Lee &amp; Colley (1992)</w:t>
            </w:r>
          </w:p>
        </w:tc>
        <w:tc>
          <w:tcPr>
            <w:tcW w:w="2769" w:type="dxa"/>
          </w:tcPr>
          <w:p w14:paraId="6D349C7E">
            <w:pPr>
              <w:spacing w:line="276" w:lineRule="auto"/>
              <w:rPr>
                <w:rFonts w:ascii="Times New Roman" w:hAnsi="Times New Roman" w:cs="Times New Roman"/>
                <w:sz w:val="24"/>
              </w:rPr>
            </w:pPr>
            <w:r>
              <w:rPr>
                <w:rFonts w:ascii="Times New Roman" w:hAnsi="Times New Roman" w:cs="Times New Roman"/>
                <w:sz w:val="24"/>
              </w:rPr>
              <w:t>Structured quality review package for ES process and reporting</w:t>
            </w:r>
          </w:p>
        </w:tc>
        <w:tc>
          <w:tcPr>
            <w:tcW w:w="2769" w:type="dxa"/>
          </w:tcPr>
          <w:p w14:paraId="166476C0">
            <w:pPr>
              <w:spacing w:line="276" w:lineRule="auto"/>
              <w:rPr>
                <w:rFonts w:ascii="Times New Roman" w:hAnsi="Times New Roman" w:cs="Times New Roman"/>
                <w:sz w:val="24"/>
              </w:rPr>
            </w:pPr>
            <w:r>
              <w:rPr>
                <w:rFonts w:ascii="Times New Roman" w:hAnsi="Times New Roman" w:cs="Times New Roman"/>
                <w:sz w:val="24"/>
              </w:rPr>
              <w:t>Used to assign grades and highlight priority improvements</w:t>
            </w:r>
          </w:p>
        </w:tc>
      </w:tr>
      <w:tr w14:paraId="4571AFB2">
        <w:tc>
          <w:tcPr>
            <w:tcW w:w="2769" w:type="dxa"/>
          </w:tcPr>
          <w:p w14:paraId="6DDE3DED">
            <w:pPr>
              <w:spacing w:line="276" w:lineRule="auto"/>
              <w:rPr>
                <w:rFonts w:ascii="Times New Roman" w:hAnsi="Times New Roman" w:cs="Times New Roman"/>
                <w:sz w:val="24"/>
              </w:rPr>
            </w:pPr>
            <w:r>
              <w:rPr>
                <w:rFonts w:ascii="Times New Roman" w:hAnsi="Times New Roman" w:cs="Times New Roman"/>
                <w:sz w:val="24"/>
              </w:rPr>
              <w:t>IEMA guidance / EIA Quality Mark</w:t>
            </w:r>
          </w:p>
        </w:tc>
        <w:tc>
          <w:tcPr>
            <w:tcW w:w="2769" w:type="dxa"/>
          </w:tcPr>
          <w:p w14:paraId="01FA9C85">
            <w:pPr>
              <w:spacing w:line="276" w:lineRule="auto"/>
              <w:rPr>
                <w:rFonts w:ascii="Times New Roman" w:hAnsi="Times New Roman" w:cs="Times New Roman"/>
                <w:sz w:val="24"/>
              </w:rPr>
            </w:pPr>
            <w:r>
              <w:rPr>
                <w:rFonts w:ascii="Times New Roman" w:hAnsi="Times New Roman" w:cs="Times New Roman"/>
                <w:sz w:val="24"/>
              </w:rPr>
              <w:t>Best practice indicators for clarity, alternatives, and follow-up</w:t>
            </w:r>
          </w:p>
        </w:tc>
        <w:tc>
          <w:tcPr>
            <w:tcW w:w="2769" w:type="dxa"/>
          </w:tcPr>
          <w:p w14:paraId="065351B1">
            <w:pPr>
              <w:spacing w:line="276" w:lineRule="auto"/>
              <w:rPr>
                <w:rFonts w:ascii="Times New Roman" w:hAnsi="Times New Roman" w:cs="Times New Roman"/>
                <w:sz w:val="24"/>
              </w:rPr>
            </w:pPr>
            <w:r>
              <w:rPr>
                <w:rFonts w:ascii="Times New Roman" w:hAnsi="Times New Roman" w:cs="Times New Roman"/>
                <w:sz w:val="24"/>
              </w:rPr>
              <w:t>Used as a benchmark to identify where practice could be strengthened</w:t>
            </w:r>
          </w:p>
        </w:tc>
      </w:tr>
    </w:tbl>
    <w:p w14:paraId="356E1992">
      <w:pPr>
        <w:pStyle w:val="3"/>
        <w:spacing w:line="360" w:lineRule="auto"/>
        <w:jc w:val="both"/>
        <w:rPr>
          <w:rFonts w:cs="Times New Roman"/>
        </w:rPr>
      </w:pPr>
      <w:r>
        <w:rPr>
          <w:rFonts w:hint="default" w:cs="Times New Roman"/>
          <w:lang w:val="en-US"/>
        </w:rPr>
        <w:t>1</w:t>
      </w:r>
      <w:r>
        <w:rPr>
          <w:rFonts w:cs="Times New Roman"/>
        </w:rPr>
        <w:t>.3 Sustainability context and intent</w:t>
      </w:r>
    </w:p>
    <w:p w14:paraId="5BDD8B80">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There are also general responsibilities of sustainable development in Wales.</w:t>
      </w:r>
    </w:p>
    <w:p w14:paraId="5BD7BF64">
      <w:pPr>
        <w:spacing w:after="240" w:line="360" w:lineRule="auto"/>
        <w:jc w:val="both"/>
        <w:rPr>
          <w:rFonts w:ascii="Times New Roman" w:hAnsi="Times New Roman" w:cs="Times New Roman"/>
          <w:sz w:val="24"/>
        </w:rPr>
      </w:pPr>
      <w:r>
        <w:rPr>
          <w:rFonts w:hint="eastAsia" w:ascii="Times New Roman" w:hAnsi="Times New Roman" w:cs="Times New Roman"/>
          <w:sz w:val="24"/>
        </w:rPr>
        <w:t>Sustainable development” is defined in the Well-being of Future Generations (Wales) Act 2015 as improving the economic, social, environmental and cultural well-being of Wales in a way that is in accordance with the principle of sustainable development” (Welsh Government, 2015). The Environment (Wales) Act 2016 confers responsibility for biodiversity and resilience of ecosystems (Welsh Government, 2016a). The new legal framework can be viewed as a normative statement that suggests that EIAs should contribute to achieving sustainability and resilient ecosystems, rather than to prevent their occurrence as an illegal state. In practice, however, EIA systems may still be biased towards compliance and litigation-defensibility interests (Cashmore, 2004; Jay et al. , 2007; Morgan, 2012). Consequently, the paper treats the legal compliance as a benchmark and assesses the quality of decision support: transparency, auditability, traceability and possibility of influence the decision.</w:t>
      </w:r>
    </w:p>
    <w:p w14:paraId="7ED658DC">
      <w:pPr>
        <w:pStyle w:val="2"/>
        <w:spacing w:line="360" w:lineRule="auto"/>
        <w:jc w:val="both"/>
        <w:rPr>
          <w:rFonts w:ascii="Times New Roman" w:hAnsi="Times New Roman" w:cs="Times New Roman"/>
        </w:rPr>
      </w:pPr>
      <w:r>
        <w:rPr>
          <w:rFonts w:hint="default" w:ascii="Times New Roman" w:hAnsi="Times New Roman" w:cs="Times New Roman"/>
          <w:lang w:val="en-US"/>
        </w:rPr>
        <w:t>2</w:t>
      </w:r>
      <w:r>
        <w:rPr>
          <w:rFonts w:ascii="Times New Roman" w:hAnsi="Times New Roman" w:cs="Times New Roman"/>
        </w:rPr>
        <w:t>. Methodology</w:t>
      </w:r>
    </w:p>
    <w:p w14:paraId="516AB52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Lee and Colley Environmental Statement Review Package is the main structured approach used in the review (Lee and Colley, 1992; Glasson, Therivel and Chadwick, 2012). ES quality is grouped by Lee and Colley into the following review areas: (i) description of the development and environment; (ii) identification and assessment of impacts; (iii) alternatives and mitigation; and (iv) communication of results. This is an appropriate approach given the concern here is to assess the standard of EIA reports in a systematic, audit oriented manner and not based on personal perceptions.</w:t>
      </w:r>
    </w:p>
    <w:p w14:paraId="05B5159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Lee and Colley framework was modified to six dimensions, which were in line with assignment requirements: scoping and baseline quality, alternatives, identification of impacts, prediction, and significance reasoning, mitigation and monitoring (EIA follow-up), consultation, stakeholder engagement and quality and accessibility of reporting. Information was obtained out of Alternatives chapter, NTS, ES summary of effects, CEMP and LEMP appendices as well as the statutory notice and the scoping direction. Each dimension was rated with A to F on Lee and Colley conventions with A suggesting excellent performance and D or less implying the performance that compromise acceptability without changes (Lee and Colley, 1992).</w:t>
      </w:r>
    </w:p>
    <w:p w14:paraId="0F0A8CC4">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Best practice discussions in the literature along with cross-checking Lee and Colley criteria with related legal requirements (Welsh Government, 2017) and grading in vacuum were to be avoided. The benchmark criteria of participation expectations were made in line with the IAIA best practice principles and main participation scholarship that focuses on legitimacy and influence (Andre et al. , 2006; Glucker et al. , 2013). A more recent review of the literature provided system-level expectations regarding the shift toward transformative effectiveness ideology over procedural ones (Caro-Gonzalez et al. , 2023).</w:t>
      </w:r>
    </w:p>
    <w:p w14:paraId="03239D2B">
      <w:pPr>
        <w:spacing w:after="240" w:line="360" w:lineRule="auto"/>
        <w:jc w:val="both"/>
        <w:rPr>
          <w:rFonts w:ascii="Times New Roman" w:hAnsi="Times New Roman" w:cs="Times New Roman"/>
          <w:sz w:val="24"/>
        </w:rPr>
      </w:pPr>
      <w:r>
        <w:rPr>
          <w:rFonts w:hint="eastAsia" w:ascii="Times New Roman" w:hAnsi="Times New Roman" w:cs="Times New Roman"/>
          <w:sz w:val="24"/>
        </w:rPr>
        <w:t>Nevertheless, the current review is founded on publicly accessible contents and is not able to follow internal design processes, deliberations of regulators or modelling documents. These measures are then rated as conditions one to a score of six: with documentation being so transparent, traceable and auditable to the extent that scrutiny and, plausibly, influence of decisions can occur. This goes in line with the purpose of ES review techniques as quality-controlling instruments (Lee and Colley, 1992; Sadler, 1996; Glasson, Therivel and Chadwick, 2012). To reduce the risk of over-reliance on the NTS, the review also cross checks key claims against the relevant ES chapter(s) where available and flags any conclusions pending confirmation in the full ES volumes.</w:t>
      </w:r>
    </w:p>
    <w:p w14:paraId="08513A9D">
      <w:pPr>
        <w:spacing w:after="240" w:line="360" w:lineRule="auto"/>
        <w:jc w:val="both"/>
        <w:rPr>
          <w:rFonts w:ascii="Times New Roman" w:hAnsi="Times New Roman" w:cs="Times New Roman"/>
          <w:sz w:val="24"/>
        </w:rPr>
      </w:pPr>
      <w:r>
        <w:rPr>
          <w:rFonts w:ascii="Times New Roman" w:hAnsi="Times New Roman" w:cs="Times New Roman"/>
          <w:sz w:val="24"/>
        </w:rPr>
        <w:t>The review workflow applied in this paper is summarised schematically (see Figure 1).</w:t>
      </w:r>
    </w:p>
    <w:p w14:paraId="2F425129">
      <w:pPr>
        <w:spacing w:line="360" w:lineRule="auto"/>
        <w:jc w:val="both"/>
        <w:rPr>
          <w:rFonts w:ascii="Times New Roman" w:hAnsi="Times New Roman" w:cs="Times New Roman"/>
        </w:rPr>
      </w:pPr>
      <w:r>
        <w:drawing>
          <wp:inline distT="0" distB="0" distL="0" distR="0">
            <wp:extent cx="5274310" cy="1977390"/>
            <wp:effectExtent l="0" t="0" r="2540" b="3810"/>
            <wp:docPr id="2" name="Picture 2"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图示&#10;&#10;AI 生成的内容可能不正确。"/>
                    <pic:cNvPicPr>
                      <a:picLocks noChangeAspect="1"/>
                    </pic:cNvPicPr>
                  </pic:nvPicPr>
                  <pic:blipFill>
                    <a:blip r:embed="rId7"/>
                    <a:stretch>
                      <a:fillRect/>
                    </a:stretch>
                  </pic:blipFill>
                  <pic:spPr>
                    <a:xfrm>
                      <a:off x="0" y="0"/>
                      <a:ext cx="5274310" cy="1977866"/>
                    </a:xfrm>
                    <a:prstGeom prst="rect">
                      <a:avLst/>
                    </a:prstGeom>
                  </pic:spPr>
                </pic:pic>
              </a:graphicData>
            </a:graphic>
          </wp:inline>
        </w:drawing>
      </w:r>
    </w:p>
    <w:p w14:paraId="1E305E3D">
      <w:pPr>
        <w:spacing w:line="360" w:lineRule="auto"/>
        <w:rPr>
          <w:rFonts w:ascii="Times New Roman" w:hAnsi="Times New Roman" w:cs="Times New Roman"/>
          <w:b/>
          <w:bCs/>
          <w:sz w:val="32"/>
          <w:szCs w:val="36"/>
        </w:rPr>
      </w:pPr>
      <w:r>
        <w:rPr>
          <w:rFonts w:ascii="Times New Roman" w:hAnsi="Times New Roman" w:cs="Times New Roman"/>
          <w:b/>
          <w:bCs/>
          <w:sz w:val="24"/>
          <w:szCs w:val="36"/>
        </w:rPr>
        <w:t>Figure 1. Review workflow used in this paper</w:t>
      </w:r>
    </w:p>
    <w:p w14:paraId="409C1846">
      <w:pPr>
        <w:spacing w:line="360" w:lineRule="auto"/>
        <w:jc w:val="both"/>
        <w:rPr>
          <w:rFonts w:ascii="Times New Roman" w:hAnsi="Times New Roman" w:cs="Times New Roman"/>
        </w:rPr>
      </w:pPr>
      <w:r>
        <w:rPr>
          <w:rFonts w:ascii="Times New Roman" w:hAnsi="Times New Roman" w:cs="Times New Roman"/>
          <w:sz w:val="24"/>
        </w:rPr>
        <w:t>The workflow links documentary evidence to structured criteria and produces auditable grades and recommendations.</w:t>
      </w:r>
    </w:p>
    <w:p w14:paraId="3F5C09E9">
      <w:pPr>
        <w:pStyle w:val="2"/>
        <w:spacing w:line="360" w:lineRule="auto"/>
        <w:jc w:val="both"/>
        <w:rPr>
          <w:rFonts w:hint="eastAsia" w:ascii="Times New Roman" w:hAnsi="Times New Roman" w:cs="Times New Roman"/>
        </w:rPr>
      </w:pPr>
      <w:r>
        <w:rPr>
          <w:rFonts w:hint="default" w:ascii="Times New Roman" w:hAnsi="Times New Roman" w:cs="Times New Roman"/>
          <w:lang w:val="en-US"/>
        </w:rPr>
        <w:t>3</w:t>
      </w:r>
      <w:r>
        <w:rPr>
          <w:rFonts w:ascii="Times New Roman" w:hAnsi="Times New Roman" w:cs="Times New Roman"/>
        </w:rPr>
        <w:t xml:space="preserve">. </w:t>
      </w:r>
      <w:r>
        <w:rPr>
          <w:rFonts w:hint="eastAsia" w:ascii="Times New Roman" w:hAnsi="Times New Roman" w:cs="Times New Roman"/>
        </w:rPr>
        <w:t>Results</w:t>
      </w:r>
    </w:p>
    <w:p w14:paraId="57662E5E">
      <w:pPr>
        <w:rPr>
          <w:sz w:val="26"/>
          <w:szCs w:val="26"/>
        </w:rPr>
      </w:pPr>
      <w:r>
        <w:rPr>
          <w:rFonts w:hint="default" w:ascii="Times New Roman" w:hAnsi="Times New Roman" w:cs="Times New Roman"/>
          <w:sz w:val="26"/>
          <w:szCs w:val="26"/>
          <w:lang w:val="en-US"/>
        </w:rPr>
        <w:t>3.1</w:t>
      </w:r>
      <w:r>
        <w:rPr>
          <w:rFonts w:ascii="Times New Roman" w:hAnsi="Times New Roman" w:cs="Times New Roman"/>
          <w:sz w:val="26"/>
          <w:szCs w:val="26"/>
        </w:rPr>
        <w:t xml:space="preserve"> EIA process quality (dimension-by-dimension)</w:t>
      </w:r>
    </w:p>
    <w:p w14:paraId="48F514F3">
      <w:pPr>
        <w:pStyle w:val="3"/>
        <w:spacing w:line="360" w:lineRule="auto"/>
        <w:jc w:val="both"/>
        <w:rPr>
          <w:rFonts w:cs="Times New Roman"/>
        </w:rPr>
      </w:pPr>
      <w:r>
        <w:rPr>
          <w:rFonts w:hint="default" w:cs="Times New Roman"/>
          <w:lang w:val="en-US"/>
        </w:rPr>
        <w:t>3</w:t>
      </w:r>
      <w:r>
        <w:rPr>
          <w:rFonts w:cs="Times New Roman"/>
        </w:rPr>
        <w:t>.1</w:t>
      </w:r>
      <w:r>
        <w:rPr>
          <w:rFonts w:hint="default" w:cs="Times New Roman"/>
          <w:lang w:val="en-US"/>
        </w:rPr>
        <w:t>.1</w:t>
      </w:r>
      <w:r>
        <w:rPr>
          <w:rFonts w:cs="Times New Roman"/>
        </w:rPr>
        <w:t xml:space="preserve"> Scoping and baseline data quality</w:t>
      </w:r>
    </w:p>
    <w:p w14:paraId="2A260932">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This section assesses whether the scoping choices and baseline information are balanced enough, and reasoned and clear enough for review and decision processes (overall rating: B/C).</w:t>
      </w:r>
    </w:p>
    <w:p w14:paraId="103B7B70">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approach to scoping sets out what sort of list of topics the EIA is going to cover and what it is going to exclude. The list includes landscape and visual matters, cultural heritage features, biodiversity or ecology, water resources and cumulative effects (while noting that issues relating to air quality, noise and vibration are not considered, plus population and human health - with a note that perhaps health will be considered later) (PEDW, 2023). This indicates a formal scoping stage where authorities have had input. This would normally be expected for good practice where scoping should focus on concentrating effort on effects which are likely to be important.</w:t>
      </w:r>
    </w:p>
    <w:p w14:paraId="54FB3AF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outcome of scoping is about right for a solar farm project. However, there are two problems for quality which flow from how the scoping is explained. First, the main report for the public gives no indication of why things were scoping out. People can see what is in or out, but not the thresholds or thinking which explains why things are left out, and what comments from groups and the public influenced in terms of what is included. Second, leaving out "human health" can cause problems with acceptance because concerns from communities about local impacts or well-being that they can see are "not looked at" even if in part they are looked at in other topics. There is a good body of studies about public involvement which stress that being clear about what is included and excluded is important for trust and acceptance, (Glucker et al. , 2013).</w:t>
      </w:r>
    </w:p>
    <w:p w14:paraId="4AD86834">
      <w:pPr>
        <w:spacing w:after="240" w:line="360" w:lineRule="auto"/>
        <w:jc w:val="both"/>
        <w:rPr>
          <w:rFonts w:ascii="Times New Roman" w:hAnsi="Times New Roman" w:cs="Times New Roman"/>
          <w:sz w:val="24"/>
        </w:rPr>
      </w:pPr>
      <w:r>
        <w:rPr>
          <w:rFonts w:hint="eastAsia" w:ascii="Times New Roman" w:hAnsi="Times New Roman" w:cs="Times New Roman"/>
          <w:sz w:val="24"/>
        </w:rPr>
        <w:t>Overall this is generally acceptable because the scoping is clearly written down and seems balanced, yet the limited public explanation for scoping choices and how others influenced it is not open enough. A B/C rating reflects work that is done well enough but needs clear improvements in showing how decisions were made and why.</w:t>
      </w:r>
    </w:p>
    <w:p w14:paraId="6B227D23">
      <w:pPr>
        <w:pStyle w:val="3"/>
        <w:spacing w:line="360" w:lineRule="auto"/>
        <w:jc w:val="both"/>
        <w:rPr>
          <w:rFonts w:cs="Times New Roman"/>
        </w:rPr>
      </w:pPr>
      <w:r>
        <w:rPr>
          <w:rFonts w:hint="default" w:cs="Times New Roman"/>
          <w:lang w:val="en-US"/>
        </w:rPr>
        <w:t>3.1</w:t>
      </w:r>
      <w:r>
        <w:rPr>
          <w:rFonts w:cs="Times New Roman"/>
        </w:rPr>
        <w:t>.2 Alternatives assessment</w:t>
      </w:r>
    </w:p>
    <w:p w14:paraId="25279749">
      <w:pPr>
        <w:spacing w:after="240" w:line="360" w:lineRule="auto"/>
        <w:jc w:val="both"/>
        <w:rPr>
          <w:rFonts w:ascii="Times New Roman" w:hAnsi="Times New Roman" w:cs="Times New Roman"/>
          <w:sz w:val="24"/>
        </w:rPr>
      </w:pPr>
      <w:r>
        <w:rPr>
          <w:rFonts w:hint="eastAsia" w:ascii="Times New Roman" w:hAnsi="Times New Roman" w:cs="Times New Roman"/>
          <w:sz w:val="24"/>
        </w:rPr>
        <w:t>The subsection is a discussion of how the ES handles the issue of reasonable alternatives, i.e., are the alternatives at issue comparative and decision-making as opposed to descriptive (overall grade: D/C). A schematic overview of the alternatives space and appraisal logic is offered (see Figure 2), and a brief screening summary is provided in Table 2</w:t>
      </w:r>
      <w:r>
        <w:rPr>
          <w:rFonts w:ascii="Times New Roman" w:hAnsi="Times New Roman" w:cs="Times New Roman"/>
          <w:sz w:val="24"/>
        </w:rPr>
        <w:t xml:space="preserve">(see Table </w:t>
      </w:r>
      <w:r>
        <w:rPr>
          <w:rFonts w:hint="eastAsia" w:ascii="Times New Roman" w:hAnsi="Times New Roman" w:cs="Times New Roman"/>
          <w:sz w:val="24"/>
        </w:rPr>
        <w:t>2</w:t>
      </w:r>
      <w:r>
        <w:rPr>
          <w:rFonts w:ascii="Times New Roman" w:hAnsi="Times New Roman" w:cs="Times New Roman"/>
          <w:sz w:val="24"/>
        </w:rPr>
        <w:t>).</w:t>
      </w:r>
    </w:p>
    <w:p w14:paraId="7AE390D3">
      <w:pPr>
        <w:spacing w:line="360" w:lineRule="auto"/>
        <w:jc w:val="both"/>
        <w:rPr>
          <w:rFonts w:ascii="Times New Roman" w:hAnsi="Times New Roman" w:cs="Times New Roman"/>
        </w:rPr>
      </w:pPr>
      <w:r>
        <w:drawing>
          <wp:inline distT="0" distB="0" distL="0" distR="0">
            <wp:extent cx="5274310" cy="2240915"/>
            <wp:effectExtent l="0" t="0" r="2540" b="6985"/>
            <wp:docPr id="3" name="Picture 3"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图示&#10;&#10;AI 生成的内容可能不正确。"/>
                    <pic:cNvPicPr>
                      <a:picLocks noChangeAspect="1"/>
                    </pic:cNvPicPr>
                  </pic:nvPicPr>
                  <pic:blipFill>
                    <a:blip r:embed="rId8"/>
                    <a:stretch>
                      <a:fillRect/>
                    </a:stretch>
                  </pic:blipFill>
                  <pic:spPr>
                    <a:xfrm>
                      <a:off x="0" y="0"/>
                      <a:ext cx="5274310" cy="2241345"/>
                    </a:xfrm>
                    <a:prstGeom prst="rect">
                      <a:avLst/>
                    </a:prstGeom>
                  </pic:spPr>
                </pic:pic>
              </a:graphicData>
            </a:graphic>
          </wp:inline>
        </w:drawing>
      </w:r>
    </w:p>
    <w:p w14:paraId="0737EF88">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Figure 2. Overview of the alternatives space described in the ES and the recommended appraisal tool</w:t>
      </w:r>
    </w:p>
    <w:p w14:paraId="07ECF812">
      <w:pPr>
        <w:spacing w:line="360" w:lineRule="auto"/>
        <w:jc w:val="both"/>
        <w:rPr>
          <w:rFonts w:ascii="Times New Roman" w:hAnsi="Times New Roman" w:cs="Times New Roman"/>
          <w:sz w:val="24"/>
        </w:rPr>
      </w:pPr>
      <w:r>
        <w:rPr>
          <w:rFonts w:ascii="Times New Roman" w:hAnsi="Times New Roman" w:cs="Times New Roman"/>
          <w:sz w:val="24"/>
        </w:rPr>
        <w:t>Note: the figure is a schematic summary prepared for this review</w:t>
      </w:r>
      <w:r>
        <w:rPr>
          <w:rFonts w:hint="eastAsia" w:ascii="Times New Roman" w:hAnsi="Times New Roman" w:cs="Times New Roman"/>
          <w:sz w:val="24"/>
        </w:rPr>
        <w:t>.</w:t>
      </w:r>
    </w:p>
    <w:p w14:paraId="28F57ED7">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 xml:space="preserve">Table </w:t>
      </w:r>
      <w:r>
        <w:rPr>
          <w:rFonts w:hint="eastAsia" w:ascii="Times New Roman" w:hAnsi="Times New Roman" w:cs="Times New Roman"/>
          <w:b/>
          <w:bCs/>
          <w:sz w:val="24"/>
          <w:szCs w:val="36"/>
        </w:rPr>
        <w:t>2</w:t>
      </w:r>
      <w:r>
        <w:rPr>
          <w:rFonts w:ascii="Times New Roman" w:hAnsi="Times New Roman" w:cs="Times New Roman"/>
          <w:b/>
          <w:bCs/>
          <w:sz w:val="24"/>
          <w:szCs w:val="36"/>
        </w:rPr>
        <w:t>. Alternatives screening summary (as described in the ES/NTS) and review commentary</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14:paraId="58496EAD">
        <w:tc>
          <w:tcPr>
            <w:tcW w:w="1250" w:type="pct"/>
          </w:tcPr>
          <w:p w14:paraId="6D0FCFB3">
            <w:pPr>
              <w:spacing w:line="276" w:lineRule="auto"/>
              <w:rPr>
                <w:rFonts w:ascii="Times New Roman" w:hAnsi="Times New Roman" w:cs="Times New Roman"/>
                <w:sz w:val="24"/>
              </w:rPr>
            </w:pPr>
            <w:r>
              <w:rPr>
                <w:rFonts w:ascii="Times New Roman" w:hAnsi="Times New Roman" w:cs="Times New Roman"/>
                <w:sz w:val="24"/>
              </w:rPr>
              <w:t>Alternative type</w:t>
            </w:r>
          </w:p>
        </w:tc>
        <w:tc>
          <w:tcPr>
            <w:tcW w:w="1250" w:type="pct"/>
          </w:tcPr>
          <w:p w14:paraId="129FFED1">
            <w:pPr>
              <w:spacing w:line="276" w:lineRule="auto"/>
              <w:rPr>
                <w:rFonts w:ascii="Times New Roman" w:hAnsi="Times New Roman" w:cs="Times New Roman"/>
                <w:sz w:val="24"/>
              </w:rPr>
            </w:pPr>
            <w:r>
              <w:rPr>
                <w:rFonts w:ascii="Times New Roman" w:hAnsi="Times New Roman" w:cs="Times New Roman"/>
                <w:sz w:val="24"/>
              </w:rPr>
              <w:t>What is described</w:t>
            </w:r>
          </w:p>
        </w:tc>
        <w:tc>
          <w:tcPr>
            <w:tcW w:w="1250" w:type="pct"/>
          </w:tcPr>
          <w:p w14:paraId="1EFF43E9">
            <w:pPr>
              <w:spacing w:line="276" w:lineRule="auto"/>
              <w:rPr>
                <w:rFonts w:ascii="Times New Roman" w:hAnsi="Times New Roman" w:cs="Times New Roman"/>
                <w:sz w:val="24"/>
              </w:rPr>
            </w:pPr>
            <w:r>
              <w:rPr>
                <w:rFonts w:ascii="Times New Roman" w:hAnsi="Times New Roman" w:cs="Times New Roman"/>
                <w:sz w:val="24"/>
              </w:rPr>
              <w:t>Reason given</w:t>
            </w:r>
          </w:p>
        </w:tc>
        <w:tc>
          <w:tcPr>
            <w:tcW w:w="1250" w:type="pct"/>
          </w:tcPr>
          <w:p w14:paraId="41DD0D06">
            <w:pPr>
              <w:spacing w:line="276" w:lineRule="auto"/>
              <w:rPr>
                <w:rFonts w:ascii="Times New Roman" w:hAnsi="Times New Roman" w:cs="Times New Roman"/>
                <w:sz w:val="24"/>
              </w:rPr>
            </w:pPr>
            <w:r>
              <w:rPr>
                <w:rFonts w:ascii="Times New Roman" w:hAnsi="Times New Roman" w:cs="Times New Roman"/>
                <w:sz w:val="24"/>
              </w:rPr>
              <w:t>Review comment</w:t>
            </w:r>
          </w:p>
        </w:tc>
      </w:tr>
      <w:tr w14:paraId="0D86998C">
        <w:tc>
          <w:tcPr>
            <w:tcW w:w="1250" w:type="pct"/>
          </w:tcPr>
          <w:p w14:paraId="1427D857">
            <w:pPr>
              <w:spacing w:line="276" w:lineRule="auto"/>
              <w:rPr>
                <w:rFonts w:ascii="Times New Roman" w:hAnsi="Times New Roman" w:cs="Times New Roman"/>
                <w:sz w:val="24"/>
              </w:rPr>
            </w:pPr>
            <w:r>
              <w:rPr>
                <w:rFonts w:ascii="Times New Roman" w:hAnsi="Times New Roman" w:cs="Times New Roman"/>
                <w:sz w:val="24"/>
              </w:rPr>
              <w:t>Do-nothing / no development</w:t>
            </w:r>
          </w:p>
        </w:tc>
        <w:tc>
          <w:tcPr>
            <w:tcW w:w="1250" w:type="pct"/>
          </w:tcPr>
          <w:p w14:paraId="57A32DE3">
            <w:pPr>
              <w:spacing w:line="276" w:lineRule="auto"/>
              <w:rPr>
                <w:rFonts w:ascii="Times New Roman" w:hAnsi="Times New Roman" w:cs="Times New Roman"/>
                <w:sz w:val="24"/>
              </w:rPr>
            </w:pPr>
            <w:r>
              <w:rPr>
                <w:rFonts w:ascii="Times New Roman" w:hAnsi="Times New Roman" w:cs="Times New Roman"/>
                <w:sz w:val="24"/>
              </w:rPr>
              <w:t>Baseline without the scheme</w:t>
            </w:r>
          </w:p>
        </w:tc>
        <w:tc>
          <w:tcPr>
            <w:tcW w:w="1250" w:type="pct"/>
          </w:tcPr>
          <w:p w14:paraId="2A2444B8">
            <w:pPr>
              <w:spacing w:line="276" w:lineRule="auto"/>
              <w:rPr>
                <w:rFonts w:ascii="Times New Roman" w:hAnsi="Times New Roman" w:cs="Times New Roman"/>
                <w:sz w:val="24"/>
              </w:rPr>
            </w:pPr>
            <w:r>
              <w:rPr>
                <w:rFonts w:ascii="Times New Roman" w:hAnsi="Times New Roman" w:cs="Times New Roman"/>
                <w:sz w:val="24"/>
              </w:rPr>
              <w:t>Used as reference case</w:t>
            </w:r>
          </w:p>
        </w:tc>
        <w:tc>
          <w:tcPr>
            <w:tcW w:w="1250" w:type="pct"/>
          </w:tcPr>
          <w:p w14:paraId="4C6D05DC">
            <w:pPr>
              <w:spacing w:line="276" w:lineRule="auto"/>
              <w:rPr>
                <w:rFonts w:ascii="Times New Roman" w:hAnsi="Times New Roman" w:cs="Times New Roman"/>
                <w:sz w:val="24"/>
              </w:rPr>
            </w:pPr>
            <w:r>
              <w:rPr>
                <w:rFonts w:ascii="Times New Roman" w:hAnsi="Times New Roman" w:cs="Times New Roman"/>
                <w:sz w:val="24"/>
              </w:rPr>
              <w:t>Should clarify how this informs significance and cumulative reasoning</w:t>
            </w:r>
          </w:p>
        </w:tc>
      </w:tr>
      <w:tr w14:paraId="797C85F8">
        <w:tc>
          <w:tcPr>
            <w:tcW w:w="1250" w:type="pct"/>
          </w:tcPr>
          <w:p w14:paraId="7FBD546A">
            <w:pPr>
              <w:spacing w:line="276" w:lineRule="auto"/>
              <w:rPr>
                <w:rFonts w:ascii="Times New Roman" w:hAnsi="Times New Roman" w:cs="Times New Roman"/>
                <w:sz w:val="24"/>
              </w:rPr>
            </w:pPr>
            <w:r>
              <w:rPr>
                <w:rFonts w:ascii="Times New Roman" w:hAnsi="Times New Roman" w:cs="Times New Roman"/>
                <w:sz w:val="24"/>
              </w:rPr>
              <w:t>Location</w:t>
            </w:r>
          </w:p>
        </w:tc>
        <w:tc>
          <w:tcPr>
            <w:tcW w:w="1250" w:type="pct"/>
          </w:tcPr>
          <w:p w14:paraId="1D5C6E6E">
            <w:pPr>
              <w:spacing w:line="276" w:lineRule="auto"/>
              <w:rPr>
                <w:rFonts w:ascii="Times New Roman" w:hAnsi="Times New Roman" w:cs="Times New Roman"/>
                <w:sz w:val="24"/>
              </w:rPr>
            </w:pPr>
            <w:r>
              <w:rPr>
                <w:rFonts w:ascii="Times New Roman" w:hAnsi="Times New Roman" w:cs="Times New Roman"/>
                <w:sz w:val="24"/>
              </w:rPr>
              <w:t>Preference for sites near available substation capacity</w:t>
            </w:r>
          </w:p>
        </w:tc>
        <w:tc>
          <w:tcPr>
            <w:tcW w:w="1250" w:type="pct"/>
          </w:tcPr>
          <w:p w14:paraId="7E05389D">
            <w:pPr>
              <w:spacing w:line="276" w:lineRule="auto"/>
              <w:rPr>
                <w:rFonts w:ascii="Times New Roman" w:hAnsi="Times New Roman" w:cs="Times New Roman"/>
                <w:sz w:val="24"/>
              </w:rPr>
            </w:pPr>
            <w:r>
              <w:rPr>
                <w:rFonts w:ascii="Times New Roman" w:hAnsi="Times New Roman" w:cs="Times New Roman"/>
                <w:sz w:val="24"/>
              </w:rPr>
              <w:t>Grid connection constraint</w:t>
            </w:r>
          </w:p>
        </w:tc>
        <w:tc>
          <w:tcPr>
            <w:tcW w:w="1250" w:type="pct"/>
          </w:tcPr>
          <w:p w14:paraId="2959EA41">
            <w:pPr>
              <w:spacing w:line="276" w:lineRule="auto"/>
              <w:rPr>
                <w:rFonts w:ascii="Times New Roman" w:hAnsi="Times New Roman" w:cs="Times New Roman"/>
                <w:sz w:val="24"/>
              </w:rPr>
            </w:pPr>
            <w:r>
              <w:rPr>
                <w:rFonts w:ascii="Times New Roman" w:hAnsi="Times New Roman" w:cs="Times New Roman"/>
                <w:sz w:val="24"/>
              </w:rPr>
              <w:t>Needs a clearer longlist/shortlist and transparent rejection reasons</w:t>
            </w:r>
          </w:p>
        </w:tc>
      </w:tr>
      <w:tr w14:paraId="1601A1DF">
        <w:tc>
          <w:tcPr>
            <w:tcW w:w="1250" w:type="pct"/>
          </w:tcPr>
          <w:p w14:paraId="392C6A70">
            <w:pPr>
              <w:spacing w:line="276" w:lineRule="auto"/>
              <w:rPr>
                <w:rFonts w:ascii="Times New Roman" w:hAnsi="Times New Roman" w:cs="Times New Roman"/>
                <w:sz w:val="24"/>
              </w:rPr>
            </w:pPr>
            <w:r>
              <w:rPr>
                <w:rFonts w:ascii="Times New Roman" w:hAnsi="Times New Roman" w:cs="Times New Roman"/>
                <w:sz w:val="24"/>
              </w:rPr>
              <w:t>Design / layout</w:t>
            </w:r>
          </w:p>
        </w:tc>
        <w:tc>
          <w:tcPr>
            <w:tcW w:w="1250" w:type="pct"/>
          </w:tcPr>
          <w:p w14:paraId="77FC2187">
            <w:pPr>
              <w:spacing w:line="276" w:lineRule="auto"/>
              <w:rPr>
                <w:rFonts w:ascii="Times New Roman" w:hAnsi="Times New Roman" w:cs="Times New Roman"/>
                <w:sz w:val="24"/>
              </w:rPr>
            </w:pPr>
            <w:r>
              <w:rPr>
                <w:rFonts w:ascii="Times New Roman" w:hAnsi="Times New Roman" w:cs="Times New Roman"/>
                <w:sz w:val="24"/>
              </w:rPr>
              <w:t>PV arrays, BESS inclusion, access and planting</w:t>
            </w:r>
          </w:p>
        </w:tc>
        <w:tc>
          <w:tcPr>
            <w:tcW w:w="1250" w:type="pct"/>
          </w:tcPr>
          <w:p w14:paraId="1E9F25E4">
            <w:pPr>
              <w:spacing w:line="276" w:lineRule="auto"/>
              <w:rPr>
                <w:rFonts w:ascii="Times New Roman" w:hAnsi="Times New Roman" w:cs="Times New Roman"/>
                <w:sz w:val="24"/>
              </w:rPr>
            </w:pPr>
            <w:r>
              <w:rPr>
                <w:rFonts w:ascii="Times New Roman" w:hAnsi="Times New Roman" w:cs="Times New Roman"/>
                <w:sz w:val="24"/>
              </w:rPr>
              <w:t>Design efficiency and mitigation</w:t>
            </w:r>
          </w:p>
        </w:tc>
        <w:tc>
          <w:tcPr>
            <w:tcW w:w="1250" w:type="pct"/>
          </w:tcPr>
          <w:p w14:paraId="5A7D5A64">
            <w:pPr>
              <w:spacing w:line="276" w:lineRule="auto"/>
              <w:rPr>
                <w:rFonts w:ascii="Times New Roman" w:hAnsi="Times New Roman" w:cs="Times New Roman"/>
                <w:sz w:val="24"/>
              </w:rPr>
            </w:pPr>
            <w:r>
              <w:rPr>
                <w:rFonts w:ascii="Times New Roman" w:hAnsi="Times New Roman" w:cs="Times New Roman"/>
                <w:sz w:val="24"/>
              </w:rPr>
              <w:t>Would benefit from an auditable options matrix with measurable criteria</w:t>
            </w:r>
          </w:p>
        </w:tc>
      </w:tr>
      <w:tr w14:paraId="56071D98">
        <w:tc>
          <w:tcPr>
            <w:tcW w:w="1250" w:type="pct"/>
          </w:tcPr>
          <w:p w14:paraId="57AB9EEF">
            <w:pPr>
              <w:spacing w:line="276" w:lineRule="auto"/>
              <w:rPr>
                <w:rFonts w:ascii="Times New Roman" w:hAnsi="Times New Roman" w:cs="Times New Roman"/>
                <w:sz w:val="24"/>
              </w:rPr>
            </w:pPr>
            <w:r>
              <w:rPr>
                <w:rFonts w:ascii="Times New Roman" w:hAnsi="Times New Roman" w:cs="Times New Roman"/>
                <w:sz w:val="24"/>
              </w:rPr>
              <w:t>Mitigation-led variants</w:t>
            </w:r>
          </w:p>
        </w:tc>
        <w:tc>
          <w:tcPr>
            <w:tcW w:w="1250" w:type="pct"/>
          </w:tcPr>
          <w:p w14:paraId="6DFD1621">
            <w:pPr>
              <w:spacing w:line="276" w:lineRule="auto"/>
              <w:rPr>
                <w:rFonts w:ascii="Times New Roman" w:hAnsi="Times New Roman" w:cs="Times New Roman"/>
                <w:sz w:val="24"/>
              </w:rPr>
            </w:pPr>
            <w:r>
              <w:rPr>
                <w:rFonts w:ascii="Times New Roman" w:hAnsi="Times New Roman" w:cs="Times New Roman"/>
                <w:sz w:val="24"/>
              </w:rPr>
              <w:t>Planting, buffers, construction management measures</w:t>
            </w:r>
          </w:p>
        </w:tc>
        <w:tc>
          <w:tcPr>
            <w:tcW w:w="1250" w:type="pct"/>
          </w:tcPr>
          <w:p w14:paraId="2146F1FE">
            <w:pPr>
              <w:spacing w:line="276" w:lineRule="auto"/>
              <w:rPr>
                <w:rFonts w:ascii="Times New Roman" w:hAnsi="Times New Roman" w:cs="Times New Roman"/>
                <w:sz w:val="24"/>
              </w:rPr>
            </w:pPr>
            <w:r>
              <w:rPr>
                <w:rFonts w:ascii="Times New Roman" w:hAnsi="Times New Roman" w:cs="Times New Roman"/>
                <w:sz w:val="24"/>
              </w:rPr>
              <w:t>Reduce effects on receptors</w:t>
            </w:r>
          </w:p>
        </w:tc>
        <w:tc>
          <w:tcPr>
            <w:tcW w:w="1250" w:type="pct"/>
          </w:tcPr>
          <w:p w14:paraId="39BE5672">
            <w:pPr>
              <w:spacing w:line="276" w:lineRule="auto"/>
              <w:rPr>
                <w:rFonts w:ascii="Times New Roman" w:hAnsi="Times New Roman" w:cs="Times New Roman"/>
                <w:sz w:val="24"/>
              </w:rPr>
            </w:pPr>
            <w:r>
              <w:rPr>
                <w:rFonts w:ascii="Times New Roman" w:hAnsi="Times New Roman" w:cs="Times New Roman"/>
                <w:sz w:val="24"/>
              </w:rPr>
              <w:t>Should link mitigation to residual effects and monitoring commitments</w:t>
            </w:r>
          </w:p>
        </w:tc>
      </w:tr>
    </w:tbl>
    <w:p w14:paraId="27F42B76">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Alternatives chapter correctally refers to the fact that an ES must include a description of the reasonable alternatives to the proposed development that have been studied and the reasons for choosing a particular option (Axis P. E. D. Ltd, 2023b). However, it also states that the EIA Regulations have no particular duty of a developer to examine the alternatives and only require that alternatives would be described in those cases where it is thought necessary (Axis P. E. D. Ltd, 2023b). The narrative of the site selection employed in the chapter is quite constrained by the viability and grid connection, and it reveals the limitation of the space to the grid capacity, and the availability of land (Axis P. E. D. Ltd, 2023b).</w:t>
      </w:r>
    </w:p>
    <w:p w14:paraId="5D341F33">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For example, the NTS claims that “any solar scheme must be located near to an existing substation which has the available capacity” and must be “located close enough to the identified substation to remain viable” (Axis P. E. D. Ltd, 2023g, p. 4).</w:t>
      </w:r>
    </w:p>
    <w:p w14:paraId="339DDB1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One of the most important mechanisms of sustainability intent provision in EIA is alternatives (Pope, Annandale and Morrison-Saunders, 2004; Glasson, Therivel and Chadwick, 2012; European Parliament and Council, 2014). In a place the law is intended to be stated as the follow-up to describe alternatives as alternatives that are put into consideration, best practice would expect that the ES should be able to demonstrate the desire that the space of options is influenced by environmental constraints and trade-offs rather than just commercial feasibility. The authors, Lee and Colley, contemplate the option of alternatives which are important in terms of ES quality since otherwise EIA may turn into a post-design justification document (Lee and Colley, 1992; Jay et al. , 2007; Glasson, Therivel and Chadwick, 2012).</w:t>
      </w:r>
    </w:p>
    <w:p w14:paraId="49EB686F">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Alternatives reasoning in actuality exists in this ES, which is not designed in a way to allow the independent examination of the environmental trade-offs. The documentation could have been enhanced by showing a clear comparative matrix among possibilities of realistic site, layout and design options including environmental factors like approved sites, sensitive areas, heritage environment, flood risk and cumulative landscape capacity. In the absence of that, the reader cannot readily confirm whether an alternative feasible option would cause key local impacts that are materially less. The fault is not in the fact that the developer (not) ought to choose an alternative location, but in the fact that the ES lacks a strong, demonstrable rationale as to why the option chosen makes sense, in environmental regards, as opposed to others.</w:t>
      </w:r>
    </w:p>
    <w:p w14:paraId="6EEDF6BB">
      <w:pPr>
        <w:spacing w:after="240" w:line="360" w:lineRule="auto"/>
        <w:jc w:val="both"/>
        <w:rPr>
          <w:rFonts w:ascii="Times New Roman" w:hAnsi="Times New Roman" w:cs="Times New Roman"/>
          <w:sz w:val="24"/>
        </w:rPr>
      </w:pPr>
      <w:r>
        <w:rPr>
          <w:rFonts w:hint="eastAsia" w:ascii="Times New Roman" w:hAnsi="Times New Roman" w:cs="Times New Roman"/>
          <w:sz w:val="24"/>
        </w:rPr>
        <w:t>Because this is the worst point in which considers the importance of alternatives in law and in the EIA theory. The ES recognizes the importance but does not provide a comparative analysis. D/C grade means a marginal performance that may have an impact on the value of decision-shaping.</w:t>
      </w:r>
    </w:p>
    <w:p w14:paraId="3A1F6350">
      <w:pPr>
        <w:pStyle w:val="3"/>
        <w:spacing w:line="360" w:lineRule="auto"/>
        <w:jc w:val="both"/>
        <w:rPr>
          <w:rFonts w:cs="Times New Roman"/>
        </w:rPr>
      </w:pPr>
      <w:r>
        <w:rPr>
          <w:rFonts w:hint="default" w:cs="Times New Roman"/>
          <w:lang w:val="en-US"/>
        </w:rPr>
        <w:t>3.1</w:t>
      </w:r>
      <w:r>
        <w:rPr>
          <w:rFonts w:cs="Times New Roman"/>
        </w:rPr>
        <w:t>.3 Impact identification, prediction and significance reasoning</w:t>
      </w:r>
    </w:p>
    <w:p w14:paraId="182FDAC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Here, the reviews considered transparency and auditability of impact identification, reasoning of predicting and significance, communication of uncertainty, and accumulating effects (overall grade: B).</w:t>
      </w:r>
    </w:p>
    <w:p w14:paraId="7EE94F1F">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ES summary states that certain negative effects will occur but with mitigation measures it can be possible to avoid some large negative effects (Axis P. E. D. Ltd, 2023c). It documents directed ecology survey frontline like surveys on great crested newt (eDNA), dormouse, water vole, aquatic invertebrates, shrill carder bee and water plants (Axis P. E. D. Ltd, 2023c). The NTS holds the statement per which no significant cumulative impacts are concluded (Axis P. E. D. Ltd, 2023g).</w:t>
      </w:r>
    </w:p>
    <w:p w14:paraId="578D4D00">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ecological survey evidence base is broad enough and represents a viable basis of baseline. The test that would be considered most crucial in the process-quality would be to test whether or not the ES would be transparent with regard to the pathways of impact, level of significance, uncertainties and the rationale that would be able to lead to the evidence to conclusions (Lee and Colley, 1992). The summary is a very useful summary in this summary chapter though practice of high quality must also take account of the fact that claims of significance can be reliably traced using topic chapters and that uncertainty is not ignored. As it is set, any hypothesis on mitigation effectiveness, including any monitoring to ensure performance are detected in claims about residual effects following mitigation.</w:t>
      </w:r>
    </w:p>
    <w:p w14:paraId="62CFD2D6">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cumulative effects conclusion is a good example of transparency problems in the NTS. The statement that cumulative effects are not significant may be true but ought to be provided with a clear description of how much cumulative evaluation is to be done, what developments have been included and why the determination of significant importance is of importance. Otherwise, there may be a risk that the cumulative findings sound to be more than a statement, but not a document that is going to be audited.</w:t>
      </w:r>
    </w:p>
    <w:p w14:paraId="105A7D70">
      <w:pPr>
        <w:spacing w:after="240" w:line="360" w:lineRule="auto"/>
        <w:jc w:val="both"/>
        <w:rPr>
          <w:rFonts w:ascii="Times New Roman" w:hAnsi="Times New Roman" w:cs="Times New Roman"/>
          <w:sz w:val="24"/>
        </w:rPr>
      </w:pPr>
      <w:r>
        <w:rPr>
          <w:rFonts w:hint="eastAsia" w:ascii="Times New Roman" w:hAnsi="Times New Roman" w:cs="Times New Roman"/>
          <w:sz w:val="24"/>
        </w:rPr>
        <w:t>Overall this dimension proves to be fairly acceptable since ES demonstrates much work at the base level and presents indistinct mitigating narratives. The improvements are related to mostly the cross-topic synthesis and describe and reason with uncertainty and cumulatively. A B grade is appropriate.</w:t>
      </w:r>
    </w:p>
    <w:p w14:paraId="7A8AFDF6">
      <w:pPr>
        <w:pStyle w:val="3"/>
        <w:spacing w:line="360" w:lineRule="auto"/>
        <w:jc w:val="both"/>
        <w:rPr>
          <w:rFonts w:cs="Times New Roman"/>
        </w:rPr>
      </w:pPr>
      <w:r>
        <w:rPr>
          <w:rFonts w:hint="default" w:cs="Times New Roman"/>
          <w:lang w:val="en-US"/>
        </w:rPr>
        <w:t>3.1</w:t>
      </w:r>
      <w:r>
        <w:rPr>
          <w:rFonts w:cs="Times New Roman"/>
        </w:rPr>
        <w:t>.4 Mitigation, monitoring and EIA follow-up</w:t>
      </w:r>
    </w:p>
    <w:p w14:paraId="413DC320">
      <w:pPr>
        <w:spacing w:after="240" w:line="360" w:lineRule="auto"/>
        <w:jc w:val="both"/>
        <w:rPr>
          <w:rFonts w:ascii="Times New Roman" w:hAnsi="Times New Roman" w:cs="Times New Roman"/>
          <w:sz w:val="24"/>
        </w:rPr>
      </w:pPr>
      <w:r>
        <w:rPr>
          <w:rFonts w:hint="eastAsia" w:ascii="Times New Roman" w:hAnsi="Times New Roman" w:cs="Times New Roman"/>
          <w:sz w:val="24"/>
        </w:rPr>
        <w:t>Within this sub section, the degree of specification of mitigation and monitoring in an implementable, auditable basis, and the presence or absence of follow up in closing the loop between prediction and delivery (overall grade: C) is evaluated. Mitigation hierarchy and how this relates to follow-up auditability summarised in Figure 3</w:t>
      </w:r>
      <w:r>
        <w:rPr>
          <w:rFonts w:ascii="Times New Roman" w:hAnsi="Times New Roman" w:cs="Times New Roman"/>
          <w:sz w:val="24"/>
        </w:rPr>
        <w:t xml:space="preserve"> (see Figure 3).</w:t>
      </w:r>
    </w:p>
    <w:p w14:paraId="797366BB">
      <w:pPr>
        <w:spacing w:line="360" w:lineRule="auto"/>
        <w:jc w:val="both"/>
        <w:rPr>
          <w:rFonts w:ascii="Times New Roman" w:hAnsi="Times New Roman" w:cs="Times New Roman"/>
        </w:rPr>
      </w:pPr>
      <w:r>
        <w:drawing>
          <wp:inline distT="0" distB="0" distL="0" distR="0">
            <wp:extent cx="5274310" cy="2490470"/>
            <wp:effectExtent l="0" t="0" r="2540" b="5080"/>
            <wp:docPr id="4" name="Picture 4"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图示&#10;&#10;AI 生成的内容可能不正确。"/>
                    <pic:cNvPicPr>
                      <a:picLocks noChangeAspect="1"/>
                    </pic:cNvPicPr>
                  </pic:nvPicPr>
                  <pic:blipFill>
                    <a:blip r:embed="rId9"/>
                    <a:stretch>
                      <a:fillRect/>
                    </a:stretch>
                  </pic:blipFill>
                  <pic:spPr>
                    <a:xfrm>
                      <a:off x="0" y="0"/>
                      <a:ext cx="5274310" cy="2490646"/>
                    </a:xfrm>
                    <a:prstGeom prst="rect">
                      <a:avLst/>
                    </a:prstGeom>
                  </pic:spPr>
                </pic:pic>
              </a:graphicData>
            </a:graphic>
          </wp:inline>
        </w:drawing>
      </w:r>
    </w:p>
    <w:p w14:paraId="5B391868">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Figure 3. Mitigation hierarchy and EIA follow-up logic used to interpret ES commitments</w:t>
      </w:r>
    </w:p>
    <w:p w14:paraId="3FFD9CBA">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According to outline Construction Environmental Management Plan (CEMP), it shows how the mitigation measures and monitoring requirements noted in EIA would be put into practice and that there would be a comprehensive CEMP prepared by the contractor which would be secured through condition (Axis P. E. D. Ltd, 2023e). LEMP contains mitigation and enhancement actions; it has a review cycle every five years (Axis P. E. D. Ltd, 2023f).</w:t>
      </w:r>
    </w:p>
    <w:p w14:paraId="7F72620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CEMP and LEMP are good practices since the provision of these will fill the gap between EIA deliverables and delivery mechanisms. The primary process-quality risk is deferral: the critical monitoring information and tasks may be postponed to the next documents that are unavailable during the decision-making (Arts, Caldwell and Morrison-Saunders, 2001; Marshall, Arts and Morrison-Saunders, 2005). Lee and Colley underline that the arrangements of mitigation and follow-up must be well explained and sufficient to deal with the expected effects (Lee and Colley, 1992; Marshall, Arts and Morrison-Saunders, 2005; Glasson, Therivel and Chadwick, 2012).</w:t>
      </w:r>
    </w:p>
    <w:p w14:paraId="6227E4A2">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I as a reader am able to note that management plans are in place, but it is more difficult to pick out one auditable list of commitments, indicators, responsible parties and reporting chains. This lessens accountability and it becomes difficult to have communities ensure that mitigation is provided and efficient.</w:t>
      </w:r>
    </w:p>
    <w:p w14:paraId="2EDCD3D8">
      <w:pPr>
        <w:spacing w:after="240" w:line="360" w:lineRule="auto"/>
        <w:jc w:val="both"/>
        <w:rPr>
          <w:rFonts w:ascii="Times New Roman" w:hAnsi="Times New Roman" w:cs="Times New Roman"/>
          <w:sz w:val="24"/>
        </w:rPr>
      </w:pPr>
      <w:r>
        <w:rPr>
          <w:rFonts w:hint="eastAsia" w:ascii="Times New Roman" w:hAnsi="Times New Roman" w:cs="Times New Roman"/>
          <w:sz w:val="24"/>
        </w:rPr>
        <w:t>This is only satisfactory. The intention is seen in the plans, but the follow-up accountability could be improved upon when the commitments are centralised into a register of commitments with indicators, which are measurable and well-governed. C grade is that the approach is workable but needs to be reinforced so as to minimise the deferral and auditability risks.</w:t>
      </w:r>
    </w:p>
    <w:p w14:paraId="68B7C84D">
      <w:pPr>
        <w:pStyle w:val="3"/>
        <w:spacing w:line="360" w:lineRule="auto"/>
        <w:jc w:val="both"/>
        <w:rPr>
          <w:rFonts w:cs="Times New Roman"/>
        </w:rPr>
      </w:pPr>
      <w:r>
        <w:rPr>
          <w:rFonts w:hint="default" w:cs="Times New Roman"/>
          <w:lang w:val="en-US"/>
        </w:rPr>
        <w:t>3.1</w:t>
      </w:r>
      <w:r>
        <w:rPr>
          <w:rFonts w:cs="Times New Roman"/>
        </w:rPr>
        <w:t>.5 Consultation and stakeholder engagement</w:t>
      </w:r>
    </w:p>
    <w:p w14:paraId="6D8A4AC2">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This part looks at how consultation and stakeholder engagement was done, against how well it worked—things like how easy it was to take part, who was included, when it happened, and and whether changes to the proposal are traceable the proposal (overall, it gets a C/D grade).</w:t>
      </w:r>
    </w:p>
    <w:p w14:paraId="6D62F26E">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In summary, the statutory notice sets out the basic rules about how consultation will happen, that is, how and when people could have their say (Axis P. E. D. Ltd, 2023d). The scoping direction, , the document that sets out the boundaries, says who was talked to by the required consultees and what the assessment will cover (PEDW, 2023). Of course, the NTS also contains information about the applicant’s previous work and how they are known to local people.</w:t>
      </w:r>
    </w:p>
    <w:p w14:paraId="07FB4CD7">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Best practice makes a clear distinction between consultation, which is a regulatory step that has to be taken, and participation, which is more about bringing in knowledge, making things look fair, and making influence (Arnstein, 1969; Rowe and Frewer, 2000). Best practice guidance on how to do things, such as the IAIA principles, focus on starting early and keeping on talking, making it easy to join in, and listening to what people say (André et al. , 2006). Studies into participation argue that how successful participation is depends on whether it was set up to be fair and democratic, and whether the people involved can actually see how what they said made a difference (Glucker et al. , 2013; Arnstein, 1969; Rowe and Frewer, 2000).</w:t>
      </w:r>
    </w:p>
    <w:p w14:paraId="4EBF96B7">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In summary, when looking at the Craig y Perthi documents that we have looked at here, the engagement is shown to have happened in the right way procedurally, but it is difficult to tell clearly from what the public said to see how the project design changed. A really good environmental statement package would normally include something like an “issue log” or a report showing what concerns were tracked, and then linking concerns to answers and what was done (issue x was a concern so we changed the layout, buffer zones have been altered to address concern y, we will monitor z). Without this kind of information people will think the participation was just for show, even if a lot of talking took place.</w:t>
      </w:r>
    </w:p>
    <w:p w14:paraId="1FCDE0A8">
      <w:pPr>
        <w:spacing w:after="240" w:line="360" w:lineRule="auto"/>
        <w:jc w:val="both"/>
        <w:rPr>
          <w:rFonts w:ascii="Times New Roman" w:hAnsi="Times New Roman" w:cs="Times New Roman"/>
          <w:sz w:val="24"/>
        </w:rPr>
      </w:pPr>
      <w:r>
        <w:rPr>
          <w:rFonts w:hint="eastAsia" w:ascii="Times New Roman" w:hAnsi="Times New Roman" w:cs="Times New Roman"/>
          <w:sz w:val="24"/>
        </w:rPr>
        <w:t>The process seems to follow the rules, but proof that the participation was really effective and made influence is limited in the story that is told by the publicly available environmental statement. Because being seen as fair and legitimate is more and more important for EIA to work well (Caro-Gonzalez et al. , 2023), this is a big limitation. A C/D grade reflects performance that is just acceptable but needs to get better.</w:t>
      </w:r>
    </w:p>
    <w:p w14:paraId="38304CA5">
      <w:pPr>
        <w:pStyle w:val="3"/>
        <w:spacing w:line="360" w:lineRule="auto"/>
        <w:jc w:val="both"/>
        <w:rPr>
          <w:rFonts w:cs="Times New Roman"/>
        </w:rPr>
      </w:pPr>
      <w:r>
        <w:rPr>
          <w:rFonts w:hint="default" w:cs="Times New Roman"/>
          <w:lang w:val="en-US"/>
        </w:rPr>
        <w:t>3.1</w:t>
      </w:r>
      <w:r>
        <w:rPr>
          <w:rFonts w:cs="Times New Roman"/>
        </w:rPr>
        <w:t>.6 Reporting quality and accessibility</w:t>
      </w:r>
    </w:p>
    <w:p w14:paraId="27A4F61C">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next sub-section is a critical assessment of the quality of the reporting, including the degree of neutrality, the quality of accessibility, and ease of use of the ES to provide clear synthesis and traceability (overall score: B).</w:t>
      </w:r>
    </w:p>
    <w:p w14:paraId="7E82581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NTS provided as part of the ES is meant to make the proposals and impacts non-technical (Axis P. E. D. Ltd, 2023g). Some of the crucial final things that NTS consolidated include cumulative effects (Axis P. E. D. Ltd, 2023g). The package ES package in general is based on a normal subject by subject organization with the help of the appendices.</w:t>
      </w:r>
    </w:p>
    <w:p w14:paraId="697AC5AB">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Reporting quality really matters, because a good technical thing cannot be accomplished, because the stakeholders and the decision makers can not digest the evidence, or even validate an argument. Its best strength is the existence of an NTS. However, other parts of the NTS are also concerned with corporate profile statements and success-rate claims (Axis P. E. D. Ltd, 2023g). Though context is not always unsuitable, good practice will say that NTS tone must be neutral and evidence-based, because NTS is more likely to be read and it will affect the overall knowledge. Certainly, the ES package would be supported in the visual synthesis tools as a table of residual effects and consolidated commitments register would be presented since it could be expected that Lee and Colley offered (Lee and Colley, 1992).</w:t>
      </w:r>
    </w:p>
    <w:p w14:paraId="1CB5909C">
      <w:pPr>
        <w:spacing w:after="240" w:line="360" w:lineRule="auto"/>
        <w:jc w:val="both"/>
        <w:rPr>
          <w:rFonts w:ascii="Times New Roman" w:hAnsi="Times New Roman" w:cs="Times New Roman"/>
          <w:sz w:val="24"/>
        </w:rPr>
      </w:pPr>
      <w:r>
        <w:rPr>
          <w:rFonts w:hint="eastAsia" w:ascii="Times New Roman" w:hAnsi="Times New Roman" w:cs="Times New Roman"/>
          <w:sz w:val="24"/>
        </w:rPr>
        <w:t>Professional structure Generally, there is a professional manner of reporting and it is available but the element of neutrality and synthesis can be improved. To have a B result is to show a fairly positive reporting and clear potential of improving traceability.</w:t>
      </w:r>
    </w:p>
    <w:p w14:paraId="7C797C45">
      <w:pPr>
        <w:pStyle w:val="3"/>
        <w:spacing w:line="360" w:lineRule="auto"/>
        <w:jc w:val="both"/>
        <w:rPr>
          <w:rFonts w:cs="Times New Roman"/>
        </w:rPr>
      </w:pPr>
      <w:r>
        <w:rPr>
          <w:rFonts w:hint="default" w:cs="Times New Roman"/>
          <w:lang w:val="en-US"/>
        </w:rPr>
        <w:t>3.1</w:t>
      </w:r>
      <w:r>
        <w:rPr>
          <w:rFonts w:cs="Times New Roman"/>
        </w:rPr>
        <w:t>.7 Summary of grades and priority improvements</w:t>
      </w:r>
    </w:p>
    <w:p w14:paraId="5BA16DD5">
      <w:pPr>
        <w:spacing w:after="240" w:line="360" w:lineRule="auto"/>
        <w:jc w:val="both"/>
        <w:rPr>
          <w:rFonts w:ascii="Times New Roman" w:hAnsi="Times New Roman" w:cs="Times New Roman"/>
          <w:sz w:val="24"/>
        </w:rPr>
      </w:pPr>
      <w:r>
        <w:rPr>
          <w:rFonts w:ascii="Times New Roman" w:hAnsi="Times New Roman" w:cs="Times New Roman"/>
          <w:sz w:val="24"/>
        </w:rPr>
        <w:t xml:space="preserve">A consolidated view of the Lee &amp; Colley-style grades and priority improvements is provided below (see Table </w:t>
      </w:r>
      <w:r>
        <w:rPr>
          <w:rFonts w:hint="eastAsia" w:ascii="Times New Roman" w:hAnsi="Times New Roman" w:cs="Times New Roman"/>
          <w:sz w:val="24"/>
        </w:rPr>
        <w:t>3</w:t>
      </w:r>
      <w:r>
        <w:rPr>
          <w:rFonts w:ascii="Times New Roman" w:hAnsi="Times New Roman" w:cs="Times New Roman"/>
          <w:sz w:val="24"/>
        </w:rPr>
        <w:t>).</w:t>
      </w:r>
    </w:p>
    <w:p w14:paraId="5AFF6D81">
      <w:pPr>
        <w:spacing w:line="360" w:lineRule="auto"/>
        <w:jc w:val="both"/>
        <w:rPr>
          <w:rFonts w:ascii="Times New Roman" w:hAnsi="Times New Roman" w:cs="Times New Roman"/>
          <w:b/>
          <w:bCs/>
          <w:sz w:val="24"/>
          <w:szCs w:val="28"/>
        </w:rPr>
      </w:pPr>
      <w:r>
        <w:rPr>
          <w:rFonts w:ascii="Times New Roman" w:hAnsi="Times New Roman" w:cs="Times New Roman"/>
          <w:b/>
          <w:bCs/>
          <w:sz w:val="24"/>
          <w:szCs w:val="28"/>
        </w:rPr>
        <w:t xml:space="preserve">Table </w:t>
      </w:r>
      <w:r>
        <w:rPr>
          <w:rFonts w:hint="eastAsia" w:ascii="Times New Roman" w:hAnsi="Times New Roman" w:cs="Times New Roman"/>
          <w:b/>
          <w:bCs/>
          <w:sz w:val="24"/>
          <w:szCs w:val="28"/>
        </w:rPr>
        <w:t>3</w:t>
      </w:r>
      <w:r>
        <w:rPr>
          <w:rFonts w:ascii="Times New Roman" w:hAnsi="Times New Roman" w:cs="Times New Roman"/>
          <w:b/>
          <w:bCs/>
          <w:sz w:val="24"/>
          <w:szCs w:val="28"/>
        </w:rPr>
        <w:t>. Summary grades and priority improvements</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18"/>
        <w:gridCol w:w="1728"/>
        <w:gridCol w:w="1493"/>
        <w:gridCol w:w="1764"/>
        <w:gridCol w:w="1819"/>
      </w:tblGrid>
      <w:tr w14:paraId="32F1DB3A">
        <w:tc>
          <w:tcPr>
            <w:tcW w:w="1008" w:type="pct"/>
          </w:tcPr>
          <w:p w14:paraId="1418C1A3">
            <w:pPr>
              <w:spacing w:line="276" w:lineRule="auto"/>
              <w:rPr>
                <w:rFonts w:ascii="Times New Roman" w:hAnsi="Times New Roman" w:cs="Times New Roman"/>
                <w:sz w:val="24"/>
              </w:rPr>
            </w:pPr>
            <w:r>
              <w:rPr>
                <w:rFonts w:ascii="Times New Roman" w:hAnsi="Times New Roman" w:cs="Times New Roman"/>
                <w:sz w:val="24"/>
              </w:rPr>
              <w:t>Dimension</w:t>
            </w:r>
          </w:p>
        </w:tc>
        <w:tc>
          <w:tcPr>
            <w:tcW w:w="1014" w:type="pct"/>
          </w:tcPr>
          <w:p w14:paraId="14C9408A">
            <w:pPr>
              <w:spacing w:line="276" w:lineRule="auto"/>
              <w:rPr>
                <w:rFonts w:ascii="Times New Roman" w:hAnsi="Times New Roman" w:cs="Times New Roman"/>
                <w:sz w:val="24"/>
              </w:rPr>
            </w:pPr>
            <w:r>
              <w:rPr>
                <w:rFonts w:ascii="Times New Roman" w:hAnsi="Times New Roman" w:cs="Times New Roman"/>
                <w:sz w:val="24"/>
              </w:rPr>
              <w:t>Key evidence (examples)</w:t>
            </w:r>
          </w:p>
        </w:tc>
        <w:tc>
          <w:tcPr>
            <w:tcW w:w="876" w:type="pct"/>
          </w:tcPr>
          <w:p w14:paraId="07BDBC10">
            <w:pPr>
              <w:spacing w:line="276" w:lineRule="auto"/>
              <w:rPr>
                <w:rFonts w:ascii="Times New Roman" w:hAnsi="Times New Roman" w:cs="Times New Roman"/>
                <w:sz w:val="24"/>
              </w:rPr>
            </w:pPr>
            <w:r>
              <w:rPr>
                <w:rFonts w:ascii="Times New Roman" w:hAnsi="Times New Roman" w:cs="Times New Roman"/>
                <w:sz w:val="24"/>
              </w:rPr>
              <w:t>Grade</w:t>
            </w:r>
          </w:p>
        </w:tc>
        <w:tc>
          <w:tcPr>
            <w:tcW w:w="1035" w:type="pct"/>
          </w:tcPr>
          <w:p w14:paraId="14E461B2">
            <w:pPr>
              <w:spacing w:line="276" w:lineRule="auto"/>
              <w:rPr>
                <w:rFonts w:ascii="Times New Roman" w:hAnsi="Times New Roman" w:cs="Times New Roman"/>
                <w:sz w:val="24"/>
              </w:rPr>
            </w:pPr>
            <w:r>
              <w:rPr>
                <w:rFonts w:ascii="Times New Roman" w:hAnsi="Times New Roman" w:cs="Times New Roman"/>
                <w:sz w:val="24"/>
              </w:rPr>
              <w:t>Main gap</w:t>
            </w:r>
          </w:p>
        </w:tc>
        <w:tc>
          <w:tcPr>
            <w:tcW w:w="1067" w:type="pct"/>
          </w:tcPr>
          <w:p w14:paraId="18849FC4">
            <w:pPr>
              <w:spacing w:line="276" w:lineRule="auto"/>
              <w:rPr>
                <w:rFonts w:ascii="Times New Roman" w:hAnsi="Times New Roman" w:cs="Times New Roman"/>
                <w:sz w:val="24"/>
              </w:rPr>
            </w:pPr>
            <w:r>
              <w:rPr>
                <w:rFonts w:ascii="Times New Roman" w:hAnsi="Times New Roman" w:cs="Times New Roman"/>
                <w:sz w:val="24"/>
              </w:rPr>
              <w:t>Priority improvement</w:t>
            </w:r>
          </w:p>
        </w:tc>
      </w:tr>
      <w:tr w14:paraId="6276B189">
        <w:tc>
          <w:tcPr>
            <w:tcW w:w="1008" w:type="pct"/>
          </w:tcPr>
          <w:p w14:paraId="0373FC51">
            <w:pPr>
              <w:spacing w:line="276" w:lineRule="auto"/>
              <w:rPr>
                <w:rFonts w:ascii="Times New Roman" w:hAnsi="Times New Roman" w:cs="Times New Roman"/>
                <w:sz w:val="24"/>
              </w:rPr>
            </w:pPr>
            <w:r>
              <w:rPr>
                <w:rFonts w:ascii="Times New Roman" w:hAnsi="Times New Roman" w:cs="Times New Roman"/>
                <w:sz w:val="24"/>
              </w:rPr>
              <w:t>Scoping &amp; baseline</w:t>
            </w:r>
          </w:p>
        </w:tc>
        <w:tc>
          <w:tcPr>
            <w:tcW w:w="1014" w:type="pct"/>
          </w:tcPr>
          <w:p w14:paraId="13A36467">
            <w:pPr>
              <w:spacing w:line="276" w:lineRule="auto"/>
              <w:rPr>
                <w:rFonts w:ascii="Times New Roman" w:hAnsi="Times New Roman" w:cs="Times New Roman"/>
                <w:sz w:val="24"/>
              </w:rPr>
            </w:pPr>
            <w:r>
              <w:rPr>
                <w:rFonts w:ascii="Times New Roman" w:hAnsi="Times New Roman" w:cs="Times New Roman"/>
                <w:sz w:val="24"/>
              </w:rPr>
              <w:t>Topics scoped in/out (PEDW, 2023).</w:t>
            </w:r>
          </w:p>
        </w:tc>
        <w:tc>
          <w:tcPr>
            <w:tcW w:w="876" w:type="pct"/>
          </w:tcPr>
          <w:p w14:paraId="7E4F8700">
            <w:pPr>
              <w:spacing w:line="276" w:lineRule="auto"/>
              <w:rPr>
                <w:rFonts w:ascii="Times New Roman" w:hAnsi="Times New Roman" w:cs="Times New Roman"/>
                <w:sz w:val="24"/>
              </w:rPr>
            </w:pPr>
            <w:r>
              <w:rPr>
                <w:rFonts w:ascii="Times New Roman" w:hAnsi="Times New Roman" w:cs="Times New Roman"/>
                <w:sz w:val="24"/>
              </w:rPr>
              <w:t>B/C</w:t>
            </w:r>
          </w:p>
        </w:tc>
        <w:tc>
          <w:tcPr>
            <w:tcW w:w="1035" w:type="pct"/>
          </w:tcPr>
          <w:p w14:paraId="4BFB050F">
            <w:pPr>
              <w:spacing w:line="276" w:lineRule="auto"/>
              <w:rPr>
                <w:rFonts w:ascii="Times New Roman" w:hAnsi="Times New Roman" w:cs="Times New Roman"/>
                <w:sz w:val="24"/>
              </w:rPr>
            </w:pPr>
            <w:r>
              <w:rPr>
                <w:rFonts w:ascii="Times New Roman" w:hAnsi="Times New Roman" w:cs="Times New Roman"/>
                <w:sz w:val="24"/>
              </w:rPr>
              <w:t>Limited rationale visibility and stakeholder influence traceability</w:t>
            </w:r>
          </w:p>
        </w:tc>
        <w:tc>
          <w:tcPr>
            <w:tcW w:w="1067" w:type="pct"/>
          </w:tcPr>
          <w:p w14:paraId="77FDE63D">
            <w:pPr>
              <w:spacing w:line="276" w:lineRule="auto"/>
              <w:rPr>
                <w:rFonts w:ascii="Times New Roman" w:hAnsi="Times New Roman" w:cs="Times New Roman"/>
                <w:sz w:val="24"/>
              </w:rPr>
            </w:pPr>
            <w:r>
              <w:rPr>
                <w:rFonts w:ascii="Times New Roman" w:hAnsi="Times New Roman" w:cs="Times New Roman"/>
                <w:sz w:val="24"/>
              </w:rPr>
              <w:t>Add scoping rationale and stakeholder input summary in main ES/NTS</w:t>
            </w:r>
          </w:p>
        </w:tc>
      </w:tr>
      <w:tr w14:paraId="2BA1CBED">
        <w:tc>
          <w:tcPr>
            <w:tcW w:w="1008" w:type="pct"/>
          </w:tcPr>
          <w:p w14:paraId="7E85CCE0">
            <w:pPr>
              <w:spacing w:line="276" w:lineRule="auto"/>
              <w:rPr>
                <w:rFonts w:ascii="Times New Roman" w:hAnsi="Times New Roman" w:cs="Times New Roman"/>
                <w:sz w:val="24"/>
              </w:rPr>
            </w:pPr>
            <w:r>
              <w:rPr>
                <w:rFonts w:ascii="Times New Roman" w:hAnsi="Times New Roman" w:cs="Times New Roman"/>
                <w:sz w:val="24"/>
              </w:rPr>
              <w:t>Alternatives</w:t>
            </w:r>
          </w:p>
        </w:tc>
        <w:tc>
          <w:tcPr>
            <w:tcW w:w="1014" w:type="pct"/>
          </w:tcPr>
          <w:p w14:paraId="6E11B418">
            <w:pPr>
              <w:spacing w:line="276" w:lineRule="auto"/>
              <w:rPr>
                <w:rFonts w:ascii="Times New Roman" w:hAnsi="Times New Roman" w:cs="Times New Roman"/>
                <w:sz w:val="24"/>
              </w:rPr>
            </w:pPr>
            <w:r>
              <w:rPr>
                <w:rFonts w:ascii="Times New Roman" w:hAnsi="Times New Roman" w:cs="Times New Roman"/>
                <w:sz w:val="24"/>
              </w:rPr>
              <w:t>Alternatives framed as optional analysis; viability/grid emphasis (Axis P.E.D. Ltd, 2023b).</w:t>
            </w:r>
          </w:p>
        </w:tc>
        <w:tc>
          <w:tcPr>
            <w:tcW w:w="876" w:type="pct"/>
          </w:tcPr>
          <w:p w14:paraId="3836ED56">
            <w:pPr>
              <w:spacing w:line="276" w:lineRule="auto"/>
              <w:rPr>
                <w:rFonts w:ascii="Times New Roman" w:hAnsi="Times New Roman" w:cs="Times New Roman"/>
                <w:sz w:val="24"/>
              </w:rPr>
            </w:pPr>
            <w:r>
              <w:rPr>
                <w:rFonts w:ascii="Times New Roman" w:hAnsi="Times New Roman" w:cs="Times New Roman"/>
                <w:sz w:val="24"/>
              </w:rPr>
              <w:t>D/C</w:t>
            </w:r>
          </w:p>
        </w:tc>
        <w:tc>
          <w:tcPr>
            <w:tcW w:w="1035" w:type="pct"/>
          </w:tcPr>
          <w:p w14:paraId="2E3BD662">
            <w:pPr>
              <w:spacing w:line="276" w:lineRule="auto"/>
              <w:rPr>
                <w:rFonts w:ascii="Times New Roman" w:hAnsi="Times New Roman" w:cs="Times New Roman"/>
                <w:sz w:val="24"/>
              </w:rPr>
            </w:pPr>
            <w:r>
              <w:rPr>
                <w:rFonts w:ascii="Times New Roman" w:hAnsi="Times New Roman" w:cs="Times New Roman"/>
                <w:sz w:val="24"/>
              </w:rPr>
              <w:t>Weak comparative trade-off analysis</w:t>
            </w:r>
          </w:p>
        </w:tc>
        <w:tc>
          <w:tcPr>
            <w:tcW w:w="1067" w:type="pct"/>
          </w:tcPr>
          <w:p w14:paraId="489C34C9">
            <w:pPr>
              <w:spacing w:line="276" w:lineRule="auto"/>
              <w:rPr>
                <w:rFonts w:ascii="Times New Roman" w:hAnsi="Times New Roman" w:cs="Times New Roman"/>
                <w:sz w:val="24"/>
              </w:rPr>
            </w:pPr>
            <w:r>
              <w:rPr>
                <w:rFonts w:ascii="Times New Roman" w:hAnsi="Times New Roman" w:cs="Times New Roman"/>
                <w:sz w:val="24"/>
              </w:rPr>
              <w:t>Publish alternatives appraisal matrix including environmental constraints</w:t>
            </w:r>
          </w:p>
        </w:tc>
      </w:tr>
      <w:tr w14:paraId="5B5B0706">
        <w:tc>
          <w:tcPr>
            <w:tcW w:w="1008" w:type="pct"/>
          </w:tcPr>
          <w:p w14:paraId="791912D1">
            <w:pPr>
              <w:spacing w:line="276" w:lineRule="auto"/>
              <w:rPr>
                <w:rFonts w:ascii="Times New Roman" w:hAnsi="Times New Roman" w:cs="Times New Roman"/>
                <w:sz w:val="24"/>
              </w:rPr>
            </w:pPr>
            <w:r>
              <w:rPr>
                <w:rFonts w:ascii="Times New Roman" w:hAnsi="Times New Roman" w:cs="Times New Roman"/>
                <w:sz w:val="24"/>
              </w:rPr>
              <w:t>Impact prediction &amp; significance</w:t>
            </w:r>
          </w:p>
        </w:tc>
        <w:tc>
          <w:tcPr>
            <w:tcW w:w="1014" w:type="pct"/>
          </w:tcPr>
          <w:p w14:paraId="51F3E651">
            <w:pPr>
              <w:spacing w:line="276" w:lineRule="auto"/>
              <w:rPr>
                <w:rFonts w:ascii="Times New Roman" w:hAnsi="Times New Roman" w:cs="Times New Roman"/>
                <w:sz w:val="24"/>
              </w:rPr>
            </w:pPr>
            <w:r>
              <w:rPr>
                <w:rFonts w:ascii="Times New Roman" w:hAnsi="Times New Roman" w:cs="Times New Roman"/>
                <w:sz w:val="24"/>
              </w:rPr>
              <w:t>Ecology surveys; mitigation-led significance claim (Axis P.E.D. Ltd, 2023c).</w:t>
            </w:r>
          </w:p>
        </w:tc>
        <w:tc>
          <w:tcPr>
            <w:tcW w:w="876" w:type="pct"/>
          </w:tcPr>
          <w:p w14:paraId="14D79E26">
            <w:pPr>
              <w:spacing w:line="276" w:lineRule="auto"/>
              <w:rPr>
                <w:rFonts w:ascii="Times New Roman" w:hAnsi="Times New Roman" w:cs="Times New Roman"/>
                <w:sz w:val="24"/>
              </w:rPr>
            </w:pPr>
            <w:r>
              <w:rPr>
                <w:rFonts w:ascii="Times New Roman" w:hAnsi="Times New Roman" w:cs="Times New Roman"/>
                <w:sz w:val="24"/>
              </w:rPr>
              <w:t>B</w:t>
            </w:r>
          </w:p>
        </w:tc>
        <w:tc>
          <w:tcPr>
            <w:tcW w:w="1035" w:type="pct"/>
          </w:tcPr>
          <w:p w14:paraId="2EDAE0C9">
            <w:pPr>
              <w:spacing w:line="276" w:lineRule="auto"/>
              <w:rPr>
                <w:rFonts w:ascii="Times New Roman" w:hAnsi="Times New Roman" w:cs="Times New Roman"/>
                <w:sz w:val="24"/>
              </w:rPr>
            </w:pPr>
            <w:r>
              <w:rPr>
                <w:rFonts w:ascii="Times New Roman" w:hAnsi="Times New Roman" w:cs="Times New Roman"/>
                <w:sz w:val="24"/>
              </w:rPr>
              <w:t>Uncertainty and cumulative logic not consistently transparent</w:t>
            </w:r>
          </w:p>
        </w:tc>
        <w:tc>
          <w:tcPr>
            <w:tcW w:w="1067" w:type="pct"/>
          </w:tcPr>
          <w:p w14:paraId="1DEE55B7">
            <w:pPr>
              <w:spacing w:line="276" w:lineRule="auto"/>
              <w:rPr>
                <w:rFonts w:ascii="Times New Roman" w:hAnsi="Times New Roman" w:cs="Times New Roman"/>
                <w:sz w:val="24"/>
              </w:rPr>
            </w:pPr>
            <w:r>
              <w:rPr>
                <w:rFonts w:ascii="Times New Roman" w:hAnsi="Times New Roman" w:cs="Times New Roman"/>
                <w:sz w:val="24"/>
              </w:rPr>
              <w:t>Standardise significance statements; clarify cumulative assessment scope</w:t>
            </w:r>
          </w:p>
        </w:tc>
      </w:tr>
      <w:tr w14:paraId="3556FCC2">
        <w:tc>
          <w:tcPr>
            <w:tcW w:w="1008" w:type="pct"/>
          </w:tcPr>
          <w:p w14:paraId="4E295E33">
            <w:pPr>
              <w:spacing w:line="276" w:lineRule="auto"/>
              <w:rPr>
                <w:rFonts w:ascii="Times New Roman" w:hAnsi="Times New Roman" w:cs="Times New Roman"/>
                <w:sz w:val="24"/>
              </w:rPr>
            </w:pPr>
            <w:r>
              <w:rPr>
                <w:rFonts w:ascii="Times New Roman" w:hAnsi="Times New Roman" w:cs="Times New Roman"/>
                <w:sz w:val="24"/>
              </w:rPr>
              <w:t>Mitigation &amp; monitoring</w:t>
            </w:r>
          </w:p>
        </w:tc>
        <w:tc>
          <w:tcPr>
            <w:tcW w:w="1014" w:type="pct"/>
          </w:tcPr>
          <w:p w14:paraId="240FAF62">
            <w:pPr>
              <w:spacing w:line="276" w:lineRule="auto"/>
              <w:rPr>
                <w:rFonts w:ascii="Times New Roman" w:hAnsi="Times New Roman" w:cs="Times New Roman"/>
                <w:sz w:val="24"/>
              </w:rPr>
            </w:pPr>
            <w:r>
              <w:rPr>
                <w:rFonts w:ascii="Times New Roman" w:hAnsi="Times New Roman" w:cs="Times New Roman"/>
                <w:sz w:val="24"/>
              </w:rPr>
              <w:t>Outline CEMP; LEMP review cycle (Axis P.E.D. Ltd, 2023e; 2023f).</w:t>
            </w:r>
          </w:p>
        </w:tc>
        <w:tc>
          <w:tcPr>
            <w:tcW w:w="876" w:type="pct"/>
          </w:tcPr>
          <w:p w14:paraId="08C808D0">
            <w:pPr>
              <w:spacing w:line="276" w:lineRule="auto"/>
              <w:rPr>
                <w:rFonts w:ascii="Times New Roman" w:hAnsi="Times New Roman" w:cs="Times New Roman"/>
                <w:sz w:val="24"/>
              </w:rPr>
            </w:pPr>
            <w:r>
              <w:rPr>
                <w:rFonts w:ascii="Times New Roman" w:hAnsi="Times New Roman" w:cs="Times New Roman"/>
                <w:sz w:val="24"/>
              </w:rPr>
              <w:t>C</w:t>
            </w:r>
          </w:p>
        </w:tc>
        <w:tc>
          <w:tcPr>
            <w:tcW w:w="1035" w:type="pct"/>
          </w:tcPr>
          <w:p w14:paraId="7D06CE9A">
            <w:pPr>
              <w:spacing w:line="276" w:lineRule="auto"/>
              <w:rPr>
                <w:rFonts w:ascii="Times New Roman" w:hAnsi="Times New Roman" w:cs="Times New Roman"/>
                <w:sz w:val="24"/>
              </w:rPr>
            </w:pPr>
            <w:r>
              <w:rPr>
                <w:rFonts w:ascii="Times New Roman" w:hAnsi="Times New Roman" w:cs="Times New Roman"/>
                <w:sz w:val="24"/>
              </w:rPr>
              <w:t>Commitments dispersed and partly deferred</w:t>
            </w:r>
          </w:p>
        </w:tc>
        <w:tc>
          <w:tcPr>
            <w:tcW w:w="1067" w:type="pct"/>
          </w:tcPr>
          <w:p w14:paraId="0930EF3F">
            <w:pPr>
              <w:spacing w:line="276" w:lineRule="auto"/>
              <w:rPr>
                <w:rFonts w:ascii="Times New Roman" w:hAnsi="Times New Roman" w:cs="Times New Roman"/>
                <w:sz w:val="24"/>
              </w:rPr>
            </w:pPr>
            <w:r>
              <w:rPr>
                <w:rFonts w:ascii="Times New Roman" w:hAnsi="Times New Roman" w:cs="Times New Roman"/>
                <w:sz w:val="24"/>
              </w:rPr>
              <w:t>Create commitments register with indicators, responsibilities, reporting and triggers</w:t>
            </w:r>
          </w:p>
        </w:tc>
      </w:tr>
      <w:tr w14:paraId="4776AB52">
        <w:tc>
          <w:tcPr>
            <w:tcW w:w="1008" w:type="pct"/>
          </w:tcPr>
          <w:p w14:paraId="652B7325">
            <w:pPr>
              <w:spacing w:line="276" w:lineRule="auto"/>
              <w:rPr>
                <w:rFonts w:ascii="Times New Roman" w:hAnsi="Times New Roman" w:cs="Times New Roman"/>
                <w:sz w:val="24"/>
              </w:rPr>
            </w:pPr>
            <w:r>
              <w:rPr>
                <w:rFonts w:ascii="Times New Roman" w:hAnsi="Times New Roman" w:cs="Times New Roman"/>
                <w:sz w:val="24"/>
              </w:rPr>
              <w:t>Consultation &amp; engagement</w:t>
            </w:r>
          </w:p>
        </w:tc>
        <w:tc>
          <w:tcPr>
            <w:tcW w:w="1014" w:type="pct"/>
          </w:tcPr>
          <w:p w14:paraId="4EED3605">
            <w:pPr>
              <w:spacing w:line="276" w:lineRule="auto"/>
              <w:rPr>
                <w:rFonts w:ascii="Times New Roman" w:hAnsi="Times New Roman" w:cs="Times New Roman"/>
                <w:sz w:val="24"/>
              </w:rPr>
            </w:pPr>
            <w:r>
              <w:rPr>
                <w:rFonts w:ascii="Times New Roman" w:hAnsi="Times New Roman" w:cs="Times New Roman"/>
                <w:sz w:val="24"/>
              </w:rPr>
              <w:t>Consultation notice; scoping engagement (Axis P.E.D. Ltd, 2023d; PEDW, 2023).</w:t>
            </w:r>
          </w:p>
        </w:tc>
        <w:tc>
          <w:tcPr>
            <w:tcW w:w="876" w:type="pct"/>
          </w:tcPr>
          <w:p w14:paraId="7D3E4703">
            <w:pPr>
              <w:spacing w:line="276" w:lineRule="auto"/>
              <w:rPr>
                <w:rFonts w:ascii="Times New Roman" w:hAnsi="Times New Roman" w:cs="Times New Roman"/>
                <w:sz w:val="24"/>
              </w:rPr>
            </w:pPr>
            <w:r>
              <w:rPr>
                <w:rFonts w:ascii="Times New Roman" w:hAnsi="Times New Roman" w:cs="Times New Roman"/>
                <w:sz w:val="24"/>
              </w:rPr>
              <w:t>C/D</w:t>
            </w:r>
          </w:p>
        </w:tc>
        <w:tc>
          <w:tcPr>
            <w:tcW w:w="1035" w:type="pct"/>
          </w:tcPr>
          <w:p w14:paraId="59373F31">
            <w:pPr>
              <w:spacing w:line="276" w:lineRule="auto"/>
              <w:rPr>
                <w:rFonts w:ascii="Times New Roman" w:hAnsi="Times New Roman" w:cs="Times New Roman"/>
                <w:sz w:val="24"/>
              </w:rPr>
            </w:pPr>
            <w:r>
              <w:rPr>
                <w:rFonts w:ascii="Times New Roman" w:hAnsi="Times New Roman" w:cs="Times New Roman"/>
                <w:sz w:val="24"/>
              </w:rPr>
              <w:t>Influence not visible in public narrative</w:t>
            </w:r>
          </w:p>
        </w:tc>
        <w:tc>
          <w:tcPr>
            <w:tcW w:w="1067" w:type="pct"/>
          </w:tcPr>
          <w:p w14:paraId="37801371">
            <w:pPr>
              <w:spacing w:line="276" w:lineRule="auto"/>
              <w:rPr>
                <w:rFonts w:ascii="Times New Roman" w:hAnsi="Times New Roman" w:cs="Times New Roman"/>
                <w:sz w:val="24"/>
              </w:rPr>
            </w:pPr>
            <w:r>
              <w:rPr>
                <w:rFonts w:ascii="Times New Roman" w:hAnsi="Times New Roman" w:cs="Times New Roman"/>
                <w:sz w:val="24"/>
              </w:rPr>
              <w:t>Publish “you said/we did” log and design evolution narrative</w:t>
            </w:r>
          </w:p>
        </w:tc>
      </w:tr>
      <w:tr w14:paraId="411C1621">
        <w:tc>
          <w:tcPr>
            <w:tcW w:w="1008" w:type="pct"/>
          </w:tcPr>
          <w:p w14:paraId="2E973764">
            <w:pPr>
              <w:spacing w:line="276" w:lineRule="auto"/>
              <w:rPr>
                <w:rFonts w:ascii="Times New Roman" w:hAnsi="Times New Roman" w:cs="Times New Roman"/>
                <w:sz w:val="24"/>
              </w:rPr>
            </w:pPr>
            <w:r>
              <w:rPr>
                <w:rFonts w:ascii="Times New Roman" w:hAnsi="Times New Roman" w:cs="Times New Roman"/>
                <w:sz w:val="24"/>
              </w:rPr>
              <w:t>Reporting quality</w:t>
            </w:r>
          </w:p>
        </w:tc>
        <w:tc>
          <w:tcPr>
            <w:tcW w:w="1014" w:type="pct"/>
          </w:tcPr>
          <w:p w14:paraId="7A34BF8E">
            <w:pPr>
              <w:spacing w:line="276" w:lineRule="auto"/>
              <w:rPr>
                <w:rFonts w:ascii="Times New Roman" w:hAnsi="Times New Roman" w:cs="Times New Roman"/>
                <w:sz w:val="24"/>
              </w:rPr>
            </w:pPr>
            <w:r>
              <w:rPr>
                <w:rFonts w:ascii="Times New Roman" w:hAnsi="Times New Roman" w:cs="Times New Roman"/>
                <w:sz w:val="24"/>
              </w:rPr>
              <w:t>NTS provided; cumulative summary (Axis P.E.D. Ltd, 2023g; p.24).</w:t>
            </w:r>
          </w:p>
        </w:tc>
        <w:tc>
          <w:tcPr>
            <w:tcW w:w="876" w:type="pct"/>
          </w:tcPr>
          <w:p w14:paraId="54A5AEAF">
            <w:pPr>
              <w:spacing w:line="276" w:lineRule="auto"/>
              <w:rPr>
                <w:rFonts w:ascii="Times New Roman" w:hAnsi="Times New Roman" w:cs="Times New Roman"/>
                <w:sz w:val="24"/>
              </w:rPr>
            </w:pPr>
            <w:r>
              <w:rPr>
                <w:rFonts w:ascii="Times New Roman" w:hAnsi="Times New Roman" w:cs="Times New Roman"/>
                <w:sz w:val="24"/>
              </w:rPr>
              <w:t>B</w:t>
            </w:r>
          </w:p>
        </w:tc>
        <w:tc>
          <w:tcPr>
            <w:tcW w:w="1035" w:type="pct"/>
          </w:tcPr>
          <w:p w14:paraId="732B5267">
            <w:pPr>
              <w:spacing w:line="276" w:lineRule="auto"/>
              <w:rPr>
                <w:rFonts w:ascii="Times New Roman" w:hAnsi="Times New Roman" w:cs="Times New Roman"/>
                <w:sz w:val="24"/>
              </w:rPr>
            </w:pPr>
            <w:r>
              <w:rPr>
                <w:rFonts w:ascii="Times New Roman" w:hAnsi="Times New Roman" w:cs="Times New Roman"/>
                <w:sz w:val="24"/>
              </w:rPr>
              <w:t>Neutrality and synthesis tools</w:t>
            </w:r>
          </w:p>
        </w:tc>
        <w:tc>
          <w:tcPr>
            <w:tcW w:w="1067" w:type="pct"/>
          </w:tcPr>
          <w:p w14:paraId="600529A9">
            <w:pPr>
              <w:spacing w:line="276" w:lineRule="auto"/>
              <w:rPr>
                <w:rFonts w:ascii="Times New Roman" w:hAnsi="Times New Roman" w:cs="Times New Roman"/>
                <w:sz w:val="24"/>
              </w:rPr>
            </w:pPr>
            <w:r>
              <w:rPr>
                <w:rFonts w:ascii="Times New Roman" w:hAnsi="Times New Roman" w:cs="Times New Roman"/>
                <w:sz w:val="24"/>
              </w:rPr>
              <w:t>Neutral NTS tone; add residual effects table and commitments register</w:t>
            </w:r>
          </w:p>
        </w:tc>
      </w:tr>
    </w:tbl>
    <w:p w14:paraId="6D89D2BE">
      <w:pPr>
        <w:pStyle w:val="2"/>
        <w:spacing w:line="360" w:lineRule="auto"/>
        <w:jc w:val="both"/>
        <w:rPr>
          <w:rFonts w:ascii="Times New Roman" w:hAnsi="Times New Roman" w:cs="Times New Roman"/>
        </w:rPr>
      </w:pPr>
      <w:r>
        <w:rPr>
          <w:rFonts w:hint="default" w:ascii="Times New Roman" w:hAnsi="Times New Roman" w:cs="Times New Roman"/>
          <w:lang w:val="en-US"/>
        </w:rPr>
        <w:t>3</w:t>
      </w:r>
      <w:r>
        <w:rPr>
          <w:rFonts w:ascii="Times New Roman" w:hAnsi="Times New Roman" w:cs="Times New Roman"/>
        </w:rPr>
        <w:t>.</w:t>
      </w:r>
      <w:r>
        <w:rPr>
          <w:rFonts w:hint="default" w:ascii="Times New Roman" w:hAnsi="Times New Roman" w:cs="Times New Roman"/>
          <w:lang w:val="en-US"/>
        </w:rPr>
        <w:t>2</w:t>
      </w:r>
      <w:r>
        <w:rPr>
          <w:rFonts w:ascii="Times New Roman" w:hAnsi="Times New Roman" w:cs="Times New Roman"/>
        </w:rPr>
        <w:t xml:space="preserve"> Theory/law versus practice: gap analysis</w:t>
      </w:r>
    </w:p>
    <w:p w14:paraId="5B66AC4C">
      <w:pPr>
        <w:spacing w:after="240" w:line="360" w:lineRule="auto"/>
        <w:jc w:val="both"/>
        <w:rPr>
          <w:rFonts w:ascii="Times New Roman" w:hAnsi="Times New Roman" w:cs="Times New Roman"/>
          <w:sz w:val="24"/>
        </w:rPr>
      </w:pPr>
      <w:r>
        <w:rPr>
          <w:rFonts w:hint="eastAsia" w:ascii="Times New Roman" w:hAnsi="Times New Roman" w:cs="Times New Roman"/>
          <w:sz w:val="24"/>
        </w:rPr>
        <w:t>The section unites the major disparities between theory and legal expectations in the environmental assessment and how the Craig y Perthi project demonstrates true form, and explains why these voids are as critical to the sustainability objectives. Table 4 (see Table 4) is a cross-theme best-practice checklist that can be used to explicitly specify the synthesis.</w:t>
      </w:r>
    </w:p>
    <w:p w14:paraId="0CECC165">
      <w:pPr>
        <w:spacing w:line="360" w:lineRule="auto"/>
        <w:jc w:val="both"/>
        <w:rPr>
          <w:rFonts w:ascii="Times New Roman" w:hAnsi="Times New Roman" w:cs="Times New Roman"/>
          <w:b/>
          <w:bCs/>
          <w:sz w:val="32"/>
          <w:szCs w:val="36"/>
        </w:rPr>
      </w:pPr>
      <w:r>
        <w:rPr>
          <w:rFonts w:ascii="Times New Roman" w:hAnsi="Times New Roman" w:cs="Times New Roman"/>
          <w:b/>
          <w:bCs/>
          <w:sz w:val="24"/>
          <w:szCs w:val="36"/>
        </w:rPr>
        <w:t xml:space="preserve">Table </w:t>
      </w:r>
      <w:r>
        <w:rPr>
          <w:rFonts w:hint="eastAsia" w:ascii="Times New Roman" w:hAnsi="Times New Roman" w:cs="Times New Roman"/>
          <w:b/>
          <w:bCs/>
          <w:sz w:val="24"/>
          <w:szCs w:val="36"/>
        </w:rPr>
        <w:t>4</w:t>
      </w:r>
      <w:r>
        <w:rPr>
          <w:rFonts w:ascii="Times New Roman" w:hAnsi="Times New Roman" w:cs="Times New Roman"/>
          <w:b/>
          <w:bCs/>
          <w:sz w:val="24"/>
          <w:szCs w:val="36"/>
        </w:rPr>
        <w:t>. Cross-theme synthesis checklist</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2"/>
        <w:gridCol w:w="2840"/>
      </w:tblGrid>
      <w:tr w14:paraId="5AB10791">
        <w:tc>
          <w:tcPr>
            <w:tcW w:w="1666" w:type="pct"/>
          </w:tcPr>
          <w:p w14:paraId="71C3F4BD">
            <w:pPr>
              <w:spacing w:line="276" w:lineRule="auto"/>
              <w:rPr>
                <w:rFonts w:ascii="Times New Roman" w:hAnsi="Times New Roman" w:cs="Times New Roman"/>
                <w:sz w:val="24"/>
              </w:rPr>
            </w:pPr>
            <w:r>
              <w:rPr>
                <w:rFonts w:ascii="Times New Roman" w:hAnsi="Times New Roman" w:cs="Times New Roman"/>
                <w:sz w:val="24"/>
              </w:rPr>
              <w:t>Theme</w:t>
            </w:r>
          </w:p>
        </w:tc>
        <w:tc>
          <w:tcPr>
            <w:tcW w:w="1667" w:type="pct"/>
          </w:tcPr>
          <w:p w14:paraId="0590E795">
            <w:pPr>
              <w:spacing w:line="276" w:lineRule="auto"/>
              <w:rPr>
                <w:rFonts w:ascii="Times New Roman" w:hAnsi="Times New Roman" w:cs="Times New Roman"/>
                <w:sz w:val="24"/>
              </w:rPr>
            </w:pPr>
            <w:r>
              <w:rPr>
                <w:rFonts w:ascii="Times New Roman" w:hAnsi="Times New Roman" w:cs="Times New Roman"/>
                <w:sz w:val="24"/>
              </w:rPr>
              <w:t>Best practice indicator</w:t>
            </w:r>
          </w:p>
        </w:tc>
        <w:tc>
          <w:tcPr>
            <w:tcW w:w="1666" w:type="pct"/>
          </w:tcPr>
          <w:p w14:paraId="2310E86B">
            <w:pPr>
              <w:spacing w:line="276" w:lineRule="auto"/>
              <w:rPr>
                <w:rFonts w:ascii="Times New Roman" w:hAnsi="Times New Roman" w:cs="Times New Roman"/>
                <w:sz w:val="24"/>
              </w:rPr>
            </w:pPr>
            <w:r>
              <w:rPr>
                <w:rFonts w:ascii="Times New Roman" w:hAnsi="Times New Roman" w:cs="Times New Roman"/>
                <w:sz w:val="24"/>
              </w:rPr>
              <w:t>Observation in this case (summary)</w:t>
            </w:r>
          </w:p>
        </w:tc>
      </w:tr>
      <w:tr w14:paraId="103CD73A">
        <w:tc>
          <w:tcPr>
            <w:tcW w:w="1666" w:type="pct"/>
          </w:tcPr>
          <w:p w14:paraId="547C3671">
            <w:pPr>
              <w:spacing w:line="276" w:lineRule="auto"/>
              <w:rPr>
                <w:rFonts w:ascii="Times New Roman" w:hAnsi="Times New Roman" w:cs="Times New Roman"/>
                <w:sz w:val="24"/>
              </w:rPr>
            </w:pPr>
            <w:r>
              <w:rPr>
                <w:rFonts w:ascii="Times New Roman" w:hAnsi="Times New Roman" w:cs="Times New Roman"/>
                <w:sz w:val="24"/>
              </w:rPr>
              <w:t>Alternatives</w:t>
            </w:r>
          </w:p>
        </w:tc>
        <w:tc>
          <w:tcPr>
            <w:tcW w:w="1667" w:type="pct"/>
          </w:tcPr>
          <w:p w14:paraId="3C41750D">
            <w:pPr>
              <w:spacing w:line="276" w:lineRule="auto"/>
              <w:rPr>
                <w:rFonts w:ascii="Times New Roman" w:hAnsi="Times New Roman" w:cs="Times New Roman"/>
                <w:sz w:val="24"/>
              </w:rPr>
            </w:pPr>
            <w:r>
              <w:rPr>
                <w:rFonts w:ascii="Times New Roman" w:hAnsi="Times New Roman" w:cs="Times New Roman"/>
                <w:sz w:val="24"/>
              </w:rPr>
              <w:t>Transparent options longlist/shortlist and auditable reasons</w:t>
            </w:r>
          </w:p>
        </w:tc>
        <w:tc>
          <w:tcPr>
            <w:tcW w:w="1666" w:type="pct"/>
          </w:tcPr>
          <w:p w14:paraId="3634520F">
            <w:pPr>
              <w:spacing w:line="276" w:lineRule="auto"/>
              <w:rPr>
                <w:rFonts w:ascii="Times New Roman" w:hAnsi="Times New Roman" w:cs="Times New Roman"/>
                <w:sz w:val="24"/>
              </w:rPr>
            </w:pPr>
            <w:r>
              <w:rPr>
                <w:rFonts w:ascii="Times New Roman" w:hAnsi="Times New Roman" w:cs="Times New Roman"/>
                <w:sz w:val="24"/>
              </w:rPr>
              <w:t>Evidence of constraints is present, but decision-shaping transparency could be strengthened</w:t>
            </w:r>
          </w:p>
        </w:tc>
      </w:tr>
      <w:tr w14:paraId="349531B4">
        <w:tc>
          <w:tcPr>
            <w:tcW w:w="1666" w:type="pct"/>
          </w:tcPr>
          <w:p w14:paraId="09199461">
            <w:pPr>
              <w:spacing w:line="276" w:lineRule="auto"/>
              <w:rPr>
                <w:rFonts w:ascii="Times New Roman" w:hAnsi="Times New Roman" w:cs="Times New Roman"/>
                <w:sz w:val="24"/>
              </w:rPr>
            </w:pPr>
            <w:r>
              <w:rPr>
                <w:rFonts w:ascii="Times New Roman" w:hAnsi="Times New Roman" w:cs="Times New Roman"/>
                <w:sz w:val="24"/>
              </w:rPr>
              <w:t>Significance</w:t>
            </w:r>
          </w:p>
        </w:tc>
        <w:tc>
          <w:tcPr>
            <w:tcW w:w="1667" w:type="pct"/>
          </w:tcPr>
          <w:p w14:paraId="355E0B94">
            <w:pPr>
              <w:spacing w:line="276" w:lineRule="auto"/>
              <w:rPr>
                <w:rFonts w:ascii="Times New Roman" w:hAnsi="Times New Roman" w:cs="Times New Roman"/>
                <w:sz w:val="24"/>
              </w:rPr>
            </w:pPr>
            <w:r>
              <w:rPr>
                <w:rFonts w:ascii="Times New Roman" w:hAnsi="Times New Roman" w:cs="Times New Roman"/>
                <w:sz w:val="24"/>
              </w:rPr>
              <w:t>Clear magnitude-sensitivity reasoning with uncertainties stated</w:t>
            </w:r>
          </w:p>
        </w:tc>
        <w:tc>
          <w:tcPr>
            <w:tcW w:w="1666" w:type="pct"/>
          </w:tcPr>
          <w:p w14:paraId="73EF0B66">
            <w:pPr>
              <w:spacing w:line="276" w:lineRule="auto"/>
              <w:rPr>
                <w:rFonts w:ascii="Times New Roman" w:hAnsi="Times New Roman" w:cs="Times New Roman"/>
                <w:sz w:val="24"/>
              </w:rPr>
            </w:pPr>
            <w:r>
              <w:rPr>
                <w:rFonts w:ascii="Times New Roman" w:hAnsi="Times New Roman" w:cs="Times New Roman"/>
                <w:sz w:val="24"/>
              </w:rPr>
              <w:t>Narratives exist; would benefit from more explicit criteria and examples that show how conclusions were reached</w:t>
            </w:r>
          </w:p>
        </w:tc>
      </w:tr>
      <w:tr w14:paraId="330240EB">
        <w:tc>
          <w:tcPr>
            <w:tcW w:w="1666" w:type="pct"/>
          </w:tcPr>
          <w:p w14:paraId="5AA0A4B9">
            <w:pPr>
              <w:spacing w:line="276" w:lineRule="auto"/>
              <w:rPr>
                <w:rFonts w:ascii="Times New Roman" w:hAnsi="Times New Roman" w:cs="Times New Roman"/>
                <w:sz w:val="24"/>
              </w:rPr>
            </w:pPr>
            <w:r>
              <w:rPr>
                <w:rFonts w:ascii="Times New Roman" w:hAnsi="Times New Roman" w:cs="Times New Roman"/>
                <w:sz w:val="24"/>
              </w:rPr>
              <w:t>Mitigation &amp; follow-up</w:t>
            </w:r>
          </w:p>
        </w:tc>
        <w:tc>
          <w:tcPr>
            <w:tcW w:w="1667" w:type="pct"/>
          </w:tcPr>
          <w:p w14:paraId="5FDC4158">
            <w:pPr>
              <w:spacing w:line="276" w:lineRule="auto"/>
              <w:rPr>
                <w:rFonts w:ascii="Times New Roman" w:hAnsi="Times New Roman" w:cs="Times New Roman"/>
                <w:sz w:val="24"/>
              </w:rPr>
            </w:pPr>
            <w:r>
              <w:rPr>
                <w:rFonts w:ascii="Times New Roman" w:hAnsi="Times New Roman" w:cs="Times New Roman"/>
                <w:sz w:val="24"/>
              </w:rPr>
              <w:t>Commitments that are specific, measurable and monitorable</w:t>
            </w:r>
          </w:p>
        </w:tc>
        <w:tc>
          <w:tcPr>
            <w:tcW w:w="1666" w:type="pct"/>
          </w:tcPr>
          <w:p w14:paraId="1FC3BBA4">
            <w:pPr>
              <w:spacing w:line="276" w:lineRule="auto"/>
              <w:rPr>
                <w:rFonts w:ascii="Times New Roman" w:hAnsi="Times New Roman" w:cs="Times New Roman"/>
                <w:sz w:val="24"/>
              </w:rPr>
            </w:pPr>
            <w:r>
              <w:rPr>
                <w:rFonts w:ascii="Times New Roman" w:hAnsi="Times New Roman" w:cs="Times New Roman"/>
                <w:sz w:val="24"/>
              </w:rPr>
              <w:t>Management plans are discussed; auditability at decision time could be improved through clearer monitoring triggers</w:t>
            </w:r>
          </w:p>
        </w:tc>
      </w:tr>
      <w:tr w14:paraId="02C1CE61">
        <w:tc>
          <w:tcPr>
            <w:tcW w:w="1666" w:type="pct"/>
          </w:tcPr>
          <w:p w14:paraId="78815601">
            <w:pPr>
              <w:spacing w:line="276" w:lineRule="auto"/>
              <w:rPr>
                <w:rFonts w:ascii="Times New Roman" w:hAnsi="Times New Roman" w:cs="Times New Roman"/>
                <w:sz w:val="24"/>
              </w:rPr>
            </w:pPr>
            <w:r>
              <w:rPr>
                <w:rFonts w:ascii="Times New Roman" w:hAnsi="Times New Roman" w:cs="Times New Roman"/>
                <w:sz w:val="24"/>
              </w:rPr>
              <w:t>Engagement</w:t>
            </w:r>
          </w:p>
        </w:tc>
        <w:tc>
          <w:tcPr>
            <w:tcW w:w="1667" w:type="pct"/>
          </w:tcPr>
          <w:p w14:paraId="14CD4E04">
            <w:pPr>
              <w:spacing w:line="276" w:lineRule="auto"/>
              <w:rPr>
                <w:rFonts w:ascii="Times New Roman" w:hAnsi="Times New Roman" w:cs="Times New Roman"/>
                <w:sz w:val="24"/>
              </w:rPr>
            </w:pPr>
            <w:r>
              <w:rPr>
                <w:rFonts w:ascii="Times New Roman" w:hAnsi="Times New Roman" w:cs="Times New Roman"/>
                <w:sz w:val="24"/>
              </w:rPr>
              <w:t>Two-way learning and traceable response to issues raised</w:t>
            </w:r>
          </w:p>
        </w:tc>
        <w:tc>
          <w:tcPr>
            <w:tcW w:w="1666" w:type="pct"/>
          </w:tcPr>
          <w:p w14:paraId="2336A76D">
            <w:pPr>
              <w:spacing w:line="276" w:lineRule="auto"/>
              <w:rPr>
                <w:rFonts w:ascii="Times New Roman" w:hAnsi="Times New Roman" w:cs="Times New Roman"/>
                <w:sz w:val="24"/>
              </w:rPr>
            </w:pPr>
            <w:r>
              <w:rPr>
                <w:rFonts w:ascii="Times New Roman" w:hAnsi="Times New Roman" w:cs="Times New Roman"/>
                <w:sz w:val="24"/>
              </w:rPr>
              <w:t>Consultation steps are documented; stronger feedback loops would support legitimacy</w:t>
            </w:r>
          </w:p>
        </w:tc>
      </w:tr>
    </w:tbl>
    <w:p w14:paraId="6017012E">
      <w:pPr>
        <w:pStyle w:val="3"/>
        <w:spacing w:line="360" w:lineRule="auto"/>
        <w:jc w:val="both"/>
        <w:rPr>
          <w:rFonts w:cs="Times New Roman"/>
        </w:rPr>
      </w:pPr>
      <w:r>
        <w:rPr>
          <w:rFonts w:hint="default" w:cs="Times New Roman"/>
          <w:lang w:val="en-US"/>
        </w:rPr>
        <w:t>3.2</w:t>
      </w:r>
      <w:r>
        <w:rPr>
          <w:rFonts w:cs="Times New Roman"/>
        </w:rPr>
        <w:t>.1 Alternatives as description rather than decision shaping</w:t>
      </w:r>
    </w:p>
    <w:p w14:paraId="6D95266A">
      <w:pPr>
        <w:spacing w:after="240" w:line="360" w:lineRule="auto"/>
        <w:jc w:val="both"/>
        <w:rPr>
          <w:rFonts w:ascii="Times New Roman" w:hAnsi="Times New Roman" w:cs="Times New Roman"/>
          <w:sz w:val="24"/>
        </w:rPr>
      </w:pPr>
      <w:r>
        <w:rPr>
          <w:rFonts w:ascii="Times New Roman" w:hAnsi="Times New Roman" w:cs="Times New Roman"/>
          <w:sz w:val="24"/>
        </w:rPr>
        <w:t>The report refers to the necessity of having alternatives, but it makes studying alternatives sound as being more optional and emphasizes that the responsibility is merely something which is really to describe alternatives in case they were considered earlier. This demonstrates that legal language is sometimes to be interpreted in a narrower sense that is not really in the sustainability intentions. Alternatives will be expected to aid in shaping up early decisions using environmental thinking through assessment thinking. Overall, developer-led work can interpret the alternatives as a mere description of why when something is chosen instead of a good analysis, particularly concerning decisions that are already partly decided on.</w:t>
      </w:r>
    </w:p>
    <w:p w14:paraId="0DEFA626">
      <w:pPr>
        <w:pStyle w:val="3"/>
        <w:spacing w:line="360" w:lineRule="auto"/>
        <w:jc w:val="both"/>
        <w:rPr>
          <w:rFonts w:cs="Times New Roman"/>
        </w:rPr>
      </w:pPr>
      <w:r>
        <w:rPr>
          <w:rFonts w:hint="default" w:cs="Times New Roman"/>
          <w:lang w:val="en-US"/>
        </w:rPr>
        <w:t>3.2</w:t>
      </w:r>
      <w:r>
        <w:rPr>
          <w:rFonts w:cs="Times New Roman"/>
        </w:rPr>
        <w:t>.2 Procedural consultation versus legitimacy and learning</w:t>
      </w:r>
    </w:p>
    <w:p w14:paraId="3DC5BA2D">
      <w:pPr>
        <w:spacing w:after="240" w:line="360" w:lineRule="auto"/>
        <w:jc w:val="both"/>
        <w:rPr>
          <w:rFonts w:ascii="Times New Roman" w:hAnsi="Times New Roman" w:cs="Times New Roman"/>
          <w:sz w:val="24"/>
        </w:rPr>
      </w:pPr>
      <w:r>
        <w:rPr>
          <w:rFonts w:ascii="Times New Roman" w:hAnsi="Times New Roman" w:cs="Times New Roman"/>
          <w:sz w:val="24"/>
        </w:rPr>
        <w:t>The consultation steps are formal steps in the process, which are also reflected in the Craig y Perthi notice. But effective performance founded on trust needs to encounter input. In other words, the studies concerning the role of the public indicate that individuals must see that their efforts altered plans or the evaluation process as well, and transparent feedback fosters a sense of trust. The absence of a public narrative of how consultation influenced design makes it more difficult to make a judgment of effectiveness in this project by the reviewers.</w:t>
      </w:r>
    </w:p>
    <w:p w14:paraId="658416EE">
      <w:pPr>
        <w:pStyle w:val="3"/>
        <w:spacing w:line="360" w:lineRule="auto"/>
        <w:jc w:val="both"/>
        <w:rPr>
          <w:rFonts w:cs="Times New Roman"/>
        </w:rPr>
      </w:pPr>
      <w:r>
        <w:rPr>
          <w:rFonts w:hint="default" w:cs="Times New Roman"/>
          <w:lang w:val="en-US"/>
        </w:rPr>
        <w:t>3.2</w:t>
      </w:r>
      <w:r>
        <w:rPr>
          <w:rFonts w:cs="Times New Roman"/>
        </w:rPr>
        <w:t>.3 Management plans exist but commitments are not fully auditable at decision time</w:t>
      </w:r>
    </w:p>
    <w:p w14:paraId="43339DF9">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CEMP and LEMP tools are positive in a sense (Axis P. E. D. Ltd, 2023e; Axis P. E. D. Ltd, 2023f); however, it is worth mentioning that some of the details are actually left to be presented at later step, , subjected to conditions with the following consent and also to documents prepared by the contractor. A follow-up process will be unable to occur as a proper loop of learning and improvement without a single, integrated register to care of tracking commitments, which would involve elements such as monitoring indicators, the person responsible, and the manner in which reporting should be done (Lee and Colley, 1992).</w:t>
      </w:r>
    </w:p>
    <w:p w14:paraId="52DECEA9">
      <w:pPr>
        <w:spacing w:after="240" w:line="360" w:lineRule="auto"/>
        <w:jc w:val="both"/>
        <w:rPr>
          <w:rFonts w:ascii="Times New Roman" w:hAnsi="Times New Roman" w:cs="Times New Roman"/>
          <w:sz w:val="24"/>
        </w:rPr>
      </w:pPr>
      <w:r>
        <w:rPr>
          <w:rFonts w:hint="eastAsia" w:ascii="Times New Roman" w:hAnsi="Times New Roman" w:cs="Times New Roman"/>
          <w:sz w:val="24"/>
        </w:rPr>
        <w:t>The arguments jointly elaborated by Caro-Gonzalez and colleagues (2023) include the view that the EIA effectiveness can now be evaluated, according to expectations set in terms of transformation and legitimacy, rather than the completion of the involved steps of the procedures. As the case of Craig y Perthi, in particular, would indicate, one of the main areas that could be identified is that even when the technical assessment component is performed well, the EIA process may not entirely fulfill its initial purpose, which is fostering sustainability. This occurs, , when the previous decisions taken, the degree of participation in the decisions and the ex-post facto are not clearly demonstrated and clearly displayed.</w:t>
      </w:r>
    </w:p>
    <w:p w14:paraId="48AB0A6D">
      <w:pPr>
        <w:pStyle w:val="3"/>
        <w:spacing w:line="360" w:lineRule="auto"/>
        <w:jc w:val="both"/>
        <w:rPr>
          <w:rFonts w:cs="Times New Roman"/>
        </w:rPr>
      </w:pPr>
      <w:r>
        <w:rPr>
          <w:rFonts w:hint="default" w:cs="Times New Roman"/>
          <w:lang w:val="en-US"/>
        </w:rPr>
        <w:t>3.2</w:t>
      </w:r>
      <w:r>
        <w:rPr>
          <w:rFonts w:cs="Times New Roman"/>
        </w:rPr>
        <w:t>.4 Comparative case: Cleve Hill Solar Park (England, NSIP)</w:t>
      </w:r>
    </w:p>
    <w:p w14:paraId="21756A3A">
      <w:pPr>
        <w:spacing w:after="240" w:line="360" w:lineRule="auto"/>
        <w:jc w:val="both"/>
        <w:rPr>
          <w:rFonts w:hint="eastAsia" w:ascii="Times New Roman" w:hAnsi="Times New Roman" w:cs="Times New Roman"/>
          <w:sz w:val="24"/>
        </w:rPr>
      </w:pPr>
      <w:r>
        <w:rPr>
          <w:rFonts w:hint="eastAsia" w:ascii="Times New Roman" w:hAnsi="Times New Roman" w:cs="Times New Roman"/>
          <w:sz w:val="24"/>
        </w:rPr>
        <w:t>The specific example of an analysis is the Cleve Hill Solar Park in England that was analyzed according to the Nationally Significant Infrastructure Project (NSIP) system. NSIP documentation that is publicly available will usually contain (i) a separate consultation report of who was consulted and what issues were raised and how the scheme developed, (ii) a consolidated schedule or route map of mitigation that will indicate how commitments are secured by requirements/conditions and monitored.</w:t>
      </w:r>
    </w:p>
    <w:p w14:paraId="15A9187D">
      <w:pPr>
        <w:spacing w:after="240" w:line="360" w:lineRule="auto"/>
        <w:jc w:val="both"/>
        <w:rPr>
          <w:rFonts w:ascii="Times New Roman" w:hAnsi="Times New Roman" w:cs="Times New Roman"/>
          <w:sz w:val="24"/>
        </w:rPr>
      </w:pPr>
      <w:r>
        <w:rPr>
          <w:rFonts w:hint="eastAsia" w:ascii="Times New Roman" w:hAnsi="Times New Roman" w:cs="Times New Roman"/>
          <w:sz w:val="24"/>
        </w:rPr>
        <w:t>This constitutes two practical traceability tools in comparison to Craig y Perthi which directly address key weaknesses, despite the fact that they have been highlighted in this review, viz.: (a) an observable you said/we did traceability pathway between engagement and design development, and (b) an auditable central record of mitigation and monitoring commitment. This comparison does not aim at stating the superiority of the English regime of NSIP in general; instead, it illustrates that in a similar planning setting in the UK, clear traceability can be established and can significantly enhance the feasible aspects of legitimacy and learning in EIA practice.</w:t>
      </w:r>
    </w:p>
    <w:p w14:paraId="131D3F3E">
      <w:pPr>
        <w:pStyle w:val="2"/>
        <w:spacing w:line="360" w:lineRule="auto"/>
        <w:jc w:val="both"/>
        <w:rPr>
          <w:rFonts w:ascii="Times New Roman" w:hAnsi="Times New Roman" w:cs="Times New Roman"/>
        </w:rPr>
      </w:pPr>
      <w:r>
        <w:rPr>
          <w:rFonts w:hint="default" w:ascii="Times New Roman" w:hAnsi="Times New Roman" w:cs="Times New Roman"/>
          <w:lang w:val="en-US"/>
        </w:rPr>
        <w:t>4</w:t>
      </w:r>
      <w:r>
        <w:rPr>
          <w:rFonts w:ascii="Times New Roman" w:hAnsi="Times New Roman" w:cs="Times New Roman"/>
        </w:rPr>
        <w:t>. Recommendations</w:t>
      </w:r>
    </w:p>
    <w:p w14:paraId="640FDA1B">
      <w:pPr>
        <w:spacing w:after="240" w:line="360" w:lineRule="auto"/>
        <w:jc w:val="both"/>
        <w:rPr>
          <w:rFonts w:ascii="Times New Roman" w:hAnsi="Times New Roman" w:cs="Times New Roman"/>
          <w:sz w:val="24"/>
        </w:rPr>
      </w:pPr>
      <w:r>
        <w:rPr>
          <w:rFonts w:ascii="Times New Roman" w:hAnsi="Times New Roman" w:cs="Times New Roman"/>
          <w:sz w:val="24"/>
        </w:rPr>
        <w:t>This section of the report contains recommendations which are pragmatic in nature so as to increase effectual EIA processes in cyclical instances of DNS which incorporate identification of who should act (competent authority, consultants and developer), what should change.</w:t>
      </w:r>
    </w:p>
    <w:p w14:paraId="4F2F1A92">
      <w:pPr>
        <w:pStyle w:val="3"/>
        <w:spacing w:line="360" w:lineRule="auto"/>
        <w:jc w:val="both"/>
        <w:rPr>
          <w:rFonts w:cs="Times New Roman"/>
        </w:rPr>
      </w:pPr>
      <w:r>
        <w:rPr>
          <w:rFonts w:hint="default" w:cs="Times New Roman"/>
          <w:lang w:val="en-US"/>
        </w:rPr>
        <w:t>4</w:t>
      </w:r>
      <w:r>
        <w:rPr>
          <w:rFonts w:cs="Times New Roman"/>
        </w:rPr>
        <w:t xml:space="preserve">.1 For the competent authority </w:t>
      </w:r>
    </w:p>
    <w:p w14:paraId="5D1B27EE">
      <w:pPr>
        <w:spacing w:after="240" w:line="360" w:lineRule="auto"/>
        <w:jc w:val="both"/>
        <w:rPr>
          <w:rFonts w:ascii="Times New Roman" w:hAnsi="Times New Roman" w:cs="Times New Roman"/>
          <w:sz w:val="24"/>
        </w:rPr>
      </w:pPr>
      <w:r>
        <w:rPr>
          <w:rFonts w:ascii="Times New Roman" w:hAnsi="Times New Roman" w:cs="Times New Roman"/>
          <w:sz w:val="24"/>
        </w:rPr>
        <w:t>1) ES acceptance tests enhance expectations of alternatives: an alternatives appraisal matrix accommodate site, layout and design parameters must have an express document on environmental trade-off not only a commercial criteria (Welsh Government, 2017).</w:t>
      </w:r>
    </w:p>
    <w:p w14:paraId="75D7CDF1">
      <w:pPr>
        <w:spacing w:after="240" w:line="360" w:lineRule="auto"/>
        <w:jc w:val="both"/>
        <w:rPr>
          <w:rFonts w:ascii="Times New Roman" w:hAnsi="Times New Roman" w:cs="Times New Roman"/>
          <w:sz w:val="24"/>
        </w:rPr>
      </w:pPr>
      <w:r>
        <w:rPr>
          <w:rFonts w:ascii="Times New Roman" w:hAnsi="Times New Roman" w:cs="Times New Roman"/>
          <w:sz w:val="24"/>
        </w:rPr>
        <w:t>2) DN case Pilot independent ES quality audit of the cases with utilisation of a Lee and Colley summary sheet and the outcome is posted at the transparency and quality control (Lee and Colley, 1992).</w:t>
      </w:r>
    </w:p>
    <w:p w14:paraId="730499BF">
      <w:pPr>
        <w:pStyle w:val="3"/>
        <w:spacing w:line="360" w:lineRule="auto"/>
        <w:jc w:val="both"/>
        <w:rPr>
          <w:rFonts w:cs="Times New Roman"/>
        </w:rPr>
      </w:pPr>
      <w:r>
        <w:rPr>
          <w:rFonts w:hint="default" w:cs="Times New Roman"/>
          <w:lang w:val="en-US"/>
        </w:rPr>
        <w:t>4</w:t>
      </w:r>
      <w:r>
        <w:rPr>
          <w:rFonts w:cs="Times New Roman"/>
        </w:rPr>
        <w:t xml:space="preserve">.2 For the EIA consultant </w:t>
      </w:r>
    </w:p>
    <w:p w14:paraId="128B36B1">
      <w:pPr>
        <w:spacing w:after="240" w:line="360" w:lineRule="auto"/>
        <w:jc w:val="both"/>
        <w:rPr>
          <w:rFonts w:ascii="Times New Roman" w:hAnsi="Times New Roman" w:cs="Times New Roman"/>
          <w:sz w:val="24"/>
        </w:rPr>
      </w:pPr>
      <w:r>
        <w:rPr>
          <w:rFonts w:ascii="Times New Roman" w:hAnsi="Times New Roman" w:cs="Times New Roman"/>
          <w:sz w:val="24"/>
        </w:rPr>
        <w:t>3) Significance and uncertainty of cross-link on the topic chapters in order to contribute to the auditability and reduce the inconsistency of the communication of residual effects.</w:t>
      </w:r>
    </w:p>
    <w:p w14:paraId="01BDD2FC">
      <w:pPr>
        <w:spacing w:after="240" w:line="360" w:lineRule="auto"/>
        <w:jc w:val="both"/>
        <w:rPr>
          <w:rFonts w:ascii="Times New Roman" w:hAnsi="Times New Roman" w:cs="Times New Roman"/>
          <w:sz w:val="24"/>
        </w:rPr>
      </w:pPr>
      <w:r>
        <w:rPr>
          <w:rFonts w:ascii="Times New Roman" w:hAnsi="Times New Roman" w:cs="Times New Roman"/>
          <w:sz w:val="24"/>
        </w:rPr>
        <w:t>4) Issue one EIA commitment register on the main ES volume amid the foreseeable significant impacts and mitigation, the indicators of the monitoring body, frequency, responsibility, report direction, as well as the triggers of the adaptive management, and the deferral risks of outline plans are done away with.</w:t>
      </w:r>
    </w:p>
    <w:p w14:paraId="6A53C73D">
      <w:pPr>
        <w:pStyle w:val="3"/>
        <w:spacing w:line="360" w:lineRule="auto"/>
        <w:jc w:val="both"/>
        <w:rPr>
          <w:rFonts w:cs="Times New Roman"/>
        </w:rPr>
      </w:pPr>
      <w:r>
        <w:rPr>
          <w:rFonts w:hint="default" w:cs="Times New Roman"/>
          <w:lang w:val="en-US"/>
        </w:rPr>
        <w:t>4</w:t>
      </w:r>
      <w:r>
        <w:rPr>
          <w:rFonts w:cs="Times New Roman"/>
        </w:rPr>
        <w:t>.3 For the developer/applicant</w:t>
      </w:r>
    </w:p>
    <w:p w14:paraId="2B0F6A1F">
      <w:pPr>
        <w:spacing w:after="240" w:line="360" w:lineRule="auto"/>
        <w:jc w:val="both"/>
        <w:rPr>
          <w:rFonts w:ascii="Times New Roman" w:hAnsi="Times New Roman" w:cs="Times New Roman"/>
          <w:sz w:val="24"/>
        </w:rPr>
      </w:pPr>
      <w:r>
        <w:rPr>
          <w:rFonts w:ascii="Times New Roman" w:hAnsi="Times New Roman" w:cs="Times New Roman"/>
          <w:sz w:val="24"/>
        </w:rPr>
        <w:t>5) Issue a consultation traceability report (you said/we did) where the issues reported are connected with responses/actors (design changes, mitigation commitment or monitoring commitment) to increase the legitimacy and conflict risk (Glucker et al. , 2013).</w:t>
      </w:r>
    </w:p>
    <w:p w14:paraId="0966F484">
      <w:pPr>
        <w:spacing w:after="240" w:line="360" w:lineRule="auto"/>
        <w:jc w:val="both"/>
        <w:rPr>
          <w:rFonts w:ascii="Times New Roman" w:hAnsi="Times New Roman" w:cs="Times New Roman"/>
          <w:sz w:val="24"/>
        </w:rPr>
      </w:pPr>
      <w:r>
        <w:rPr>
          <w:rFonts w:ascii="Times New Roman" w:hAnsi="Times New Roman" w:cs="Times New Roman"/>
          <w:sz w:val="24"/>
        </w:rPr>
        <w:t>6) Declare publicly about the monitoring according to LEMP review cycle (Axis P. E. D. Ltd, 2023f), and define concrete antecedents of adaptive management in the case of poor monitoring.</w:t>
      </w:r>
    </w:p>
    <w:p w14:paraId="4DBF29D8">
      <w:pPr>
        <w:pStyle w:val="2"/>
        <w:spacing w:line="360" w:lineRule="auto"/>
        <w:jc w:val="both"/>
        <w:rPr>
          <w:rFonts w:ascii="Times New Roman" w:hAnsi="Times New Roman" w:cs="Times New Roman"/>
        </w:rPr>
      </w:pPr>
      <w:r>
        <w:rPr>
          <w:rFonts w:hint="default" w:ascii="Times New Roman" w:hAnsi="Times New Roman" w:cs="Times New Roman"/>
          <w:lang w:val="en-US"/>
        </w:rPr>
        <w:t>5</w:t>
      </w:r>
      <w:bookmarkStart w:id="0" w:name="_GoBack"/>
      <w:bookmarkEnd w:id="0"/>
      <w:r>
        <w:rPr>
          <w:rFonts w:ascii="Times New Roman" w:hAnsi="Times New Roman" w:cs="Times New Roman"/>
        </w:rPr>
        <w:t>. Conclusion</w:t>
      </w:r>
    </w:p>
    <w:p w14:paraId="059054F0">
      <w:pPr>
        <w:spacing w:after="240" w:line="360" w:lineRule="auto"/>
        <w:jc w:val="both"/>
        <w:rPr>
          <w:rFonts w:ascii="Times New Roman" w:hAnsi="Times New Roman" w:cs="Times New Roman"/>
          <w:sz w:val="24"/>
        </w:rPr>
      </w:pPr>
      <w:r>
        <w:rPr>
          <w:rFonts w:ascii="Times New Roman" w:hAnsi="Times New Roman" w:cs="Times New Roman"/>
          <w:sz w:val="24"/>
        </w:rPr>
        <w:t>The paper has taken into account Craig y Perthi Solar farm EIA as a process and document structure rather than a document that evaluates whether the project should or should not proceed. The ES demonstrates good base and mitigation planning concerning areas of state importance which have been scanned in, including significant evidence of use of ecological survey and implementation instruments (Axis P. E. D. Ltd, 2023f). These strengths imply that existing EIA can still offer basic functions of identifying and mitigating planning of impact.</w:t>
      </w:r>
      <w:r>
        <w:rPr>
          <w:rFonts w:ascii="Times New Roman" w:hAnsi="Times New Roman" w:cs="Times New Roman"/>
          <w:sz w:val="24"/>
        </w:rPr>
        <w:br w:type="textWrapping"/>
      </w:r>
      <w:r>
        <w:rPr>
          <w:rFonts w:ascii="Times New Roman" w:hAnsi="Times New Roman" w:cs="Times New Roman"/>
          <w:sz w:val="24"/>
        </w:rPr>
        <w:t>However, the case also shows that the over-Missing of the modern practice may also occur as regards to the sustainability-oriented aim of the EIA. The alternative discussion is the most vital weakness, as it restricts a situation of independent consideration concerning the presence of environmental-preferable viable alternatives (Axis P. E. D. Ltd, 2023b). It has been demonstrated that the participation is procedurally, but not keenly influential on the public ES story (Axis P. E. D. Ltd, 2023d; Andre et al. , 2006; Glucker et al. , 2013). The presence of follow up tools is provided as long as they are more powerful in case the commitments were centralized and the monitoring of the governance became transparent.</w:t>
      </w:r>
      <w:r>
        <w:rPr>
          <w:rFonts w:ascii="Times New Roman" w:hAnsi="Times New Roman" w:cs="Times New Roman"/>
          <w:sz w:val="24"/>
        </w:rPr>
        <w:br w:type="textWrapping"/>
      </w:r>
      <w:r>
        <w:rPr>
          <w:rFonts w:ascii="Times New Roman" w:hAnsi="Times New Roman" w:cs="Times New Roman"/>
          <w:sz w:val="24"/>
        </w:rPr>
        <w:t>Overall, Craig y Perthi EIA can be pegged as competent in exercise of procedures, but not necessarily in making decisions. The recommendations provided would improve transparency, legitimacy and learning making the practice more linked with the sustainability purpose and objective of the governance of the EIA and the Welsh sustainable development ( Welsh Government, 2015).</w:t>
      </w:r>
    </w:p>
    <w:p w14:paraId="6007E2EC">
      <w:pPr>
        <w:spacing w:line="360" w:lineRule="auto"/>
        <w:jc w:val="both"/>
        <w:rPr>
          <w:rFonts w:ascii="Times New Roman" w:hAnsi="Times New Roman" w:cs="Times New Roman"/>
        </w:rPr>
      </w:pPr>
    </w:p>
    <w:p w14:paraId="798800D3">
      <w:pPr>
        <w:spacing w:line="360" w:lineRule="auto"/>
        <w:jc w:val="both"/>
        <w:rPr>
          <w:rFonts w:ascii="Times New Roman" w:hAnsi="Times New Roman" w:cs="Times New Roman"/>
        </w:rPr>
      </w:pPr>
    </w:p>
    <w:p w14:paraId="5DBAD76D">
      <w:pPr>
        <w:spacing w:line="360" w:lineRule="auto"/>
        <w:jc w:val="both"/>
        <w:rPr>
          <w:rFonts w:ascii="Times New Roman" w:hAnsi="Times New Roman" w:cs="Times New Roman"/>
        </w:rPr>
      </w:pPr>
    </w:p>
    <w:p w14:paraId="3D83C0D0">
      <w:pPr>
        <w:spacing w:line="360" w:lineRule="auto"/>
        <w:jc w:val="both"/>
        <w:rPr>
          <w:rFonts w:ascii="Times New Roman" w:hAnsi="Times New Roman" w:cs="Times New Roman"/>
        </w:rPr>
      </w:pPr>
    </w:p>
    <w:p w14:paraId="54A7EAFA">
      <w:pPr>
        <w:spacing w:line="360" w:lineRule="auto"/>
        <w:jc w:val="both"/>
        <w:rPr>
          <w:rFonts w:ascii="Times New Roman" w:hAnsi="Times New Roman" w:cs="Times New Roman"/>
        </w:rPr>
      </w:pPr>
    </w:p>
    <w:p w14:paraId="7A5BE0C4">
      <w:pPr>
        <w:spacing w:line="360" w:lineRule="auto"/>
        <w:jc w:val="both"/>
        <w:rPr>
          <w:rFonts w:ascii="Times New Roman" w:hAnsi="Times New Roman" w:cs="Times New Roman"/>
        </w:rPr>
      </w:pPr>
    </w:p>
    <w:p w14:paraId="465DB5B9">
      <w:pPr>
        <w:spacing w:line="360" w:lineRule="auto"/>
        <w:jc w:val="both"/>
        <w:rPr>
          <w:rFonts w:ascii="Times New Roman" w:hAnsi="Times New Roman" w:cs="Times New Roman"/>
        </w:rPr>
      </w:pPr>
    </w:p>
    <w:p w14:paraId="7819FECC">
      <w:pPr>
        <w:spacing w:line="360" w:lineRule="auto"/>
        <w:jc w:val="both"/>
        <w:rPr>
          <w:rFonts w:ascii="Times New Roman" w:hAnsi="Times New Roman" w:cs="Times New Roman"/>
        </w:rPr>
      </w:pPr>
    </w:p>
    <w:p w14:paraId="6C85150D">
      <w:pPr>
        <w:spacing w:line="360" w:lineRule="auto"/>
        <w:jc w:val="both"/>
        <w:rPr>
          <w:rFonts w:ascii="Times New Roman" w:hAnsi="Times New Roman" w:cs="Times New Roman"/>
        </w:rPr>
      </w:pPr>
    </w:p>
    <w:p w14:paraId="45D0F0B5">
      <w:pPr>
        <w:spacing w:line="360" w:lineRule="auto"/>
        <w:jc w:val="both"/>
        <w:rPr>
          <w:rFonts w:ascii="Times New Roman" w:hAnsi="Times New Roman" w:cs="Times New Roman"/>
        </w:rPr>
      </w:pPr>
    </w:p>
    <w:p w14:paraId="08A22BFE">
      <w:pPr>
        <w:spacing w:line="360" w:lineRule="auto"/>
        <w:jc w:val="both"/>
        <w:rPr>
          <w:rFonts w:ascii="Times New Roman" w:hAnsi="Times New Roman" w:cs="Times New Roman"/>
        </w:rPr>
      </w:pPr>
    </w:p>
    <w:p w14:paraId="762541A4">
      <w:pPr>
        <w:spacing w:line="360" w:lineRule="auto"/>
        <w:jc w:val="both"/>
        <w:rPr>
          <w:rFonts w:ascii="Times New Roman" w:hAnsi="Times New Roman" w:cs="Times New Roman"/>
        </w:rPr>
      </w:pPr>
    </w:p>
    <w:p w14:paraId="493AA32F">
      <w:pPr>
        <w:spacing w:line="360" w:lineRule="auto"/>
        <w:jc w:val="both"/>
        <w:rPr>
          <w:rFonts w:ascii="Times New Roman" w:hAnsi="Times New Roman" w:cs="Times New Roman"/>
        </w:rPr>
      </w:pPr>
    </w:p>
    <w:p w14:paraId="1EF70140">
      <w:pPr>
        <w:spacing w:line="360" w:lineRule="auto"/>
        <w:jc w:val="both"/>
        <w:rPr>
          <w:rFonts w:ascii="Times New Roman" w:hAnsi="Times New Roman" w:cs="Times New Roman"/>
        </w:rPr>
      </w:pPr>
    </w:p>
    <w:p w14:paraId="4B7587B4">
      <w:pPr>
        <w:spacing w:line="360" w:lineRule="auto"/>
        <w:jc w:val="both"/>
        <w:rPr>
          <w:rFonts w:ascii="Times New Roman" w:hAnsi="Times New Roman" w:cs="Times New Roman"/>
        </w:rPr>
      </w:pPr>
    </w:p>
    <w:p w14:paraId="0E22EA21">
      <w:pPr>
        <w:spacing w:line="360" w:lineRule="auto"/>
        <w:jc w:val="both"/>
        <w:rPr>
          <w:rFonts w:hint="eastAsia" w:ascii="Times New Roman" w:hAnsi="Times New Roman" w:cs="Times New Roman"/>
        </w:rPr>
      </w:pPr>
    </w:p>
    <w:p w14:paraId="0D1729DF">
      <w:pPr>
        <w:pStyle w:val="2"/>
        <w:spacing w:line="360" w:lineRule="auto"/>
        <w:rPr>
          <w:rFonts w:ascii="Times New Roman" w:hAnsi="Times New Roman" w:cs="Times New Roman"/>
          <w:b/>
          <w:bCs/>
        </w:rPr>
      </w:pPr>
      <w:r>
        <w:rPr>
          <w:rFonts w:ascii="Times New Roman" w:hAnsi="Times New Roman" w:cs="Times New Roman"/>
        </w:rPr>
        <w:t>References</w:t>
      </w:r>
    </w:p>
    <w:p w14:paraId="26C089D9">
      <w:pPr>
        <w:spacing w:line="276" w:lineRule="auto"/>
        <w:ind w:left="720" w:hanging="720"/>
        <w:jc w:val="both"/>
        <w:rPr>
          <w:rFonts w:ascii="Times New Roman" w:hAnsi="Times New Roman" w:cs="Times New Roman"/>
        </w:rPr>
      </w:pPr>
      <w:r>
        <w:rPr>
          <w:rFonts w:ascii="Times New Roman" w:hAnsi="Times New Roman" w:cs="Times New Roman"/>
        </w:rPr>
        <w:t xml:space="preserve">André, P., Enserink, B., Conner, D. and Croal, P. (2006) </w:t>
      </w:r>
      <w:r>
        <w:rPr>
          <w:rFonts w:ascii="Times New Roman" w:hAnsi="Times New Roman" w:cs="Times New Roman"/>
          <w:i/>
          <w:iCs/>
        </w:rPr>
        <w:t>Public participation international best practice principles</w:t>
      </w:r>
      <w:r>
        <w:rPr>
          <w:rFonts w:ascii="Times New Roman" w:hAnsi="Times New Roman" w:cs="Times New Roman"/>
        </w:rPr>
        <w:t xml:space="preserve">. Fargo, ND: International Association for Impact Assessment (IAIA). Available at: </w:t>
      </w:r>
      <w:r>
        <w:fldChar w:fldCharType="begin"/>
      </w:r>
      <w:r>
        <w:instrText xml:space="preserve"> HYPERLINK "https://www.iaia.org/wp-content/uploads/2025/02/BEST-PRACTICE-Public-Participation.pdf" </w:instrText>
      </w:r>
      <w:r>
        <w:fldChar w:fldCharType="separate"/>
      </w:r>
      <w:r>
        <w:rPr>
          <w:rStyle w:val="20"/>
          <w:rFonts w:ascii="Times New Roman" w:hAnsi="Times New Roman" w:cs="Times New Roman"/>
        </w:rPr>
        <w:t>SP4 web.indd</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374FF55">
      <w:pPr>
        <w:spacing w:line="276" w:lineRule="auto"/>
        <w:ind w:left="720" w:hanging="720"/>
        <w:jc w:val="both"/>
        <w:rPr>
          <w:rFonts w:ascii="Times New Roman" w:hAnsi="Times New Roman" w:cs="Times New Roman"/>
        </w:rPr>
      </w:pPr>
      <w:r>
        <w:rPr>
          <w:rFonts w:ascii="Times New Roman" w:hAnsi="Times New Roman" w:cs="Times New Roman"/>
        </w:rPr>
        <w:t xml:space="preserve">Arnstein, S.R. (1969) ‘A ladder of citizen participation’, </w:t>
      </w:r>
      <w:r>
        <w:rPr>
          <w:rFonts w:ascii="Times New Roman" w:hAnsi="Times New Roman" w:cs="Times New Roman"/>
          <w:i/>
          <w:iCs/>
        </w:rPr>
        <w:t>Journal of the American Institute of Planners</w:t>
      </w:r>
      <w:r>
        <w:rPr>
          <w:rFonts w:ascii="Times New Roman" w:hAnsi="Times New Roman" w:cs="Times New Roman"/>
        </w:rPr>
        <w:t xml:space="preserve">, 35(4), pp. 216–224. Available at: </w:t>
      </w:r>
      <w:r>
        <w:fldChar w:fldCharType="begin"/>
      </w:r>
      <w:r>
        <w:instrText xml:space="preserve"> HYPERLINK "https://www.tandfonline.com/doi/abs/10.1080/01944366908977225" </w:instrText>
      </w:r>
      <w:r>
        <w:fldChar w:fldCharType="separate"/>
      </w:r>
      <w:r>
        <w:rPr>
          <w:rStyle w:val="20"/>
          <w:rFonts w:ascii="Times New Roman" w:hAnsi="Times New Roman" w:cs="Times New Roman"/>
        </w:rPr>
        <w:t>A Ladder Of Citizen Participation: Journal of the American Institute of Planners: Vol 35, No 4</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7A742DE0">
      <w:pPr>
        <w:spacing w:line="276" w:lineRule="auto"/>
        <w:ind w:left="720" w:hanging="720"/>
        <w:jc w:val="both"/>
        <w:rPr>
          <w:rFonts w:ascii="Times New Roman" w:hAnsi="Times New Roman" w:cs="Times New Roman"/>
        </w:rPr>
      </w:pPr>
      <w:r>
        <w:rPr>
          <w:rFonts w:ascii="Times New Roman" w:hAnsi="Times New Roman" w:cs="Times New Roman"/>
        </w:rPr>
        <w:t xml:space="preserve">Arts, J., Caldwell, P. and Morrison-Saunders, A. (2001) ‘Environmental impact assessment follow-up: good practice and future directions—findings from a workshop at the IAIA 2000 conference’, </w:t>
      </w:r>
      <w:r>
        <w:rPr>
          <w:rFonts w:ascii="Times New Roman" w:hAnsi="Times New Roman" w:cs="Times New Roman"/>
          <w:i/>
          <w:iCs/>
        </w:rPr>
        <w:t>Impact Assessment and Project Appraisal</w:t>
      </w:r>
      <w:r>
        <w:rPr>
          <w:rFonts w:ascii="Times New Roman" w:hAnsi="Times New Roman" w:cs="Times New Roman"/>
        </w:rPr>
        <w:t xml:space="preserve">, 19(3), pp. 175–185. Available at: </w:t>
      </w:r>
      <w:r>
        <w:fldChar w:fldCharType="begin"/>
      </w:r>
      <w:r>
        <w:instrText xml:space="preserve"> HYPERLINK "https://www.tandfonline.com/doi/abs/10.3152/147154601781767014" </w:instrText>
      </w:r>
      <w:r>
        <w:fldChar w:fldCharType="separate"/>
      </w:r>
      <w:r>
        <w:rPr>
          <w:rStyle w:val="20"/>
          <w:rFonts w:ascii="Times New Roman" w:hAnsi="Times New Roman" w:cs="Times New Roman"/>
        </w:rPr>
        <w:t>Environmental impact assessment follow-up: good practice and future directions — findings from a workshop at the IAIA 2000 conference: Impact Assessment and Project Appraisal: Vol 19, No 3</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610EDF3">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(2023b) </w:t>
      </w:r>
      <w:r>
        <w:rPr>
          <w:rFonts w:ascii="Times New Roman" w:hAnsi="Times New Roman" w:cs="Times New Roman"/>
          <w:i/>
          <w:iCs/>
        </w:rPr>
        <w:t>Craig y Perthi Solar Farm Environmental Statement: Chapter 03 – Alternatives</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"https://craigyperthisolarfarm.co.uk/wp-content/uploads/sites/10/2023/07/ES-Chapter-03-Alternatives.pdf" </w:instrText>
      </w:r>
      <w:r>
        <w:fldChar w:fldCharType="separate"/>
      </w:r>
      <w:r>
        <w:rPr>
          <w:rStyle w:val="20"/>
          <w:rFonts w:ascii="Times New Roman" w:hAnsi="Times New Roman" w:cs="Times New Roman"/>
        </w:rPr>
        <w:t>ES-Chapter-03-Alternatives.pdf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62855B9E">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(2023c) </w:t>
      </w:r>
      <w:r>
        <w:rPr>
          <w:rFonts w:ascii="Times New Roman" w:hAnsi="Times New Roman" w:cs="Times New Roman"/>
          <w:i/>
          <w:iCs/>
        </w:rPr>
        <w:t>Craig y Perthi Solar Farm Environmental Statement: Chapter 10 – Summary of Effects and Mitigation</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"https://craigyperthisolarfarm.co.uk/wp-content/uploads/sites/10/2023/07/ES-Chapter-10-Summary-of-Effects-and-Mitgation.pdf" </w:instrText>
      </w:r>
      <w:r>
        <w:fldChar w:fldCharType="separate"/>
      </w:r>
      <w:r>
        <w:rPr>
          <w:rStyle w:val="20"/>
          <w:rFonts w:ascii="Times New Roman" w:hAnsi="Times New Roman" w:cs="Times New Roman"/>
        </w:rPr>
        <w:t>ES-Chapter-10-Summary-of-Effects-and-Mitgation.pdf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1189C28">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(2023d) </w:t>
      </w:r>
      <w:r>
        <w:rPr>
          <w:rFonts w:ascii="Times New Roman" w:hAnsi="Times New Roman" w:cs="Times New Roman"/>
          <w:i/>
          <w:iCs/>
        </w:rPr>
        <w:t>Craig y Perthi Solar Farm: Notices (1 of 3)</w:t>
      </w:r>
      <w:r>
        <w:rPr>
          <w:rFonts w:ascii="Times New Roman" w:hAnsi="Times New Roman" w:cs="Times New Roman"/>
        </w:rPr>
        <w:t xml:space="preserve"> (includes “Publicity and Consultation before Applying for Planning Permission – Notice under Articles 8 and 9(2)”, dated 17 July 2023). Available at: </w:t>
      </w:r>
      <w:r>
        <w:fldChar w:fldCharType="begin"/>
      </w:r>
      <w:r>
        <w:instrText xml:space="preserve"> HYPERLINK "https://craigyperthisolarfarm.co.uk/wp-content/uploads/sites/10/2023/07/Notices-1.pdf" </w:instrText>
      </w:r>
      <w:r>
        <w:fldChar w:fldCharType="separate"/>
      </w:r>
      <w:r>
        <w:rPr>
          <w:rStyle w:val="20"/>
          <w:rFonts w:ascii="Times New Roman" w:hAnsi="Times New Roman" w:cs="Times New Roman"/>
        </w:rPr>
        <w:t>Notices-1.pdf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182B899E">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(2023e) </w:t>
      </w:r>
      <w:r>
        <w:rPr>
          <w:rFonts w:ascii="Times New Roman" w:hAnsi="Times New Roman" w:cs="Times New Roman"/>
          <w:i/>
          <w:iCs/>
        </w:rPr>
        <w:t>Craig y Perthi Solar Farm Environmental Statement Appendix 4.1: Draft Outline Construction Environmental Management Plan (CEMP/OCEMP)</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"https://craigyperthisolarfarm.co.uk/wp-content/uploads/sites/10/2023/07/AP292F1-1.pdf" </w:instrText>
      </w:r>
      <w:r>
        <w:fldChar w:fldCharType="separate"/>
      </w:r>
      <w:r>
        <w:rPr>
          <w:rStyle w:val="20"/>
          <w:rFonts w:ascii="Times New Roman" w:hAnsi="Times New Roman" w:cs="Times New Roman"/>
        </w:rPr>
        <w:t>AP292F1-1.pdf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94B3921">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(2023f) </w:t>
      </w:r>
      <w:r>
        <w:rPr>
          <w:rFonts w:ascii="Times New Roman" w:hAnsi="Times New Roman" w:cs="Times New Roman"/>
          <w:i/>
          <w:iCs/>
        </w:rPr>
        <w:t>Craig y Perthi Solar Farm Environmental Statement Appendix 4.3: Draft Landscape and Environmental Management Plan (LEMP)</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"https://craigyperthisolarfarm.co.uk/wp-content/uploads/sites/10/2023/07/Appendix-4.3-Draft-LEMP.pdf" </w:instrText>
      </w:r>
      <w:r>
        <w:fldChar w:fldCharType="separate"/>
      </w:r>
      <w:r>
        <w:rPr>
          <w:rStyle w:val="20"/>
          <w:rFonts w:ascii="Times New Roman" w:hAnsi="Times New Roman" w:cs="Times New Roman"/>
        </w:rPr>
        <w:t>Appendix-4.3-Draft-LEMP.pdf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5DB92D0">
      <w:pPr>
        <w:spacing w:line="276" w:lineRule="auto"/>
        <w:ind w:left="720" w:hanging="720"/>
        <w:jc w:val="both"/>
        <w:rPr>
          <w:rFonts w:ascii="Times New Roman" w:hAnsi="Times New Roman" w:cs="Times New Roman"/>
        </w:rPr>
      </w:pPr>
      <w:r>
        <w:rPr>
          <w:rFonts w:ascii="Times New Roman" w:hAnsi="Times New Roman" w:cs="Times New Roman"/>
        </w:rPr>
        <w:t xml:space="preserve">Axis P.E.D. Ltd (2023g) </w:t>
      </w:r>
      <w:r>
        <w:rPr>
          <w:rFonts w:ascii="Times New Roman" w:hAnsi="Times New Roman" w:cs="Times New Roman"/>
          <w:i/>
          <w:iCs/>
        </w:rPr>
        <w:t>Craig y Perthi Solar Farm Environmental Impact Assessment – Non-Technical Summary</w:t>
      </w:r>
      <w:r>
        <w:rPr>
          <w:rFonts w:ascii="Times New Roman" w:hAnsi="Times New Roman" w:cs="Times New Roman"/>
        </w:rPr>
        <w:t xml:space="preserve">. Prepared for JBM Solar Projects 25 Limited, July 2023. Available at: </w:t>
      </w:r>
      <w:r>
        <w:fldChar w:fldCharType="begin"/>
      </w:r>
      <w:r>
        <w:instrText xml:space="preserve"> HYPERLINK "https://craigyperthisolarfarm.co.uk/wp-content/uploads/sites/10/2023/07/Craig-Y-Perthi-ES-Non-Technical-Summary.pdf" </w:instrText>
      </w:r>
      <w:r>
        <w:fldChar w:fldCharType="separate"/>
      </w:r>
      <w:r>
        <w:rPr>
          <w:rStyle w:val="20"/>
          <w:rFonts w:ascii="Times New Roman" w:hAnsi="Times New Roman" w:cs="Times New Roman"/>
        </w:rPr>
        <w:t>A3 Figure (Landscape)</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39BF7A6">
      <w:pPr>
        <w:spacing w:line="276" w:lineRule="auto"/>
        <w:ind w:left="720" w:hanging="720"/>
        <w:jc w:val="both"/>
        <w:rPr>
          <w:rFonts w:ascii="Times New Roman" w:hAnsi="Times New Roman" w:cs="Times New Roman"/>
        </w:rPr>
      </w:pPr>
      <w:r>
        <w:rPr>
          <w:rFonts w:ascii="Times New Roman" w:hAnsi="Times New Roman" w:cs="Times New Roman"/>
        </w:rPr>
        <w:t xml:space="preserve">Cashmore, M. (2004) ‘The role of science in environmental impact assessment: process and procedure versus purpose in the development of theory’, </w:t>
      </w:r>
      <w:r>
        <w:rPr>
          <w:rFonts w:ascii="Times New Roman" w:hAnsi="Times New Roman" w:cs="Times New Roman"/>
          <w:i/>
          <w:iCs/>
        </w:rPr>
        <w:t>Environmental Impact Assessment Review</w:t>
      </w:r>
      <w:r>
        <w:rPr>
          <w:rFonts w:ascii="Times New Roman" w:hAnsi="Times New Roman" w:cs="Times New Roman"/>
        </w:rPr>
        <w:t xml:space="preserve">, 24(4), pp. 403–426. Available at: </w:t>
      </w:r>
      <w:r>
        <w:fldChar w:fldCharType="begin"/>
      </w:r>
      <w:r>
        <w:instrText xml:space="preserve"> HYPERLINK "https://www.sciencedirect.com/science/article/abs/pii/S0195925503002075?via%3Dihub" </w:instrText>
      </w:r>
      <w:r>
        <w:fldChar w:fldCharType="separate"/>
      </w:r>
      <w:r>
        <w:rPr>
          <w:rStyle w:val="20"/>
          <w:rFonts w:ascii="Times New Roman" w:hAnsi="Times New Roman" w:cs="Times New Roman"/>
        </w:rPr>
        <w:t>The role of science in environmental impact assessment: process and procedure versus purpose in the development of theory - ScienceDirect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1787D16">
      <w:pPr>
        <w:spacing w:line="276" w:lineRule="auto"/>
        <w:ind w:left="720" w:hanging="720"/>
        <w:jc w:val="both"/>
        <w:rPr>
          <w:rFonts w:ascii="Times New Roman" w:hAnsi="Times New Roman" w:cs="Times New Roman"/>
        </w:rPr>
      </w:pPr>
      <w:r>
        <w:rPr>
          <w:rFonts w:ascii="Times New Roman" w:hAnsi="Times New Roman" w:cs="Times New Roman"/>
        </w:rPr>
        <w:t xml:space="preserve">Caro-González, A.L., Niță, A., Toro, J. and Zamorano, M. (2023) ‘From procedural to transformative: A review of the evolution of effectiveness in EIA’, </w:t>
      </w:r>
      <w:r>
        <w:rPr>
          <w:rFonts w:ascii="Times New Roman" w:hAnsi="Times New Roman" w:cs="Times New Roman"/>
          <w:i/>
          <w:iCs/>
        </w:rPr>
        <w:t>Environmental Impact Assessment Review</w:t>
      </w:r>
      <w:r>
        <w:rPr>
          <w:rFonts w:ascii="Times New Roman" w:hAnsi="Times New Roman" w:cs="Times New Roman"/>
        </w:rPr>
        <w:t xml:space="preserve">, 103, 107256. Available at: https://doi.org/10.1016/j.eiar.2023.107256 </w:t>
      </w:r>
      <w:r>
        <w:fldChar w:fldCharType="begin"/>
      </w:r>
      <w:r>
        <w:instrText xml:space="preserve"> HYPERLINK "https://www.sciencedirect.com/science/article/pii/S0195925523002226?via%3Dihub&amp;__cf_chl_tk=dRwjAH_uunFi1CWNEqZ_qnBR7sHx4B1rIiQKv.Zuyx8-1767427011-1.0.1.1-gsXoHLr70n1H19iPH4Vj0lBATvO_w1EHBoAlBEWbGPE" </w:instrText>
      </w:r>
      <w:r>
        <w:fldChar w:fldCharType="separate"/>
      </w:r>
      <w:r>
        <w:rPr>
          <w:rStyle w:val="20"/>
          <w:rFonts w:ascii="Times New Roman" w:hAnsi="Times New Roman" w:cs="Times New Roman"/>
        </w:rPr>
        <w:t>From procedural to transformative: A review of the evolution of effectiveness in EIA - ScienceDirect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16639068">
      <w:pPr>
        <w:spacing w:line="276" w:lineRule="auto"/>
        <w:ind w:left="720" w:hanging="720"/>
        <w:jc w:val="both"/>
        <w:rPr>
          <w:rFonts w:ascii="Times New Roman" w:hAnsi="Times New Roman" w:cs="Times New Roman"/>
        </w:rPr>
      </w:pPr>
      <w:r>
        <w:rPr>
          <w:rFonts w:ascii="Times New Roman" w:hAnsi="Times New Roman" w:cs="Times New Roman"/>
        </w:rPr>
        <w:t xml:space="preserve">European Parliament and Council (2014) </w:t>
      </w:r>
      <w:r>
        <w:rPr>
          <w:rFonts w:ascii="Times New Roman" w:hAnsi="Times New Roman" w:cs="Times New Roman"/>
          <w:i/>
          <w:iCs/>
        </w:rPr>
        <w:t>Directive 2014/52/EU of the European Parliament and of the Council of 16 April 2014 amending Directive 2011/92/EU on the assessment of the effects of certain public and private projects on the environment</w:t>
      </w:r>
      <w:r>
        <w:rPr>
          <w:rFonts w:ascii="Times New Roman" w:hAnsi="Times New Roman" w:cs="Times New Roman"/>
        </w:rPr>
        <w:t xml:space="preserve">. </w:t>
      </w:r>
      <w:r>
        <w:rPr>
          <w:rFonts w:ascii="Times New Roman" w:hAnsi="Times New Roman" w:cs="Times New Roman"/>
          <w:i/>
          <w:iCs/>
        </w:rPr>
        <w:t>Official Journal of the European Union</w:t>
      </w:r>
      <w:r>
        <w:rPr>
          <w:rFonts w:ascii="Times New Roman" w:hAnsi="Times New Roman" w:cs="Times New Roman"/>
        </w:rPr>
        <w:t xml:space="preserve">, L124, pp. 1–18. Available at: </w:t>
      </w:r>
      <w:r>
        <w:fldChar w:fldCharType="begin"/>
      </w:r>
      <w:r>
        <w:instrText xml:space="preserve"> HYPERLINK "https://eur-lex.europa.eu/eli/dir/2014/52/oj/eng" </w:instrText>
      </w:r>
      <w:r>
        <w:fldChar w:fldCharType="separate"/>
      </w:r>
      <w:r>
        <w:rPr>
          <w:rStyle w:val="20"/>
          <w:rFonts w:ascii="Times New Roman" w:hAnsi="Times New Roman" w:cs="Times New Roman"/>
        </w:rPr>
        <w:t>Directive - 2014/52 - EN - EIA - EUR-Lex</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04A7B057">
      <w:pPr>
        <w:spacing w:line="276" w:lineRule="auto"/>
        <w:ind w:left="720" w:hanging="720"/>
        <w:jc w:val="both"/>
        <w:rPr>
          <w:rFonts w:ascii="Times New Roman" w:hAnsi="Times New Roman" w:cs="Times New Roman"/>
        </w:rPr>
      </w:pPr>
      <w:r>
        <w:rPr>
          <w:rFonts w:ascii="Times New Roman" w:hAnsi="Times New Roman" w:cs="Times New Roman"/>
        </w:rPr>
        <w:t xml:space="preserve">Glasson, J., Therivel, R. and Chadwick, A. (2012) </w:t>
      </w:r>
      <w:r>
        <w:rPr>
          <w:rFonts w:ascii="Times New Roman" w:hAnsi="Times New Roman" w:cs="Times New Roman"/>
          <w:i/>
          <w:iCs/>
        </w:rPr>
        <w:t>Introduction to Environmental Impact Assessment</w:t>
      </w:r>
      <w:r>
        <w:rPr>
          <w:rFonts w:ascii="Times New Roman" w:hAnsi="Times New Roman" w:cs="Times New Roman"/>
        </w:rPr>
        <w:t xml:space="preserve">. 4th edn. Abingdon: Routledge. Available at: </w:t>
      </w:r>
      <w:r>
        <w:fldChar w:fldCharType="begin"/>
      </w:r>
      <w:r>
        <w:instrText xml:space="preserve"> HYPERLINK "https://www.taylorfrancis.com/books/mono/10.4324/9781315881218/introduction-environmental-impact-assessment-john-glasson-riki-therivel" </w:instrText>
      </w:r>
      <w:r>
        <w:fldChar w:fldCharType="separate"/>
      </w:r>
      <w:r>
        <w:rPr>
          <w:rStyle w:val="20"/>
          <w:rFonts w:ascii="Times New Roman" w:hAnsi="Times New Roman" w:cs="Times New Roman"/>
        </w:rPr>
        <w:t>Introduction To Environmental Impact Assessment | John Glasson, Riki 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024A2D1">
      <w:pPr>
        <w:spacing w:line="276" w:lineRule="auto"/>
        <w:ind w:left="720" w:hanging="720"/>
        <w:jc w:val="both"/>
        <w:rPr>
          <w:rFonts w:ascii="Times New Roman" w:hAnsi="Times New Roman" w:cs="Times New Roman"/>
        </w:rPr>
      </w:pPr>
      <w:r>
        <w:rPr>
          <w:rFonts w:ascii="Times New Roman" w:hAnsi="Times New Roman" w:cs="Times New Roman"/>
        </w:rPr>
        <w:t xml:space="preserve">Glucker, A.N., Driessen, P.P.J., Kolhoff, A. and Runhaar, H.A.C. (2013) ‘Public participation in environmental impact assessment: why, who and how?’, </w:t>
      </w:r>
      <w:r>
        <w:rPr>
          <w:rFonts w:ascii="Times New Roman" w:hAnsi="Times New Roman" w:cs="Times New Roman"/>
          <w:i/>
          <w:iCs/>
        </w:rPr>
        <w:t>Environmental Impact Assessment Review</w:t>
      </w:r>
      <w:r>
        <w:rPr>
          <w:rFonts w:ascii="Times New Roman" w:hAnsi="Times New Roman" w:cs="Times New Roman"/>
        </w:rPr>
        <w:t xml:space="preserve">, 43, pp. 104–111. Available at: https://doi.org/10.1016/j.eiar.2013.06.003 </w:t>
      </w:r>
      <w:r>
        <w:fldChar w:fldCharType="begin"/>
      </w:r>
      <w:r>
        <w:instrText xml:space="preserve"> HYPERLINK "https://www.sciencedirect.com/science/article/abs/pii/S0195925513000711?via%3Dihub" </w:instrText>
      </w:r>
      <w:r>
        <w:fldChar w:fldCharType="separate"/>
      </w:r>
      <w:r>
        <w:rPr>
          <w:rStyle w:val="20"/>
          <w:rFonts w:ascii="Times New Roman" w:hAnsi="Times New Roman" w:cs="Times New Roman"/>
        </w:rPr>
        <w:t>Public participation in environmental impact assessment: why, who and how? - ScienceDirect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7216E2D7">
      <w:pPr>
        <w:spacing w:line="276" w:lineRule="auto"/>
        <w:ind w:left="720" w:hanging="720"/>
        <w:jc w:val="both"/>
        <w:rPr>
          <w:rFonts w:ascii="Times New Roman" w:hAnsi="Times New Roman" w:cs="Times New Roman"/>
        </w:rPr>
      </w:pPr>
      <w:r>
        <w:rPr>
          <w:rFonts w:ascii="Times New Roman" w:hAnsi="Times New Roman" w:cs="Times New Roman"/>
        </w:rPr>
        <w:t xml:space="preserve">Institute of Environmental Management and Assessment (IEMA) (2021) EIA Quality Mark: Applicant Guide. Available at: </w:t>
      </w:r>
      <w:r>
        <w:fldChar w:fldCharType="begin"/>
      </w:r>
      <w:r>
        <w:instrText xml:space="preserve"> HYPERLINK "https://www.iema.net/media/gelptv4b/eia-quality-mark-applicant-guide-april-2021-v12.pdf" </w:instrText>
      </w:r>
      <w:r>
        <w:fldChar w:fldCharType="separate"/>
      </w:r>
      <w:r>
        <w:rPr>
          <w:rStyle w:val="20"/>
          <w:rFonts w:hint="eastAsia" w:ascii="Times New Roman" w:hAnsi="Times New Roman" w:cs="Times New Roman"/>
        </w:rPr>
        <w:t>E</w:t>
      </w:r>
      <w:r>
        <w:rPr>
          <w:rStyle w:val="20"/>
          <w:rFonts w:ascii="Times New Roman" w:hAnsi="Times New Roman" w:cs="Times New Roman"/>
        </w:rPr>
        <w:t>ia</w:t>
      </w:r>
      <w:r>
        <w:rPr>
          <w:rStyle w:val="20"/>
          <w:rFonts w:hint="eastAsia" w:ascii="Times New Roman" w:hAnsi="Times New Roman" w:cs="Times New Roman"/>
        </w:rPr>
        <w:t xml:space="preserve"> Q</w:t>
      </w:r>
      <w:r>
        <w:rPr>
          <w:rStyle w:val="20"/>
          <w:rFonts w:ascii="Times New Roman" w:hAnsi="Times New Roman" w:cs="Times New Roman"/>
        </w:rPr>
        <w:t>uality</w:t>
      </w:r>
      <w:r>
        <w:rPr>
          <w:rStyle w:val="20"/>
          <w:rFonts w:hint="eastAsia" w:ascii="Times New Roman" w:hAnsi="Times New Roman" w:cs="Times New Roman"/>
        </w:rPr>
        <w:t xml:space="preserve"> M</w:t>
      </w:r>
      <w:r>
        <w:rPr>
          <w:rStyle w:val="20"/>
          <w:rFonts w:ascii="Times New Roman" w:hAnsi="Times New Roman" w:cs="Times New Roman"/>
        </w:rPr>
        <w:t>ark</w:t>
      </w:r>
      <w:r>
        <w:rPr>
          <w:rStyle w:val="20"/>
          <w:rFonts w:hint="eastAsia" w:ascii="Times New Roman" w:hAnsi="Times New Roman" w:cs="Times New Roman"/>
        </w:rPr>
        <w:t xml:space="preserve"> A</w:t>
      </w:r>
      <w:r>
        <w:rPr>
          <w:rStyle w:val="20"/>
          <w:rFonts w:ascii="Times New Roman" w:hAnsi="Times New Roman" w:cs="Times New Roman"/>
        </w:rPr>
        <w:t>pplicant</w:t>
      </w:r>
      <w:r>
        <w:rPr>
          <w:rStyle w:val="20"/>
          <w:rFonts w:hint="eastAsia" w:ascii="Times New Roman" w:hAnsi="Times New Roman" w:cs="Times New Roman"/>
        </w:rPr>
        <w:t xml:space="preserve"> G</w:t>
      </w:r>
      <w:r>
        <w:rPr>
          <w:rStyle w:val="20"/>
          <w:rFonts w:ascii="Times New Roman" w:hAnsi="Times New Roman" w:cs="Times New Roman"/>
        </w:rPr>
        <w:t>uide</w:t>
      </w:r>
      <w:r>
        <w:rPr>
          <w:rStyle w:val="20"/>
          <w:rFonts w:hint="eastAsia" w:ascii="Times New Roman" w:hAnsi="Times New Roman" w:cs="Times New Roman"/>
        </w:rPr>
        <w:t>, 2021</w:t>
      </w:r>
      <w:r>
        <w:rPr>
          <w:rStyle w:val="20"/>
          <w:rFonts w:hint="eastAsia" w:ascii="Times New Roman" w:hAnsi="Times New Roman" w:cs="Times New Roman"/>
        </w:rPr>
        <w:fldChar w:fldCharType="end"/>
      </w:r>
      <w:r>
        <w:rPr>
          <w:rFonts w:ascii="Times New Roman" w:hAnsi="Times New Roman" w:cs="Times New Roman"/>
        </w:rPr>
        <w:t xml:space="preserve"> (Accessed: 3 January 2026).</w:t>
      </w:r>
    </w:p>
    <w:p w14:paraId="73093828">
      <w:pPr>
        <w:spacing w:line="276" w:lineRule="auto"/>
        <w:ind w:left="720" w:hanging="720"/>
        <w:jc w:val="both"/>
        <w:rPr>
          <w:rFonts w:ascii="Times New Roman" w:hAnsi="Times New Roman" w:cs="Times New Roman"/>
        </w:rPr>
      </w:pPr>
      <w:r>
        <w:rPr>
          <w:rFonts w:ascii="Times New Roman" w:hAnsi="Times New Roman" w:cs="Times New Roman"/>
        </w:rPr>
        <w:t xml:space="preserve">Institute of Environmental Management and Assessment (IEMA) (2017) Effective Non-Technical Summaries for Environmental Impact Assessment: Advice Note. Available at: </w:t>
      </w:r>
      <w:r>
        <w:fldChar w:fldCharType="begin"/>
      </w:r>
      <w:r>
        <w:instrText xml:space="preserve"> HYPERLINK "https://s3.eu-west-2.amazonaws.com/iema.net/documents/J46585_IEMA_AdviceNoteGuide_V6.pdf" </w:instrText>
      </w:r>
      <w:r>
        <w:fldChar w:fldCharType="separate"/>
      </w:r>
      <w:r>
        <w:rPr>
          <w:rStyle w:val="20"/>
          <w:rFonts w:ascii="Times New Roman" w:hAnsi="Times New Roman" w:cs="Times New Roman"/>
        </w:rPr>
        <w:t>J46585_IEMA_AdviceNoteGuide_V6.pdf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BEF9AEA">
      <w:pPr>
        <w:spacing w:line="276" w:lineRule="auto"/>
        <w:ind w:left="720" w:hanging="720"/>
        <w:jc w:val="both"/>
        <w:rPr>
          <w:rFonts w:ascii="Times New Roman" w:hAnsi="Times New Roman" w:cs="Times New Roman"/>
        </w:rPr>
      </w:pPr>
      <w:r>
        <w:rPr>
          <w:rFonts w:ascii="Times New Roman" w:hAnsi="Times New Roman" w:cs="Times New Roman"/>
        </w:rPr>
        <w:t xml:space="preserve">Institute of Environmental Management and Assessment (IEMA) and ISEP (n.d.) EIA Quality Mark. Available at: </w:t>
      </w:r>
      <w:r>
        <w:fldChar w:fldCharType="begin"/>
      </w:r>
      <w:r>
        <w:instrText xml:space="preserve"> HYPERLINK "https://www.isepglobal.org/corporate-programmes/eia-quality-mark/" </w:instrText>
      </w:r>
      <w:r>
        <w:fldChar w:fldCharType="separate"/>
      </w:r>
      <w:r>
        <w:rPr>
          <w:rStyle w:val="20"/>
          <w:rFonts w:ascii="Times New Roman" w:hAnsi="Times New Roman" w:cs="Times New Roman"/>
        </w:rPr>
        <w:t>ISEP - EIA Quality Mark</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08870206">
      <w:pPr>
        <w:spacing w:line="276" w:lineRule="auto"/>
        <w:ind w:left="720" w:hanging="720"/>
        <w:jc w:val="both"/>
        <w:rPr>
          <w:rFonts w:ascii="Times New Roman" w:hAnsi="Times New Roman" w:cs="Times New Roman"/>
        </w:rPr>
      </w:pPr>
      <w:r>
        <w:rPr>
          <w:rFonts w:ascii="Times New Roman" w:hAnsi="Times New Roman" w:cs="Times New Roman"/>
        </w:rPr>
        <w:t xml:space="preserve">Jay, S., Jones, C., Slinn, P. and Wood, C. (2007) ‘Environmental impact assessment: retrospect and prospect’, </w:t>
      </w:r>
      <w:r>
        <w:rPr>
          <w:rFonts w:ascii="Times New Roman" w:hAnsi="Times New Roman" w:cs="Times New Roman"/>
          <w:i/>
          <w:iCs/>
        </w:rPr>
        <w:t>Environmental Impact Assessment Review</w:t>
      </w:r>
      <w:r>
        <w:rPr>
          <w:rFonts w:ascii="Times New Roman" w:hAnsi="Times New Roman" w:cs="Times New Roman"/>
        </w:rPr>
        <w:t xml:space="preserve">, 27(4), pp. 287–300. Available at:  </w:t>
      </w:r>
      <w:r>
        <w:fldChar w:fldCharType="begin"/>
      </w:r>
      <w:r>
        <w:instrText xml:space="preserve"> HYPERLINK "https://www.sciencedirect.com/science/article/abs/pii/S0195925506001338?via%3Dihub" </w:instrText>
      </w:r>
      <w:r>
        <w:fldChar w:fldCharType="separate"/>
      </w:r>
      <w:r>
        <w:rPr>
          <w:rStyle w:val="20"/>
          <w:rFonts w:ascii="Times New Roman" w:hAnsi="Times New Roman" w:cs="Times New Roman"/>
        </w:rPr>
        <w:t>Environmental impact assessment: Retrospect and prospect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E654857">
      <w:pPr>
        <w:spacing w:line="276" w:lineRule="auto"/>
        <w:ind w:left="720" w:hanging="720"/>
        <w:jc w:val="both"/>
        <w:rPr>
          <w:rFonts w:ascii="Times New Roman" w:hAnsi="Times New Roman" w:cs="Times New Roman"/>
        </w:rPr>
      </w:pPr>
      <w:r>
        <w:rPr>
          <w:rFonts w:ascii="Times New Roman" w:hAnsi="Times New Roman" w:cs="Times New Roman"/>
        </w:rPr>
        <w:t xml:space="preserve">Lee, N. and Colley, R. (1992) </w:t>
      </w:r>
      <w:r>
        <w:rPr>
          <w:rFonts w:ascii="Times New Roman" w:hAnsi="Times New Roman" w:cs="Times New Roman"/>
          <w:i/>
          <w:iCs/>
        </w:rPr>
        <w:t>Reviewing the quality of environmental statements</w:t>
      </w:r>
      <w:r>
        <w:rPr>
          <w:rFonts w:ascii="Times New Roman" w:hAnsi="Times New Roman" w:cs="Times New Roman"/>
        </w:rPr>
        <w:t xml:space="preserve">. Occasional Paper No. 24 (2nd edn). Manchester: EIA Centre, Department of Planning and Landscape, University of Manchester. Available at: </w:t>
      </w:r>
      <w:r>
        <w:fldChar w:fldCharType="begin"/>
      </w:r>
      <w:r>
        <w:instrText xml:space="preserve"> HYPERLINK "https://www.researchgate.net/profile/Raymond-Colley/publication/279740485_Reviewing_the_quality_of_environmental_statements_review_methods_and_findings/links/5a7dbc21aca272341af0c209/Reviewing-the-quality-of-environmental-statements-review-methods-and-findings.pdf" </w:instrText>
      </w:r>
      <w:r>
        <w:fldChar w:fldCharType="separate"/>
      </w:r>
      <w:r>
        <w:rPr>
          <w:rStyle w:val="20"/>
          <w:rFonts w:ascii="Times New Roman" w:hAnsi="Times New Roman" w:cs="Times New Roman"/>
        </w:rPr>
        <w:t>Reviewing-the-quality-of-environmental-statements-review-methods-and-findings.pdf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E95193B">
      <w:pPr>
        <w:spacing w:line="276" w:lineRule="auto"/>
        <w:ind w:left="720" w:hanging="720"/>
        <w:jc w:val="both"/>
        <w:rPr>
          <w:rFonts w:ascii="Times New Roman" w:hAnsi="Times New Roman" w:cs="Times New Roman"/>
        </w:rPr>
      </w:pPr>
      <w:r>
        <w:rPr>
          <w:rFonts w:ascii="Times New Roman" w:hAnsi="Times New Roman" w:cs="Times New Roman"/>
        </w:rPr>
        <w:t xml:space="preserve">Marshall, R., Arts, J. and Morrison-Saunders, A. (2005) ‘International principles for best practice EIA follow-up’, </w:t>
      </w:r>
      <w:r>
        <w:rPr>
          <w:rFonts w:ascii="Times New Roman" w:hAnsi="Times New Roman" w:cs="Times New Roman"/>
          <w:i/>
          <w:iCs/>
        </w:rPr>
        <w:t>Impact Assessment and Project Appraisal</w:t>
      </w:r>
      <w:r>
        <w:rPr>
          <w:rFonts w:ascii="Times New Roman" w:hAnsi="Times New Roman" w:cs="Times New Roman"/>
        </w:rPr>
        <w:t xml:space="preserve">, 23(3), pp. 175–181. Available at: </w:t>
      </w:r>
      <w:r>
        <w:fldChar w:fldCharType="begin"/>
      </w:r>
      <w:r>
        <w:instrText xml:space="preserve"> HYPERLINK "https://www.tandfonline.com/doi/abs/10.3152/147154605781765490" </w:instrText>
      </w:r>
      <w:r>
        <w:fldChar w:fldCharType="separate"/>
      </w:r>
      <w:r>
        <w:rPr>
          <w:rStyle w:val="20"/>
          <w:rFonts w:ascii="Times New Roman" w:hAnsi="Times New Roman" w:cs="Times New Roman"/>
        </w:rPr>
        <w:t>International principles for best practice EIA follow-up: Impact Assessment and Project Appraisal: Vol 23, No 3</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48F5CE4A">
      <w:pPr>
        <w:spacing w:line="276" w:lineRule="auto"/>
        <w:ind w:left="720" w:hanging="720"/>
        <w:jc w:val="both"/>
        <w:rPr>
          <w:rFonts w:ascii="Times New Roman" w:hAnsi="Times New Roman" w:cs="Times New Roman"/>
        </w:rPr>
      </w:pPr>
      <w:r>
        <w:rPr>
          <w:rFonts w:ascii="Times New Roman" w:hAnsi="Times New Roman" w:cs="Times New Roman"/>
        </w:rPr>
        <w:t xml:space="preserve">Morgan, R.K. (2012) ‘Environmental impact assessment: the state of the art’, </w:t>
      </w:r>
      <w:r>
        <w:rPr>
          <w:rFonts w:ascii="Times New Roman" w:hAnsi="Times New Roman" w:cs="Times New Roman"/>
          <w:i/>
          <w:iCs/>
        </w:rPr>
        <w:t>Impact Assessment and Project Appraisal</w:t>
      </w:r>
      <w:r>
        <w:rPr>
          <w:rFonts w:ascii="Times New Roman" w:hAnsi="Times New Roman" w:cs="Times New Roman"/>
        </w:rPr>
        <w:t xml:space="preserve">, 30(1), pp. 5–14. Available at: </w:t>
      </w:r>
      <w:r>
        <w:fldChar w:fldCharType="begin"/>
      </w:r>
      <w:r>
        <w:instrText xml:space="preserve"> HYPERLINK "https://www.tandfonline.com/doi/full/10.1080/14615517.2012.661557" </w:instrText>
      </w:r>
      <w:r>
        <w:fldChar w:fldCharType="separate"/>
      </w:r>
      <w:r>
        <w:rPr>
          <w:rFonts w:ascii="Times New Roman" w:hAnsi="Times New Roman" w:cs="Times New Roman"/>
        </w:rPr>
        <w:t xml:space="preserve"> </w:t>
      </w:r>
      <w:r>
        <w:rPr>
          <w:rStyle w:val="20"/>
          <w:rFonts w:ascii="Times New Roman" w:hAnsi="Times New Roman" w:cs="Times New Roman"/>
        </w:rPr>
        <w:t>Environmental impact assessment: the state of the art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18F7CF44">
      <w:pPr>
        <w:spacing w:line="276" w:lineRule="auto"/>
        <w:ind w:left="720" w:hanging="720"/>
        <w:jc w:val="both"/>
        <w:rPr>
          <w:rFonts w:ascii="Times New Roman" w:hAnsi="Times New Roman" w:cs="Times New Roman"/>
        </w:rPr>
      </w:pPr>
      <w:r>
        <w:rPr>
          <w:rFonts w:ascii="Times New Roman" w:hAnsi="Times New Roman" w:cs="Times New Roman"/>
        </w:rPr>
        <w:t xml:space="preserve">Planning and Environment Decisions Wales (PEDW) (2023) </w:t>
      </w:r>
      <w:r>
        <w:rPr>
          <w:rFonts w:ascii="Times New Roman" w:hAnsi="Times New Roman" w:cs="Times New Roman"/>
          <w:i/>
          <w:iCs/>
        </w:rPr>
        <w:t>EIA Scoping Direction: Craig y Perthi Solar, Newport</w:t>
      </w:r>
      <w:r>
        <w:rPr>
          <w:rFonts w:ascii="Times New Roman" w:hAnsi="Times New Roman" w:cs="Times New Roman"/>
        </w:rPr>
        <w:t xml:space="preserve"> (Appendix 2.2). Available at: </w:t>
      </w:r>
      <w:r>
        <w:fldChar w:fldCharType="begin"/>
      </w:r>
      <w:r>
        <w:instrText xml:space="preserve"> HYPERLINK "https://craigyperthisolarfarm.co.uk/wp-content/uploads/sites/10/2023/07/Appendix-2.2-PEDW-EIA-Scoping-Direction.pdf" </w:instrText>
      </w:r>
      <w:r>
        <w:fldChar w:fldCharType="separate"/>
      </w:r>
      <w:r>
        <w:rPr>
          <w:rStyle w:val="20"/>
          <w:rFonts w:ascii="Times New Roman" w:hAnsi="Times New Roman" w:cs="Times New Roman"/>
        </w:rPr>
        <w:t>Appendix-2.2-PEDW-EIA-Scoping-Direction.pdf</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75D72A22">
      <w:pPr>
        <w:spacing w:line="276" w:lineRule="auto"/>
        <w:ind w:left="720" w:hanging="720"/>
        <w:jc w:val="both"/>
        <w:rPr>
          <w:rFonts w:ascii="Times New Roman" w:hAnsi="Times New Roman" w:cs="Times New Roman"/>
        </w:rPr>
      </w:pPr>
      <w:r>
        <w:rPr>
          <w:rFonts w:ascii="Times New Roman" w:hAnsi="Times New Roman" w:cs="Times New Roman"/>
        </w:rPr>
        <w:t xml:space="preserve">Pope, J., Annandale, D. and Morrison-Saunders, A. (2004) ‘Conceptualising sustainability assessment’, </w:t>
      </w:r>
      <w:r>
        <w:rPr>
          <w:rFonts w:ascii="Times New Roman" w:hAnsi="Times New Roman" w:cs="Times New Roman"/>
          <w:i/>
          <w:iCs/>
        </w:rPr>
        <w:t>Environmental Impact Assessment Review</w:t>
      </w:r>
      <w:r>
        <w:rPr>
          <w:rFonts w:ascii="Times New Roman" w:hAnsi="Times New Roman" w:cs="Times New Roman"/>
        </w:rPr>
        <w:t xml:space="preserve">, 24(6), pp. 595–616. Available at: </w:t>
      </w:r>
      <w:r>
        <w:fldChar w:fldCharType="begin"/>
      </w:r>
      <w:r>
        <w:instrText xml:space="preserve"> HYPERLINK "https://www.sciencedirect.com/science/article/abs/pii/S0195925504000447?via%3Dihub" </w:instrText>
      </w:r>
      <w:r>
        <w:fldChar w:fldCharType="separate"/>
      </w:r>
      <w:r>
        <w:rPr>
          <w:rStyle w:val="20"/>
          <w:rFonts w:ascii="Times New Roman" w:hAnsi="Times New Roman" w:cs="Times New Roman"/>
        </w:rPr>
        <w:t>Conceptualising sustainability assessment</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A7850A9">
      <w:pPr>
        <w:spacing w:line="276" w:lineRule="auto"/>
        <w:ind w:left="720" w:hanging="720"/>
        <w:jc w:val="both"/>
        <w:rPr>
          <w:rFonts w:ascii="Times New Roman" w:hAnsi="Times New Roman" w:cs="Times New Roman"/>
        </w:rPr>
      </w:pPr>
      <w:r>
        <w:rPr>
          <w:rFonts w:ascii="Times New Roman" w:hAnsi="Times New Roman" w:cs="Times New Roman"/>
        </w:rPr>
        <w:t xml:space="preserve">Rowe, G. and Frewer, L.J. (2000) ‘Public participation methods: a framework for evaluation’, </w:t>
      </w:r>
      <w:r>
        <w:rPr>
          <w:rFonts w:ascii="Times New Roman" w:hAnsi="Times New Roman" w:cs="Times New Roman"/>
          <w:i/>
          <w:iCs/>
        </w:rPr>
        <w:t>Science, Technology, &amp; Human Values</w:t>
      </w:r>
      <w:r>
        <w:rPr>
          <w:rFonts w:ascii="Times New Roman" w:hAnsi="Times New Roman" w:cs="Times New Roman"/>
        </w:rPr>
        <w:t xml:space="preserve">, 25(1), pp. 3–29. Available at: </w:t>
      </w:r>
      <w:r>
        <w:fldChar w:fldCharType="begin"/>
      </w:r>
      <w:r>
        <w:instrText xml:space="preserve"> HYPERLINK "https://journals.sagepub.com/doi/10.1177/016224390002500101" </w:instrText>
      </w:r>
      <w:r>
        <w:fldChar w:fldCharType="separate"/>
      </w:r>
      <w:r>
        <w:rPr>
          <w:rStyle w:val="20"/>
          <w:rFonts w:ascii="Times New Roman" w:hAnsi="Times New Roman" w:cs="Times New Roman"/>
        </w:rPr>
        <w:t xml:space="preserve">Public Participation Methods: A Framework for Evaluation </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4BB5C67">
      <w:pPr>
        <w:spacing w:line="276" w:lineRule="auto"/>
        <w:ind w:left="720" w:hanging="720"/>
        <w:jc w:val="both"/>
        <w:rPr>
          <w:rFonts w:ascii="Times New Roman" w:hAnsi="Times New Roman" w:cs="Times New Roman"/>
        </w:rPr>
      </w:pPr>
      <w:r>
        <w:rPr>
          <w:rFonts w:ascii="Times New Roman" w:hAnsi="Times New Roman" w:cs="Times New Roman"/>
        </w:rPr>
        <w:t xml:space="preserve">Sadler, B. (1996) </w:t>
      </w:r>
      <w:r>
        <w:rPr>
          <w:rFonts w:ascii="Times New Roman" w:hAnsi="Times New Roman" w:cs="Times New Roman"/>
          <w:i/>
          <w:iCs/>
        </w:rPr>
        <w:t>Environmental Assessment in a Changing World: Evaluating Practice to Improve Performance</w:t>
      </w:r>
      <w:r>
        <w:rPr>
          <w:rFonts w:ascii="Times New Roman" w:hAnsi="Times New Roman" w:cs="Times New Roman"/>
        </w:rPr>
        <w:t xml:space="preserve"> (International Study of the Effectiveness of Environmental Assessment—Final Report). Ottawa: Canadian Environmental Assessment Agency and International Association for Impact Assessment. Available at: </w:t>
      </w:r>
      <w:r>
        <w:fldChar w:fldCharType="begin"/>
      </w:r>
      <w:r>
        <w:instrText xml:space="preserve"> HYPERLINK "https://publications.gc.ca/site/eng/9.834209/publication.html" </w:instrText>
      </w:r>
      <w:r>
        <w:fldChar w:fldCharType="separate"/>
      </w:r>
      <w:r>
        <w:rPr>
          <w:rStyle w:val="20"/>
          <w:rFonts w:ascii="Times New Roman" w:hAnsi="Times New Roman" w:cs="Times New Roman"/>
        </w:rPr>
        <w:t xml:space="preserve">International study of the effectiveness of environmental assessment : final report : environmental assessment in a changing world : evaluating practice to improve performance </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32D4C2AC">
      <w:pPr>
        <w:spacing w:line="276" w:lineRule="auto"/>
        <w:ind w:left="720" w:hanging="720"/>
        <w:jc w:val="both"/>
        <w:rPr>
          <w:rFonts w:ascii="Times New Roman" w:hAnsi="Times New Roman" w:cs="Times New Roman"/>
        </w:rPr>
      </w:pPr>
      <w:r>
        <w:rPr>
          <w:rFonts w:ascii="Times New Roman" w:hAnsi="Times New Roman" w:cs="Times New Roman"/>
        </w:rPr>
        <w:t xml:space="preserve">Wales (2015) </w:t>
      </w:r>
      <w:r>
        <w:rPr>
          <w:rFonts w:ascii="Times New Roman" w:hAnsi="Times New Roman" w:cs="Times New Roman"/>
          <w:i/>
          <w:iCs/>
        </w:rPr>
        <w:t>Well-being of Future Generations (Wales) Act 2015</w:t>
      </w:r>
      <w:r>
        <w:rPr>
          <w:rFonts w:ascii="Times New Roman" w:hAnsi="Times New Roman" w:cs="Times New Roman"/>
        </w:rPr>
        <w:t xml:space="preserve"> (anaw 2). Available at: </w:t>
      </w:r>
      <w:r>
        <w:fldChar w:fldCharType="begin"/>
      </w:r>
      <w:r>
        <w:instrText xml:space="preserve"> HYPERLINK "https://www.legislation.gov.uk/anaw/2015/2/contents" </w:instrText>
      </w:r>
      <w:r>
        <w:fldChar w:fldCharType="separate"/>
      </w:r>
      <w:r>
        <w:rPr>
          <w:rStyle w:val="20"/>
          <w:rFonts w:ascii="Times New Roman" w:hAnsi="Times New Roman" w:cs="Times New Roman"/>
        </w:rPr>
        <w:t>Well-being of Future Generations (Wales) Act 2015</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273CFF80">
      <w:pPr>
        <w:spacing w:line="276" w:lineRule="auto"/>
        <w:ind w:left="720" w:hanging="720"/>
        <w:jc w:val="both"/>
        <w:rPr>
          <w:rFonts w:ascii="Times New Roman" w:hAnsi="Times New Roman" w:cs="Times New Roman"/>
        </w:rPr>
      </w:pPr>
      <w:r>
        <w:rPr>
          <w:rFonts w:ascii="Times New Roman" w:hAnsi="Times New Roman" w:cs="Times New Roman"/>
        </w:rPr>
        <w:t xml:space="preserve">Wales (2016) </w:t>
      </w:r>
      <w:r>
        <w:rPr>
          <w:rFonts w:ascii="Times New Roman" w:hAnsi="Times New Roman" w:cs="Times New Roman"/>
          <w:i/>
          <w:iCs/>
        </w:rPr>
        <w:t>The Developments of National Significance (Procedure) (Wales) Order 2016</w:t>
      </w:r>
      <w:r>
        <w:rPr>
          <w:rFonts w:ascii="Times New Roman" w:hAnsi="Times New Roman" w:cs="Times New Roman"/>
        </w:rPr>
        <w:t xml:space="preserve"> (WSI 2016/55). Available at: </w:t>
      </w:r>
      <w:r>
        <w:fldChar w:fldCharType="begin"/>
      </w:r>
      <w:r>
        <w:instrText xml:space="preserve"> HYPERLINK "https://www.legislation.gov.uk/wsi/2016/55/contents" </w:instrText>
      </w:r>
      <w:r>
        <w:fldChar w:fldCharType="separate"/>
      </w:r>
      <w:r>
        <w:rPr>
          <w:rStyle w:val="20"/>
          <w:rFonts w:ascii="Times New Roman" w:hAnsi="Times New Roman" w:cs="Times New Roman"/>
        </w:rPr>
        <w:t>The Developments of National Significance (Procedure) (Wales) Order 2016</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6A22A21F">
      <w:pPr>
        <w:spacing w:line="276" w:lineRule="auto"/>
        <w:ind w:left="720" w:hanging="720"/>
        <w:jc w:val="both"/>
        <w:rPr>
          <w:rFonts w:ascii="Times New Roman" w:hAnsi="Times New Roman" w:cs="Times New Roman"/>
        </w:rPr>
      </w:pPr>
      <w:r>
        <w:rPr>
          <w:rFonts w:ascii="Times New Roman" w:hAnsi="Times New Roman" w:cs="Times New Roman"/>
        </w:rPr>
        <w:t xml:space="preserve">Wales (2016a) </w:t>
      </w:r>
      <w:r>
        <w:rPr>
          <w:rFonts w:ascii="Times New Roman" w:hAnsi="Times New Roman" w:cs="Times New Roman"/>
          <w:i/>
          <w:iCs/>
        </w:rPr>
        <w:t>Environment (Wales) Act 2016</w:t>
      </w:r>
      <w:r>
        <w:rPr>
          <w:rFonts w:ascii="Times New Roman" w:hAnsi="Times New Roman" w:cs="Times New Roman"/>
        </w:rPr>
        <w:t xml:space="preserve"> (anaw 3). Available at: </w:t>
      </w:r>
      <w:r>
        <w:fldChar w:fldCharType="begin"/>
      </w:r>
      <w:r>
        <w:instrText xml:space="preserve"> HYPERLINK "https://www.legislation.gov.uk/anaw/2016/3/contents" </w:instrText>
      </w:r>
      <w:r>
        <w:fldChar w:fldCharType="separate"/>
      </w:r>
      <w:r>
        <w:rPr>
          <w:rStyle w:val="20"/>
          <w:rFonts w:ascii="Times New Roman" w:hAnsi="Times New Roman" w:cs="Times New Roman"/>
        </w:rPr>
        <w:t>Environment (Wales) Act 2016</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2207EAF">
      <w:pPr>
        <w:spacing w:line="276" w:lineRule="auto"/>
        <w:ind w:left="720" w:hanging="720"/>
        <w:jc w:val="both"/>
        <w:rPr>
          <w:rFonts w:ascii="Times New Roman" w:hAnsi="Times New Roman" w:cs="Times New Roman"/>
        </w:rPr>
      </w:pPr>
      <w:r>
        <w:rPr>
          <w:rFonts w:ascii="Times New Roman" w:hAnsi="Times New Roman" w:cs="Times New Roman"/>
        </w:rPr>
        <w:t xml:space="preserve">Wales (2017) </w:t>
      </w:r>
      <w:r>
        <w:rPr>
          <w:rFonts w:ascii="Times New Roman" w:hAnsi="Times New Roman" w:cs="Times New Roman"/>
          <w:i/>
          <w:iCs/>
        </w:rPr>
        <w:t>The Town and Country Planning (Environmental Impact Assessment) (Wales) Regulations 2017</w:t>
      </w:r>
      <w:r>
        <w:rPr>
          <w:rFonts w:ascii="Times New Roman" w:hAnsi="Times New Roman" w:cs="Times New Roman"/>
        </w:rPr>
        <w:t xml:space="preserve"> (WSI 2017/567). Available at: </w:t>
      </w:r>
      <w:r>
        <w:fldChar w:fldCharType="begin"/>
      </w:r>
      <w:r>
        <w:instrText xml:space="preserve"> HYPERLINK "https://www.legislation.gov.uk/wsi/2017/567/contents" </w:instrText>
      </w:r>
      <w:r>
        <w:fldChar w:fldCharType="separate"/>
      </w:r>
      <w:r>
        <w:rPr>
          <w:rStyle w:val="20"/>
          <w:rFonts w:ascii="Times New Roman" w:hAnsi="Times New Roman" w:cs="Times New Roman"/>
        </w:rPr>
        <w:t>The Town and Country Planning (Environmental Impact Assessment) (Wales) Regulations 2017</w:t>
      </w:r>
      <w:r>
        <w:rPr>
          <w:rStyle w:val="20"/>
          <w:rFonts w:ascii="Times New Roman" w:hAnsi="Times New Roman" w:cs="Times New Roman"/>
        </w:rPr>
        <w:fldChar w:fldCharType="end"/>
      </w:r>
      <w:r>
        <w:rPr>
          <w:rFonts w:ascii="Times New Roman" w:hAnsi="Times New Roman" w:cs="Times New Roman"/>
        </w:rPr>
        <w:t xml:space="preserve"> (Accessed: 3 January 2026).</w:t>
      </w:r>
    </w:p>
    <w:p w14:paraId="55409165">
      <w:pPr>
        <w:spacing w:line="276" w:lineRule="auto"/>
        <w:ind w:left="720" w:hanging="720"/>
        <w:jc w:val="both"/>
        <w:rPr>
          <w:rFonts w:ascii="Times New Roman" w:hAnsi="Times New Roman" w:cs="Times New Roman"/>
        </w:rPr>
      </w:pPr>
    </w:p>
    <w:p w14:paraId="5758E397">
      <w:pPr>
        <w:spacing w:line="276" w:lineRule="auto"/>
        <w:jc w:val="both"/>
        <w:rPr>
          <w:rFonts w:ascii="Times New Roman" w:hAnsi="Times New Roman" w:cs="Times New Roman"/>
        </w:rPr>
      </w:pPr>
    </w:p>
    <w:p w14:paraId="4F84A8EF">
      <w:pPr>
        <w:spacing w:line="276" w:lineRule="auto"/>
        <w:ind w:left="720" w:hanging="720"/>
        <w:jc w:val="both"/>
        <w:rPr>
          <w:rFonts w:ascii="Times New Roman" w:hAnsi="Times New Roman" w:cs="Times New Roman"/>
        </w:rPr>
      </w:pPr>
    </w:p>
    <w:p w14:paraId="6EA15A03">
      <w:pPr>
        <w:spacing w:line="276" w:lineRule="auto"/>
        <w:ind w:left="720" w:hanging="720"/>
        <w:jc w:val="both"/>
        <w:rPr>
          <w:rFonts w:ascii="Times New Roman" w:hAnsi="Times New Roman" w:cs="Times New Roman"/>
        </w:rPr>
      </w:pPr>
    </w:p>
    <w:p w14:paraId="0BAAF3FC">
      <w:pPr>
        <w:spacing w:line="276" w:lineRule="auto"/>
        <w:ind w:left="720" w:hanging="720"/>
        <w:jc w:val="both"/>
        <w:rPr>
          <w:rFonts w:ascii="Times New Roman" w:hAnsi="Times New Roman" w:cs="Times New Roman"/>
        </w:rPr>
      </w:pPr>
    </w:p>
    <w:p w14:paraId="27B50672">
      <w:pPr>
        <w:spacing w:line="276" w:lineRule="auto"/>
        <w:ind w:left="720" w:hanging="720"/>
        <w:jc w:val="both"/>
        <w:rPr>
          <w:rFonts w:ascii="Times New Roman" w:hAnsi="Times New Roman" w:cs="Times New Roman"/>
        </w:rPr>
      </w:pPr>
    </w:p>
    <w:p w14:paraId="3062566B">
      <w:pPr>
        <w:spacing w:line="276" w:lineRule="auto"/>
        <w:ind w:left="720" w:hanging="720"/>
        <w:jc w:val="both"/>
        <w:rPr>
          <w:rFonts w:ascii="Times New Roman" w:hAnsi="Times New Roman" w:cs="Times New Roman"/>
        </w:rPr>
      </w:pPr>
    </w:p>
    <w:p w14:paraId="7EFF969F">
      <w:pPr>
        <w:spacing w:line="276" w:lineRule="auto"/>
        <w:ind w:left="720" w:hanging="720"/>
        <w:jc w:val="both"/>
        <w:rPr>
          <w:rFonts w:ascii="Times New Roman" w:hAnsi="Times New Roman" w:cs="Times New Roman"/>
        </w:rPr>
      </w:pPr>
    </w:p>
    <w:p w14:paraId="416EE121">
      <w:pPr>
        <w:spacing w:line="276" w:lineRule="auto"/>
        <w:ind w:left="720" w:hanging="720"/>
        <w:jc w:val="both"/>
        <w:rPr>
          <w:rFonts w:ascii="Times New Roman" w:hAnsi="Times New Roman" w:cs="Times New Roman"/>
        </w:rPr>
      </w:pPr>
    </w:p>
    <w:p w14:paraId="2916A51D">
      <w:pPr>
        <w:spacing w:line="360" w:lineRule="auto"/>
        <w:jc w:val="both"/>
        <w:rPr>
          <w:rFonts w:ascii="Times New Roman" w:hAnsi="Times New Roman" w:cs="Times New Roman"/>
          <w:b/>
          <w:bCs/>
        </w:rPr>
      </w:pPr>
      <w:r>
        <w:rPr>
          <w:rFonts w:ascii="Times New Roman" w:hAnsi="Times New Roman" w:cs="Times New Roman"/>
        </w:rPr>
        <w:t>Appendix A. Lee &amp; Colley grading legend (abridged)</w:t>
      </w:r>
    </w:p>
    <w:p w14:paraId="64C8FFB5">
      <w:pPr>
        <w:spacing w:line="360" w:lineRule="auto"/>
        <w:jc w:val="both"/>
        <w:rPr>
          <w:rFonts w:ascii="Times New Roman" w:hAnsi="Times New Roman" w:cs="Times New Roman"/>
        </w:rPr>
      </w:pPr>
      <w:r>
        <w:rPr>
          <w:rFonts w:ascii="Times New Roman" w:hAnsi="Times New Roman" w:cs="Times New Roman"/>
        </w:rPr>
        <w:t>A – Generally well performed; no important tasks left incomplete.</w:t>
      </w:r>
      <w:r>
        <w:rPr>
          <w:rFonts w:ascii="Times New Roman" w:hAnsi="Times New Roman" w:cs="Times New Roman"/>
        </w:rPr>
        <w:br w:type="textWrapping"/>
      </w:r>
      <w:r>
        <w:rPr>
          <w:rFonts w:ascii="Times New Roman" w:hAnsi="Times New Roman" w:cs="Times New Roman"/>
        </w:rPr>
        <w:t>B – Generally satisfactory; only minor omissions or inadequacies.</w:t>
      </w:r>
      <w:r>
        <w:rPr>
          <w:rFonts w:ascii="Times New Roman" w:hAnsi="Times New Roman" w:cs="Times New Roman"/>
        </w:rPr>
        <w:br w:type="textWrapping"/>
      </w:r>
      <w:r>
        <w:rPr>
          <w:rFonts w:ascii="Times New Roman" w:hAnsi="Times New Roman" w:cs="Times New Roman"/>
        </w:rPr>
        <w:t>C – Just satisfactory; some omissions/inadequacies but not sufficient to prevent overall acceptability.</w:t>
      </w:r>
      <w:r>
        <w:rPr>
          <w:rFonts w:ascii="Times New Roman" w:hAnsi="Times New Roman" w:cs="Times New Roman"/>
        </w:rPr>
        <w:br w:type="textWrapping"/>
      </w:r>
      <w:r>
        <w:rPr>
          <w:rFonts w:ascii="Times New Roman" w:hAnsi="Times New Roman" w:cs="Times New Roman"/>
        </w:rPr>
        <w:t>D – Just unsatisfactory; omissions/inadequacies significant enough to undermine acceptability without revision.</w:t>
      </w:r>
      <w:r>
        <w:rPr>
          <w:rFonts w:ascii="Times New Roman" w:hAnsi="Times New Roman" w:cs="Times New Roman"/>
        </w:rPr>
        <w:br w:type="textWrapping"/>
      </w:r>
      <w:r>
        <w:rPr>
          <w:rFonts w:ascii="Times New Roman" w:hAnsi="Times New Roman" w:cs="Times New Roman"/>
        </w:rPr>
        <w:t>E/F – Poor; major tasks incomplete or seriously inadequate.</w:t>
      </w:r>
    </w:p>
    <w:p w14:paraId="30924F4B">
      <w:pPr>
        <w:spacing w:line="360" w:lineRule="auto"/>
        <w:jc w:val="both"/>
        <w:rPr>
          <w:rFonts w:ascii="Times New Roman" w:hAnsi="Times New Roman" w:cs="Times New Roman"/>
        </w:rPr>
      </w:pPr>
      <w:r>
        <w:rPr>
          <w:rFonts w:ascii="Times New Roman" w:hAnsi="Times New Roman" w:cs="Times New Roman"/>
        </w:rPr>
        <w:t>In applied practice, “C or above” is commonly treated as a minimum acceptable threshold and “D or below” as requiring substantive revision (Lee and Colley, 1992).</w:t>
      </w: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2010600030101010101"/>
    <w:charset w:val="86"/>
    <w:family w:val="auto"/>
    <w:pitch w:val="default"/>
    <w:sig w:usb0="00000000" w:usb1="00000000" w:usb2="00000016" w:usb3="00000000" w:csb0="0004000F" w:csb1="00000000"/>
  </w:font>
  <w:font w:name="DengXian">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等线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汉仪书宋二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C4F63FD">
    <w:pPr>
      <w:jc w:val="center"/>
      <w:rPr>
        <w:rFonts w:hint="eastAsia"/>
      </w:rPr>
    </w:pPr>
    <w:r>
      <w:fldChar w:fldCharType="begin"/>
    </w:r>
    <w:r>
      <w:instrText xml:space="preserve">PAGE</w:instrText>
    </w:r>
    <w:r>
      <w:fldChar w:fldCharType="separate"/>
    </w:r>
    <w:r>
      <w:rPr>
        <w:rFonts w:hint="eastAsia"/>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330"/>
    <w:rsid w:val="000020C3"/>
    <w:rsid w:val="00012A3E"/>
    <w:rsid w:val="00040FB0"/>
    <w:rsid w:val="00095984"/>
    <w:rsid w:val="000C567D"/>
    <w:rsid w:val="001001E9"/>
    <w:rsid w:val="00127E64"/>
    <w:rsid w:val="00141725"/>
    <w:rsid w:val="00151A09"/>
    <w:rsid w:val="001A160F"/>
    <w:rsid w:val="001E7884"/>
    <w:rsid w:val="002526FE"/>
    <w:rsid w:val="00275C26"/>
    <w:rsid w:val="002E2960"/>
    <w:rsid w:val="002E756F"/>
    <w:rsid w:val="00302778"/>
    <w:rsid w:val="00303644"/>
    <w:rsid w:val="00323D97"/>
    <w:rsid w:val="00333F09"/>
    <w:rsid w:val="00361992"/>
    <w:rsid w:val="00376F2A"/>
    <w:rsid w:val="00381526"/>
    <w:rsid w:val="00386A24"/>
    <w:rsid w:val="00391A45"/>
    <w:rsid w:val="003B3661"/>
    <w:rsid w:val="003B462F"/>
    <w:rsid w:val="003B5364"/>
    <w:rsid w:val="003F0962"/>
    <w:rsid w:val="003F1B31"/>
    <w:rsid w:val="00423832"/>
    <w:rsid w:val="00440F72"/>
    <w:rsid w:val="00482EE3"/>
    <w:rsid w:val="004B7731"/>
    <w:rsid w:val="004C2673"/>
    <w:rsid w:val="004C52BF"/>
    <w:rsid w:val="004E13C2"/>
    <w:rsid w:val="00574121"/>
    <w:rsid w:val="00591EE9"/>
    <w:rsid w:val="005A4669"/>
    <w:rsid w:val="005A49C8"/>
    <w:rsid w:val="005B335F"/>
    <w:rsid w:val="005C7ED0"/>
    <w:rsid w:val="005F5523"/>
    <w:rsid w:val="00617AB3"/>
    <w:rsid w:val="00624DBE"/>
    <w:rsid w:val="00665330"/>
    <w:rsid w:val="006737AB"/>
    <w:rsid w:val="0069542B"/>
    <w:rsid w:val="006D28CC"/>
    <w:rsid w:val="0073542B"/>
    <w:rsid w:val="00792A73"/>
    <w:rsid w:val="00792D1E"/>
    <w:rsid w:val="007B50CA"/>
    <w:rsid w:val="007C1783"/>
    <w:rsid w:val="007F41FE"/>
    <w:rsid w:val="00810772"/>
    <w:rsid w:val="00831E05"/>
    <w:rsid w:val="0083616A"/>
    <w:rsid w:val="008606D9"/>
    <w:rsid w:val="008A513A"/>
    <w:rsid w:val="008B1283"/>
    <w:rsid w:val="008C4A11"/>
    <w:rsid w:val="008D27D0"/>
    <w:rsid w:val="008F4427"/>
    <w:rsid w:val="008F5D72"/>
    <w:rsid w:val="008F6731"/>
    <w:rsid w:val="00916B36"/>
    <w:rsid w:val="00922500"/>
    <w:rsid w:val="009244FB"/>
    <w:rsid w:val="0093070E"/>
    <w:rsid w:val="00981288"/>
    <w:rsid w:val="00995B7A"/>
    <w:rsid w:val="009B6FCC"/>
    <w:rsid w:val="009C7F23"/>
    <w:rsid w:val="009D2F7D"/>
    <w:rsid w:val="00A27BB5"/>
    <w:rsid w:val="00A35F09"/>
    <w:rsid w:val="00A53271"/>
    <w:rsid w:val="00A70958"/>
    <w:rsid w:val="00AA69E2"/>
    <w:rsid w:val="00AF466F"/>
    <w:rsid w:val="00B15254"/>
    <w:rsid w:val="00B16360"/>
    <w:rsid w:val="00B20377"/>
    <w:rsid w:val="00B21519"/>
    <w:rsid w:val="00B87CDA"/>
    <w:rsid w:val="00B95482"/>
    <w:rsid w:val="00B9765F"/>
    <w:rsid w:val="00BB2016"/>
    <w:rsid w:val="00BD794B"/>
    <w:rsid w:val="00BE3B6D"/>
    <w:rsid w:val="00C20C78"/>
    <w:rsid w:val="00C6496E"/>
    <w:rsid w:val="00C64B9A"/>
    <w:rsid w:val="00CB58BD"/>
    <w:rsid w:val="00CB678E"/>
    <w:rsid w:val="00D1298A"/>
    <w:rsid w:val="00D136AE"/>
    <w:rsid w:val="00D16AC7"/>
    <w:rsid w:val="00D5217D"/>
    <w:rsid w:val="00D637D2"/>
    <w:rsid w:val="00DC5B0D"/>
    <w:rsid w:val="00DD4848"/>
    <w:rsid w:val="00DE4885"/>
    <w:rsid w:val="00E02933"/>
    <w:rsid w:val="00E16A65"/>
    <w:rsid w:val="00E17DB4"/>
    <w:rsid w:val="00E21633"/>
    <w:rsid w:val="00E25E96"/>
    <w:rsid w:val="00E70AE5"/>
    <w:rsid w:val="00E71184"/>
    <w:rsid w:val="00EF0408"/>
    <w:rsid w:val="00F408FC"/>
    <w:rsid w:val="00F5302D"/>
    <w:rsid w:val="00F84D5C"/>
    <w:rsid w:val="00FA4699"/>
    <w:rsid w:val="00FD6946"/>
    <w:rsid w:val="00FF47E0"/>
    <w:rsid w:val="EB3F2D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2"/>
    <w:qFormat/>
    <w:uiPriority w:val="9"/>
    <w:pPr>
      <w:keepNext/>
      <w:keepLines/>
      <w:spacing w:before="480" w:after="80"/>
      <w:outlineLvl w:val="0"/>
    </w:pPr>
    <w:rPr>
      <w:rFonts w:eastAsia="Times New Roman" w:asciiTheme="majorHAnsi" w:hAnsiTheme="majorHAnsi" w:cstheme="majorBidi"/>
      <w:color w:val="000000" w:themeColor="text1"/>
      <w:sz w:val="30"/>
      <w:szCs w:val="48"/>
      <w14:textFill>
        <w14:solidFill>
          <w14:schemeClr w14:val="tx1"/>
        </w14:solidFill>
      </w14:textFill>
    </w:rPr>
  </w:style>
  <w:style w:type="paragraph" w:styleId="3">
    <w:name w:val="heading 2"/>
    <w:basedOn w:val="1"/>
    <w:next w:val="1"/>
    <w:link w:val="23"/>
    <w:unhideWhenUsed/>
    <w:qFormat/>
    <w:uiPriority w:val="9"/>
    <w:pPr>
      <w:keepNext/>
      <w:keepLines/>
      <w:spacing w:before="160" w:after="80"/>
      <w:outlineLvl w:val="1"/>
    </w:pPr>
    <w:rPr>
      <w:rFonts w:ascii="Times New Roman" w:hAnsi="Times New Roman" w:eastAsia="Times New Roman" w:cstheme="majorBidi"/>
      <w:color w:val="000000" w:themeColor="text1"/>
      <w:sz w:val="26"/>
      <w:szCs w:val="40"/>
      <w14:textFill>
        <w14:solidFill>
          <w14:schemeClr w14:val="tx1"/>
        </w14:solidFill>
      </w14:textFill>
    </w:rPr>
  </w:style>
  <w:style w:type="paragraph" w:styleId="4">
    <w:name w:val="heading 3"/>
    <w:basedOn w:val="1"/>
    <w:next w:val="1"/>
    <w:link w:val="24"/>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5"/>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6"/>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27"/>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28"/>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18">
    <w:name w:val="Default Paragraph Font"/>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11">
    <w:name w:val="annotation text"/>
    <w:basedOn w:val="1"/>
    <w:link w:val="40"/>
    <w:semiHidden/>
    <w:unhideWhenUsed/>
    <w:uiPriority w:val="99"/>
  </w:style>
  <w:style w:type="paragraph" w:styleId="12">
    <w:name w:val="footer"/>
    <w:basedOn w:val="1"/>
    <w:link w:val="43"/>
    <w:unhideWhenUsed/>
    <w:uiPriority w:val="99"/>
    <w:pPr>
      <w:tabs>
        <w:tab w:val="center" w:pos="4153"/>
        <w:tab w:val="right" w:pos="8306"/>
      </w:tabs>
      <w:snapToGrid w:val="0"/>
      <w:spacing w:line="240" w:lineRule="auto"/>
    </w:pPr>
    <w:rPr>
      <w:sz w:val="18"/>
      <w:szCs w:val="18"/>
    </w:rPr>
  </w:style>
  <w:style w:type="paragraph" w:styleId="13">
    <w:name w:val="header"/>
    <w:basedOn w:val="1"/>
    <w:link w:val="42"/>
    <w:unhideWhenUsed/>
    <w:uiPriority w:val="99"/>
    <w:pPr>
      <w:tabs>
        <w:tab w:val="center" w:pos="4153"/>
        <w:tab w:val="right" w:pos="8306"/>
      </w:tabs>
      <w:snapToGrid w:val="0"/>
      <w:spacing w:line="240" w:lineRule="auto"/>
      <w:jc w:val="center"/>
    </w:pPr>
    <w:rPr>
      <w:sz w:val="18"/>
      <w:szCs w:val="18"/>
    </w:rPr>
  </w:style>
  <w:style w:type="paragraph" w:styleId="14">
    <w:name w:val="Subtitle"/>
    <w:basedOn w:val="1"/>
    <w:next w:val="1"/>
    <w:link w:val="32"/>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Title"/>
    <w:basedOn w:val="1"/>
    <w:next w:val="1"/>
    <w:link w:val="31"/>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paragraph" w:styleId="16">
    <w:name w:val="annotation subject"/>
    <w:basedOn w:val="11"/>
    <w:next w:val="11"/>
    <w:link w:val="41"/>
    <w:semiHidden/>
    <w:unhideWhenUsed/>
    <w:uiPriority w:val="99"/>
    <w:rPr>
      <w:b/>
      <w:bCs/>
    </w:rPr>
  </w:style>
  <w:style w:type="character" w:styleId="19">
    <w:name w:val="FollowedHyperlink"/>
    <w:basedOn w:val="18"/>
    <w:semiHidden/>
    <w:unhideWhenUsed/>
    <w:uiPriority w:val="99"/>
    <w:rPr>
      <w:color w:val="96607D" w:themeColor="followedHyperlink"/>
      <w:u w:val="single"/>
      <w14:textFill>
        <w14:solidFill>
          <w14:schemeClr w14:val="folHlink"/>
        </w14:solidFill>
      </w14:textFill>
    </w:rPr>
  </w:style>
  <w:style w:type="character" w:styleId="20">
    <w:name w:val="Hyperlink"/>
    <w:basedOn w:val="18"/>
    <w:unhideWhenUsed/>
    <w:uiPriority w:val="99"/>
    <w:rPr>
      <w:color w:val="467886" w:themeColor="hyperlink"/>
      <w:u w:val="single"/>
      <w14:textFill>
        <w14:solidFill>
          <w14:schemeClr w14:val="hlink"/>
        </w14:solidFill>
      </w14:textFill>
    </w:rPr>
  </w:style>
  <w:style w:type="character" w:styleId="21">
    <w:name w:val="annotation reference"/>
    <w:basedOn w:val="18"/>
    <w:semiHidden/>
    <w:unhideWhenUsed/>
    <w:uiPriority w:val="99"/>
    <w:rPr>
      <w:sz w:val="21"/>
      <w:szCs w:val="21"/>
    </w:rPr>
  </w:style>
  <w:style w:type="character" w:customStyle="1" w:styleId="22">
    <w:name w:val="标题 1 字符"/>
    <w:basedOn w:val="18"/>
    <w:link w:val="2"/>
    <w:uiPriority w:val="9"/>
    <w:rPr>
      <w:rFonts w:eastAsia="Times New Roman" w:asciiTheme="majorHAnsi" w:hAnsiTheme="majorHAnsi" w:cstheme="majorBidi"/>
      <w:color w:val="000000" w:themeColor="text1"/>
      <w:sz w:val="30"/>
      <w:szCs w:val="48"/>
      <w14:textFill>
        <w14:solidFill>
          <w14:schemeClr w14:val="tx1"/>
        </w14:solidFill>
      </w14:textFill>
    </w:rPr>
  </w:style>
  <w:style w:type="character" w:customStyle="1" w:styleId="23">
    <w:name w:val="标题 2 字符"/>
    <w:basedOn w:val="18"/>
    <w:link w:val="3"/>
    <w:uiPriority w:val="9"/>
    <w:rPr>
      <w:rFonts w:ascii="Times New Roman" w:hAnsi="Times New Roman" w:eastAsia="Times New Roman" w:cstheme="majorBidi"/>
      <w:color w:val="000000" w:themeColor="text1"/>
      <w:sz w:val="26"/>
      <w:szCs w:val="40"/>
      <w14:textFill>
        <w14:solidFill>
          <w14:schemeClr w14:val="tx1"/>
        </w14:solidFill>
      </w14:textFill>
    </w:rPr>
  </w:style>
  <w:style w:type="character" w:customStyle="1" w:styleId="24">
    <w:name w:val="标题 3 字符"/>
    <w:basedOn w:val="18"/>
    <w:link w:val="4"/>
    <w:semiHidden/>
    <w:uiPriority w:val="9"/>
    <w:rPr>
      <w:rFonts w:asciiTheme="majorHAnsi" w:hAnsiTheme="majorHAnsi" w:eastAsiaTheme="majorEastAsia" w:cstheme="majorBidi"/>
      <w:color w:val="104862" w:themeColor="accent1" w:themeShade="BF"/>
      <w:sz w:val="32"/>
      <w:szCs w:val="32"/>
    </w:rPr>
  </w:style>
  <w:style w:type="character" w:customStyle="1" w:styleId="25">
    <w:name w:val="标题 4 字符"/>
    <w:basedOn w:val="18"/>
    <w:link w:val="5"/>
    <w:semiHidden/>
    <w:uiPriority w:val="9"/>
    <w:rPr>
      <w:rFonts w:cstheme="majorBidi"/>
      <w:color w:val="104862" w:themeColor="accent1" w:themeShade="BF"/>
      <w:sz w:val="28"/>
      <w:szCs w:val="28"/>
    </w:rPr>
  </w:style>
  <w:style w:type="character" w:customStyle="1" w:styleId="26">
    <w:name w:val="标题 5 字符"/>
    <w:basedOn w:val="18"/>
    <w:link w:val="6"/>
    <w:semiHidden/>
    <w:uiPriority w:val="9"/>
    <w:rPr>
      <w:rFonts w:cstheme="majorBidi"/>
      <w:color w:val="104862" w:themeColor="accent1" w:themeShade="BF"/>
      <w:sz w:val="24"/>
    </w:rPr>
  </w:style>
  <w:style w:type="character" w:customStyle="1" w:styleId="27">
    <w:name w:val="标题 6 字符"/>
    <w:basedOn w:val="18"/>
    <w:link w:val="7"/>
    <w:semiHidden/>
    <w:uiPriority w:val="9"/>
    <w:rPr>
      <w:rFonts w:cstheme="majorBidi"/>
      <w:b/>
      <w:bCs/>
      <w:color w:val="104862" w:themeColor="accent1" w:themeShade="BF"/>
    </w:rPr>
  </w:style>
  <w:style w:type="character" w:customStyle="1" w:styleId="28">
    <w:name w:val="标题 7 字符"/>
    <w:basedOn w:val="18"/>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9">
    <w:name w:val="标题 8 字符"/>
    <w:basedOn w:val="18"/>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0">
    <w:name w:val="标题 9 字符"/>
    <w:basedOn w:val="18"/>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标题 字符"/>
    <w:basedOn w:val="18"/>
    <w:link w:val="15"/>
    <w:uiPriority w:val="10"/>
    <w:rPr>
      <w:rFonts w:asciiTheme="majorHAnsi" w:hAnsiTheme="majorHAnsi" w:eastAsiaTheme="majorEastAsia" w:cstheme="majorBidi"/>
      <w:spacing w:val="-10"/>
      <w:kern w:val="28"/>
      <w:sz w:val="56"/>
      <w:szCs w:val="56"/>
    </w:rPr>
  </w:style>
  <w:style w:type="character" w:customStyle="1" w:styleId="32">
    <w:name w:val="副标题 字符"/>
    <w:basedOn w:val="18"/>
    <w:link w:val="14"/>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引用 字符"/>
    <w:basedOn w:val="18"/>
    <w:link w:val="33"/>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Intense Emphasis"/>
    <w:basedOn w:val="18"/>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明显引用 字符"/>
    <w:basedOn w:val="18"/>
    <w:link w:val="37"/>
    <w:uiPriority w:val="30"/>
    <w:rPr>
      <w:i/>
      <w:iCs/>
      <w:color w:val="104862" w:themeColor="accent1" w:themeShade="BF"/>
    </w:rPr>
  </w:style>
  <w:style w:type="character" w:customStyle="1" w:styleId="39">
    <w:name w:val="Intense Reference"/>
    <w:basedOn w:val="18"/>
    <w:qFormat/>
    <w:uiPriority w:val="32"/>
    <w:rPr>
      <w:b/>
      <w:bCs/>
      <w:smallCaps/>
      <w:color w:val="104862" w:themeColor="accent1" w:themeShade="BF"/>
      <w:spacing w:val="5"/>
    </w:rPr>
  </w:style>
  <w:style w:type="character" w:customStyle="1" w:styleId="40">
    <w:name w:val="批注文字 字符"/>
    <w:basedOn w:val="18"/>
    <w:link w:val="11"/>
    <w:semiHidden/>
    <w:uiPriority w:val="99"/>
  </w:style>
  <w:style w:type="character" w:customStyle="1" w:styleId="41">
    <w:name w:val="批注主题 字符"/>
    <w:basedOn w:val="40"/>
    <w:link w:val="16"/>
    <w:semiHidden/>
    <w:uiPriority w:val="99"/>
    <w:rPr>
      <w:b/>
      <w:bCs/>
    </w:rPr>
  </w:style>
  <w:style w:type="character" w:customStyle="1" w:styleId="42">
    <w:name w:val="页眉 字符"/>
    <w:basedOn w:val="18"/>
    <w:link w:val="13"/>
    <w:uiPriority w:val="99"/>
    <w:rPr>
      <w:sz w:val="18"/>
      <w:szCs w:val="18"/>
    </w:rPr>
  </w:style>
  <w:style w:type="character" w:customStyle="1" w:styleId="43">
    <w:name w:val="页脚 字符"/>
    <w:basedOn w:val="18"/>
    <w:link w:val="12"/>
    <w:uiPriority w:val="99"/>
    <w:rPr>
      <w:sz w:val="18"/>
      <w:szCs w:val="18"/>
    </w:rPr>
  </w:style>
  <w:style w:type="character" w:customStyle="1" w:styleId="44">
    <w:name w:val="Unresolved Mention"/>
    <w:basedOn w:val="1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SixthEditionOfficeOnline.xsl" Version="6"/>
</file>

<file path=customXml/itemProps1.xml><?xml version="1.0" encoding="utf-8"?>
<ds:datastoreItem xmlns:ds="http://schemas.openxmlformats.org/officeDocument/2006/customXml" ds:itemID="{2EA9026B-1110-4F48-879C-366D402ED6F5}">
  <ds:schemaRefs/>
</ds:datastoreItem>
</file>

<file path=docProps/app.xml><?xml version="1.0" encoding="utf-8"?>
<Properties xmlns="http://schemas.openxmlformats.org/officeDocument/2006/extended-properties" xmlns:vt="http://schemas.openxmlformats.org/officeDocument/2006/docPropsVTypes">
  <Template>Normal</Template>
  <Pages>28</Pages>
  <Words>7174</Words>
  <Characters>43189</Characters>
  <Lines>2399</Lines>
  <Paragraphs>449</Paragraphs>
  <TotalTime>103</TotalTime>
  <ScaleCrop>false</ScaleCrop>
  <LinksUpToDate>false</LinksUpToDate>
  <CharactersWithSpaces>49914</CharactersWithSpaces>
  <Application>WPS Office_12.1.23540.23540_F1E327BC-269C-435d-A152-05C5408002CA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2026-01-03T08:18:00Z</dcterms:created>
  <dc:creator>Data</dc:creator>
  <cp:lastModifiedBy>おうがいの薇</cp:lastModifiedBy>
  <dcterms:modified xsi:type="dcterms:W3CDTF">2026-01-20T00:11:20Z</dcterms:modified>
  <cp:revision>78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2052-12.1.23540.23540</vt:lpwstr>
  </property>
  <property fmtid="{D5CDD505-2E9C-101B-9397-08002B2CF9AE}" pid="3" name="ICV">
    <vt:lpwstr>FA3FDEB0EEC15DFE28C86E698049CFEF_42</vt:lpwstr>
  </property>
</Properties>
</file>