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FFD2F" w14:textId="06D2CAFA" w:rsidR="00E01B00" w:rsidRDefault="00E51E94">
      <w:r>
        <w:rPr>
          <w:rFonts w:ascii="Times New Roman"/>
          <w:noProof/>
          <w:sz w:val="17"/>
        </w:rPr>
        <w:drawing>
          <wp:anchor distT="0" distB="0" distL="0" distR="0" simplePos="0" relativeHeight="251659264" behindDoc="0" locked="0" layoutInCell="1" allowOverlap="1" wp14:anchorId="5FC17F1B" wp14:editId="00BE50DD">
            <wp:simplePos x="0" y="0"/>
            <wp:positionH relativeFrom="page">
              <wp:posOffset>0</wp:posOffset>
            </wp:positionH>
            <wp:positionV relativeFrom="page">
              <wp:posOffset>19049</wp:posOffset>
            </wp:positionV>
            <wp:extent cx="7505700" cy="10639425"/>
            <wp:effectExtent l="0" t="0" r="0" b="9525"/>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7505700" cy="10639425"/>
                    </a:xfrm>
                    <a:prstGeom prst="rect">
                      <a:avLst/>
                    </a:prstGeom>
                  </pic:spPr>
                </pic:pic>
              </a:graphicData>
            </a:graphic>
            <wp14:sizeRelH relativeFrom="margin">
              <wp14:pctWidth>0</wp14:pctWidth>
            </wp14:sizeRelH>
            <wp14:sizeRelV relativeFrom="margin">
              <wp14:pctHeight>0</wp14:pctHeight>
            </wp14:sizeRelV>
          </wp:anchor>
        </w:drawing>
      </w:r>
    </w:p>
    <w:p w14:paraId="0B035991" w14:textId="77777777" w:rsidR="00144C63" w:rsidRDefault="00144C63" w:rsidP="00DA0568">
      <w:pPr>
        <w:pStyle w:val="Heading1"/>
        <w:rPr>
          <w:sz w:val="24"/>
          <w:szCs w:val="24"/>
        </w:rPr>
      </w:pPr>
      <w:bookmarkStart w:id="0" w:name="_Toc237351791"/>
    </w:p>
    <w:p w14:paraId="160C4D07" w14:textId="77777777" w:rsidR="00E51E94" w:rsidRDefault="00E51E94">
      <w:pPr>
        <w:rPr>
          <w:rFonts w:asciiTheme="majorHAnsi" w:eastAsiaTheme="majorEastAsia" w:hAnsiTheme="majorHAnsi" w:cstheme="majorBidi"/>
          <w:color w:val="0F4761" w:themeColor="accent1" w:themeShade="BF"/>
        </w:rPr>
      </w:pPr>
      <w:r>
        <w:br w:type="page"/>
      </w:r>
    </w:p>
    <w:sdt>
      <w:sdtPr>
        <w:rPr>
          <w:rFonts w:asciiTheme="minorHAnsi" w:eastAsiaTheme="minorHAnsi" w:hAnsiTheme="minorHAnsi" w:cstheme="minorBidi"/>
          <w:color w:val="auto"/>
          <w:kern w:val="2"/>
          <w:sz w:val="24"/>
          <w:szCs w:val="24"/>
          <w:lang w:eastAsia="en-US"/>
          <w14:ligatures w14:val="standardContextual"/>
        </w:rPr>
        <w:id w:val="257482347"/>
        <w:docPartObj>
          <w:docPartGallery w:val="Table of Contents"/>
          <w:docPartUnique/>
        </w:docPartObj>
      </w:sdtPr>
      <w:sdtEndPr>
        <w:rPr>
          <w:b/>
          <w:bCs/>
        </w:rPr>
      </w:sdtEndPr>
      <w:sdtContent>
        <w:p w14:paraId="7701936D" w14:textId="77777777" w:rsidR="00E51E94" w:rsidRDefault="00E51E94" w:rsidP="00E51E94">
          <w:pPr>
            <w:pStyle w:val="TOCHeading"/>
          </w:pPr>
          <w:r>
            <w:t>Table of Contents</w:t>
          </w:r>
        </w:p>
        <w:p w14:paraId="1281BEE7" w14:textId="6CE3C8C7" w:rsidR="00E51E94" w:rsidRDefault="00E51E94" w:rsidP="00E51E9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351791" w:history="1">
            <w:r w:rsidRPr="005B3B6F">
              <w:rPr>
                <w:rStyle w:val="Hyperlink"/>
                <w:noProof/>
              </w:rPr>
              <w:t>Section 1 Strategic Evaluation &amp; Recommendations</w:t>
            </w:r>
            <w:r>
              <w:rPr>
                <w:noProof/>
                <w:webHidden/>
              </w:rPr>
              <w:tab/>
            </w:r>
            <w:r>
              <w:rPr>
                <w:noProof/>
                <w:webHidden/>
              </w:rPr>
              <w:fldChar w:fldCharType="begin"/>
            </w:r>
            <w:r>
              <w:rPr>
                <w:noProof/>
                <w:webHidden/>
              </w:rPr>
              <w:instrText xml:space="preserve"> PAGEREF _Toc237351791 \h </w:instrText>
            </w:r>
            <w:r>
              <w:rPr>
                <w:noProof/>
                <w:webHidden/>
              </w:rPr>
            </w:r>
            <w:r>
              <w:rPr>
                <w:noProof/>
                <w:webHidden/>
              </w:rPr>
              <w:fldChar w:fldCharType="separate"/>
            </w:r>
            <w:r w:rsidR="00950D93">
              <w:rPr>
                <w:noProof/>
                <w:webHidden/>
              </w:rPr>
              <w:t>2</w:t>
            </w:r>
            <w:r>
              <w:rPr>
                <w:noProof/>
                <w:webHidden/>
              </w:rPr>
              <w:fldChar w:fldCharType="end"/>
            </w:r>
          </w:hyperlink>
        </w:p>
        <w:p w14:paraId="1685529A" w14:textId="498B8305" w:rsidR="00E51E94" w:rsidRDefault="00E51E94" w:rsidP="00E51E94">
          <w:pPr>
            <w:pStyle w:val="TOC1"/>
            <w:tabs>
              <w:tab w:val="right" w:leader="dot" w:pos="9016"/>
            </w:tabs>
            <w:rPr>
              <w:rFonts w:eastAsiaTheme="minorEastAsia"/>
              <w:noProof/>
              <w:lang w:eastAsia="en-GB"/>
            </w:rPr>
          </w:pPr>
          <w:hyperlink w:anchor="_Toc237351792" w:history="1">
            <w:r w:rsidRPr="005B3B6F">
              <w:rPr>
                <w:rStyle w:val="Hyperlink"/>
                <w:noProof/>
              </w:rPr>
              <w:t>1.Organisation Context and Overview</w:t>
            </w:r>
            <w:r>
              <w:rPr>
                <w:noProof/>
                <w:webHidden/>
              </w:rPr>
              <w:tab/>
            </w:r>
            <w:r>
              <w:rPr>
                <w:noProof/>
                <w:webHidden/>
              </w:rPr>
              <w:fldChar w:fldCharType="begin"/>
            </w:r>
            <w:r>
              <w:rPr>
                <w:noProof/>
                <w:webHidden/>
              </w:rPr>
              <w:instrText xml:space="preserve"> PAGEREF _Toc237351792 \h </w:instrText>
            </w:r>
            <w:r>
              <w:rPr>
                <w:noProof/>
                <w:webHidden/>
              </w:rPr>
            </w:r>
            <w:r>
              <w:rPr>
                <w:noProof/>
                <w:webHidden/>
              </w:rPr>
              <w:fldChar w:fldCharType="separate"/>
            </w:r>
            <w:r w:rsidR="00950D93">
              <w:rPr>
                <w:noProof/>
                <w:webHidden/>
              </w:rPr>
              <w:t>3</w:t>
            </w:r>
            <w:r>
              <w:rPr>
                <w:noProof/>
                <w:webHidden/>
              </w:rPr>
              <w:fldChar w:fldCharType="end"/>
            </w:r>
          </w:hyperlink>
        </w:p>
        <w:p w14:paraId="13BE97A5" w14:textId="4815C1A6" w:rsidR="00E51E94" w:rsidRDefault="00E51E94" w:rsidP="00E51E94">
          <w:pPr>
            <w:pStyle w:val="TOC2"/>
            <w:tabs>
              <w:tab w:val="right" w:leader="dot" w:pos="9016"/>
            </w:tabs>
            <w:rPr>
              <w:rFonts w:eastAsiaTheme="minorEastAsia"/>
              <w:noProof/>
              <w:lang w:eastAsia="en-GB"/>
            </w:rPr>
          </w:pPr>
          <w:hyperlink w:anchor="_Toc237351793" w:history="1">
            <w:r w:rsidRPr="005B3B6F">
              <w:rPr>
                <w:rStyle w:val="Hyperlink"/>
                <w:noProof/>
              </w:rPr>
              <w:t>1.1 Historical Evaluation and strategic foundations</w:t>
            </w:r>
            <w:r>
              <w:rPr>
                <w:noProof/>
                <w:webHidden/>
              </w:rPr>
              <w:tab/>
            </w:r>
            <w:r>
              <w:rPr>
                <w:noProof/>
                <w:webHidden/>
              </w:rPr>
              <w:fldChar w:fldCharType="begin"/>
            </w:r>
            <w:r>
              <w:rPr>
                <w:noProof/>
                <w:webHidden/>
              </w:rPr>
              <w:instrText xml:space="preserve"> PAGEREF _Toc237351793 \h </w:instrText>
            </w:r>
            <w:r>
              <w:rPr>
                <w:noProof/>
                <w:webHidden/>
              </w:rPr>
            </w:r>
            <w:r>
              <w:rPr>
                <w:noProof/>
                <w:webHidden/>
              </w:rPr>
              <w:fldChar w:fldCharType="separate"/>
            </w:r>
            <w:r w:rsidR="00950D93">
              <w:rPr>
                <w:noProof/>
                <w:webHidden/>
              </w:rPr>
              <w:t>3</w:t>
            </w:r>
            <w:r>
              <w:rPr>
                <w:noProof/>
                <w:webHidden/>
              </w:rPr>
              <w:fldChar w:fldCharType="end"/>
            </w:r>
          </w:hyperlink>
        </w:p>
        <w:p w14:paraId="11CC432D" w14:textId="56ADB955" w:rsidR="00E51E94" w:rsidRDefault="00E51E94" w:rsidP="00E51E94">
          <w:pPr>
            <w:pStyle w:val="TOC2"/>
            <w:tabs>
              <w:tab w:val="right" w:leader="dot" w:pos="9016"/>
            </w:tabs>
            <w:rPr>
              <w:rFonts w:eastAsiaTheme="minorEastAsia"/>
              <w:noProof/>
              <w:lang w:eastAsia="en-GB"/>
            </w:rPr>
          </w:pPr>
          <w:hyperlink w:anchor="_Toc237351794" w:history="1">
            <w:r w:rsidRPr="005B3B6F">
              <w:rPr>
                <w:rStyle w:val="Hyperlink"/>
                <w:noProof/>
              </w:rPr>
              <w:t>1.2 Industry Dynamics and British Petroleum’s UK Market Position</w:t>
            </w:r>
            <w:r>
              <w:rPr>
                <w:noProof/>
                <w:webHidden/>
              </w:rPr>
              <w:tab/>
            </w:r>
            <w:r>
              <w:rPr>
                <w:noProof/>
                <w:webHidden/>
              </w:rPr>
              <w:fldChar w:fldCharType="begin"/>
            </w:r>
            <w:r>
              <w:rPr>
                <w:noProof/>
                <w:webHidden/>
              </w:rPr>
              <w:instrText xml:space="preserve"> PAGEREF _Toc237351794 \h </w:instrText>
            </w:r>
            <w:r>
              <w:rPr>
                <w:noProof/>
                <w:webHidden/>
              </w:rPr>
            </w:r>
            <w:r>
              <w:rPr>
                <w:noProof/>
                <w:webHidden/>
              </w:rPr>
              <w:fldChar w:fldCharType="separate"/>
            </w:r>
            <w:r w:rsidR="00950D93">
              <w:rPr>
                <w:noProof/>
                <w:webHidden/>
              </w:rPr>
              <w:t>4</w:t>
            </w:r>
            <w:r>
              <w:rPr>
                <w:noProof/>
                <w:webHidden/>
              </w:rPr>
              <w:fldChar w:fldCharType="end"/>
            </w:r>
          </w:hyperlink>
        </w:p>
        <w:p w14:paraId="6439CB98" w14:textId="4646A2BF" w:rsidR="00E51E94" w:rsidRDefault="00E51E94" w:rsidP="00E51E94">
          <w:pPr>
            <w:pStyle w:val="TOC1"/>
            <w:tabs>
              <w:tab w:val="right" w:leader="dot" w:pos="9016"/>
            </w:tabs>
            <w:rPr>
              <w:rFonts w:eastAsiaTheme="minorEastAsia"/>
              <w:noProof/>
              <w:lang w:eastAsia="en-GB"/>
            </w:rPr>
          </w:pPr>
          <w:hyperlink w:anchor="_Toc237351795" w:history="1">
            <w:r w:rsidRPr="005B3B6F">
              <w:rPr>
                <w:rStyle w:val="Hyperlink"/>
                <w:noProof/>
              </w:rPr>
              <w:t>2. External and Internal Analysis</w:t>
            </w:r>
            <w:r>
              <w:rPr>
                <w:noProof/>
                <w:webHidden/>
              </w:rPr>
              <w:tab/>
            </w:r>
            <w:r>
              <w:rPr>
                <w:noProof/>
                <w:webHidden/>
              </w:rPr>
              <w:fldChar w:fldCharType="begin"/>
            </w:r>
            <w:r>
              <w:rPr>
                <w:noProof/>
                <w:webHidden/>
              </w:rPr>
              <w:instrText xml:space="preserve"> PAGEREF _Toc237351795 \h </w:instrText>
            </w:r>
            <w:r>
              <w:rPr>
                <w:noProof/>
                <w:webHidden/>
              </w:rPr>
            </w:r>
            <w:r>
              <w:rPr>
                <w:noProof/>
                <w:webHidden/>
              </w:rPr>
              <w:fldChar w:fldCharType="separate"/>
            </w:r>
            <w:r w:rsidR="00950D93">
              <w:rPr>
                <w:noProof/>
                <w:webHidden/>
              </w:rPr>
              <w:t>5</w:t>
            </w:r>
            <w:r>
              <w:rPr>
                <w:noProof/>
                <w:webHidden/>
              </w:rPr>
              <w:fldChar w:fldCharType="end"/>
            </w:r>
          </w:hyperlink>
        </w:p>
        <w:p w14:paraId="1844738B" w14:textId="38DB2FCF" w:rsidR="00E51E94" w:rsidRDefault="00E51E94" w:rsidP="00E51E94">
          <w:pPr>
            <w:pStyle w:val="TOC2"/>
            <w:tabs>
              <w:tab w:val="right" w:leader="dot" w:pos="9016"/>
            </w:tabs>
            <w:rPr>
              <w:rFonts w:eastAsiaTheme="minorEastAsia"/>
              <w:noProof/>
              <w:lang w:eastAsia="en-GB"/>
            </w:rPr>
          </w:pPr>
          <w:hyperlink w:anchor="_Toc237351796" w:history="1">
            <w:r w:rsidRPr="005B3B6F">
              <w:rPr>
                <w:rStyle w:val="Hyperlink"/>
                <w:noProof/>
              </w:rPr>
              <w:t>2.1 PESTEL Framework: Uk Energy Landscape</w:t>
            </w:r>
            <w:r>
              <w:rPr>
                <w:noProof/>
                <w:webHidden/>
              </w:rPr>
              <w:tab/>
            </w:r>
            <w:r>
              <w:rPr>
                <w:noProof/>
                <w:webHidden/>
              </w:rPr>
              <w:fldChar w:fldCharType="begin"/>
            </w:r>
            <w:r>
              <w:rPr>
                <w:noProof/>
                <w:webHidden/>
              </w:rPr>
              <w:instrText xml:space="preserve"> PAGEREF _Toc237351796 \h </w:instrText>
            </w:r>
            <w:r>
              <w:rPr>
                <w:noProof/>
                <w:webHidden/>
              </w:rPr>
            </w:r>
            <w:r>
              <w:rPr>
                <w:noProof/>
                <w:webHidden/>
              </w:rPr>
              <w:fldChar w:fldCharType="separate"/>
            </w:r>
            <w:r w:rsidR="00950D93">
              <w:rPr>
                <w:noProof/>
                <w:webHidden/>
              </w:rPr>
              <w:t>5</w:t>
            </w:r>
            <w:r>
              <w:rPr>
                <w:noProof/>
                <w:webHidden/>
              </w:rPr>
              <w:fldChar w:fldCharType="end"/>
            </w:r>
          </w:hyperlink>
        </w:p>
        <w:p w14:paraId="15114F80" w14:textId="6BEBC68D" w:rsidR="00E51E94" w:rsidRDefault="00E51E94" w:rsidP="00E51E94">
          <w:pPr>
            <w:pStyle w:val="TOC2"/>
            <w:tabs>
              <w:tab w:val="right" w:leader="dot" w:pos="9016"/>
            </w:tabs>
            <w:rPr>
              <w:rFonts w:eastAsiaTheme="minorEastAsia"/>
              <w:noProof/>
              <w:lang w:eastAsia="en-GB"/>
            </w:rPr>
          </w:pPr>
          <w:hyperlink w:anchor="_Toc237351797" w:history="1">
            <w:r w:rsidRPr="005B3B6F">
              <w:rPr>
                <w:rStyle w:val="Hyperlink"/>
                <w:noProof/>
              </w:rPr>
              <w:t>2.2 VRIO Framework: Core Resource and Capability Audit</w:t>
            </w:r>
            <w:r>
              <w:rPr>
                <w:noProof/>
                <w:webHidden/>
              </w:rPr>
              <w:tab/>
            </w:r>
            <w:r>
              <w:rPr>
                <w:noProof/>
                <w:webHidden/>
              </w:rPr>
              <w:fldChar w:fldCharType="begin"/>
            </w:r>
            <w:r>
              <w:rPr>
                <w:noProof/>
                <w:webHidden/>
              </w:rPr>
              <w:instrText xml:space="preserve"> PAGEREF _Toc237351797 \h </w:instrText>
            </w:r>
            <w:r>
              <w:rPr>
                <w:noProof/>
                <w:webHidden/>
              </w:rPr>
            </w:r>
            <w:r>
              <w:rPr>
                <w:noProof/>
                <w:webHidden/>
              </w:rPr>
              <w:fldChar w:fldCharType="separate"/>
            </w:r>
            <w:r w:rsidR="00950D93">
              <w:rPr>
                <w:noProof/>
                <w:webHidden/>
              </w:rPr>
              <w:t>7</w:t>
            </w:r>
            <w:r>
              <w:rPr>
                <w:noProof/>
                <w:webHidden/>
              </w:rPr>
              <w:fldChar w:fldCharType="end"/>
            </w:r>
          </w:hyperlink>
        </w:p>
        <w:p w14:paraId="54239739" w14:textId="5B7C140E" w:rsidR="00E51E94" w:rsidRDefault="00E51E94" w:rsidP="00E51E94">
          <w:pPr>
            <w:pStyle w:val="TOC2"/>
            <w:tabs>
              <w:tab w:val="right" w:leader="dot" w:pos="9016"/>
            </w:tabs>
            <w:rPr>
              <w:rFonts w:eastAsiaTheme="minorEastAsia"/>
              <w:noProof/>
              <w:lang w:eastAsia="en-GB"/>
            </w:rPr>
          </w:pPr>
          <w:hyperlink w:anchor="_Toc237351798" w:history="1">
            <w:r w:rsidRPr="005B3B6F">
              <w:rPr>
                <w:rStyle w:val="Hyperlink"/>
                <w:noProof/>
              </w:rPr>
              <w:t>2.3 Strategic synthesis: SWOT Matrix</w:t>
            </w:r>
            <w:r>
              <w:rPr>
                <w:noProof/>
                <w:webHidden/>
              </w:rPr>
              <w:tab/>
            </w:r>
            <w:r>
              <w:rPr>
                <w:noProof/>
                <w:webHidden/>
              </w:rPr>
              <w:fldChar w:fldCharType="begin"/>
            </w:r>
            <w:r>
              <w:rPr>
                <w:noProof/>
                <w:webHidden/>
              </w:rPr>
              <w:instrText xml:space="preserve"> PAGEREF _Toc237351798 \h </w:instrText>
            </w:r>
            <w:r>
              <w:rPr>
                <w:noProof/>
                <w:webHidden/>
              </w:rPr>
            </w:r>
            <w:r>
              <w:rPr>
                <w:noProof/>
                <w:webHidden/>
              </w:rPr>
              <w:fldChar w:fldCharType="separate"/>
            </w:r>
            <w:r w:rsidR="00950D93">
              <w:rPr>
                <w:noProof/>
                <w:webHidden/>
              </w:rPr>
              <w:t>9</w:t>
            </w:r>
            <w:r>
              <w:rPr>
                <w:noProof/>
                <w:webHidden/>
              </w:rPr>
              <w:fldChar w:fldCharType="end"/>
            </w:r>
          </w:hyperlink>
        </w:p>
        <w:p w14:paraId="746D489C" w14:textId="127A2E46" w:rsidR="00E51E94" w:rsidRDefault="00E51E94" w:rsidP="00E51E94">
          <w:pPr>
            <w:pStyle w:val="TOC1"/>
            <w:tabs>
              <w:tab w:val="right" w:leader="dot" w:pos="9016"/>
            </w:tabs>
            <w:rPr>
              <w:rFonts w:eastAsiaTheme="minorEastAsia"/>
              <w:noProof/>
              <w:lang w:eastAsia="en-GB"/>
            </w:rPr>
          </w:pPr>
          <w:hyperlink w:anchor="_Toc237351799" w:history="1">
            <w:r w:rsidRPr="005B3B6F">
              <w:rPr>
                <w:rStyle w:val="Hyperlink"/>
                <w:noProof/>
              </w:rPr>
              <w:t>3. Comprehensive and Holistic View of Organisation</w:t>
            </w:r>
            <w:r>
              <w:rPr>
                <w:noProof/>
                <w:webHidden/>
              </w:rPr>
              <w:tab/>
            </w:r>
            <w:r>
              <w:rPr>
                <w:noProof/>
                <w:webHidden/>
              </w:rPr>
              <w:fldChar w:fldCharType="begin"/>
            </w:r>
            <w:r>
              <w:rPr>
                <w:noProof/>
                <w:webHidden/>
              </w:rPr>
              <w:instrText xml:space="preserve"> PAGEREF _Toc237351799 \h </w:instrText>
            </w:r>
            <w:r>
              <w:rPr>
                <w:noProof/>
                <w:webHidden/>
              </w:rPr>
            </w:r>
            <w:r>
              <w:rPr>
                <w:noProof/>
                <w:webHidden/>
              </w:rPr>
              <w:fldChar w:fldCharType="separate"/>
            </w:r>
            <w:r w:rsidR="00950D93">
              <w:rPr>
                <w:noProof/>
                <w:webHidden/>
              </w:rPr>
              <w:t>10</w:t>
            </w:r>
            <w:r>
              <w:rPr>
                <w:noProof/>
                <w:webHidden/>
              </w:rPr>
              <w:fldChar w:fldCharType="end"/>
            </w:r>
          </w:hyperlink>
        </w:p>
        <w:p w14:paraId="1F877FE3" w14:textId="598B214D" w:rsidR="00E51E94" w:rsidRDefault="00E51E94" w:rsidP="00E51E94">
          <w:pPr>
            <w:pStyle w:val="TOC2"/>
            <w:tabs>
              <w:tab w:val="right" w:leader="dot" w:pos="9016"/>
            </w:tabs>
            <w:rPr>
              <w:rFonts w:eastAsiaTheme="minorEastAsia"/>
              <w:noProof/>
              <w:lang w:eastAsia="en-GB"/>
            </w:rPr>
          </w:pPr>
          <w:hyperlink w:anchor="_Toc237351800" w:history="1">
            <w:r w:rsidRPr="005B3B6F">
              <w:rPr>
                <w:rStyle w:val="Hyperlink"/>
                <w:noProof/>
              </w:rPr>
              <w:t>3.1 Corporate Social Responsibility (CSR) and Energy Transition Alignment</w:t>
            </w:r>
            <w:r>
              <w:rPr>
                <w:noProof/>
                <w:webHidden/>
              </w:rPr>
              <w:tab/>
            </w:r>
            <w:r>
              <w:rPr>
                <w:noProof/>
                <w:webHidden/>
              </w:rPr>
              <w:fldChar w:fldCharType="begin"/>
            </w:r>
            <w:r>
              <w:rPr>
                <w:noProof/>
                <w:webHidden/>
              </w:rPr>
              <w:instrText xml:space="preserve"> PAGEREF _Toc237351800 \h </w:instrText>
            </w:r>
            <w:r>
              <w:rPr>
                <w:noProof/>
                <w:webHidden/>
              </w:rPr>
            </w:r>
            <w:r>
              <w:rPr>
                <w:noProof/>
                <w:webHidden/>
              </w:rPr>
              <w:fldChar w:fldCharType="separate"/>
            </w:r>
            <w:r w:rsidR="00950D93">
              <w:rPr>
                <w:noProof/>
                <w:webHidden/>
              </w:rPr>
              <w:t>10</w:t>
            </w:r>
            <w:r>
              <w:rPr>
                <w:noProof/>
                <w:webHidden/>
              </w:rPr>
              <w:fldChar w:fldCharType="end"/>
            </w:r>
          </w:hyperlink>
        </w:p>
        <w:p w14:paraId="2C41DAA4" w14:textId="60C1428E" w:rsidR="00E51E94" w:rsidRDefault="00E51E94" w:rsidP="00E51E94">
          <w:pPr>
            <w:pStyle w:val="TOC2"/>
            <w:tabs>
              <w:tab w:val="right" w:leader="dot" w:pos="9016"/>
            </w:tabs>
            <w:rPr>
              <w:rFonts w:eastAsiaTheme="minorEastAsia"/>
              <w:noProof/>
              <w:lang w:eastAsia="en-GB"/>
            </w:rPr>
          </w:pPr>
          <w:hyperlink w:anchor="_Toc237351801" w:history="1">
            <w:r w:rsidRPr="005B3B6F">
              <w:rPr>
                <w:rStyle w:val="Hyperlink"/>
                <w:noProof/>
              </w:rPr>
              <w:t>3.2 Strategic Balanced Scorecard Implementation</w:t>
            </w:r>
            <w:r>
              <w:rPr>
                <w:noProof/>
                <w:webHidden/>
              </w:rPr>
              <w:tab/>
            </w:r>
            <w:r>
              <w:rPr>
                <w:noProof/>
                <w:webHidden/>
              </w:rPr>
              <w:fldChar w:fldCharType="begin"/>
            </w:r>
            <w:r>
              <w:rPr>
                <w:noProof/>
                <w:webHidden/>
              </w:rPr>
              <w:instrText xml:space="preserve"> PAGEREF _Toc237351801 \h </w:instrText>
            </w:r>
            <w:r>
              <w:rPr>
                <w:noProof/>
                <w:webHidden/>
              </w:rPr>
            </w:r>
            <w:r>
              <w:rPr>
                <w:noProof/>
                <w:webHidden/>
              </w:rPr>
              <w:fldChar w:fldCharType="separate"/>
            </w:r>
            <w:r w:rsidR="00950D93">
              <w:rPr>
                <w:noProof/>
                <w:webHidden/>
              </w:rPr>
              <w:t>11</w:t>
            </w:r>
            <w:r>
              <w:rPr>
                <w:noProof/>
                <w:webHidden/>
              </w:rPr>
              <w:fldChar w:fldCharType="end"/>
            </w:r>
          </w:hyperlink>
        </w:p>
        <w:p w14:paraId="756DA1BD" w14:textId="1776BA1E" w:rsidR="00E51E94" w:rsidRDefault="00E51E94" w:rsidP="00E51E94">
          <w:pPr>
            <w:pStyle w:val="TOC1"/>
            <w:tabs>
              <w:tab w:val="right" w:leader="dot" w:pos="9016"/>
            </w:tabs>
            <w:rPr>
              <w:rFonts w:eastAsiaTheme="minorEastAsia"/>
              <w:noProof/>
              <w:lang w:eastAsia="en-GB"/>
            </w:rPr>
          </w:pPr>
          <w:hyperlink w:anchor="_Toc237351802" w:history="1">
            <w:r w:rsidRPr="005B3B6F">
              <w:rPr>
                <w:rStyle w:val="Hyperlink"/>
                <w:noProof/>
              </w:rPr>
              <w:t>4. Strategic Choices and Implementation</w:t>
            </w:r>
            <w:r>
              <w:rPr>
                <w:noProof/>
                <w:webHidden/>
              </w:rPr>
              <w:tab/>
            </w:r>
            <w:r>
              <w:rPr>
                <w:noProof/>
                <w:webHidden/>
              </w:rPr>
              <w:fldChar w:fldCharType="begin"/>
            </w:r>
            <w:r>
              <w:rPr>
                <w:noProof/>
                <w:webHidden/>
              </w:rPr>
              <w:instrText xml:space="preserve"> PAGEREF _Toc237351802 \h </w:instrText>
            </w:r>
            <w:r>
              <w:rPr>
                <w:noProof/>
                <w:webHidden/>
              </w:rPr>
            </w:r>
            <w:r>
              <w:rPr>
                <w:noProof/>
                <w:webHidden/>
              </w:rPr>
              <w:fldChar w:fldCharType="separate"/>
            </w:r>
            <w:r w:rsidR="00950D93">
              <w:rPr>
                <w:noProof/>
                <w:webHidden/>
              </w:rPr>
              <w:t>13</w:t>
            </w:r>
            <w:r>
              <w:rPr>
                <w:noProof/>
                <w:webHidden/>
              </w:rPr>
              <w:fldChar w:fldCharType="end"/>
            </w:r>
          </w:hyperlink>
        </w:p>
        <w:p w14:paraId="09E2B98A" w14:textId="495CD653" w:rsidR="00E51E94" w:rsidRDefault="00E51E94" w:rsidP="00E51E94">
          <w:pPr>
            <w:pStyle w:val="TOC2"/>
            <w:tabs>
              <w:tab w:val="right" w:leader="dot" w:pos="9016"/>
            </w:tabs>
            <w:rPr>
              <w:rFonts w:eastAsiaTheme="minorEastAsia"/>
              <w:noProof/>
              <w:lang w:eastAsia="en-GB"/>
            </w:rPr>
          </w:pPr>
          <w:hyperlink w:anchor="_Toc237351803" w:history="1">
            <w:r w:rsidRPr="005B3B6F">
              <w:rPr>
                <w:rStyle w:val="Hyperlink"/>
                <w:noProof/>
              </w:rPr>
              <w:t>4.1 Evaluation of Business Level Strategic Choices</w:t>
            </w:r>
            <w:r>
              <w:rPr>
                <w:noProof/>
                <w:webHidden/>
              </w:rPr>
              <w:tab/>
            </w:r>
            <w:r>
              <w:rPr>
                <w:noProof/>
                <w:webHidden/>
              </w:rPr>
              <w:fldChar w:fldCharType="begin"/>
            </w:r>
            <w:r>
              <w:rPr>
                <w:noProof/>
                <w:webHidden/>
              </w:rPr>
              <w:instrText xml:space="preserve"> PAGEREF _Toc237351803 \h </w:instrText>
            </w:r>
            <w:r>
              <w:rPr>
                <w:noProof/>
                <w:webHidden/>
              </w:rPr>
            </w:r>
            <w:r>
              <w:rPr>
                <w:noProof/>
                <w:webHidden/>
              </w:rPr>
              <w:fldChar w:fldCharType="separate"/>
            </w:r>
            <w:r w:rsidR="00950D93">
              <w:rPr>
                <w:noProof/>
                <w:webHidden/>
              </w:rPr>
              <w:t>13</w:t>
            </w:r>
            <w:r>
              <w:rPr>
                <w:noProof/>
                <w:webHidden/>
              </w:rPr>
              <w:fldChar w:fldCharType="end"/>
            </w:r>
          </w:hyperlink>
        </w:p>
        <w:p w14:paraId="59F48992" w14:textId="6921C282" w:rsidR="00E51E94" w:rsidRDefault="00E51E94" w:rsidP="00E51E94">
          <w:pPr>
            <w:pStyle w:val="TOC2"/>
            <w:tabs>
              <w:tab w:val="right" w:leader="dot" w:pos="9016"/>
            </w:tabs>
            <w:rPr>
              <w:rFonts w:eastAsiaTheme="minorEastAsia"/>
              <w:noProof/>
              <w:lang w:eastAsia="en-GB"/>
            </w:rPr>
          </w:pPr>
          <w:hyperlink w:anchor="_Toc237351804" w:history="1">
            <w:r w:rsidRPr="005B3B6F">
              <w:rPr>
                <w:rStyle w:val="Hyperlink"/>
                <w:noProof/>
              </w:rPr>
              <w:t>4.2 strategy Validation using Porter’s Five forces and Ansoff’s Matrix</w:t>
            </w:r>
            <w:r>
              <w:rPr>
                <w:noProof/>
                <w:webHidden/>
              </w:rPr>
              <w:tab/>
            </w:r>
            <w:r>
              <w:rPr>
                <w:noProof/>
                <w:webHidden/>
              </w:rPr>
              <w:fldChar w:fldCharType="begin"/>
            </w:r>
            <w:r>
              <w:rPr>
                <w:noProof/>
                <w:webHidden/>
              </w:rPr>
              <w:instrText xml:space="preserve"> PAGEREF _Toc237351804 \h </w:instrText>
            </w:r>
            <w:r>
              <w:rPr>
                <w:noProof/>
                <w:webHidden/>
              </w:rPr>
            </w:r>
            <w:r>
              <w:rPr>
                <w:noProof/>
                <w:webHidden/>
              </w:rPr>
              <w:fldChar w:fldCharType="separate"/>
            </w:r>
            <w:r w:rsidR="00950D93">
              <w:rPr>
                <w:noProof/>
                <w:webHidden/>
              </w:rPr>
              <w:t>14</w:t>
            </w:r>
            <w:r>
              <w:rPr>
                <w:noProof/>
                <w:webHidden/>
              </w:rPr>
              <w:fldChar w:fldCharType="end"/>
            </w:r>
          </w:hyperlink>
        </w:p>
        <w:p w14:paraId="154E86D9" w14:textId="14CACA35" w:rsidR="00E51E94" w:rsidRDefault="00E51E94" w:rsidP="00E51E94">
          <w:pPr>
            <w:pStyle w:val="TOC2"/>
            <w:tabs>
              <w:tab w:val="right" w:leader="dot" w:pos="9016"/>
            </w:tabs>
            <w:rPr>
              <w:rFonts w:eastAsiaTheme="minorEastAsia"/>
              <w:noProof/>
              <w:lang w:eastAsia="en-GB"/>
            </w:rPr>
          </w:pPr>
          <w:hyperlink w:anchor="_Toc237351805" w:history="1">
            <w:r w:rsidRPr="005B3B6F">
              <w:rPr>
                <w:rStyle w:val="Hyperlink"/>
                <w:noProof/>
              </w:rPr>
              <w:t>4.3 Execution Roadmap, Competitive Advantage and Risk Mitigation</w:t>
            </w:r>
            <w:r>
              <w:rPr>
                <w:noProof/>
                <w:webHidden/>
              </w:rPr>
              <w:tab/>
            </w:r>
            <w:r>
              <w:rPr>
                <w:noProof/>
                <w:webHidden/>
              </w:rPr>
              <w:fldChar w:fldCharType="begin"/>
            </w:r>
            <w:r>
              <w:rPr>
                <w:noProof/>
                <w:webHidden/>
              </w:rPr>
              <w:instrText xml:space="preserve"> PAGEREF _Toc237351805 \h </w:instrText>
            </w:r>
            <w:r>
              <w:rPr>
                <w:noProof/>
                <w:webHidden/>
              </w:rPr>
            </w:r>
            <w:r>
              <w:rPr>
                <w:noProof/>
                <w:webHidden/>
              </w:rPr>
              <w:fldChar w:fldCharType="separate"/>
            </w:r>
            <w:r w:rsidR="00950D93">
              <w:rPr>
                <w:noProof/>
                <w:webHidden/>
              </w:rPr>
              <w:t>15</w:t>
            </w:r>
            <w:r>
              <w:rPr>
                <w:noProof/>
                <w:webHidden/>
              </w:rPr>
              <w:fldChar w:fldCharType="end"/>
            </w:r>
          </w:hyperlink>
        </w:p>
        <w:p w14:paraId="00980063" w14:textId="47533BC2" w:rsidR="00E51E94" w:rsidRDefault="00E51E94" w:rsidP="00E51E94">
          <w:pPr>
            <w:pStyle w:val="TOC1"/>
            <w:tabs>
              <w:tab w:val="right" w:leader="dot" w:pos="9016"/>
            </w:tabs>
            <w:rPr>
              <w:rFonts w:eastAsiaTheme="minorEastAsia"/>
              <w:noProof/>
              <w:lang w:eastAsia="en-GB"/>
            </w:rPr>
          </w:pPr>
          <w:hyperlink w:anchor="_Toc237351806" w:history="1">
            <w:r w:rsidRPr="005B3B6F">
              <w:rPr>
                <w:rStyle w:val="Hyperlink"/>
                <w:noProof/>
              </w:rPr>
              <w:t>Section 2 Reflection Account of Research and Analytical Process</w:t>
            </w:r>
            <w:r>
              <w:rPr>
                <w:noProof/>
                <w:webHidden/>
              </w:rPr>
              <w:tab/>
            </w:r>
            <w:r>
              <w:rPr>
                <w:noProof/>
                <w:webHidden/>
              </w:rPr>
              <w:fldChar w:fldCharType="begin"/>
            </w:r>
            <w:r>
              <w:rPr>
                <w:noProof/>
                <w:webHidden/>
              </w:rPr>
              <w:instrText xml:space="preserve"> PAGEREF _Toc237351806 \h </w:instrText>
            </w:r>
            <w:r>
              <w:rPr>
                <w:noProof/>
                <w:webHidden/>
              </w:rPr>
            </w:r>
            <w:r>
              <w:rPr>
                <w:noProof/>
                <w:webHidden/>
              </w:rPr>
              <w:fldChar w:fldCharType="separate"/>
            </w:r>
            <w:r w:rsidR="00950D93">
              <w:rPr>
                <w:noProof/>
                <w:webHidden/>
              </w:rPr>
              <w:t>16</w:t>
            </w:r>
            <w:r>
              <w:rPr>
                <w:noProof/>
                <w:webHidden/>
              </w:rPr>
              <w:fldChar w:fldCharType="end"/>
            </w:r>
          </w:hyperlink>
        </w:p>
        <w:p w14:paraId="6253895D" w14:textId="35BC6A36" w:rsidR="00E51E94" w:rsidRDefault="00E51E94" w:rsidP="00E51E94">
          <w:pPr>
            <w:pStyle w:val="TOC1"/>
            <w:tabs>
              <w:tab w:val="right" w:leader="dot" w:pos="9016"/>
            </w:tabs>
            <w:rPr>
              <w:rFonts w:eastAsiaTheme="minorEastAsia"/>
              <w:noProof/>
              <w:lang w:eastAsia="en-GB"/>
            </w:rPr>
          </w:pPr>
          <w:hyperlink w:anchor="_Toc237351807" w:history="1">
            <w:r w:rsidRPr="005B3B6F">
              <w:rPr>
                <w:rStyle w:val="Hyperlink"/>
                <w:noProof/>
              </w:rPr>
              <w:t>5. Reflection Practice using Gibbs Reflection Cycle</w:t>
            </w:r>
            <w:r>
              <w:rPr>
                <w:noProof/>
                <w:webHidden/>
              </w:rPr>
              <w:tab/>
            </w:r>
            <w:r>
              <w:rPr>
                <w:noProof/>
                <w:webHidden/>
              </w:rPr>
              <w:fldChar w:fldCharType="begin"/>
            </w:r>
            <w:r>
              <w:rPr>
                <w:noProof/>
                <w:webHidden/>
              </w:rPr>
              <w:instrText xml:space="preserve"> PAGEREF _Toc237351807 \h </w:instrText>
            </w:r>
            <w:r>
              <w:rPr>
                <w:noProof/>
                <w:webHidden/>
              </w:rPr>
            </w:r>
            <w:r>
              <w:rPr>
                <w:noProof/>
                <w:webHidden/>
              </w:rPr>
              <w:fldChar w:fldCharType="separate"/>
            </w:r>
            <w:r w:rsidR="00950D93">
              <w:rPr>
                <w:noProof/>
                <w:webHidden/>
              </w:rPr>
              <w:t>16</w:t>
            </w:r>
            <w:r>
              <w:rPr>
                <w:noProof/>
                <w:webHidden/>
              </w:rPr>
              <w:fldChar w:fldCharType="end"/>
            </w:r>
          </w:hyperlink>
        </w:p>
        <w:p w14:paraId="39C9A5DB" w14:textId="4CD3FF98" w:rsidR="00E51E94" w:rsidRDefault="00E51E94" w:rsidP="00E51E94">
          <w:pPr>
            <w:pStyle w:val="TOC2"/>
            <w:tabs>
              <w:tab w:val="right" w:leader="dot" w:pos="9016"/>
            </w:tabs>
            <w:rPr>
              <w:rFonts w:eastAsiaTheme="minorEastAsia"/>
              <w:noProof/>
              <w:lang w:eastAsia="en-GB"/>
            </w:rPr>
          </w:pPr>
          <w:hyperlink w:anchor="_Toc237351808" w:history="1">
            <w:r w:rsidRPr="005B3B6F">
              <w:rPr>
                <w:rStyle w:val="Hyperlink"/>
                <w:noProof/>
              </w:rPr>
              <w:t>5.1 Description</w:t>
            </w:r>
            <w:r>
              <w:rPr>
                <w:noProof/>
                <w:webHidden/>
              </w:rPr>
              <w:tab/>
            </w:r>
            <w:r>
              <w:rPr>
                <w:noProof/>
                <w:webHidden/>
              </w:rPr>
              <w:fldChar w:fldCharType="begin"/>
            </w:r>
            <w:r>
              <w:rPr>
                <w:noProof/>
                <w:webHidden/>
              </w:rPr>
              <w:instrText xml:space="preserve"> PAGEREF _Toc237351808 \h </w:instrText>
            </w:r>
            <w:r>
              <w:rPr>
                <w:noProof/>
                <w:webHidden/>
              </w:rPr>
            </w:r>
            <w:r>
              <w:rPr>
                <w:noProof/>
                <w:webHidden/>
              </w:rPr>
              <w:fldChar w:fldCharType="separate"/>
            </w:r>
            <w:r w:rsidR="00950D93">
              <w:rPr>
                <w:noProof/>
                <w:webHidden/>
              </w:rPr>
              <w:t>17</w:t>
            </w:r>
            <w:r>
              <w:rPr>
                <w:noProof/>
                <w:webHidden/>
              </w:rPr>
              <w:fldChar w:fldCharType="end"/>
            </w:r>
          </w:hyperlink>
        </w:p>
        <w:p w14:paraId="07EC852C" w14:textId="562EB3F3" w:rsidR="00E51E94" w:rsidRDefault="00E51E94" w:rsidP="00E51E94">
          <w:pPr>
            <w:pStyle w:val="TOC2"/>
            <w:tabs>
              <w:tab w:val="right" w:leader="dot" w:pos="9016"/>
            </w:tabs>
            <w:rPr>
              <w:rFonts w:eastAsiaTheme="minorEastAsia"/>
              <w:noProof/>
              <w:lang w:eastAsia="en-GB"/>
            </w:rPr>
          </w:pPr>
          <w:hyperlink w:anchor="_Toc237351809" w:history="1">
            <w:r w:rsidRPr="005B3B6F">
              <w:rPr>
                <w:rStyle w:val="Hyperlink"/>
                <w:noProof/>
              </w:rPr>
              <w:t>5.2 Feelings</w:t>
            </w:r>
            <w:r>
              <w:rPr>
                <w:noProof/>
                <w:webHidden/>
              </w:rPr>
              <w:tab/>
            </w:r>
            <w:r>
              <w:rPr>
                <w:noProof/>
                <w:webHidden/>
              </w:rPr>
              <w:fldChar w:fldCharType="begin"/>
            </w:r>
            <w:r>
              <w:rPr>
                <w:noProof/>
                <w:webHidden/>
              </w:rPr>
              <w:instrText xml:space="preserve"> PAGEREF _Toc237351809 \h </w:instrText>
            </w:r>
            <w:r>
              <w:rPr>
                <w:noProof/>
                <w:webHidden/>
              </w:rPr>
            </w:r>
            <w:r>
              <w:rPr>
                <w:noProof/>
                <w:webHidden/>
              </w:rPr>
              <w:fldChar w:fldCharType="separate"/>
            </w:r>
            <w:r w:rsidR="00950D93">
              <w:rPr>
                <w:noProof/>
                <w:webHidden/>
              </w:rPr>
              <w:t>17</w:t>
            </w:r>
            <w:r>
              <w:rPr>
                <w:noProof/>
                <w:webHidden/>
              </w:rPr>
              <w:fldChar w:fldCharType="end"/>
            </w:r>
          </w:hyperlink>
        </w:p>
        <w:p w14:paraId="17BDAED2" w14:textId="62748AED" w:rsidR="00E51E94" w:rsidRDefault="00E51E94" w:rsidP="00E51E94">
          <w:pPr>
            <w:pStyle w:val="TOC2"/>
            <w:tabs>
              <w:tab w:val="right" w:leader="dot" w:pos="9016"/>
            </w:tabs>
            <w:rPr>
              <w:rFonts w:eastAsiaTheme="minorEastAsia"/>
              <w:noProof/>
              <w:lang w:eastAsia="en-GB"/>
            </w:rPr>
          </w:pPr>
          <w:hyperlink w:anchor="_Toc237351810" w:history="1">
            <w:r w:rsidRPr="005B3B6F">
              <w:rPr>
                <w:rStyle w:val="Hyperlink"/>
                <w:noProof/>
              </w:rPr>
              <w:t>5.3 Evaluation</w:t>
            </w:r>
            <w:r>
              <w:rPr>
                <w:noProof/>
                <w:webHidden/>
              </w:rPr>
              <w:tab/>
            </w:r>
            <w:r>
              <w:rPr>
                <w:noProof/>
                <w:webHidden/>
              </w:rPr>
              <w:fldChar w:fldCharType="begin"/>
            </w:r>
            <w:r>
              <w:rPr>
                <w:noProof/>
                <w:webHidden/>
              </w:rPr>
              <w:instrText xml:space="preserve"> PAGEREF _Toc237351810 \h </w:instrText>
            </w:r>
            <w:r>
              <w:rPr>
                <w:noProof/>
                <w:webHidden/>
              </w:rPr>
            </w:r>
            <w:r>
              <w:rPr>
                <w:noProof/>
                <w:webHidden/>
              </w:rPr>
              <w:fldChar w:fldCharType="separate"/>
            </w:r>
            <w:r w:rsidR="00950D93">
              <w:rPr>
                <w:noProof/>
                <w:webHidden/>
              </w:rPr>
              <w:t>17</w:t>
            </w:r>
            <w:r>
              <w:rPr>
                <w:noProof/>
                <w:webHidden/>
              </w:rPr>
              <w:fldChar w:fldCharType="end"/>
            </w:r>
          </w:hyperlink>
        </w:p>
        <w:p w14:paraId="62E86CDA" w14:textId="55FAB1BD" w:rsidR="00E51E94" w:rsidRDefault="00E51E94" w:rsidP="00E51E94">
          <w:pPr>
            <w:pStyle w:val="TOC2"/>
            <w:tabs>
              <w:tab w:val="right" w:leader="dot" w:pos="9016"/>
            </w:tabs>
            <w:rPr>
              <w:rFonts w:eastAsiaTheme="minorEastAsia"/>
              <w:noProof/>
              <w:lang w:eastAsia="en-GB"/>
            </w:rPr>
          </w:pPr>
          <w:hyperlink w:anchor="_Toc237351811" w:history="1">
            <w:r w:rsidRPr="005B3B6F">
              <w:rPr>
                <w:rStyle w:val="Hyperlink"/>
                <w:noProof/>
              </w:rPr>
              <w:t>5.4 Analysis</w:t>
            </w:r>
            <w:r>
              <w:rPr>
                <w:noProof/>
                <w:webHidden/>
              </w:rPr>
              <w:tab/>
            </w:r>
            <w:r>
              <w:rPr>
                <w:noProof/>
                <w:webHidden/>
              </w:rPr>
              <w:fldChar w:fldCharType="begin"/>
            </w:r>
            <w:r>
              <w:rPr>
                <w:noProof/>
                <w:webHidden/>
              </w:rPr>
              <w:instrText xml:space="preserve"> PAGEREF _Toc237351811 \h </w:instrText>
            </w:r>
            <w:r>
              <w:rPr>
                <w:noProof/>
                <w:webHidden/>
              </w:rPr>
            </w:r>
            <w:r>
              <w:rPr>
                <w:noProof/>
                <w:webHidden/>
              </w:rPr>
              <w:fldChar w:fldCharType="separate"/>
            </w:r>
            <w:r w:rsidR="00950D93">
              <w:rPr>
                <w:noProof/>
                <w:webHidden/>
              </w:rPr>
              <w:t>18</w:t>
            </w:r>
            <w:r>
              <w:rPr>
                <w:noProof/>
                <w:webHidden/>
              </w:rPr>
              <w:fldChar w:fldCharType="end"/>
            </w:r>
          </w:hyperlink>
        </w:p>
        <w:p w14:paraId="09A4DABD" w14:textId="125654B5" w:rsidR="00E51E94" w:rsidRDefault="00E51E94" w:rsidP="00E51E94">
          <w:pPr>
            <w:pStyle w:val="TOC2"/>
            <w:tabs>
              <w:tab w:val="right" w:leader="dot" w:pos="9016"/>
            </w:tabs>
            <w:rPr>
              <w:rFonts w:eastAsiaTheme="minorEastAsia"/>
              <w:noProof/>
              <w:lang w:eastAsia="en-GB"/>
            </w:rPr>
          </w:pPr>
          <w:hyperlink w:anchor="_Toc237351812" w:history="1">
            <w:r w:rsidRPr="005B3B6F">
              <w:rPr>
                <w:rStyle w:val="Hyperlink"/>
                <w:noProof/>
              </w:rPr>
              <w:t>5.5 Conclusion</w:t>
            </w:r>
            <w:r>
              <w:rPr>
                <w:noProof/>
                <w:webHidden/>
              </w:rPr>
              <w:tab/>
            </w:r>
            <w:r>
              <w:rPr>
                <w:noProof/>
                <w:webHidden/>
              </w:rPr>
              <w:fldChar w:fldCharType="begin"/>
            </w:r>
            <w:r>
              <w:rPr>
                <w:noProof/>
                <w:webHidden/>
              </w:rPr>
              <w:instrText xml:space="preserve"> PAGEREF _Toc237351812 \h </w:instrText>
            </w:r>
            <w:r>
              <w:rPr>
                <w:noProof/>
                <w:webHidden/>
              </w:rPr>
            </w:r>
            <w:r>
              <w:rPr>
                <w:noProof/>
                <w:webHidden/>
              </w:rPr>
              <w:fldChar w:fldCharType="separate"/>
            </w:r>
            <w:r w:rsidR="00950D93">
              <w:rPr>
                <w:noProof/>
                <w:webHidden/>
              </w:rPr>
              <w:t>18</w:t>
            </w:r>
            <w:r>
              <w:rPr>
                <w:noProof/>
                <w:webHidden/>
              </w:rPr>
              <w:fldChar w:fldCharType="end"/>
            </w:r>
          </w:hyperlink>
        </w:p>
        <w:p w14:paraId="14683B96" w14:textId="1947D7FF" w:rsidR="00E51E94" w:rsidRDefault="00E51E94" w:rsidP="00E51E94">
          <w:pPr>
            <w:pStyle w:val="TOC2"/>
            <w:tabs>
              <w:tab w:val="right" w:leader="dot" w:pos="9016"/>
            </w:tabs>
            <w:rPr>
              <w:rFonts w:eastAsiaTheme="minorEastAsia"/>
              <w:noProof/>
              <w:lang w:eastAsia="en-GB"/>
            </w:rPr>
          </w:pPr>
          <w:hyperlink w:anchor="_Toc237351813" w:history="1">
            <w:r w:rsidRPr="005B3B6F">
              <w:rPr>
                <w:rStyle w:val="Hyperlink"/>
                <w:noProof/>
              </w:rPr>
              <w:t>5.6 Action Plan</w:t>
            </w:r>
            <w:r>
              <w:rPr>
                <w:noProof/>
                <w:webHidden/>
              </w:rPr>
              <w:tab/>
            </w:r>
            <w:r>
              <w:rPr>
                <w:noProof/>
                <w:webHidden/>
              </w:rPr>
              <w:fldChar w:fldCharType="begin"/>
            </w:r>
            <w:r>
              <w:rPr>
                <w:noProof/>
                <w:webHidden/>
              </w:rPr>
              <w:instrText xml:space="preserve"> PAGEREF _Toc237351813 \h </w:instrText>
            </w:r>
            <w:r>
              <w:rPr>
                <w:noProof/>
                <w:webHidden/>
              </w:rPr>
            </w:r>
            <w:r>
              <w:rPr>
                <w:noProof/>
                <w:webHidden/>
              </w:rPr>
              <w:fldChar w:fldCharType="separate"/>
            </w:r>
            <w:r w:rsidR="00950D93">
              <w:rPr>
                <w:noProof/>
                <w:webHidden/>
              </w:rPr>
              <w:t>18</w:t>
            </w:r>
            <w:r>
              <w:rPr>
                <w:noProof/>
                <w:webHidden/>
              </w:rPr>
              <w:fldChar w:fldCharType="end"/>
            </w:r>
          </w:hyperlink>
        </w:p>
        <w:p w14:paraId="7DC2A26F" w14:textId="20CDD0E4" w:rsidR="00E51E94" w:rsidRDefault="00E51E94" w:rsidP="00E51E94">
          <w:pPr>
            <w:pStyle w:val="TOC1"/>
            <w:tabs>
              <w:tab w:val="right" w:leader="dot" w:pos="9016"/>
            </w:tabs>
            <w:rPr>
              <w:rFonts w:eastAsiaTheme="minorEastAsia"/>
              <w:noProof/>
              <w:lang w:eastAsia="en-GB"/>
            </w:rPr>
          </w:pPr>
          <w:hyperlink w:anchor="_Toc237351814" w:history="1">
            <w:r w:rsidRPr="005B3B6F">
              <w:rPr>
                <w:rStyle w:val="Hyperlink"/>
                <w:noProof/>
              </w:rPr>
              <w:t>Reference</w:t>
            </w:r>
            <w:r>
              <w:rPr>
                <w:noProof/>
                <w:webHidden/>
              </w:rPr>
              <w:tab/>
            </w:r>
            <w:r>
              <w:rPr>
                <w:noProof/>
                <w:webHidden/>
              </w:rPr>
              <w:fldChar w:fldCharType="begin"/>
            </w:r>
            <w:r>
              <w:rPr>
                <w:noProof/>
                <w:webHidden/>
              </w:rPr>
              <w:instrText xml:space="preserve"> PAGEREF _Toc237351814 \h </w:instrText>
            </w:r>
            <w:r>
              <w:rPr>
                <w:noProof/>
                <w:webHidden/>
              </w:rPr>
            </w:r>
            <w:r>
              <w:rPr>
                <w:noProof/>
                <w:webHidden/>
              </w:rPr>
              <w:fldChar w:fldCharType="separate"/>
            </w:r>
            <w:r w:rsidR="00950D93">
              <w:rPr>
                <w:noProof/>
                <w:webHidden/>
              </w:rPr>
              <w:t>19</w:t>
            </w:r>
            <w:r>
              <w:rPr>
                <w:noProof/>
                <w:webHidden/>
              </w:rPr>
              <w:fldChar w:fldCharType="end"/>
            </w:r>
          </w:hyperlink>
        </w:p>
        <w:p w14:paraId="2EDE7E54" w14:textId="77777777" w:rsidR="00E51E94" w:rsidRDefault="00E51E94" w:rsidP="00E51E94">
          <w:pPr>
            <w:rPr>
              <w:b/>
              <w:bCs/>
            </w:rPr>
          </w:pPr>
          <w:r>
            <w:rPr>
              <w:b/>
              <w:bCs/>
            </w:rPr>
            <w:fldChar w:fldCharType="end"/>
          </w:r>
        </w:p>
      </w:sdtContent>
    </w:sdt>
    <w:p w14:paraId="538909E8" w14:textId="77777777" w:rsidR="00E51E94" w:rsidRDefault="00E51E94">
      <w:pPr>
        <w:rPr>
          <w:rFonts w:asciiTheme="majorHAnsi" w:eastAsiaTheme="majorEastAsia" w:hAnsiTheme="majorHAnsi" w:cstheme="majorBidi"/>
          <w:color w:val="0F4761" w:themeColor="accent1" w:themeShade="BF"/>
        </w:rPr>
      </w:pPr>
      <w:r>
        <w:br w:type="page"/>
      </w:r>
    </w:p>
    <w:p w14:paraId="6F2637F4" w14:textId="70F3C993" w:rsidR="003A4FC7" w:rsidRPr="00DA0568" w:rsidRDefault="003A4FC7" w:rsidP="00950D93">
      <w:pPr>
        <w:pStyle w:val="Heading1"/>
        <w:spacing w:line="360" w:lineRule="auto"/>
        <w:rPr>
          <w:sz w:val="24"/>
          <w:szCs w:val="24"/>
        </w:rPr>
      </w:pPr>
      <w:r w:rsidRPr="00DA0568">
        <w:rPr>
          <w:sz w:val="24"/>
          <w:szCs w:val="24"/>
        </w:rPr>
        <w:lastRenderedPageBreak/>
        <w:t>Section 1 Strategic Evaluation &amp; Recommendations</w:t>
      </w:r>
      <w:bookmarkEnd w:id="0"/>
    </w:p>
    <w:p w14:paraId="1937B67D" w14:textId="08637B9D" w:rsidR="003A4FC7" w:rsidRPr="00DA0568" w:rsidRDefault="003A4FC7" w:rsidP="00950D93">
      <w:pPr>
        <w:pStyle w:val="Heading1"/>
        <w:spacing w:line="360" w:lineRule="auto"/>
        <w:rPr>
          <w:sz w:val="24"/>
          <w:szCs w:val="24"/>
        </w:rPr>
      </w:pPr>
      <w:bookmarkStart w:id="1" w:name="_Toc237351792"/>
      <w:r w:rsidRPr="00DA0568">
        <w:rPr>
          <w:sz w:val="24"/>
          <w:szCs w:val="24"/>
        </w:rPr>
        <w:t>1.Organisation Context and Overview</w:t>
      </w:r>
      <w:bookmarkEnd w:id="1"/>
    </w:p>
    <w:p w14:paraId="5A4AA4BD" w14:textId="05B86FE3" w:rsidR="003A4FC7" w:rsidRPr="00C77A47" w:rsidRDefault="003A4FC7" w:rsidP="00950D93">
      <w:pPr>
        <w:pStyle w:val="Heading2"/>
        <w:spacing w:line="360" w:lineRule="auto"/>
        <w:rPr>
          <w:sz w:val="24"/>
          <w:szCs w:val="24"/>
        </w:rPr>
      </w:pPr>
      <w:bookmarkStart w:id="2" w:name="_Toc237351793"/>
      <w:r w:rsidRPr="00DA0568">
        <w:rPr>
          <w:sz w:val="24"/>
          <w:szCs w:val="24"/>
        </w:rPr>
        <w:t>1.1 Historical Evaluation and strategic foundations</w:t>
      </w:r>
      <w:bookmarkEnd w:id="2"/>
    </w:p>
    <w:p w14:paraId="25619D12" w14:textId="283D7F55" w:rsidR="00054A84" w:rsidRDefault="00D347E2" w:rsidP="00950D93">
      <w:pPr>
        <w:spacing w:line="360" w:lineRule="auto"/>
        <w:jc w:val="both"/>
        <w:rPr>
          <w:rFonts w:ascii="Arial" w:hAnsi="Arial" w:cs="Arial"/>
        </w:rPr>
      </w:pPr>
      <w:r w:rsidRPr="00D347E2">
        <w:rPr>
          <w:rFonts w:ascii="Arial" w:hAnsi="Arial" w:cs="Arial"/>
        </w:rPr>
        <w:t xml:space="preserve">BP plc is one of the world's six supermajors of oil and gas with over a century of corporate history dating back to 1909 as Anglo-Persian Oil Company (BP, 2024a). Originally, the major area of operations of the company was extraction of fossil fuels in the Middle East region. But throughout decades of its existence, BP turned into an energy company operating in upstream, midstream, downstream and fuel retail (Grant, 2021). Importantly, BP has made a major step on its path in February 2020 when its CEO Bernard Looney has promised to make the company carbon net-zero by 2050 or earlier (BP, 2024a). It led to the revision of BP's mission statement as 'Reimagining energy for people and our planet'. The strategy implies transformation of the company from the International Oil Company (IOC) to the Integrated Energy Company (IEC) offering low carbon energy services (Helm, 2021). </w:t>
      </w:r>
      <w:proofErr w:type="gramStart"/>
      <w:r w:rsidRPr="00D347E2">
        <w:rPr>
          <w:rFonts w:ascii="Arial" w:hAnsi="Arial" w:cs="Arial"/>
        </w:rPr>
        <w:t>At the moment</w:t>
      </w:r>
      <w:proofErr w:type="gramEnd"/>
      <w:r w:rsidRPr="00D347E2">
        <w:rPr>
          <w:rFonts w:ascii="Arial" w:hAnsi="Arial" w:cs="Arial"/>
        </w:rPr>
        <w:t>, BP operates its business through the following three pillars: Resilient Hydrocarbons, Transition Growth Engines (that include EV charging, bioenergy, hydrogen, renewables, and convenience retail) and Integrated Energy Systems (BP, 2024a). But the problem is that there is a huge tension in this strategy due to the need to ensure the profitability</w:t>
      </w:r>
      <w:r>
        <w:rPr>
          <w:rFonts w:ascii="Arial" w:hAnsi="Arial" w:cs="Arial"/>
        </w:rPr>
        <w:t xml:space="preserve"> </w:t>
      </w:r>
      <w:r w:rsidRPr="00D347E2">
        <w:rPr>
          <w:rFonts w:ascii="Arial" w:hAnsi="Arial" w:cs="Arial"/>
        </w:rPr>
        <w:t>hydrocarbon yields and allocating capital toward high-growth, lower-margin green assets.</w:t>
      </w:r>
    </w:p>
    <w:p w14:paraId="76D188E9" w14:textId="4AC2F111" w:rsidR="00D347E2" w:rsidRDefault="00D347E2" w:rsidP="00950D93">
      <w:pPr>
        <w:spacing w:line="360" w:lineRule="auto"/>
        <w:jc w:val="both"/>
        <w:rPr>
          <w:rFonts w:ascii="Arial" w:hAnsi="Arial" w:cs="Arial"/>
        </w:rPr>
      </w:pPr>
      <w:r w:rsidRPr="00D347E2">
        <w:rPr>
          <w:rFonts w:ascii="Arial" w:hAnsi="Arial" w:cs="Arial"/>
        </w:rPr>
        <w:t xml:space="preserve">In assessing BP's past strategy, the shift in BP's direction toward green energy became necessary due to climate challenges and changes in European regulations. It is worth mentioning that BP's dynamic strategy included setting ambitious goals to reduce oil and gas production by 40% by 2030 compared to 2019 figures (BP, 2024a). At the same time, macroeconomic challenges, particularly the Russian attack on Ukraine in 2022, made BP adjust its strategy in response to new challenges. In early 2023, with new management in place, BP changed the hydrocarbons reduction target to reducing it by 25% by 2030 for the reasons of maintaining global energy security and immediate need to return dividends to its shareholders (DESNZ, 2024). It became obvious that BP had to balance its activities. The very business model of the company is based on receiving significant revenues from hydrocarbons to fund multibillion-pound infrastructure investments in renewables. The case with the UK market </w:t>
      </w:r>
      <w:r w:rsidRPr="00D347E2">
        <w:rPr>
          <w:rFonts w:ascii="Arial" w:hAnsi="Arial" w:cs="Arial"/>
        </w:rPr>
        <w:lastRenderedPageBreak/>
        <w:t>demonstrates the dual strategy of BP. While producing natural gas from the North Sea, it should increase capacity of its offshore wind power generation facilities and EV charging stations. Thus, BP is still a transitional organization.</w:t>
      </w:r>
    </w:p>
    <w:p w14:paraId="680D9EDD" w14:textId="41472276" w:rsidR="003A4FC7" w:rsidRPr="00DA0568" w:rsidRDefault="003A4FC7" w:rsidP="00950D93">
      <w:pPr>
        <w:pStyle w:val="Heading2"/>
        <w:spacing w:line="360" w:lineRule="auto"/>
        <w:rPr>
          <w:sz w:val="24"/>
          <w:szCs w:val="24"/>
        </w:rPr>
      </w:pPr>
      <w:bookmarkStart w:id="3" w:name="_Toc237351794"/>
      <w:r w:rsidRPr="00DA0568">
        <w:rPr>
          <w:sz w:val="24"/>
          <w:szCs w:val="24"/>
        </w:rPr>
        <w:t>1.2 Industry Dynamics and British Petroleum’s UK Market Position</w:t>
      </w:r>
      <w:bookmarkEnd w:id="3"/>
    </w:p>
    <w:p w14:paraId="1EF31BFB" w14:textId="79118E2C" w:rsidR="003A4FC7" w:rsidRDefault="00A76C45" w:rsidP="00950D93">
      <w:pPr>
        <w:spacing w:line="360" w:lineRule="auto"/>
        <w:jc w:val="both"/>
        <w:rPr>
          <w:rFonts w:ascii="Arial" w:hAnsi="Arial" w:cs="Arial"/>
        </w:rPr>
      </w:pPr>
      <w:r w:rsidRPr="00A76C45">
        <w:rPr>
          <w:rFonts w:ascii="Arial" w:hAnsi="Arial" w:cs="Arial"/>
        </w:rPr>
        <w:t>The UK energy sector is currently experiencing a structural change being compelled by the legally binding commitment of the UK Government to deliver Net Zero carbon emissions by 2050 (Climate Change Committee, 2023). In the context of the domestic market, BP represents a systemically significant player in the upstream offshore exploration, commercial fuels, and rapidly growing low-carbon energy infrastructure sectors. In terms of upstream energy extraction in the North Sea, BP continues to be a significant player, operating in competition with other energy giants, including Shell plc and TotalEnergies (BEIS, 2023). At the same time, in the UK fuel retail and convenience sector, BP runs about 1,200 petrol stations, representing a leading player alongside the supermarkets' fuel chains (CMA, 2023). The strengths of the downstream sector of the business are complemented by the partnership with the retailer Marks &amp; Spencer through 'BP Connect'.</w:t>
      </w:r>
    </w:p>
    <w:p w14:paraId="058BEDA6" w14:textId="6881E6CF" w:rsidR="00A76C45" w:rsidRDefault="009C4651" w:rsidP="00950D93">
      <w:pPr>
        <w:spacing w:line="360" w:lineRule="auto"/>
        <w:jc w:val="both"/>
        <w:rPr>
          <w:rFonts w:ascii="Arial" w:hAnsi="Arial" w:cs="Arial"/>
        </w:rPr>
      </w:pPr>
      <w:r w:rsidRPr="009C4651">
        <w:rPr>
          <w:rFonts w:ascii="Arial" w:hAnsi="Arial" w:cs="Arial"/>
        </w:rPr>
        <w:t>Nevertheless, a review of BP’s competitive position in the market suggests that BP faces many vulnerabilities regarding its competitors in the fast-growing electric vehicle (EV) market. In this regard, even though BP Pulse can be considered among the top operators of public EV charging stations in the UK with over 10,000 charging points (</w:t>
      </w:r>
      <w:proofErr w:type="spellStart"/>
      <w:r w:rsidRPr="009C4651">
        <w:rPr>
          <w:rFonts w:ascii="Arial" w:hAnsi="Arial" w:cs="Arial"/>
        </w:rPr>
        <w:t>Zapmap</w:t>
      </w:r>
      <w:proofErr w:type="spellEnd"/>
      <w:r w:rsidRPr="009C4651">
        <w:rPr>
          <w:rFonts w:ascii="Arial" w:hAnsi="Arial" w:cs="Arial"/>
        </w:rPr>
        <w:t xml:space="preserve">, 2024), the competition coming from dedicated charge point providers like </w:t>
      </w:r>
      <w:proofErr w:type="spellStart"/>
      <w:r w:rsidRPr="009C4651">
        <w:rPr>
          <w:rFonts w:ascii="Arial" w:hAnsi="Arial" w:cs="Arial"/>
        </w:rPr>
        <w:t>Gridserve</w:t>
      </w:r>
      <w:proofErr w:type="spellEnd"/>
      <w:r w:rsidRPr="009C4651">
        <w:rPr>
          <w:rFonts w:ascii="Arial" w:hAnsi="Arial" w:cs="Arial"/>
        </w:rPr>
        <w:t xml:space="preserve">, </w:t>
      </w:r>
      <w:proofErr w:type="spellStart"/>
      <w:r w:rsidRPr="009C4651">
        <w:rPr>
          <w:rFonts w:ascii="Arial" w:hAnsi="Arial" w:cs="Arial"/>
        </w:rPr>
        <w:t>InstaVolt</w:t>
      </w:r>
      <w:proofErr w:type="spellEnd"/>
      <w:r w:rsidRPr="009C4651">
        <w:rPr>
          <w:rFonts w:ascii="Arial" w:hAnsi="Arial" w:cs="Arial"/>
        </w:rPr>
        <w:t>, and Tesla Supercharger is very fierce (</w:t>
      </w:r>
      <w:proofErr w:type="spellStart"/>
      <w:r w:rsidRPr="009C4651">
        <w:rPr>
          <w:rFonts w:ascii="Arial" w:hAnsi="Arial" w:cs="Arial"/>
        </w:rPr>
        <w:t>Zapmap</w:t>
      </w:r>
      <w:proofErr w:type="spellEnd"/>
      <w:r w:rsidRPr="009C4651">
        <w:rPr>
          <w:rFonts w:ascii="Arial" w:hAnsi="Arial" w:cs="Arial"/>
        </w:rPr>
        <w:t>, 2024). According to my analysis of the market share trends, dedicated charging firms are implementing ultra-rapid charging stations much more quickly than major oil players (</w:t>
      </w:r>
      <w:proofErr w:type="spellStart"/>
      <w:r w:rsidRPr="009C4651">
        <w:rPr>
          <w:rFonts w:ascii="Arial" w:hAnsi="Arial" w:cs="Arial"/>
        </w:rPr>
        <w:t>Zapmap</w:t>
      </w:r>
      <w:proofErr w:type="spellEnd"/>
      <w:r w:rsidRPr="009C4651">
        <w:rPr>
          <w:rFonts w:ascii="Arial" w:hAnsi="Arial" w:cs="Arial"/>
        </w:rPr>
        <w:t>, 2024). Moreover, when it comes to UK offshore wind power generation, BP won development opportunities for the Morgan and Mona offshore wind farms in the Irish Sea (combined capacity of 3GW) within the Round 4 lease offered by the Crown Estate (Crown Estate, 2021). However, due to the high costs of seabed lease options and offshore wind power inflation, IRR of these projects fell to 6-8%, compared to 15-20% returns on North Sea oil projects (IEA, 2023).</w:t>
      </w:r>
      <w:r w:rsidRPr="009C4651">
        <w:t xml:space="preserve"> </w:t>
      </w:r>
      <w:r w:rsidRPr="009C4651">
        <w:rPr>
          <w:rFonts w:ascii="Arial" w:hAnsi="Arial" w:cs="Arial"/>
        </w:rPr>
        <w:t>Consequently, while BP enjoys top-tier brand recognition and formidable balance sheet power in the UK, its strategic positioning requires rapid optimization to safeguard competitive advantage.</w:t>
      </w:r>
    </w:p>
    <w:p w14:paraId="40E816B8" w14:textId="47E27BED" w:rsidR="00D347E2" w:rsidRPr="00DA0568" w:rsidRDefault="009C4651" w:rsidP="00950D93">
      <w:pPr>
        <w:pStyle w:val="Heading1"/>
        <w:spacing w:line="360" w:lineRule="auto"/>
        <w:rPr>
          <w:sz w:val="24"/>
          <w:szCs w:val="24"/>
        </w:rPr>
      </w:pPr>
      <w:bookmarkStart w:id="4" w:name="_Toc237351795"/>
      <w:r w:rsidRPr="00DA0568">
        <w:rPr>
          <w:sz w:val="24"/>
          <w:szCs w:val="24"/>
        </w:rPr>
        <w:lastRenderedPageBreak/>
        <w:t>2. External and Internal Analysis</w:t>
      </w:r>
      <w:bookmarkEnd w:id="4"/>
    </w:p>
    <w:p w14:paraId="171D833D" w14:textId="5528E9FB" w:rsidR="009C4651" w:rsidRPr="00DA0568" w:rsidRDefault="009C4651" w:rsidP="00950D93">
      <w:pPr>
        <w:pStyle w:val="Heading2"/>
        <w:spacing w:line="360" w:lineRule="auto"/>
        <w:rPr>
          <w:sz w:val="24"/>
          <w:szCs w:val="24"/>
        </w:rPr>
      </w:pPr>
      <w:bookmarkStart w:id="5" w:name="_Toc237351796"/>
      <w:r w:rsidRPr="00DA0568">
        <w:rPr>
          <w:sz w:val="24"/>
          <w:szCs w:val="24"/>
        </w:rPr>
        <w:t>2.1 PESTEL Framework: Uk Energy Landscape</w:t>
      </w:r>
      <w:bookmarkEnd w:id="5"/>
      <w:r w:rsidRPr="00DA0568">
        <w:rPr>
          <w:sz w:val="24"/>
          <w:szCs w:val="24"/>
        </w:rPr>
        <w:t xml:space="preserve"> </w:t>
      </w:r>
    </w:p>
    <w:p w14:paraId="6250826D" w14:textId="2D708C0F" w:rsidR="009C4651" w:rsidRDefault="009C4651" w:rsidP="00950D93">
      <w:pPr>
        <w:spacing w:line="360" w:lineRule="auto"/>
        <w:jc w:val="both"/>
        <w:rPr>
          <w:rFonts w:ascii="Arial" w:hAnsi="Arial" w:cs="Arial"/>
        </w:rPr>
      </w:pPr>
      <w:r w:rsidRPr="009C4651">
        <w:rPr>
          <w:rFonts w:ascii="Arial" w:hAnsi="Arial" w:cs="Arial"/>
        </w:rPr>
        <w:t>Political considerations in the UK offer both structural backing as well as regulatory threats to BP's strategic stance. DESNZ ensures the maintenance of a policy agenda that seeks to decarbonize the UK's electricity generation network by 2030 and offers considerable legislative support to BP's strategies regarding hydrogen as well as carbon capture (DESNZ, 2024). On the other hand, volatility in domestic politics has been characterized by arbitrary fiscal policies. The introduction and escalation of the Energy Profits Levy (EPL) – windfall tax on oil and gas production activities in the UK up to 78% – has affected long-term planning of North Sea ventures (HM Treasury, 2024). The company management stated that tax unpredictability will lead to capital allocation elsewhere, including the US Gulf of Mexico (BP, 2024a). Additionally, discussions around the grant of new exploration licenses in the North Sea through the Offshore Petroleum Licensing Bill are causing operation uncertainty, and are directly affecting the upstream capital spending strategy of BP.</w:t>
      </w:r>
    </w:p>
    <w:p w14:paraId="04DCB578" w14:textId="7D0869AF" w:rsidR="00711340" w:rsidRDefault="00711340" w:rsidP="00950D93">
      <w:pPr>
        <w:spacing w:line="360" w:lineRule="auto"/>
        <w:jc w:val="both"/>
        <w:rPr>
          <w:rFonts w:ascii="Arial" w:hAnsi="Arial" w:cs="Arial"/>
        </w:rPr>
      </w:pPr>
      <w:r w:rsidRPr="00711340">
        <w:rPr>
          <w:rFonts w:ascii="Arial" w:hAnsi="Arial" w:cs="Arial"/>
        </w:rPr>
        <w:t xml:space="preserve">The economy in the United Kingdom is a challenging macroeconomic environment, marked by inflationary trends and high capital costs. The Bank of England's monetary policies kept the base interest rate high </w:t>
      </w:r>
      <w:proofErr w:type="gramStart"/>
      <w:r w:rsidRPr="00711340">
        <w:rPr>
          <w:rFonts w:ascii="Arial" w:hAnsi="Arial" w:cs="Arial"/>
        </w:rPr>
        <w:t>in order to</w:t>
      </w:r>
      <w:proofErr w:type="gramEnd"/>
      <w:r w:rsidRPr="00711340">
        <w:rPr>
          <w:rFonts w:ascii="Arial" w:hAnsi="Arial" w:cs="Arial"/>
        </w:rPr>
        <w:t xml:space="preserve"> mitigate inflation after the pandemic, thus resulting in a significant increase in the WACC of renewable energy infrastructures for long durations (Bank of England, 2024). High inflation has caused an increase in EPC costs, especially with offshore wind turbines having a 20% increase in price from 2021 to 2024 (IRENA, 2024). At the same time, the volatility of wholesale energy price </w:t>
      </w:r>
      <w:proofErr w:type="gramStart"/>
      <w:r w:rsidRPr="00711340">
        <w:rPr>
          <w:rFonts w:ascii="Arial" w:hAnsi="Arial" w:cs="Arial"/>
        </w:rPr>
        <w:t>as a result of</w:t>
      </w:r>
      <w:proofErr w:type="gramEnd"/>
      <w:r w:rsidRPr="00711340">
        <w:rPr>
          <w:rFonts w:ascii="Arial" w:hAnsi="Arial" w:cs="Arial"/>
        </w:rPr>
        <w:t xml:space="preserve"> geopolitical unrest in the Middle East and the European gas market changes has provided fluctuating cash flows for BP's trading business segment. Although high natural gas prices used to be advantageous in terms of profitability, the high energy costs in the UK have negatively affected consumers' discretionary income, making electric vehicle adoption rates slower (SMMT, 2024).</w:t>
      </w:r>
    </w:p>
    <w:p w14:paraId="30B20DD3" w14:textId="70A8C0BB" w:rsidR="00711340" w:rsidRDefault="002560F6" w:rsidP="00950D93">
      <w:pPr>
        <w:spacing w:line="360" w:lineRule="auto"/>
        <w:jc w:val="both"/>
        <w:rPr>
          <w:rFonts w:ascii="Arial" w:hAnsi="Arial" w:cs="Arial"/>
        </w:rPr>
      </w:pPr>
      <w:r w:rsidRPr="002560F6">
        <w:rPr>
          <w:rFonts w:ascii="Arial" w:hAnsi="Arial" w:cs="Arial"/>
        </w:rPr>
        <w:t xml:space="preserve">The socio-cultural context in the UK highlights the profound changes in expectations towards corporate climate accountability and responsibility. In particular, the UK's population, institutional investors, and shareholder activists put significant pressure on energy corporations in terms of their ESG criteria (ClientEarth, 2023). The demand for environmentally friendly mobility solutions is growing, which can be seen in the fact </w:t>
      </w:r>
      <w:r w:rsidRPr="002560F6">
        <w:rPr>
          <w:rFonts w:ascii="Arial" w:hAnsi="Arial" w:cs="Arial"/>
        </w:rPr>
        <w:lastRenderedPageBreak/>
        <w:t>that the share of battery electric vehicles (BEV) in UK cars sold in 2024 is over 18% (SMMT, 2024). At the same time, BP faces considerable reputation damage due to criticism from the environmental lobby because of alleged greenwashing. Namely, despite the company's efforts to promote the concept of a clean transition through marketing campaigns, its investment still heavily relies on oil and gas (ClientEarth, 2023). This leads to a negative impact on brand equity among young people and challenges the process of hiring graduates.</w:t>
      </w:r>
    </w:p>
    <w:p w14:paraId="5592B2B5" w14:textId="16AA425D" w:rsidR="002560F6" w:rsidRDefault="002560F6" w:rsidP="00950D93">
      <w:pPr>
        <w:spacing w:line="360" w:lineRule="auto"/>
        <w:jc w:val="both"/>
        <w:rPr>
          <w:rFonts w:ascii="Arial" w:hAnsi="Arial" w:cs="Arial"/>
        </w:rPr>
      </w:pPr>
      <w:r w:rsidRPr="002560F6">
        <w:rPr>
          <w:rFonts w:ascii="Arial" w:hAnsi="Arial" w:cs="Arial"/>
        </w:rPr>
        <w:t xml:space="preserve">Innovation in technology is transforming the energy industry's competitive environment with an unprecedented speed. Green hydrogen technology based on PEM electrolysers, CCS technology, and high-performance lithium-iron-phosphate (LFP) batteries are creating new business opportunities (IEA, 2024). BP in the UK is taking advantage of innovation and positioning itself as an early mover with such projects as H2Teesside, the planned 1.2GW low-carbon hydrogen production plant, and Net Zero Teesside Power project, employing CCS on an industrial scale (BP, 2024b). Yet, fast pace of technological obsolescence is one of the main threats. Solid state batteries can make existing EV standards obsolete, and digital grid management systems will require heavy investments in software. Digital analytics, energy trading algorithms powered by artificial intelligence, and smart grid systems </w:t>
      </w:r>
      <w:proofErr w:type="gramStart"/>
      <w:r w:rsidRPr="002560F6">
        <w:rPr>
          <w:rFonts w:ascii="Arial" w:hAnsi="Arial" w:cs="Arial"/>
        </w:rPr>
        <w:t>have to</w:t>
      </w:r>
      <w:proofErr w:type="gramEnd"/>
      <w:r w:rsidRPr="002560F6">
        <w:rPr>
          <w:rFonts w:ascii="Arial" w:hAnsi="Arial" w:cs="Arial"/>
        </w:rPr>
        <w:t xml:space="preserve"> be developed rapidly to supplement BP's traditional strength in mechanical engineering (Grant, 2021).</w:t>
      </w:r>
    </w:p>
    <w:p w14:paraId="2474E3FB" w14:textId="5647AAF7" w:rsidR="002560F6" w:rsidRDefault="002560F6" w:rsidP="00950D93">
      <w:pPr>
        <w:spacing w:line="360" w:lineRule="auto"/>
        <w:jc w:val="both"/>
        <w:rPr>
          <w:rFonts w:ascii="Arial" w:hAnsi="Arial" w:cs="Arial"/>
        </w:rPr>
      </w:pPr>
      <w:r w:rsidRPr="002560F6">
        <w:rPr>
          <w:rFonts w:ascii="Arial" w:hAnsi="Arial" w:cs="Arial"/>
        </w:rPr>
        <w:t>Environmental drivers become the most significant strategic driver that shapes BP’s restructuring in the UK market. The increase in the occurrence of severe weather phenomena in Europe makes it essential for organizations to comply with the 1.5°C temperature rise limit stated in the Paris Agreement (IPCC, 2023). Stringent requirements for the achievement of biodiversity net gains and regulations on marine spatial planning in the UK impede offshore wind farms’ and onshore pipelines' development. In addition to that, the carbon emission reporting framework covering Scope 1, 2, and 3 emissions set by international organizations forces BP to decrease the carbon intensity of its operations substantially (Climate Change Committee, 2023).</w:t>
      </w:r>
    </w:p>
    <w:p w14:paraId="6F6DD2F5" w14:textId="14CD1D02" w:rsidR="002560F6" w:rsidRDefault="002560F6" w:rsidP="00950D93">
      <w:pPr>
        <w:spacing w:line="360" w:lineRule="auto"/>
        <w:jc w:val="both"/>
        <w:rPr>
          <w:rFonts w:ascii="Arial" w:hAnsi="Arial" w:cs="Arial"/>
        </w:rPr>
      </w:pPr>
      <w:r w:rsidRPr="002560F6">
        <w:rPr>
          <w:rFonts w:ascii="Arial" w:hAnsi="Arial" w:cs="Arial"/>
        </w:rPr>
        <w:t xml:space="preserve">Regulatory compliance is enforced stringently throughout all aspects of BP's business in the UK via the legal and regulatory framework of the country. The CMA in the UK keeps track of the retail fuel pricing mechanisms of BP to ensure that consumers are not exploited due to rigorous scrutiny of BP's downstream pricing mechanisms (CMA, </w:t>
      </w:r>
      <w:r w:rsidRPr="002560F6">
        <w:rPr>
          <w:rFonts w:ascii="Arial" w:hAnsi="Arial" w:cs="Arial"/>
        </w:rPr>
        <w:lastRenderedPageBreak/>
        <w:t>2023). Simultaneously, the risk of environmental lawsuits has seen a massive surge. There have been historic legal battles in the UK High Court where environmental non-governmental organizations have filed lawsuits against corporate boards for failing to address systematic climate risks under the Companies Act 2006 (ClientEarth, 2023). Further, there are very stringent compliance provisions under the UK Automated and Electric Vehicles Act 2018 which need BP Pulse to maintain an operational uptime of 99% and clear pricing in their charging networks (</w:t>
      </w:r>
      <w:proofErr w:type="spellStart"/>
      <w:r w:rsidRPr="002560F6">
        <w:rPr>
          <w:rFonts w:ascii="Arial" w:hAnsi="Arial" w:cs="Arial"/>
        </w:rPr>
        <w:t>Zapmap</w:t>
      </w:r>
      <w:proofErr w:type="spellEnd"/>
      <w:r w:rsidRPr="002560F6">
        <w:rPr>
          <w:rFonts w:ascii="Arial" w:hAnsi="Arial" w:cs="Arial"/>
        </w:rPr>
        <w:t>, 2024).</w:t>
      </w:r>
    </w:p>
    <w:p w14:paraId="10799EAB" w14:textId="64D84665" w:rsidR="002560F6" w:rsidRPr="00DA0568" w:rsidRDefault="002560F6" w:rsidP="00950D93">
      <w:pPr>
        <w:pStyle w:val="Heading2"/>
        <w:spacing w:line="360" w:lineRule="auto"/>
        <w:rPr>
          <w:sz w:val="24"/>
          <w:szCs w:val="24"/>
        </w:rPr>
      </w:pPr>
      <w:bookmarkStart w:id="6" w:name="_Toc237351797"/>
      <w:r w:rsidRPr="00DA0568">
        <w:rPr>
          <w:sz w:val="24"/>
          <w:szCs w:val="24"/>
        </w:rPr>
        <w:t>2.2 VRIO Framework: Core Resource and Capability Audit</w:t>
      </w:r>
      <w:bookmarkEnd w:id="6"/>
      <w:r w:rsidRPr="00DA0568">
        <w:rPr>
          <w:sz w:val="24"/>
          <w:szCs w:val="24"/>
        </w:rPr>
        <w:t xml:space="preserve"> </w:t>
      </w:r>
    </w:p>
    <w:p w14:paraId="2F58F345" w14:textId="66558917" w:rsidR="002560F6" w:rsidRDefault="002560F6" w:rsidP="00950D93">
      <w:pPr>
        <w:spacing w:line="360" w:lineRule="auto"/>
        <w:jc w:val="both"/>
        <w:rPr>
          <w:rFonts w:ascii="Arial" w:hAnsi="Arial" w:cs="Arial"/>
        </w:rPr>
      </w:pPr>
      <w:proofErr w:type="gramStart"/>
      <w:r w:rsidRPr="002560F6">
        <w:rPr>
          <w:rFonts w:ascii="Arial" w:hAnsi="Arial" w:cs="Arial"/>
        </w:rPr>
        <w:t>In order to</w:t>
      </w:r>
      <w:proofErr w:type="gramEnd"/>
      <w:r w:rsidRPr="002560F6">
        <w:rPr>
          <w:rFonts w:ascii="Arial" w:hAnsi="Arial" w:cs="Arial"/>
        </w:rPr>
        <w:t xml:space="preserve"> determine if BP is endowed with internal capabilities that can create a sustainable competitive advantage in the UK, the VRIO model proposed by Barney (1991) should be used for analysis of four key organizational capabilities of BP. These include North Sea Upstream Assets, Integrated Global Energy Trading, BP Pulse EV Infrastructure, and Brand Equity.</w:t>
      </w:r>
    </w:p>
    <w:p w14:paraId="12F9ECCD" w14:textId="07045CD2" w:rsidR="002560F6" w:rsidRDefault="002560F6" w:rsidP="00950D93">
      <w:pPr>
        <w:spacing w:line="360" w:lineRule="auto"/>
        <w:jc w:val="both"/>
        <w:rPr>
          <w:rFonts w:ascii="Arial" w:hAnsi="Arial" w:cs="Arial"/>
        </w:rPr>
      </w:pPr>
      <w:r w:rsidRPr="002560F6">
        <w:rPr>
          <w:rFonts w:ascii="Arial" w:hAnsi="Arial" w:cs="Arial"/>
        </w:rPr>
        <w:t>The Valuable resources associated with BP's North Sea Upstream Production Assets consist of facilities which allow the firm to extract hydrocarbons at low costs and generate operating cash flows worth billions of pounds per year (BP, 2024a). These resources, however, are not Rare since other supermajors such as Shell and TotalEnergies also have access to geological reservoirs as well as offshore facilities in the UK continental shelf (BEIS, 2023). Also, these resources are not Inimitable, since rivals can license exploration blocks, obtain seismic data, and buy extraction technologies from oilfield service companies. BP is well Organized enough to leverage these resources due to years of optimization and subsurface knowledge (Barney, 1991). Thus, according to the VRIO framework, these assets of BP provide Competitive Parity.</w:t>
      </w:r>
    </w:p>
    <w:p w14:paraId="65327FEB" w14:textId="62C5603B" w:rsidR="002560F6" w:rsidRDefault="002560F6" w:rsidP="00950D93">
      <w:pPr>
        <w:spacing w:line="360" w:lineRule="auto"/>
        <w:jc w:val="both"/>
        <w:rPr>
          <w:rFonts w:ascii="Arial" w:hAnsi="Arial" w:cs="Arial"/>
        </w:rPr>
      </w:pPr>
      <w:r w:rsidRPr="002560F6">
        <w:rPr>
          <w:rFonts w:ascii="Arial" w:hAnsi="Arial" w:cs="Arial"/>
        </w:rPr>
        <w:t xml:space="preserve">The BP division for Integrated Global Energy Trading &amp; Optimization constitutes a strategically significant and extremely valuable capability. The trading business unit of BP is extremely valuable since it enables the company to arbitrage its way to making excess profits by managing risks associated with energy commodities, optimizing flows, and mitigating dislocations (BP, 2024a). The resource is rare since very few global firms have the required capabilities in terms of owning physical assets, market information, global energy supply chains, and trading infrastructure (Grant, 2021). The resource is also difficult to imitate due to the issues of complexity and path </w:t>
      </w:r>
      <w:r w:rsidRPr="002560F6">
        <w:rPr>
          <w:rFonts w:ascii="Arial" w:hAnsi="Arial" w:cs="Arial"/>
        </w:rPr>
        <w:lastRenderedPageBreak/>
        <w:t>dependency, as well as the fact that risk management algorithms developed by the company have been built through years. Finally, the firm is well-organized for leveraging the resources by bringing traders together with producers and distributors (Barney, 1991).</w:t>
      </w:r>
    </w:p>
    <w:p w14:paraId="0F815752" w14:textId="66400AA3" w:rsidR="002560F6" w:rsidRDefault="00D150B0" w:rsidP="00950D93">
      <w:pPr>
        <w:spacing w:line="360" w:lineRule="auto"/>
        <w:jc w:val="both"/>
        <w:rPr>
          <w:rFonts w:ascii="Arial" w:hAnsi="Arial" w:cs="Arial"/>
        </w:rPr>
      </w:pPr>
      <w:r w:rsidRPr="00D150B0">
        <w:rPr>
          <w:rFonts w:ascii="Arial" w:hAnsi="Arial" w:cs="Arial"/>
        </w:rPr>
        <w:t xml:space="preserve">The BP Pulse EV Charging Network and accompanying land rights throughout the UK are an essential capability within the transition growth engine capability portfolio. The network is Valuable in that it meets the increasing national need for public rapid charging points on major highways and urban </w:t>
      </w:r>
      <w:proofErr w:type="spellStart"/>
      <w:r w:rsidRPr="00D150B0">
        <w:rPr>
          <w:rFonts w:ascii="Arial" w:hAnsi="Arial" w:cs="Arial"/>
        </w:rPr>
        <w:t>centers</w:t>
      </w:r>
      <w:proofErr w:type="spellEnd"/>
      <w:r w:rsidRPr="00D150B0">
        <w:rPr>
          <w:rFonts w:ascii="Arial" w:hAnsi="Arial" w:cs="Arial"/>
        </w:rPr>
        <w:t xml:space="preserve"> (</w:t>
      </w:r>
      <w:proofErr w:type="spellStart"/>
      <w:r w:rsidRPr="00D150B0">
        <w:rPr>
          <w:rFonts w:ascii="Arial" w:hAnsi="Arial" w:cs="Arial"/>
        </w:rPr>
        <w:t>Zapmap</w:t>
      </w:r>
      <w:proofErr w:type="spellEnd"/>
      <w:r w:rsidRPr="00D150B0">
        <w:rPr>
          <w:rFonts w:ascii="Arial" w:hAnsi="Arial" w:cs="Arial"/>
        </w:rPr>
        <w:t xml:space="preserve">, 2024). However, the charging hardware that </w:t>
      </w:r>
      <w:proofErr w:type="gramStart"/>
      <w:r w:rsidRPr="00D150B0">
        <w:rPr>
          <w:rFonts w:ascii="Arial" w:hAnsi="Arial" w:cs="Arial"/>
        </w:rPr>
        <w:t>actually provides</w:t>
      </w:r>
      <w:proofErr w:type="gramEnd"/>
      <w:r w:rsidRPr="00D150B0">
        <w:rPr>
          <w:rFonts w:ascii="Arial" w:hAnsi="Arial" w:cs="Arial"/>
        </w:rPr>
        <w:t xml:space="preserve"> the charge is not Rare since commercial providers exist for such devices. The part that is Rare is the ownership by BP of prime forecourt land sites at 1,200 prime UK service station locations (CMA, 2023). The replication of such sites is very Inimitable since highway land and high-capacity electricity grid connections are in limited supply due to local grid constraints (National Grid, 2023). BP is becoming more Organized to utilize the asset through digital app integration, fleet deals, and M&amp;S retail co-location (BP, 2024b). Thus, while the basic charging hardware provides parity, the combination of both prime real estate and grid connections gives BP a Temporary Competitive Advantage that may be made sustainable through grid access bottlenecks.</w:t>
      </w:r>
    </w:p>
    <w:p w14:paraId="0C58851E" w14:textId="4EE52994" w:rsidR="00D150B0" w:rsidRDefault="00D150B0" w:rsidP="00950D93">
      <w:pPr>
        <w:spacing w:line="360" w:lineRule="auto"/>
        <w:jc w:val="both"/>
        <w:rPr>
          <w:rFonts w:ascii="Arial" w:hAnsi="Arial" w:cs="Arial"/>
        </w:rPr>
      </w:pPr>
      <w:r w:rsidRPr="00D150B0">
        <w:rPr>
          <w:rFonts w:ascii="Arial" w:hAnsi="Arial" w:cs="Arial"/>
        </w:rPr>
        <w:t xml:space="preserve">BP's brand equity and retail footprint (BP Connect / M&amp;S) can be seen as a two-edged asset for the UK market. The physical retail network can be considered valuable in the sense that it attracts millions of </w:t>
      </w:r>
      <w:proofErr w:type="gramStart"/>
      <w:r w:rsidRPr="00D150B0">
        <w:rPr>
          <w:rFonts w:ascii="Arial" w:hAnsi="Arial" w:cs="Arial"/>
        </w:rPr>
        <w:t>consumer</w:t>
      </w:r>
      <w:proofErr w:type="gramEnd"/>
      <w:r w:rsidRPr="00D150B0">
        <w:rPr>
          <w:rFonts w:ascii="Arial" w:hAnsi="Arial" w:cs="Arial"/>
        </w:rPr>
        <w:t xml:space="preserve"> visits each day and produces high-margin retail sales through its alliance with Marks &amp; Spencer (CMA, 2023). Yet, brand equity does not make the asset rare because both Shell and Esso have equally widespread retail footprints across the UK road network. Moreover, brand loyalty in retail fuel is highly prone to changes in consumer pricing behaviour, making it replicable via co-branding partnerships. Most importantly, BP's brand has had negative externalities in the past and faces continued criticism because of oil company profits amid cost-of-living problems (ClientEarth, 2023). Whereas BP is Organised enough to make use of its retail network effectively, its brand asset provides Competitive Parity in retail fuel.</w:t>
      </w:r>
    </w:p>
    <w:p w14:paraId="7D818349" w14:textId="5B595D23" w:rsidR="00F86058" w:rsidRPr="00DA0568" w:rsidRDefault="00F86058" w:rsidP="00950D93">
      <w:pPr>
        <w:pStyle w:val="Heading2"/>
        <w:spacing w:line="360" w:lineRule="auto"/>
        <w:rPr>
          <w:sz w:val="24"/>
          <w:szCs w:val="24"/>
        </w:rPr>
      </w:pPr>
      <w:bookmarkStart w:id="7" w:name="_Toc237351798"/>
      <w:r w:rsidRPr="00DA0568">
        <w:rPr>
          <w:sz w:val="24"/>
          <w:szCs w:val="24"/>
        </w:rPr>
        <w:lastRenderedPageBreak/>
        <w:t>2.3 Strategic synthesis: SWOT Matrix</w:t>
      </w:r>
      <w:bookmarkEnd w:id="7"/>
    </w:p>
    <w:p w14:paraId="3AE05F2A" w14:textId="081DE809" w:rsidR="00F86058" w:rsidRDefault="00F86058" w:rsidP="00950D93">
      <w:pPr>
        <w:spacing w:line="360" w:lineRule="auto"/>
        <w:jc w:val="both"/>
        <w:rPr>
          <w:rFonts w:ascii="Arial" w:hAnsi="Arial" w:cs="Arial"/>
        </w:rPr>
      </w:pPr>
      <w:r w:rsidRPr="00F86058">
        <w:rPr>
          <w:rFonts w:ascii="Arial" w:hAnsi="Arial" w:cs="Arial"/>
        </w:rPr>
        <w:t>SWOT analysis integrates the external and internal factors to create a comprehensive picture of the strategic position of BP in the UK's energy sector. It is very important for both external and internal analysis.</w:t>
      </w:r>
    </w:p>
    <w:p w14:paraId="0F9E42C5" w14:textId="77777777" w:rsidR="00F86058" w:rsidRDefault="00F86058" w:rsidP="00950D93">
      <w:pPr>
        <w:spacing w:line="360" w:lineRule="auto"/>
        <w:rPr>
          <w:rFonts w:ascii="Arial" w:hAnsi="Arial" w:cs="Arial"/>
        </w:rPr>
      </w:pPr>
    </w:p>
    <w:tbl>
      <w:tblPr>
        <w:tblW w:w="0" w:type="auto"/>
        <w:jc w:val="center"/>
        <w:tblLook w:val="04A0" w:firstRow="1" w:lastRow="0" w:firstColumn="1" w:lastColumn="0" w:noHBand="0" w:noVBand="1"/>
      </w:tblPr>
      <w:tblGrid>
        <w:gridCol w:w="4520"/>
        <w:gridCol w:w="4506"/>
      </w:tblGrid>
      <w:tr w:rsidR="00F86058" w14:paraId="6933F488" w14:textId="77777777" w:rsidTr="00F86058">
        <w:trPr>
          <w:jc w:val="center"/>
        </w:trPr>
        <w:tc>
          <w:tcPr>
            <w:tcW w:w="4520" w:type="dxa"/>
            <w:shd w:val="clear" w:color="auto" w:fill="003366"/>
            <w:tcMar>
              <w:top w:w="120" w:type="dxa"/>
              <w:left w:w="150" w:type="dxa"/>
              <w:bottom w:w="120" w:type="dxa"/>
              <w:right w:w="150" w:type="dxa"/>
            </w:tcMar>
          </w:tcPr>
          <w:p w14:paraId="21986AA0" w14:textId="77777777" w:rsidR="00F86058" w:rsidRDefault="00F86058" w:rsidP="00950D93">
            <w:pPr>
              <w:spacing w:line="360" w:lineRule="auto"/>
            </w:pPr>
            <w:r>
              <w:rPr>
                <w:rFonts w:ascii="Arial" w:hAnsi="Arial"/>
                <w:b/>
                <w:color w:val="FFFFFF"/>
                <w:sz w:val="22"/>
              </w:rPr>
              <w:t>STRENGTHS (Internal)</w:t>
            </w:r>
          </w:p>
        </w:tc>
        <w:tc>
          <w:tcPr>
            <w:tcW w:w="4506" w:type="dxa"/>
            <w:shd w:val="clear" w:color="auto" w:fill="003366"/>
            <w:tcMar>
              <w:top w:w="120" w:type="dxa"/>
              <w:left w:w="150" w:type="dxa"/>
              <w:bottom w:w="120" w:type="dxa"/>
              <w:right w:w="150" w:type="dxa"/>
            </w:tcMar>
          </w:tcPr>
          <w:p w14:paraId="6F3F4481" w14:textId="77777777" w:rsidR="00F86058" w:rsidRDefault="00F86058" w:rsidP="00950D93">
            <w:pPr>
              <w:spacing w:line="360" w:lineRule="auto"/>
            </w:pPr>
            <w:r>
              <w:rPr>
                <w:rFonts w:ascii="Arial" w:hAnsi="Arial"/>
                <w:b/>
                <w:color w:val="FFFFFF"/>
                <w:sz w:val="22"/>
              </w:rPr>
              <w:t>WEAKNESSES (Internal)</w:t>
            </w:r>
          </w:p>
        </w:tc>
      </w:tr>
      <w:tr w:rsidR="00F86058" w14:paraId="36E24344" w14:textId="77777777" w:rsidTr="00F86058">
        <w:trPr>
          <w:jc w:val="center"/>
        </w:trPr>
        <w:tc>
          <w:tcPr>
            <w:tcW w:w="4520" w:type="dxa"/>
            <w:shd w:val="clear" w:color="auto" w:fill="F4F6F9"/>
            <w:tcMar>
              <w:top w:w="120" w:type="dxa"/>
              <w:left w:w="150" w:type="dxa"/>
              <w:bottom w:w="120" w:type="dxa"/>
              <w:right w:w="150" w:type="dxa"/>
            </w:tcMar>
          </w:tcPr>
          <w:p w14:paraId="3E47458E" w14:textId="77777777" w:rsidR="00F86058" w:rsidRPr="00F86058" w:rsidRDefault="00F86058" w:rsidP="00950D93">
            <w:pPr>
              <w:spacing w:line="360" w:lineRule="auto"/>
              <w:rPr>
                <w:rFonts w:ascii="Arial" w:hAnsi="Arial"/>
                <w:sz w:val="21"/>
              </w:rPr>
            </w:pPr>
            <w:r>
              <w:rPr>
                <w:rFonts w:ascii="Arial" w:hAnsi="Arial"/>
                <w:sz w:val="21"/>
              </w:rPr>
              <w:t xml:space="preserve">• </w:t>
            </w:r>
            <w:r w:rsidRPr="00F86058">
              <w:rPr>
                <w:rFonts w:ascii="Arial" w:hAnsi="Arial"/>
                <w:sz w:val="21"/>
              </w:rPr>
              <w:t>Class-leading global energy trading business with resilient cash flows from operations.</w:t>
            </w:r>
          </w:p>
          <w:p w14:paraId="4F443DAA" w14:textId="77777777" w:rsidR="00F86058" w:rsidRPr="00F86058" w:rsidRDefault="00F86058" w:rsidP="00950D93">
            <w:pPr>
              <w:spacing w:line="360" w:lineRule="auto"/>
              <w:rPr>
                <w:rFonts w:ascii="Arial" w:hAnsi="Arial"/>
                <w:sz w:val="21"/>
              </w:rPr>
            </w:pPr>
            <w:r w:rsidRPr="00F86058">
              <w:rPr>
                <w:rFonts w:ascii="Arial" w:hAnsi="Arial"/>
                <w:sz w:val="21"/>
              </w:rPr>
              <w:t>• World-class network of 1,200 premium UK fuel stations with strong M&amp;S retail partnerships.</w:t>
            </w:r>
          </w:p>
          <w:p w14:paraId="07FE7DE0" w14:textId="77777777" w:rsidR="00F86058" w:rsidRPr="00F86058" w:rsidRDefault="00F86058" w:rsidP="00950D93">
            <w:pPr>
              <w:spacing w:line="360" w:lineRule="auto"/>
              <w:rPr>
                <w:rFonts w:ascii="Arial" w:hAnsi="Arial"/>
                <w:sz w:val="21"/>
              </w:rPr>
            </w:pPr>
            <w:r w:rsidRPr="00F86058">
              <w:rPr>
                <w:rFonts w:ascii="Arial" w:hAnsi="Arial"/>
                <w:sz w:val="21"/>
              </w:rPr>
              <w:t>• Existing upstream capability in the UK North Sea that provides instant gas security.</w:t>
            </w:r>
          </w:p>
          <w:p w14:paraId="0939065D" w14:textId="492FA90E" w:rsidR="00F86058" w:rsidRDefault="00F86058" w:rsidP="00950D93">
            <w:pPr>
              <w:spacing w:line="360" w:lineRule="auto"/>
            </w:pPr>
            <w:r w:rsidRPr="00F86058">
              <w:rPr>
                <w:rFonts w:ascii="Arial" w:hAnsi="Arial"/>
                <w:sz w:val="21"/>
              </w:rPr>
              <w:t>• Market leader in public EV charge points through BP Pulse with more than 10,000 points.</w:t>
            </w:r>
          </w:p>
        </w:tc>
        <w:tc>
          <w:tcPr>
            <w:tcW w:w="4506" w:type="dxa"/>
            <w:shd w:val="clear" w:color="auto" w:fill="F4F6F9"/>
            <w:tcMar>
              <w:top w:w="120" w:type="dxa"/>
              <w:left w:w="150" w:type="dxa"/>
              <w:bottom w:w="120" w:type="dxa"/>
              <w:right w:w="150" w:type="dxa"/>
            </w:tcMar>
          </w:tcPr>
          <w:p w14:paraId="51625847" w14:textId="77777777" w:rsidR="00F86058" w:rsidRPr="00F86058" w:rsidRDefault="00F86058" w:rsidP="00950D93">
            <w:pPr>
              <w:spacing w:line="360" w:lineRule="auto"/>
              <w:rPr>
                <w:rFonts w:ascii="Arial" w:hAnsi="Arial"/>
                <w:sz w:val="21"/>
              </w:rPr>
            </w:pPr>
            <w:r>
              <w:rPr>
                <w:rFonts w:ascii="Arial" w:hAnsi="Arial"/>
                <w:sz w:val="21"/>
              </w:rPr>
              <w:t xml:space="preserve">• </w:t>
            </w:r>
            <w:r w:rsidRPr="00F86058">
              <w:rPr>
                <w:rFonts w:ascii="Arial" w:hAnsi="Arial"/>
                <w:sz w:val="21"/>
              </w:rPr>
              <w:t>Conflict over capital allocation between profitable hydrocarbons and less profitable renewable energy sources.</w:t>
            </w:r>
          </w:p>
          <w:p w14:paraId="44E18EF5" w14:textId="77777777" w:rsidR="00F86058" w:rsidRPr="00F86058" w:rsidRDefault="00F86058" w:rsidP="00950D93">
            <w:pPr>
              <w:spacing w:line="360" w:lineRule="auto"/>
              <w:rPr>
                <w:rFonts w:ascii="Arial" w:hAnsi="Arial"/>
                <w:sz w:val="21"/>
              </w:rPr>
            </w:pPr>
            <w:r w:rsidRPr="00F86058">
              <w:rPr>
                <w:rFonts w:ascii="Arial" w:hAnsi="Arial"/>
                <w:sz w:val="21"/>
              </w:rPr>
              <w:t>• High exposure to the UK Energy Profits Levy (effective tax rate of 78%).</w:t>
            </w:r>
          </w:p>
          <w:p w14:paraId="02FC82E5" w14:textId="77777777" w:rsidR="00F86058" w:rsidRDefault="00F86058" w:rsidP="00950D93">
            <w:pPr>
              <w:spacing w:line="360" w:lineRule="auto"/>
              <w:rPr>
                <w:rFonts w:ascii="Arial" w:hAnsi="Arial"/>
                <w:sz w:val="21"/>
              </w:rPr>
            </w:pPr>
            <w:r w:rsidRPr="00F86058">
              <w:rPr>
                <w:rFonts w:ascii="Arial" w:hAnsi="Arial"/>
                <w:sz w:val="21"/>
              </w:rPr>
              <w:t>• Image problems and liability for 'greenwashing' lawsuits.</w:t>
            </w:r>
          </w:p>
          <w:p w14:paraId="6BB5C20C" w14:textId="22C1E1B4" w:rsidR="00F86058" w:rsidRPr="00F86058" w:rsidRDefault="00F86058" w:rsidP="00950D93">
            <w:pPr>
              <w:spacing w:line="360" w:lineRule="auto"/>
              <w:rPr>
                <w:rFonts w:ascii="Arial" w:hAnsi="Arial"/>
                <w:sz w:val="21"/>
              </w:rPr>
            </w:pPr>
            <w:r w:rsidRPr="00F86058">
              <w:rPr>
                <w:rFonts w:ascii="Arial" w:hAnsi="Arial"/>
                <w:sz w:val="21"/>
              </w:rPr>
              <w:t>•</w:t>
            </w:r>
            <w:r>
              <w:rPr>
                <w:rFonts w:ascii="Arial" w:hAnsi="Arial"/>
                <w:sz w:val="21"/>
              </w:rPr>
              <w:t xml:space="preserve"> </w:t>
            </w:r>
            <w:r w:rsidRPr="00F86058">
              <w:rPr>
                <w:rFonts w:ascii="Arial" w:hAnsi="Arial"/>
                <w:sz w:val="21"/>
              </w:rPr>
              <w:t>Difficulty in managing legacy costs relative to nimble green energy companies.</w:t>
            </w:r>
          </w:p>
        </w:tc>
      </w:tr>
      <w:tr w:rsidR="00F86058" w14:paraId="7591BD61" w14:textId="77777777" w:rsidTr="00F86058">
        <w:trPr>
          <w:jc w:val="center"/>
        </w:trPr>
        <w:tc>
          <w:tcPr>
            <w:tcW w:w="4520" w:type="dxa"/>
            <w:shd w:val="clear" w:color="auto" w:fill="003366"/>
            <w:tcMar>
              <w:top w:w="120" w:type="dxa"/>
              <w:left w:w="150" w:type="dxa"/>
              <w:bottom w:w="120" w:type="dxa"/>
              <w:right w:w="150" w:type="dxa"/>
            </w:tcMar>
          </w:tcPr>
          <w:p w14:paraId="213B59C0" w14:textId="77777777" w:rsidR="00F86058" w:rsidRDefault="00F86058" w:rsidP="00950D93">
            <w:pPr>
              <w:spacing w:line="360" w:lineRule="auto"/>
            </w:pPr>
            <w:r>
              <w:rPr>
                <w:rFonts w:ascii="Arial" w:hAnsi="Arial"/>
                <w:b/>
                <w:color w:val="FFFFFF"/>
                <w:sz w:val="22"/>
              </w:rPr>
              <w:t>OPPORTUNITIES (External)</w:t>
            </w:r>
          </w:p>
        </w:tc>
        <w:tc>
          <w:tcPr>
            <w:tcW w:w="4506" w:type="dxa"/>
            <w:shd w:val="clear" w:color="auto" w:fill="003366"/>
            <w:tcMar>
              <w:top w:w="120" w:type="dxa"/>
              <w:left w:w="150" w:type="dxa"/>
              <w:bottom w:w="120" w:type="dxa"/>
              <w:right w:w="150" w:type="dxa"/>
            </w:tcMar>
          </w:tcPr>
          <w:p w14:paraId="7CEEF09D" w14:textId="77777777" w:rsidR="00F86058" w:rsidRDefault="00F86058" w:rsidP="00950D93">
            <w:pPr>
              <w:spacing w:line="360" w:lineRule="auto"/>
            </w:pPr>
            <w:r>
              <w:rPr>
                <w:rFonts w:ascii="Arial" w:hAnsi="Arial"/>
                <w:b/>
                <w:color w:val="FFFFFF"/>
                <w:sz w:val="22"/>
              </w:rPr>
              <w:t>THREATS (External)</w:t>
            </w:r>
          </w:p>
        </w:tc>
      </w:tr>
      <w:tr w:rsidR="00F86058" w14:paraId="592F7241" w14:textId="77777777" w:rsidTr="00F86058">
        <w:trPr>
          <w:jc w:val="center"/>
        </w:trPr>
        <w:tc>
          <w:tcPr>
            <w:tcW w:w="4520" w:type="dxa"/>
            <w:shd w:val="clear" w:color="auto" w:fill="F4F6F9"/>
            <w:tcMar>
              <w:top w:w="120" w:type="dxa"/>
              <w:left w:w="150" w:type="dxa"/>
              <w:bottom w:w="120" w:type="dxa"/>
              <w:right w:w="150" w:type="dxa"/>
            </w:tcMar>
          </w:tcPr>
          <w:p w14:paraId="7DB45496" w14:textId="77777777" w:rsidR="00F86058" w:rsidRPr="00F86058" w:rsidRDefault="00F86058" w:rsidP="00950D93">
            <w:pPr>
              <w:spacing w:line="360" w:lineRule="auto"/>
              <w:rPr>
                <w:rFonts w:ascii="Arial" w:hAnsi="Arial"/>
                <w:sz w:val="21"/>
              </w:rPr>
            </w:pPr>
            <w:r>
              <w:rPr>
                <w:rFonts w:ascii="Arial" w:hAnsi="Arial"/>
                <w:sz w:val="21"/>
              </w:rPr>
              <w:t xml:space="preserve">• </w:t>
            </w:r>
            <w:r w:rsidRPr="00F86058">
              <w:rPr>
                <w:rFonts w:ascii="Arial" w:hAnsi="Arial"/>
                <w:sz w:val="21"/>
              </w:rPr>
              <w:t>Expand offshore wind farm capacity in Irish Sea (Morgan &amp; Mona 3GW project).</w:t>
            </w:r>
          </w:p>
          <w:p w14:paraId="0A1DF149" w14:textId="77777777" w:rsidR="00F86058" w:rsidRPr="00F86058" w:rsidRDefault="00F86058" w:rsidP="00950D93">
            <w:pPr>
              <w:spacing w:line="360" w:lineRule="auto"/>
              <w:rPr>
                <w:rFonts w:ascii="Arial" w:hAnsi="Arial"/>
                <w:sz w:val="21"/>
              </w:rPr>
            </w:pPr>
            <w:r w:rsidRPr="00F86058">
              <w:rPr>
                <w:rFonts w:ascii="Arial" w:hAnsi="Arial"/>
                <w:sz w:val="21"/>
              </w:rPr>
              <w:t>• First mover advantage for industrial hydrogen projects in UK (H2Teesside 1.2GW and CCS).</w:t>
            </w:r>
          </w:p>
          <w:p w14:paraId="39BE3B7C" w14:textId="77777777" w:rsidR="00F86058" w:rsidRPr="00F86058" w:rsidRDefault="00F86058" w:rsidP="00950D93">
            <w:pPr>
              <w:spacing w:line="360" w:lineRule="auto"/>
              <w:rPr>
                <w:rFonts w:ascii="Arial" w:hAnsi="Arial"/>
                <w:sz w:val="21"/>
              </w:rPr>
            </w:pPr>
            <w:r w:rsidRPr="00F86058">
              <w:rPr>
                <w:rFonts w:ascii="Arial" w:hAnsi="Arial"/>
                <w:sz w:val="21"/>
              </w:rPr>
              <w:t>• Quick build-out of ultra-fast charging stations for increasing UK electric vehicle fleet.</w:t>
            </w:r>
          </w:p>
          <w:p w14:paraId="731B264D" w14:textId="51FCE634" w:rsidR="00F86058" w:rsidRDefault="00F86058" w:rsidP="00950D93">
            <w:pPr>
              <w:spacing w:line="360" w:lineRule="auto"/>
            </w:pPr>
            <w:r w:rsidRPr="00F86058">
              <w:rPr>
                <w:rFonts w:ascii="Arial" w:hAnsi="Arial"/>
                <w:sz w:val="21"/>
              </w:rPr>
              <w:t>• Government subsidies and contracts for difference (</w:t>
            </w:r>
            <w:proofErr w:type="spellStart"/>
            <w:r w:rsidRPr="00F86058">
              <w:rPr>
                <w:rFonts w:ascii="Arial" w:hAnsi="Arial"/>
                <w:sz w:val="21"/>
              </w:rPr>
              <w:t>CfD</w:t>
            </w:r>
            <w:proofErr w:type="spellEnd"/>
            <w:r w:rsidRPr="00F86058">
              <w:rPr>
                <w:rFonts w:ascii="Arial" w:hAnsi="Arial"/>
                <w:sz w:val="21"/>
              </w:rPr>
              <w:t xml:space="preserve">) for low carbon energy </w:t>
            </w:r>
            <w:proofErr w:type="gramStart"/>
            <w:r w:rsidRPr="00F86058">
              <w:rPr>
                <w:rFonts w:ascii="Arial" w:hAnsi="Arial"/>
                <w:sz w:val="21"/>
              </w:rPr>
              <w:t>projects.</w:t>
            </w:r>
            <w:r>
              <w:rPr>
                <w:rFonts w:ascii="Arial" w:hAnsi="Arial"/>
                <w:sz w:val="21"/>
              </w:rPr>
              <w:t>.</w:t>
            </w:r>
            <w:proofErr w:type="gramEnd"/>
          </w:p>
        </w:tc>
        <w:tc>
          <w:tcPr>
            <w:tcW w:w="4506" w:type="dxa"/>
            <w:shd w:val="clear" w:color="auto" w:fill="F4F6F9"/>
            <w:tcMar>
              <w:top w:w="120" w:type="dxa"/>
              <w:left w:w="150" w:type="dxa"/>
              <w:bottom w:w="120" w:type="dxa"/>
              <w:right w:w="150" w:type="dxa"/>
            </w:tcMar>
          </w:tcPr>
          <w:p w14:paraId="287EE01C" w14:textId="77777777" w:rsidR="00F86058" w:rsidRPr="00F86058" w:rsidRDefault="00F86058" w:rsidP="00950D93">
            <w:pPr>
              <w:spacing w:line="360" w:lineRule="auto"/>
              <w:rPr>
                <w:rFonts w:ascii="Arial" w:hAnsi="Arial"/>
                <w:sz w:val="21"/>
              </w:rPr>
            </w:pPr>
            <w:r>
              <w:rPr>
                <w:rFonts w:ascii="Arial" w:hAnsi="Arial"/>
                <w:sz w:val="21"/>
              </w:rPr>
              <w:t xml:space="preserve">• </w:t>
            </w:r>
            <w:r w:rsidRPr="00F86058">
              <w:rPr>
                <w:rFonts w:ascii="Arial" w:hAnsi="Arial"/>
                <w:sz w:val="21"/>
              </w:rPr>
              <w:t>Unpredictability in UK fiscal policy and possible imposition of further windfall tax on energy revenues.</w:t>
            </w:r>
          </w:p>
          <w:p w14:paraId="266869D7" w14:textId="77777777" w:rsidR="00F86058" w:rsidRPr="00F86058" w:rsidRDefault="00F86058" w:rsidP="00950D93">
            <w:pPr>
              <w:spacing w:line="360" w:lineRule="auto"/>
              <w:rPr>
                <w:rFonts w:ascii="Arial" w:hAnsi="Arial"/>
                <w:sz w:val="21"/>
              </w:rPr>
            </w:pPr>
            <w:r w:rsidRPr="00F86058">
              <w:rPr>
                <w:rFonts w:ascii="Arial" w:hAnsi="Arial"/>
                <w:sz w:val="21"/>
              </w:rPr>
              <w:t>• Extreme offshore wind supply chain inflation and increased seabed lease prices driving down IRR.</w:t>
            </w:r>
          </w:p>
          <w:p w14:paraId="0EB12484" w14:textId="77777777" w:rsidR="00F86058" w:rsidRPr="00F86058" w:rsidRDefault="00F86058" w:rsidP="00950D93">
            <w:pPr>
              <w:spacing w:line="360" w:lineRule="auto"/>
              <w:rPr>
                <w:rFonts w:ascii="Arial" w:hAnsi="Arial"/>
                <w:sz w:val="21"/>
              </w:rPr>
            </w:pPr>
            <w:r w:rsidRPr="00F86058">
              <w:rPr>
                <w:rFonts w:ascii="Arial" w:hAnsi="Arial"/>
                <w:sz w:val="21"/>
              </w:rPr>
              <w:t>• Fierce competition in UK EV charging by pure play firms (</w:t>
            </w:r>
            <w:proofErr w:type="spellStart"/>
            <w:r w:rsidRPr="00F86058">
              <w:rPr>
                <w:rFonts w:ascii="Arial" w:hAnsi="Arial"/>
                <w:sz w:val="21"/>
              </w:rPr>
              <w:t>Gridserve</w:t>
            </w:r>
            <w:proofErr w:type="spellEnd"/>
            <w:r w:rsidRPr="00F86058">
              <w:rPr>
                <w:rFonts w:ascii="Arial" w:hAnsi="Arial"/>
                <w:sz w:val="21"/>
              </w:rPr>
              <w:t xml:space="preserve">, </w:t>
            </w:r>
            <w:proofErr w:type="spellStart"/>
            <w:r w:rsidRPr="00F86058">
              <w:rPr>
                <w:rFonts w:ascii="Arial" w:hAnsi="Arial"/>
                <w:sz w:val="21"/>
              </w:rPr>
              <w:t>InstaVolt</w:t>
            </w:r>
            <w:proofErr w:type="spellEnd"/>
            <w:r w:rsidRPr="00F86058">
              <w:rPr>
                <w:rFonts w:ascii="Arial" w:hAnsi="Arial"/>
                <w:sz w:val="21"/>
              </w:rPr>
              <w:t>).</w:t>
            </w:r>
          </w:p>
          <w:p w14:paraId="73993FBF" w14:textId="3CD29367" w:rsidR="00F86058" w:rsidRDefault="00F86058" w:rsidP="00950D93">
            <w:pPr>
              <w:spacing w:line="360" w:lineRule="auto"/>
            </w:pPr>
            <w:r w:rsidRPr="00F86058">
              <w:rPr>
                <w:rFonts w:ascii="Arial" w:hAnsi="Arial"/>
                <w:sz w:val="21"/>
              </w:rPr>
              <w:t>• UK National Grid delays in connecting renewable power.</w:t>
            </w:r>
          </w:p>
        </w:tc>
      </w:tr>
    </w:tbl>
    <w:p w14:paraId="17FEE5D7" w14:textId="6741ED65" w:rsidR="00F86058" w:rsidRDefault="00F86058" w:rsidP="00950D93">
      <w:pPr>
        <w:spacing w:line="360" w:lineRule="auto"/>
        <w:jc w:val="both"/>
        <w:rPr>
          <w:rFonts w:ascii="Arial" w:hAnsi="Arial" w:cs="Arial"/>
        </w:rPr>
      </w:pPr>
      <w:r w:rsidRPr="00F86058">
        <w:rPr>
          <w:rFonts w:ascii="Arial" w:hAnsi="Arial" w:cs="Arial"/>
        </w:rPr>
        <w:lastRenderedPageBreak/>
        <w:t>An analysis of the above SWOT matrix indicates that the key strategic goal for BP is to use its internal strength in terms of financial resources as well as the company’s dominance in international trades to secure early-mover benefits through investments in UK hydrogen and EV charging facilities. The critical strategic issue for BP is overcoming the capability gap between legacy hydrocarbon profit stream and clean power facilities.</w:t>
      </w:r>
    </w:p>
    <w:p w14:paraId="3D430F05" w14:textId="713E3793" w:rsidR="00F86058" w:rsidRPr="00C10D9A" w:rsidRDefault="00F86058" w:rsidP="00950D93">
      <w:pPr>
        <w:pStyle w:val="Heading1"/>
        <w:spacing w:line="360" w:lineRule="auto"/>
        <w:rPr>
          <w:sz w:val="24"/>
          <w:szCs w:val="24"/>
        </w:rPr>
      </w:pPr>
      <w:bookmarkStart w:id="8" w:name="_Toc237351799"/>
      <w:r w:rsidRPr="00C10D9A">
        <w:rPr>
          <w:sz w:val="24"/>
          <w:szCs w:val="24"/>
        </w:rPr>
        <w:t>3. Comprehensive and Holistic View of Organisation</w:t>
      </w:r>
      <w:bookmarkEnd w:id="8"/>
      <w:r w:rsidRPr="00C10D9A">
        <w:rPr>
          <w:sz w:val="24"/>
          <w:szCs w:val="24"/>
        </w:rPr>
        <w:t xml:space="preserve"> </w:t>
      </w:r>
    </w:p>
    <w:p w14:paraId="0A78B033" w14:textId="1D3DACEC" w:rsidR="00F86058" w:rsidRPr="00C10D9A" w:rsidRDefault="00F86058" w:rsidP="00950D93">
      <w:pPr>
        <w:pStyle w:val="Heading2"/>
        <w:spacing w:line="360" w:lineRule="auto"/>
        <w:rPr>
          <w:sz w:val="24"/>
          <w:szCs w:val="24"/>
        </w:rPr>
      </w:pPr>
      <w:bookmarkStart w:id="9" w:name="_Toc237351800"/>
      <w:r w:rsidRPr="00C10D9A">
        <w:rPr>
          <w:sz w:val="24"/>
          <w:szCs w:val="24"/>
        </w:rPr>
        <w:t xml:space="preserve">3.1 Corporate Social Responsibility (CSR) and Energy </w:t>
      </w:r>
      <w:r w:rsidR="00E967C4" w:rsidRPr="00C10D9A">
        <w:rPr>
          <w:sz w:val="24"/>
          <w:szCs w:val="24"/>
        </w:rPr>
        <w:t>Transition Alignment</w:t>
      </w:r>
      <w:bookmarkEnd w:id="9"/>
    </w:p>
    <w:p w14:paraId="70DAB261" w14:textId="5735CB53" w:rsidR="00E967C4" w:rsidRDefault="00FD155F" w:rsidP="00950D93">
      <w:pPr>
        <w:spacing w:line="360" w:lineRule="auto"/>
        <w:jc w:val="both"/>
        <w:rPr>
          <w:rFonts w:ascii="Arial" w:hAnsi="Arial" w:cs="Arial"/>
        </w:rPr>
      </w:pPr>
      <w:r w:rsidRPr="00FD155F">
        <w:rPr>
          <w:rFonts w:ascii="Arial" w:hAnsi="Arial" w:cs="Arial"/>
        </w:rPr>
        <w:t>The corporate social responsibility (CSR) strategy of BP is officially described via the Sustainability Frame and is based on three main pillars – Getting to Net Zero, Improving People's Lives, and Caring for Our Planet (BP, 2024a). At the national level in the UK, the above strategy is linked to national climate targets via investment in industrial decarbonization, for instance, via the Net Zero Teesside project to capture up to two million tonnes of CO2 each year (BP, 2024b). Nevertheless, a more in-depth analysis reveals the huge discrepancy between the CSR strategy of the company and its capital allocation. While marketing its initiatives in the sphere of sustainable development and claiming that BP leads in the sphere of clean energy, the company invested $16.2 billion in capital expenditures in 2023, with only around $3.8 billion, i.e., 23.5%, being dedicated to transition growth engines and the rest (76.5%) to oil, gas, and refining (BP, 2024a).</w:t>
      </w:r>
    </w:p>
    <w:p w14:paraId="5998C6D7" w14:textId="01D9A4D8" w:rsidR="00FD155F" w:rsidRDefault="00FD155F" w:rsidP="00950D93">
      <w:pPr>
        <w:spacing w:line="360" w:lineRule="auto"/>
        <w:jc w:val="both"/>
        <w:rPr>
          <w:rFonts w:ascii="Arial" w:hAnsi="Arial" w:cs="Arial"/>
        </w:rPr>
      </w:pPr>
      <w:r w:rsidRPr="00FD155F">
        <w:rPr>
          <w:rFonts w:ascii="Arial" w:hAnsi="Arial" w:cs="Arial"/>
        </w:rPr>
        <w:t xml:space="preserve">Moreover, the misalignment is seen through stakeholder conflict, ESG rating volatility, and legal risks. According to academic literature on corporate sustainability, whenever there is a mismatch between the operational strategy of a company and its CSR rhetoric, there would be a decline in stakeholder trust, leading to accusations of greenwashing (Elkington, 1997; Porter &amp; Kramer, 2011). In 2023, the environmental activist organization ClientEarth filed a lawsuit against the board of directors of BP </w:t>
      </w:r>
      <w:proofErr w:type="gramStart"/>
      <w:r w:rsidRPr="00FD155F">
        <w:rPr>
          <w:rFonts w:ascii="Arial" w:hAnsi="Arial" w:cs="Arial"/>
        </w:rPr>
        <w:t>based on the fact that</w:t>
      </w:r>
      <w:proofErr w:type="gramEnd"/>
      <w:r w:rsidRPr="00FD155F">
        <w:rPr>
          <w:rFonts w:ascii="Arial" w:hAnsi="Arial" w:cs="Arial"/>
        </w:rPr>
        <w:t xml:space="preserve"> they violated their duty of care as per the UK Companies Act because of inadequate management of climate risks and false green claims (ClientEarth, 2023). In addition to this, many prominent investors in the UK, such as the Church Commissioners for England and several pension funds, voted against executive re-elections due to BP’s weakened 2030 emissions reduction targets (DESNZ, 2024). The solution to aligning CSR strategy with the business goal will be </w:t>
      </w:r>
      <w:r w:rsidRPr="00FD155F">
        <w:rPr>
          <w:rFonts w:ascii="Arial" w:hAnsi="Arial" w:cs="Arial"/>
        </w:rPr>
        <w:lastRenderedPageBreak/>
        <w:t>for BP to shift from greenwashing to investing in transition engines through capital spending.</w:t>
      </w:r>
    </w:p>
    <w:p w14:paraId="290646D9" w14:textId="56844991" w:rsidR="00FD155F" w:rsidRPr="00C10D9A" w:rsidRDefault="00FD155F" w:rsidP="00950D93">
      <w:pPr>
        <w:pStyle w:val="Heading2"/>
        <w:spacing w:line="360" w:lineRule="auto"/>
        <w:rPr>
          <w:sz w:val="24"/>
          <w:szCs w:val="24"/>
        </w:rPr>
      </w:pPr>
      <w:bookmarkStart w:id="10" w:name="_Toc237351801"/>
      <w:r w:rsidRPr="00C10D9A">
        <w:rPr>
          <w:sz w:val="24"/>
          <w:szCs w:val="24"/>
        </w:rPr>
        <w:t>3.2 Strategic Balanced Scorecard Implementation</w:t>
      </w:r>
      <w:bookmarkEnd w:id="10"/>
    </w:p>
    <w:p w14:paraId="194DA444" w14:textId="55A88C30" w:rsidR="00FD155F" w:rsidRDefault="00FD155F" w:rsidP="00950D93">
      <w:pPr>
        <w:spacing w:line="360" w:lineRule="auto"/>
        <w:jc w:val="both"/>
        <w:rPr>
          <w:rFonts w:ascii="Arial" w:hAnsi="Arial" w:cs="Arial"/>
        </w:rPr>
      </w:pPr>
      <w:r w:rsidRPr="00FD155F">
        <w:rPr>
          <w:rFonts w:ascii="Arial" w:hAnsi="Arial" w:cs="Arial"/>
        </w:rPr>
        <w:t>Operationalization of BP's Strategic Transformation from being an International Oil Company to becoming an Integrated Energy Company within the context of the UK Market is done using Kaplan and Norton's (1992) Balanced Scorecard approach. The Balanced Scorecard approach converts the company's strategy into operational objectives through four linked dimensions: Financial, Customer, Internal Business Processes, and Learning &amp; Growth.</w:t>
      </w:r>
    </w:p>
    <w:tbl>
      <w:tblPr>
        <w:tblW w:w="0" w:type="auto"/>
        <w:jc w:val="center"/>
        <w:tblLook w:val="04A0" w:firstRow="1" w:lastRow="0" w:firstColumn="1" w:lastColumn="0" w:noHBand="0" w:noVBand="1"/>
      </w:tblPr>
      <w:tblGrid>
        <w:gridCol w:w="1791"/>
        <w:gridCol w:w="1803"/>
        <w:gridCol w:w="1810"/>
        <w:gridCol w:w="1824"/>
        <w:gridCol w:w="1798"/>
      </w:tblGrid>
      <w:tr w:rsidR="00FD155F" w14:paraId="5B145A30" w14:textId="77777777" w:rsidTr="00FD155F">
        <w:trPr>
          <w:jc w:val="center"/>
        </w:trPr>
        <w:tc>
          <w:tcPr>
            <w:tcW w:w="1791" w:type="dxa"/>
            <w:shd w:val="clear" w:color="auto" w:fill="003366"/>
            <w:tcMar>
              <w:top w:w="100" w:type="dxa"/>
              <w:left w:w="100" w:type="dxa"/>
              <w:bottom w:w="100" w:type="dxa"/>
              <w:right w:w="100" w:type="dxa"/>
            </w:tcMar>
          </w:tcPr>
          <w:p w14:paraId="18B1EC6F" w14:textId="77777777" w:rsidR="00FD155F" w:rsidRDefault="00FD155F" w:rsidP="00950D93">
            <w:pPr>
              <w:spacing w:line="360" w:lineRule="auto"/>
            </w:pPr>
            <w:r>
              <w:rPr>
                <w:rFonts w:ascii="Arial" w:hAnsi="Arial"/>
                <w:b/>
                <w:color w:val="FFFFFF"/>
                <w:sz w:val="20"/>
              </w:rPr>
              <w:t>Perspective</w:t>
            </w:r>
          </w:p>
        </w:tc>
        <w:tc>
          <w:tcPr>
            <w:tcW w:w="1803" w:type="dxa"/>
            <w:shd w:val="clear" w:color="auto" w:fill="003366"/>
            <w:tcMar>
              <w:top w:w="100" w:type="dxa"/>
              <w:left w:w="100" w:type="dxa"/>
              <w:bottom w:w="100" w:type="dxa"/>
              <w:right w:w="100" w:type="dxa"/>
            </w:tcMar>
          </w:tcPr>
          <w:p w14:paraId="7CC80EF3" w14:textId="77777777" w:rsidR="00FD155F" w:rsidRDefault="00FD155F" w:rsidP="00950D93">
            <w:pPr>
              <w:spacing w:line="360" w:lineRule="auto"/>
            </w:pPr>
            <w:r>
              <w:rPr>
                <w:rFonts w:ascii="Arial" w:hAnsi="Arial"/>
                <w:b/>
                <w:color w:val="FFFFFF"/>
                <w:sz w:val="20"/>
              </w:rPr>
              <w:t>Strategic Objectives</w:t>
            </w:r>
          </w:p>
        </w:tc>
        <w:tc>
          <w:tcPr>
            <w:tcW w:w="1810" w:type="dxa"/>
            <w:shd w:val="clear" w:color="auto" w:fill="003366"/>
            <w:tcMar>
              <w:top w:w="100" w:type="dxa"/>
              <w:left w:w="100" w:type="dxa"/>
              <w:bottom w:w="100" w:type="dxa"/>
              <w:right w:w="100" w:type="dxa"/>
            </w:tcMar>
          </w:tcPr>
          <w:p w14:paraId="21F27C10" w14:textId="77777777" w:rsidR="00FD155F" w:rsidRDefault="00FD155F" w:rsidP="00950D93">
            <w:pPr>
              <w:spacing w:line="360" w:lineRule="auto"/>
            </w:pPr>
            <w:r>
              <w:rPr>
                <w:rFonts w:ascii="Arial" w:hAnsi="Arial"/>
                <w:b/>
                <w:color w:val="FFFFFF"/>
                <w:sz w:val="20"/>
              </w:rPr>
              <w:t>Key Performance Indicators (KPIs)</w:t>
            </w:r>
          </w:p>
        </w:tc>
        <w:tc>
          <w:tcPr>
            <w:tcW w:w="1824" w:type="dxa"/>
            <w:shd w:val="clear" w:color="auto" w:fill="003366"/>
            <w:tcMar>
              <w:top w:w="100" w:type="dxa"/>
              <w:left w:w="100" w:type="dxa"/>
              <w:bottom w:w="100" w:type="dxa"/>
              <w:right w:w="100" w:type="dxa"/>
            </w:tcMar>
          </w:tcPr>
          <w:p w14:paraId="6E8E27FC" w14:textId="77777777" w:rsidR="00FD155F" w:rsidRDefault="00FD155F" w:rsidP="00950D93">
            <w:pPr>
              <w:spacing w:line="360" w:lineRule="auto"/>
            </w:pPr>
            <w:r>
              <w:rPr>
                <w:rFonts w:ascii="Arial" w:hAnsi="Arial"/>
                <w:b/>
                <w:color w:val="FFFFFF"/>
                <w:sz w:val="20"/>
              </w:rPr>
              <w:t>Targets (by 2028/2030)</w:t>
            </w:r>
          </w:p>
        </w:tc>
        <w:tc>
          <w:tcPr>
            <w:tcW w:w="1798" w:type="dxa"/>
            <w:shd w:val="clear" w:color="auto" w:fill="003366"/>
            <w:tcMar>
              <w:top w:w="100" w:type="dxa"/>
              <w:left w:w="100" w:type="dxa"/>
              <w:bottom w:w="100" w:type="dxa"/>
              <w:right w:w="100" w:type="dxa"/>
            </w:tcMar>
          </w:tcPr>
          <w:p w14:paraId="5EA0D4E6" w14:textId="77777777" w:rsidR="00FD155F" w:rsidRDefault="00FD155F" w:rsidP="00950D93">
            <w:pPr>
              <w:spacing w:line="360" w:lineRule="auto"/>
            </w:pPr>
            <w:r>
              <w:rPr>
                <w:rFonts w:ascii="Arial" w:hAnsi="Arial"/>
                <w:b/>
                <w:color w:val="FFFFFF"/>
                <w:sz w:val="20"/>
              </w:rPr>
              <w:t>Strategic Initiatives</w:t>
            </w:r>
          </w:p>
        </w:tc>
      </w:tr>
      <w:tr w:rsidR="00FD155F" w14:paraId="34DD58DE" w14:textId="77777777" w:rsidTr="00FD155F">
        <w:trPr>
          <w:jc w:val="center"/>
        </w:trPr>
        <w:tc>
          <w:tcPr>
            <w:tcW w:w="1791" w:type="dxa"/>
            <w:shd w:val="clear" w:color="auto" w:fill="F4F6F9"/>
            <w:tcMar>
              <w:top w:w="100" w:type="dxa"/>
              <w:left w:w="100" w:type="dxa"/>
              <w:bottom w:w="100" w:type="dxa"/>
              <w:right w:w="100" w:type="dxa"/>
            </w:tcMar>
          </w:tcPr>
          <w:p w14:paraId="36D4CD16" w14:textId="77777777" w:rsidR="00FD155F" w:rsidRDefault="00FD155F" w:rsidP="00950D93">
            <w:pPr>
              <w:spacing w:line="360" w:lineRule="auto"/>
            </w:pPr>
            <w:r>
              <w:rPr>
                <w:rFonts w:ascii="Arial" w:hAnsi="Arial"/>
                <w:sz w:val="19"/>
              </w:rPr>
              <w:t>Financial</w:t>
            </w:r>
          </w:p>
        </w:tc>
        <w:tc>
          <w:tcPr>
            <w:tcW w:w="1803" w:type="dxa"/>
            <w:shd w:val="clear" w:color="auto" w:fill="F4F6F9"/>
            <w:tcMar>
              <w:top w:w="100" w:type="dxa"/>
              <w:left w:w="100" w:type="dxa"/>
              <w:bottom w:w="100" w:type="dxa"/>
              <w:right w:w="100" w:type="dxa"/>
            </w:tcMar>
          </w:tcPr>
          <w:p w14:paraId="1CCCA32E" w14:textId="77777777" w:rsidR="00FD155F" w:rsidRDefault="00FD155F" w:rsidP="00950D93">
            <w:pPr>
              <w:spacing w:line="360" w:lineRule="auto"/>
            </w:pPr>
            <w:r>
              <w:rPr>
                <w:rFonts w:ascii="Arial" w:hAnsi="Arial"/>
                <w:sz w:val="19"/>
              </w:rPr>
              <w:t>• Maximize cash flow from resilient hydrocarbons.</w:t>
            </w:r>
            <w:r>
              <w:rPr>
                <w:rFonts w:ascii="Arial" w:hAnsi="Arial"/>
                <w:sz w:val="19"/>
              </w:rPr>
              <w:br/>
              <w:t>• Increase capital allocation to UK green transition.</w:t>
            </w:r>
          </w:p>
        </w:tc>
        <w:tc>
          <w:tcPr>
            <w:tcW w:w="1810" w:type="dxa"/>
            <w:shd w:val="clear" w:color="auto" w:fill="F4F6F9"/>
            <w:tcMar>
              <w:top w:w="100" w:type="dxa"/>
              <w:left w:w="100" w:type="dxa"/>
              <w:bottom w:w="100" w:type="dxa"/>
              <w:right w:w="100" w:type="dxa"/>
            </w:tcMar>
          </w:tcPr>
          <w:p w14:paraId="719CDB8C" w14:textId="77777777" w:rsidR="00FD155F" w:rsidRDefault="00FD155F" w:rsidP="00950D93">
            <w:pPr>
              <w:spacing w:line="360" w:lineRule="auto"/>
            </w:pPr>
            <w:r>
              <w:rPr>
                <w:rFonts w:ascii="Arial" w:hAnsi="Arial"/>
                <w:sz w:val="19"/>
              </w:rPr>
              <w:t>• ROACE (%)</w:t>
            </w:r>
            <w:r>
              <w:rPr>
                <w:rFonts w:ascii="Arial" w:hAnsi="Arial"/>
                <w:sz w:val="19"/>
              </w:rPr>
              <w:br/>
              <w:t xml:space="preserve">• Transition </w:t>
            </w:r>
            <w:proofErr w:type="spellStart"/>
            <w:r>
              <w:rPr>
                <w:rFonts w:ascii="Arial" w:hAnsi="Arial"/>
                <w:sz w:val="19"/>
              </w:rPr>
              <w:t>CapEx</w:t>
            </w:r>
            <w:proofErr w:type="spellEnd"/>
            <w:r>
              <w:rPr>
                <w:rFonts w:ascii="Arial" w:hAnsi="Arial"/>
                <w:sz w:val="19"/>
              </w:rPr>
              <w:t xml:space="preserve"> ratio (% of total </w:t>
            </w:r>
            <w:proofErr w:type="spellStart"/>
            <w:r>
              <w:rPr>
                <w:rFonts w:ascii="Arial" w:hAnsi="Arial"/>
                <w:sz w:val="19"/>
              </w:rPr>
              <w:t>CapEx</w:t>
            </w:r>
            <w:proofErr w:type="spellEnd"/>
            <w:r>
              <w:rPr>
                <w:rFonts w:ascii="Arial" w:hAnsi="Arial"/>
                <w:sz w:val="19"/>
              </w:rPr>
              <w:t>)</w:t>
            </w:r>
            <w:r>
              <w:rPr>
                <w:rFonts w:ascii="Arial" w:hAnsi="Arial"/>
                <w:sz w:val="19"/>
              </w:rPr>
              <w:br/>
              <w:t>• Free Cash Flow (£bn)</w:t>
            </w:r>
          </w:p>
        </w:tc>
        <w:tc>
          <w:tcPr>
            <w:tcW w:w="1824" w:type="dxa"/>
            <w:shd w:val="clear" w:color="auto" w:fill="F4F6F9"/>
            <w:tcMar>
              <w:top w:w="100" w:type="dxa"/>
              <w:left w:w="100" w:type="dxa"/>
              <w:bottom w:w="100" w:type="dxa"/>
              <w:right w:w="100" w:type="dxa"/>
            </w:tcMar>
          </w:tcPr>
          <w:p w14:paraId="299F80C6" w14:textId="77777777" w:rsidR="00FD155F" w:rsidRDefault="00FD155F" w:rsidP="00950D93">
            <w:pPr>
              <w:spacing w:line="360" w:lineRule="auto"/>
            </w:pPr>
            <w:r>
              <w:rPr>
                <w:rFonts w:ascii="Arial" w:hAnsi="Arial"/>
                <w:sz w:val="19"/>
              </w:rPr>
              <w:t>• ROACE &gt; 15%</w:t>
            </w:r>
            <w:r>
              <w:rPr>
                <w:rFonts w:ascii="Arial" w:hAnsi="Arial"/>
                <w:sz w:val="19"/>
              </w:rPr>
              <w:br/>
              <w:t xml:space="preserve">• &gt; 40% </w:t>
            </w:r>
            <w:proofErr w:type="spellStart"/>
            <w:r>
              <w:rPr>
                <w:rFonts w:ascii="Arial" w:hAnsi="Arial"/>
                <w:sz w:val="19"/>
              </w:rPr>
              <w:t>CapEx</w:t>
            </w:r>
            <w:proofErr w:type="spellEnd"/>
            <w:r>
              <w:rPr>
                <w:rFonts w:ascii="Arial" w:hAnsi="Arial"/>
                <w:sz w:val="19"/>
              </w:rPr>
              <w:t xml:space="preserve"> in Transition Engines by 2028</w:t>
            </w:r>
            <w:r>
              <w:rPr>
                <w:rFonts w:ascii="Arial" w:hAnsi="Arial"/>
                <w:sz w:val="19"/>
              </w:rPr>
              <w:br/>
              <w:t>• FCF &gt; £10bn p.a.</w:t>
            </w:r>
          </w:p>
        </w:tc>
        <w:tc>
          <w:tcPr>
            <w:tcW w:w="1798" w:type="dxa"/>
            <w:shd w:val="clear" w:color="auto" w:fill="F4F6F9"/>
            <w:tcMar>
              <w:top w:w="100" w:type="dxa"/>
              <w:left w:w="100" w:type="dxa"/>
              <w:bottom w:w="100" w:type="dxa"/>
              <w:right w:w="100" w:type="dxa"/>
            </w:tcMar>
          </w:tcPr>
          <w:p w14:paraId="671BE998" w14:textId="77777777" w:rsidR="00FD155F" w:rsidRDefault="00FD155F" w:rsidP="00950D93">
            <w:pPr>
              <w:spacing w:line="360" w:lineRule="auto"/>
            </w:pPr>
            <w:r>
              <w:rPr>
                <w:rFonts w:ascii="Arial" w:hAnsi="Arial"/>
                <w:sz w:val="19"/>
              </w:rPr>
              <w:t>• Strict capital discipline on North Sea upstream.</w:t>
            </w:r>
            <w:r>
              <w:rPr>
                <w:rFonts w:ascii="Arial" w:hAnsi="Arial"/>
                <w:sz w:val="19"/>
              </w:rPr>
              <w:br/>
              <w:t>• Re-invest hydrocarbon surplus into UK renewables.</w:t>
            </w:r>
          </w:p>
        </w:tc>
      </w:tr>
      <w:tr w:rsidR="00FD155F" w14:paraId="25843639" w14:textId="77777777" w:rsidTr="00FD155F">
        <w:trPr>
          <w:jc w:val="center"/>
        </w:trPr>
        <w:tc>
          <w:tcPr>
            <w:tcW w:w="1791" w:type="dxa"/>
            <w:shd w:val="clear" w:color="auto" w:fill="FFFFFF"/>
            <w:tcMar>
              <w:top w:w="100" w:type="dxa"/>
              <w:left w:w="100" w:type="dxa"/>
              <w:bottom w:w="100" w:type="dxa"/>
              <w:right w:w="100" w:type="dxa"/>
            </w:tcMar>
          </w:tcPr>
          <w:p w14:paraId="2AA6FEA9" w14:textId="77777777" w:rsidR="00FD155F" w:rsidRDefault="00FD155F" w:rsidP="00950D93">
            <w:pPr>
              <w:spacing w:line="360" w:lineRule="auto"/>
            </w:pPr>
            <w:r>
              <w:rPr>
                <w:rFonts w:ascii="Arial" w:hAnsi="Arial"/>
                <w:sz w:val="19"/>
              </w:rPr>
              <w:t>Customer</w:t>
            </w:r>
          </w:p>
        </w:tc>
        <w:tc>
          <w:tcPr>
            <w:tcW w:w="1803" w:type="dxa"/>
            <w:shd w:val="clear" w:color="auto" w:fill="FFFFFF"/>
            <w:tcMar>
              <w:top w:w="100" w:type="dxa"/>
              <w:left w:w="100" w:type="dxa"/>
              <w:bottom w:w="100" w:type="dxa"/>
              <w:right w:w="100" w:type="dxa"/>
            </w:tcMar>
          </w:tcPr>
          <w:p w14:paraId="63847435" w14:textId="77777777" w:rsidR="00FD155F" w:rsidRDefault="00FD155F" w:rsidP="00950D93">
            <w:pPr>
              <w:spacing w:line="360" w:lineRule="auto"/>
            </w:pPr>
            <w:r>
              <w:rPr>
                <w:rFonts w:ascii="Arial" w:hAnsi="Arial"/>
                <w:sz w:val="19"/>
              </w:rPr>
              <w:t>• Establish BP Pulse as UK's most reliable EV network.</w:t>
            </w:r>
            <w:r>
              <w:rPr>
                <w:rFonts w:ascii="Arial" w:hAnsi="Arial"/>
                <w:sz w:val="19"/>
              </w:rPr>
              <w:br/>
              <w:t>• Expand convenience retail leadership.</w:t>
            </w:r>
          </w:p>
        </w:tc>
        <w:tc>
          <w:tcPr>
            <w:tcW w:w="1810" w:type="dxa"/>
            <w:shd w:val="clear" w:color="auto" w:fill="FFFFFF"/>
            <w:tcMar>
              <w:top w:w="100" w:type="dxa"/>
              <w:left w:w="100" w:type="dxa"/>
              <w:bottom w:w="100" w:type="dxa"/>
              <w:right w:w="100" w:type="dxa"/>
            </w:tcMar>
          </w:tcPr>
          <w:p w14:paraId="6B6AF4C9" w14:textId="77777777" w:rsidR="00FD155F" w:rsidRDefault="00FD155F" w:rsidP="00950D93">
            <w:pPr>
              <w:spacing w:line="360" w:lineRule="auto"/>
            </w:pPr>
            <w:r>
              <w:rPr>
                <w:rFonts w:ascii="Arial" w:hAnsi="Arial"/>
                <w:sz w:val="19"/>
              </w:rPr>
              <w:t>• EV charger operational uptime (%)</w:t>
            </w:r>
            <w:r>
              <w:rPr>
                <w:rFonts w:ascii="Arial" w:hAnsi="Arial"/>
                <w:sz w:val="19"/>
              </w:rPr>
              <w:br/>
              <w:t>• Active BP Pulse app users</w:t>
            </w:r>
            <w:r>
              <w:rPr>
                <w:rFonts w:ascii="Arial" w:hAnsi="Arial"/>
                <w:sz w:val="19"/>
              </w:rPr>
              <w:br/>
              <w:t>• Retail customer basket size (£)</w:t>
            </w:r>
          </w:p>
        </w:tc>
        <w:tc>
          <w:tcPr>
            <w:tcW w:w="1824" w:type="dxa"/>
            <w:shd w:val="clear" w:color="auto" w:fill="FFFFFF"/>
            <w:tcMar>
              <w:top w:w="100" w:type="dxa"/>
              <w:left w:w="100" w:type="dxa"/>
              <w:bottom w:w="100" w:type="dxa"/>
              <w:right w:w="100" w:type="dxa"/>
            </w:tcMar>
          </w:tcPr>
          <w:p w14:paraId="013DB391" w14:textId="77777777" w:rsidR="00FD155F" w:rsidRDefault="00FD155F" w:rsidP="00950D93">
            <w:pPr>
              <w:spacing w:line="360" w:lineRule="auto"/>
            </w:pPr>
            <w:r>
              <w:rPr>
                <w:rFonts w:ascii="Arial" w:hAnsi="Arial"/>
                <w:sz w:val="19"/>
              </w:rPr>
              <w:t>• &gt; 99.0% network uptime</w:t>
            </w:r>
            <w:r>
              <w:rPr>
                <w:rFonts w:ascii="Arial" w:hAnsi="Arial"/>
                <w:sz w:val="19"/>
              </w:rPr>
              <w:br/>
              <w:t>• 2.5 million active UK users</w:t>
            </w:r>
            <w:r>
              <w:rPr>
                <w:rFonts w:ascii="Arial" w:hAnsi="Arial"/>
                <w:sz w:val="19"/>
              </w:rPr>
              <w:br/>
              <w:t>• +15% retail gross margin via M&amp;S</w:t>
            </w:r>
          </w:p>
        </w:tc>
        <w:tc>
          <w:tcPr>
            <w:tcW w:w="1798" w:type="dxa"/>
            <w:shd w:val="clear" w:color="auto" w:fill="FFFFFF"/>
            <w:tcMar>
              <w:top w:w="100" w:type="dxa"/>
              <w:left w:w="100" w:type="dxa"/>
              <w:bottom w:w="100" w:type="dxa"/>
              <w:right w:w="100" w:type="dxa"/>
            </w:tcMar>
          </w:tcPr>
          <w:p w14:paraId="371E6E8F" w14:textId="77777777" w:rsidR="00FD155F" w:rsidRDefault="00FD155F" w:rsidP="00950D93">
            <w:pPr>
              <w:spacing w:line="360" w:lineRule="auto"/>
            </w:pPr>
            <w:r>
              <w:rPr>
                <w:rFonts w:ascii="Arial" w:hAnsi="Arial"/>
                <w:sz w:val="19"/>
              </w:rPr>
              <w:t>• Deploy ultra-rapid charging hubs at key highway sites.</w:t>
            </w:r>
            <w:r>
              <w:rPr>
                <w:rFonts w:ascii="Arial" w:hAnsi="Arial"/>
                <w:sz w:val="19"/>
              </w:rPr>
              <w:br/>
              <w:t>• Upgrade BP Connect store digital loyalty programs.</w:t>
            </w:r>
          </w:p>
        </w:tc>
      </w:tr>
      <w:tr w:rsidR="00FD155F" w14:paraId="0FD15E10" w14:textId="77777777" w:rsidTr="00FD155F">
        <w:trPr>
          <w:jc w:val="center"/>
        </w:trPr>
        <w:tc>
          <w:tcPr>
            <w:tcW w:w="1791" w:type="dxa"/>
            <w:shd w:val="clear" w:color="auto" w:fill="F4F6F9"/>
            <w:tcMar>
              <w:top w:w="100" w:type="dxa"/>
              <w:left w:w="100" w:type="dxa"/>
              <w:bottom w:w="100" w:type="dxa"/>
              <w:right w:w="100" w:type="dxa"/>
            </w:tcMar>
          </w:tcPr>
          <w:p w14:paraId="5C20F894" w14:textId="77777777" w:rsidR="00FD155F" w:rsidRDefault="00FD155F" w:rsidP="00950D93">
            <w:pPr>
              <w:spacing w:line="360" w:lineRule="auto"/>
            </w:pPr>
            <w:r>
              <w:rPr>
                <w:rFonts w:ascii="Arial" w:hAnsi="Arial"/>
                <w:sz w:val="19"/>
              </w:rPr>
              <w:t>Internal Business Processes</w:t>
            </w:r>
          </w:p>
        </w:tc>
        <w:tc>
          <w:tcPr>
            <w:tcW w:w="1803" w:type="dxa"/>
            <w:shd w:val="clear" w:color="auto" w:fill="F4F6F9"/>
            <w:tcMar>
              <w:top w:w="100" w:type="dxa"/>
              <w:left w:w="100" w:type="dxa"/>
              <w:bottom w:w="100" w:type="dxa"/>
              <w:right w:w="100" w:type="dxa"/>
            </w:tcMar>
          </w:tcPr>
          <w:p w14:paraId="77ED37BA" w14:textId="77777777" w:rsidR="00FD155F" w:rsidRDefault="00FD155F" w:rsidP="00950D93">
            <w:pPr>
              <w:spacing w:line="360" w:lineRule="auto"/>
            </w:pPr>
            <w:r>
              <w:rPr>
                <w:rFonts w:ascii="Arial" w:hAnsi="Arial"/>
                <w:sz w:val="19"/>
              </w:rPr>
              <w:t>• Accelerate UK offshore wind &amp; hydrogen delivery.</w:t>
            </w:r>
            <w:r>
              <w:rPr>
                <w:rFonts w:ascii="Arial" w:hAnsi="Arial"/>
                <w:sz w:val="19"/>
              </w:rPr>
              <w:br/>
              <w:t>• Reduce operational Scope 1 &amp; 2 carbon intensity.</w:t>
            </w:r>
          </w:p>
        </w:tc>
        <w:tc>
          <w:tcPr>
            <w:tcW w:w="1810" w:type="dxa"/>
            <w:shd w:val="clear" w:color="auto" w:fill="F4F6F9"/>
            <w:tcMar>
              <w:top w:w="100" w:type="dxa"/>
              <w:left w:w="100" w:type="dxa"/>
              <w:bottom w:w="100" w:type="dxa"/>
              <w:right w:w="100" w:type="dxa"/>
            </w:tcMar>
          </w:tcPr>
          <w:p w14:paraId="627FE556" w14:textId="77777777" w:rsidR="00FD155F" w:rsidRDefault="00FD155F" w:rsidP="00950D93">
            <w:pPr>
              <w:spacing w:line="360" w:lineRule="auto"/>
            </w:pPr>
            <w:r>
              <w:rPr>
                <w:rFonts w:ascii="Arial" w:hAnsi="Arial"/>
                <w:sz w:val="19"/>
              </w:rPr>
              <w:t>• Offshore wind commissioning capacity (GW)</w:t>
            </w:r>
            <w:r>
              <w:rPr>
                <w:rFonts w:ascii="Arial" w:hAnsi="Arial"/>
                <w:sz w:val="19"/>
              </w:rPr>
              <w:br/>
              <w:t>• Industrial CO2 capture volume (Mt p.a.)</w:t>
            </w:r>
            <w:r>
              <w:rPr>
                <w:rFonts w:ascii="Arial" w:hAnsi="Arial"/>
                <w:sz w:val="19"/>
              </w:rPr>
              <w:br/>
              <w:t xml:space="preserve">• Scope 1 &amp; 2 </w:t>
            </w:r>
            <w:r>
              <w:rPr>
                <w:rFonts w:ascii="Arial" w:hAnsi="Arial"/>
                <w:sz w:val="19"/>
              </w:rPr>
              <w:lastRenderedPageBreak/>
              <w:t>GHG reduction (%)</w:t>
            </w:r>
          </w:p>
        </w:tc>
        <w:tc>
          <w:tcPr>
            <w:tcW w:w="1824" w:type="dxa"/>
            <w:shd w:val="clear" w:color="auto" w:fill="F4F6F9"/>
            <w:tcMar>
              <w:top w:w="100" w:type="dxa"/>
              <w:left w:w="100" w:type="dxa"/>
              <w:bottom w:w="100" w:type="dxa"/>
              <w:right w:w="100" w:type="dxa"/>
            </w:tcMar>
          </w:tcPr>
          <w:p w14:paraId="5F8DFD5D" w14:textId="77777777" w:rsidR="00FD155F" w:rsidRDefault="00FD155F" w:rsidP="00950D93">
            <w:pPr>
              <w:spacing w:line="360" w:lineRule="auto"/>
            </w:pPr>
            <w:r>
              <w:rPr>
                <w:rFonts w:ascii="Arial" w:hAnsi="Arial"/>
                <w:sz w:val="19"/>
              </w:rPr>
              <w:lastRenderedPageBreak/>
              <w:t>• 3.0 GW offshore wind in development</w:t>
            </w:r>
            <w:r>
              <w:rPr>
                <w:rFonts w:ascii="Arial" w:hAnsi="Arial"/>
                <w:sz w:val="19"/>
              </w:rPr>
              <w:br/>
              <w:t>• 2.0 Mt CO2 captured via Teesside</w:t>
            </w:r>
            <w:r>
              <w:rPr>
                <w:rFonts w:ascii="Arial" w:hAnsi="Arial"/>
                <w:sz w:val="19"/>
              </w:rPr>
              <w:br/>
              <w:t xml:space="preserve">• 30% absolute </w:t>
            </w:r>
            <w:r>
              <w:rPr>
                <w:rFonts w:ascii="Arial" w:hAnsi="Arial"/>
                <w:sz w:val="19"/>
              </w:rPr>
              <w:lastRenderedPageBreak/>
              <w:t>GHG reduction by 2030</w:t>
            </w:r>
          </w:p>
        </w:tc>
        <w:tc>
          <w:tcPr>
            <w:tcW w:w="1798" w:type="dxa"/>
            <w:shd w:val="clear" w:color="auto" w:fill="F4F6F9"/>
            <w:tcMar>
              <w:top w:w="100" w:type="dxa"/>
              <w:left w:w="100" w:type="dxa"/>
              <w:bottom w:w="100" w:type="dxa"/>
              <w:right w:w="100" w:type="dxa"/>
            </w:tcMar>
          </w:tcPr>
          <w:p w14:paraId="653DD2EB" w14:textId="77777777" w:rsidR="00FD155F" w:rsidRDefault="00FD155F" w:rsidP="00950D93">
            <w:pPr>
              <w:spacing w:line="360" w:lineRule="auto"/>
            </w:pPr>
            <w:r>
              <w:rPr>
                <w:rFonts w:ascii="Arial" w:hAnsi="Arial"/>
                <w:sz w:val="19"/>
              </w:rPr>
              <w:lastRenderedPageBreak/>
              <w:t>• Fast-track Irish Sea Morgan/Mona project execution.</w:t>
            </w:r>
            <w:r>
              <w:rPr>
                <w:rFonts w:ascii="Arial" w:hAnsi="Arial"/>
                <w:sz w:val="19"/>
              </w:rPr>
              <w:br/>
              <w:t xml:space="preserve">• Execute H2Teesside industrial </w:t>
            </w:r>
            <w:r>
              <w:rPr>
                <w:rFonts w:ascii="Arial" w:hAnsi="Arial"/>
                <w:sz w:val="19"/>
              </w:rPr>
              <w:lastRenderedPageBreak/>
              <w:t>hydrogen plant buildout.</w:t>
            </w:r>
          </w:p>
        </w:tc>
      </w:tr>
      <w:tr w:rsidR="00FD155F" w14:paraId="04CFA698" w14:textId="77777777" w:rsidTr="00FD155F">
        <w:trPr>
          <w:jc w:val="center"/>
        </w:trPr>
        <w:tc>
          <w:tcPr>
            <w:tcW w:w="1791" w:type="dxa"/>
            <w:shd w:val="clear" w:color="auto" w:fill="FFFFFF"/>
            <w:tcMar>
              <w:top w:w="100" w:type="dxa"/>
              <w:left w:w="100" w:type="dxa"/>
              <w:bottom w:w="100" w:type="dxa"/>
              <w:right w:w="100" w:type="dxa"/>
            </w:tcMar>
          </w:tcPr>
          <w:p w14:paraId="6E12335F" w14:textId="77777777" w:rsidR="00FD155F" w:rsidRDefault="00FD155F" w:rsidP="00950D93">
            <w:pPr>
              <w:spacing w:line="360" w:lineRule="auto"/>
            </w:pPr>
            <w:r>
              <w:rPr>
                <w:rFonts w:ascii="Arial" w:hAnsi="Arial"/>
                <w:sz w:val="19"/>
              </w:rPr>
              <w:lastRenderedPageBreak/>
              <w:t>Learning &amp; Growth</w:t>
            </w:r>
          </w:p>
        </w:tc>
        <w:tc>
          <w:tcPr>
            <w:tcW w:w="1803" w:type="dxa"/>
            <w:shd w:val="clear" w:color="auto" w:fill="FFFFFF"/>
            <w:tcMar>
              <w:top w:w="100" w:type="dxa"/>
              <w:left w:w="100" w:type="dxa"/>
              <w:bottom w:w="100" w:type="dxa"/>
              <w:right w:w="100" w:type="dxa"/>
            </w:tcMar>
          </w:tcPr>
          <w:p w14:paraId="4B49C01E" w14:textId="77777777" w:rsidR="00FD155F" w:rsidRDefault="00FD155F" w:rsidP="00950D93">
            <w:pPr>
              <w:spacing w:line="360" w:lineRule="auto"/>
            </w:pPr>
            <w:r>
              <w:rPr>
                <w:rFonts w:ascii="Arial" w:hAnsi="Arial"/>
                <w:sz w:val="19"/>
              </w:rPr>
              <w:t>• Reskill workforce for clean energy transition.</w:t>
            </w:r>
            <w:r>
              <w:rPr>
                <w:rFonts w:ascii="Arial" w:hAnsi="Arial"/>
                <w:sz w:val="19"/>
              </w:rPr>
              <w:br/>
              <w:t>• Enhance digital capability in energy trading.</w:t>
            </w:r>
          </w:p>
        </w:tc>
        <w:tc>
          <w:tcPr>
            <w:tcW w:w="1810" w:type="dxa"/>
            <w:shd w:val="clear" w:color="auto" w:fill="FFFFFF"/>
            <w:tcMar>
              <w:top w:w="100" w:type="dxa"/>
              <w:left w:w="100" w:type="dxa"/>
              <w:bottom w:w="100" w:type="dxa"/>
              <w:right w:w="100" w:type="dxa"/>
            </w:tcMar>
          </w:tcPr>
          <w:p w14:paraId="675C1B6F" w14:textId="77777777" w:rsidR="00FD155F" w:rsidRDefault="00FD155F" w:rsidP="00950D93">
            <w:pPr>
              <w:spacing w:line="360" w:lineRule="auto"/>
            </w:pPr>
            <w:r>
              <w:rPr>
                <w:rFonts w:ascii="Arial" w:hAnsi="Arial"/>
                <w:sz w:val="19"/>
              </w:rPr>
              <w:t>• Employee reskilling completion rate (%)</w:t>
            </w:r>
            <w:r>
              <w:rPr>
                <w:rFonts w:ascii="Arial" w:hAnsi="Arial"/>
                <w:sz w:val="19"/>
              </w:rPr>
              <w:br/>
              <w:t>• Digital &amp; AI engineering recruitment count</w:t>
            </w:r>
            <w:r>
              <w:rPr>
                <w:rFonts w:ascii="Arial" w:hAnsi="Arial"/>
                <w:sz w:val="19"/>
              </w:rPr>
              <w:br/>
              <w:t>• Safety Total Recordable Injury Frequency (TRIF)</w:t>
            </w:r>
          </w:p>
        </w:tc>
        <w:tc>
          <w:tcPr>
            <w:tcW w:w="1824" w:type="dxa"/>
            <w:shd w:val="clear" w:color="auto" w:fill="FFFFFF"/>
            <w:tcMar>
              <w:top w:w="100" w:type="dxa"/>
              <w:left w:w="100" w:type="dxa"/>
              <w:bottom w:w="100" w:type="dxa"/>
              <w:right w:w="100" w:type="dxa"/>
            </w:tcMar>
          </w:tcPr>
          <w:p w14:paraId="539557AD" w14:textId="77777777" w:rsidR="00FD155F" w:rsidRDefault="00FD155F" w:rsidP="00950D93">
            <w:pPr>
              <w:spacing w:line="360" w:lineRule="auto"/>
            </w:pPr>
            <w:r>
              <w:rPr>
                <w:rFonts w:ascii="Arial" w:hAnsi="Arial"/>
                <w:sz w:val="19"/>
              </w:rPr>
              <w:t>• 80% upstream staff reskilled in renewables</w:t>
            </w:r>
            <w:r>
              <w:rPr>
                <w:rFonts w:ascii="Arial" w:hAnsi="Arial"/>
                <w:sz w:val="19"/>
              </w:rPr>
              <w:br/>
              <w:t>• +500 software/trading engineers</w:t>
            </w:r>
            <w:r>
              <w:rPr>
                <w:rFonts w:ascii="Arial" w:hAnsi="Arial"/>
                <w:sz w:val="19"/>
              </w:rPr>
              <w:br/>
              <w:t>• TRIF &lt; 0.25 per million hours</w:t>
            </w:r>
          </w:p>
        </w:tc>
        <w:tc>
          <w:tcPr>
            <w:tcW w:w="1798" w:type="dxa"/>
            <w:shd w:val="clear" w:color="auto" w:fill="FFFFFF"/>
            <w:tcMar>
              <w:top w:w="100" w:type="dxa"/>
              <w:left w:w="100" w:type="dxa"/>
              <w:bottom w:w="100" w:type="dxa"/>
              <w:right w:w="100" w:type="dxa"/>
            </w:tcMar>
          </w:tcPr>
          <w:p w14:paraId="23516656" w14:textId="77777777" w:rsidR="00FD155F" w:rsidRDefault="00FD155F" w:rsidP="00950D93">
            <w:pPr>
              <w:spacing w:line="360" w:lineRule="auto"/>
            </w:pPr>
            <w:r>
              <w:rPr>
                <w:rFonts w:ascii="Arial" w:hAnsi="Arial"/>
                <w:sz w:val="19"/>
              </w:rPr>
              <w:t>• Launch BP UK Renewable Academy training program.</w:t>
            </w:r>
            <w:r>
              <w:rPr>
                <w:rFonts w:ascii="Arial" w:hAnsi="Arial"/>
                <w:sz w:val="19"/>
              </w:rPr>
              <w:br/>
              <w:t>• Partner with top UK universities for AI energy algorithms.</w:t>
            </w:r>
          </w:p>
        </w:tc>
      </w:tr>
    </w:tbl>
    <w:p w14:paraId="0F0CA7F8" w14:textId="17CBBE2B" w:rsidR="00FD155F" w:rsidRDefault="00FD155F" w:rsidP="00950D93">
      <w:pPr>
        <w:spacing w:line="360" w:lineRule="auto"/>
        <w:jc w:val="both"/>
        <w:rPr>
          <w:rFonts w:ascii="Arial" w:hAnsi="Arial" w:cs="Arial"/>
        </w:rPr>
      </w:pPr>
      <w:r w:rsidRPr="00FD155F">
        <w:rPr>
          <w:rFonts w:ascii="Arial" w:hAnsi="Arial" w:cs="Arial"/>
        </w:rPr>
        <w:t>The analysis of the Financial Perspective shows that for BP the financial objective should be to ensure that it maintains a return on average capital employed (ROACE) of more than 15% while gradually increasing the transition capital expenditure ratio to more than 40% by 2028 (BP, 2024a). The high upstream returns from the North Sea oil and gas can generate the necessary liquidity that will enable BP to invest in the long-gestation green projects without reducing the dividends yields of the shareholders. Nevertheless, achieving this balance is subject to strong capital discipline; otherwise, the green investments will result in underperformance, and consequently, diluting the overall ROACE of the company.</w:t>
      </w:r>
    </w:p>
    <w:p w14:paraId="29337C8B" w14:textId="760AD304" w:rsidR="00FD155F" w:rsidRDefault="00FD155F" w:rsidP="00950D93">
      <w:pPr>
        <w:spacing w:line="360" w:lineRule="auto"/>
        <w:jc w:val="both"/>
        <w:rPr>
          <w:rFonts w:ascii="Arial" w:hAnsi="Arial" w:cs="Arial"/>
        </w:rPr>
      </w:pPr>
      <w:r w:rsidRPr="00FD155F">
        <w:rPr>
          <w:rFonts w:ascii="Arial" w:hAnsi="Arial" w:cs="Arial"/>
        </w:rPr>
        <w:t>The Customer Perspective focuses on establishing BP Pulse as the most dependable ultra-fast charging brand in the UK, even as it increases downstream retail basket size via the M&amp;S relationship. Satisfaction among customers for EV charging is primarily reliant upon charger availability and simplicity in conducting transactions (</w:t>
      </w:r>
      <w:proofErr w:type="spellStart"/>
      <w:r w:rsidRPr="00FD155F">
        <w:rPr>
          <w:rFonts w:ascii="Arial" w:hAnsi="Arial" w:cs="Arial"/>
        </w:rPr>
        <w:t>Zapmap</w:t>
      </w:r>
      <w:proofErr w:type="spellEnd"/>
      <w:r w:rsidRPr="00FD155F">
        <w:rPr>
          <w:rFonts w:ascii="Arial" w:hAnsi="Arial" w:cs="Arial"/>
        </w:rPr>
        <w:t xml:space="preserve">, 2024). The target of 99% uptime for the chargers speaks to the major concern of the customer when it comes to charging infrastructure in the UK. Moreover, the utilization of 1,200 BP retail forecourts </w:t>
      </w:r>
      <w:proofErr w:type="gramStart"/>
      <w:r w:rsidRPr="00FD155F">
        <w:rPr>
          <w:rFonts w:ascii="Arial" w:hAnsi="Arial" w:cs="Arial"/>
        </w:rPr>
        <w:t>through the use of</w:t>
      </w:r>
      <w:proofErr w:type="gramEnd"/>
      <w:r w:rsidRPr="00FD155F">
        <w:rPr>
          <w:rFonts w:ascii="Arial" w:hAnsi="Arial" w:cs="Arial"/>
        </w:rPr>
        <w:t xml:space="preserve"> ultra-rapid 150kW+ chargers in combination with premium M&amp;S stores turns idle time into high-margin retail sales.</w:t>
      </w:r>
    </w:p>
    <w:p w14:paraId="0DFC143B" w14:textId="5355693C" w:rsidR="00FD155F" w:rsidRDefault="00FD155F" w:rsidP="00950D93">
      <w:pPr>
        <w:spacing w:line="360" w:lineRule="auto"/>
        <w:jc w:val="both"/>
        <w:rPr>
          <w:rFonts w:ascii="Arial" w:hAnsi="Arial" w:cs="Arial"/>
        </w:rPr>
      </w:pPr>
      <w:r w:rsidRPr="00FD155F">
        <w:rPr>
          <w:rFonts w:ascii="Arial" w:hAnsi="Arial" w:cs="Arial"/>
        </w:rPr>
        <w:t xml:space="preserve">From the Internal Business Processes Perspective, BP will need to address operations execution in its key infrastructure projects in the UK, which include the 3GW Morgan and Mona offshore wind farm projects in the Irish Sea and the 1.2GW H2Teesside hydrogen hub (BP, 2024b). The KPIs will have to track project milestone completion, CO2 capture, and absolute Scope 1 and 2 emissions reduction in operations. </w:t>
      </w:r>
      <w:r w:rsidRPr="00FD155F">
        <w:rPr>
          <w:rFonts w:ascii="Arial" w:hAnsi="Arial" w:cs="Arial"/>
        </w:rPr>
        <w:lastRenderedPageBreak/>
        <w:t>Reaching a target of 30% absolute emissions reduction in UK operations by 2030 will demand intense efforts towards decarbonizing platform operations in the North Sea, involving the electrification of offshore production platforms via shore power (DESNZ, 2024). Streamlining internal engineering processes and working through complicated UK planning consent processes will be key internal capabilities to prevent costly delays (Kaplan and Norton, 1992).</w:t>
      </w:r>
    </w:p>
    <w:p w14:paraId="04FCFA98" w14:textId="28572169" w:rsidR="00FD155F" w:rsidRDefault="00FD155F" w:rsidP="00950D93">
      <w:pPr>
        <w:spacing w:line="360" w:lineRule="auto"/>
        <w:jc w:val="both"/>
        <w:rPr>
          <w:rFonts w:ascii="Arial" w:hAnsi="Arial" w:cs="Arial"/>
        </w:rPr>
      </w:pPr>
      <w:r w:rsidRPr="00FD155F">
        <w:rPr>
          <w:rFonts w:ascii="Arial" w:hAnsi="Arial" w:cs="Arial"/>
        </w:rPr>
        <w:t xml:space="preserve">Lastly, the Learning and Growth Perspective will focus on the human capital and technical capabilities that are critical for implementing the change within BP. Shifting from being oil-centric and based on engineering to being a digitalized multi-energy company will require a massive reskilling of the workforce (World Economic Forum, 2023). The goal of BP is to reskill 80% of its upstream engineering workforce in the UK to work in offshore wind, hydrogen, and carbon capture by 2028. At the same time, hiring more than 500 digital and artificial intelligence software engineers will be necessary to improve BP's algorithm-based energy trading system </w:t>
      </w:r>
      <w:proofErr w:type="gramStart"/>
      <w:r w:rsidRPr="00FD155F">
        <w:rPr>
          <w:rFonts w:ascii="Arial" w:hAnsi="Arial" w:cs="Arial"/>
        </w:rPr>
        <w:t>in order to</w:t>
      </w:r>
      <w:proofErr w:type="gramEnd"/>
      <w:r w:rsidRPr="00FD155F">
        <w:rPr>
          <w:rFonts w:ascii="Arial" w:hAnsi="Arial" w:cs="Arial"/>
        </w:rPr>
        <w:t xml:space="preserve"> achieve optimization of energy transfer from offshore wind farms straight into the national grid and EV charging network (Grant, 2021).</w:t>
      </w:r>
    </w:p>
    <w:p w14:paraId="4E0E7BC6" w14:textId="28A8305A" w:rsidR="009E3240" w:rsidRPr="00C10D9A" w:rsidRDefault="009E3240" w:rsidP="00950D93">
      <w:pPr>
        <w:pStyle w:val="Heading1"/>
        <w:spacing w:line="360" w:lineRule="auto"/>
        <w:rPr>
          <w:sz w:val="24"/>
          <w:szCs w:val="24"/>
        </w:rPr>
      </w:pPr>
      <w:bookmarkStart w:id="11" w:name="_Toc237351802"/>
      <w:r w:rsidRPr="00C10D9A">
        <w:rPr>
          <w:sz w:val="24"/>
          <w:szCs w:val="24"/>
        </w:rPr>
        <w:t>4. Strategic Choices and Implementation</w:t>
      </w:r>
      <w:bookmarkEnd w:id="11"/>
      <w:r w:rsidRPr="00C10D9A">
        <w:rPr>
          <w:sz w:val="24"/>
          <w:szCs w:val="24"/>
        </w:rPr>
        <w:t xml:space="preserve"> </w:t>
      </w:r>
    </w:p>
    <w:p w14:paraId="40EC2A5C" w14:textId="00282FF7" w:rsidR="009E3240" w:rsidRPr="00C10D9A" w:rsidRDefault="009E3240" w:rsidP="00950D93">
      <w:pPr>
        <w:pStyle w:val="Heading2"/>
        <w:spacing w:line="360" w:lineRule="auto"/>
        <w:rPr>
          <w:sz w:val="24"/>
          <w:szCs w:val="24"/>
        </w:rPr>
      </w:pPr>
      <w:bookmarkStart w:id="12" w:name="_Toc237351803"/>
      <w:r w:rsidRPr="00C10D9A">
        <w:rPr>
          <w:sz w:val="24"/>
          <w:szCs w:val="24"/>
        </w:rPr>
        <w:t>4.1 Evaluation of Business Level Strategic Choices</w:t>
      </w:r>
      <w:bookmarkEnd w:id="12"/>
    </w:p>
    <w:p w14:paraId="36BC79E1" w14:textId="2B062E6A" w:rsidR="009E3240" w:rsidRDefault="001977E6" w:rsidP="00950D93">
      <w:pPr>
        <w:spacing w:line="360" w:lineRule="auto"/>
        <w:jc w:val="both"/>
        <w:rPr>
          <w:rFonts w:ascii="Arial" w:hAnsi="Arial" w:cs="Arial"/>
        </w:rPr>
      </w:pPr>
      <w:r w:rsidRPr="001977E6">
        <w:rPr>
          <w:rFonts w:ascii="Arial" w:hAnsi="Arial" w:cs="Arial"/>
        </w:rPr>
        <w:t>As part of the analysis of business-level strategic options using Porter's (1985) generic strategies, BP will need to select between Cost Leadership, Differentiation, and Focus strategies from among the UK energy market options. Pure Cost Leadership Strategy of being the lowest cost producer of electricity and fuel in the UK would be a nonviable option for BP. The cost of renewable energy production in the UK wholesale electricity market is dictated by competitive contracts for difference (</w:t>
      </w:r>
      <w:proofErr w:type="spellStart"/>
      <w:r w:rsidRPr="001977E6">
        <w:rPr>
          <w:rFonts w:ascii="Arial" w:hAnsi="Arial" w:cs="Arial"/>
        </w:rPr>
        <w:t>CfD</w:t>
      </w:r>
      <w:proofErr w:type="spellEnd"/>
      <w:r w:rsidRPr="001977E6">
        <w:rPr>
          <w:rFonts w:ascii="Arial" w:hAnsi="Arial" w:cs="Arial"/>
        </w:rPr>
        <w:t>) auction, whereby specialist pure play offshore wind firms have managed to achieve low levelized cost of energy (LCOE) by specializing extremely (BEIS, 2023). Moreover, the retail fuel sector involves supermarket groups running fuel forecourts as loss leaders to attract customers in the supermarkets, thereby cutting margins in retail fuel to bare minimums (CMA, 2023).</w:t>
      </w:r>
    </w:p>
    <w:p w14:paraId="600F2B5A" w14:textId="412794F7" w:rsidR="001977E6" w:rsidRDefault="006D26B8" w:rsidP="00950D93">
      <w:pPr>
        <w:spacing w:line="360" w:lineRule="auto"/>
        <w:jc w:val="both"/>
        <w:rPr>
          <w:rFonts w:ascii="Arial" w:hAnsi="Arial" w:cs="Arial"/>
        </w:rPr>
      </w:pPr>
      <w:r w:rsidRPr="006D26B8">
        <w:rPr>
          <w:rFonts w:ascii="Arial" w:hAnsi="Arial" w:cs="Arial"/>
        </w:rPr>
        <w:t xml:space="preserve">On the contrary, a generic Differentiation strategy using just brand marketing runs into many restrictions within the physical energy industry because electricity and natural </w:t>
      </w:r>
      <w:r w:rsidRPr="006D26B8">
        <w:rPr>
          <w:rFonts w:ascii="Arial" w:hAnsi="Arial" w:cs="Arial"/>
        </w:rPr>
        <w:lastRenderedPageBreak/>
        <w:t>gas have similar properties as homogeneous goods. The UK end-consumers and enterprise customers can hardly differentiate electricity produced by BP from that produced by competing companies when using electricity (DESNZ, 2024). Although BP tries to achieve brand differentiation through its convenience fuel sites called BP Connect and premium ultimate fuels, the effects of such retail differentiation will diminish as vehicle fleets become electrified (SMMT, 2024). In addition, using a niche/focus strategy that narrows down BP's business scope would not be suitable for BP considering its worldwide scale and capital volumes required to finance BP's valuation (Porter, 1985).</w:t>
      </w:r>
    </w:p>
    <w:p w14:paraId="2D9C2446" w14:textId="26758558" w:rsidR="006D26B8" w:rsidRDefault="006D26B8" w:rsidP="00950D93">
      <w:pPr>
        <w:spacing w:line="360" w:lineRule="auto"/>
        <w:jc w:val="both"/>
        <w:rPr>
          <w:rFonts w:ascii="Arial" w:hAnsi="Arial" w:cs="Arial"/>
        </w:rPr>
      </w:pPr>
      <w:r w:rsidRPr="006D26B8">
        <w:rPr>
          <w:rFonts w:ascii="Arial" w:hAnsi="Arial" w:cs="Arial"/>
        </w:rPr>
        <w:t>In contrast, the most suitable strategic option for BP in the UK is that of a Hybrid Differentiation-Integration Strategy that will be implemented in the form of an "Integrated Energy Hub" strategy. Through this hybrid strategy, BP will differentiate itself from the competition through a differentiated ecosystem rather than a commodity by bundling low carbon power generation (offshore wind), firming capacity (hydrogen/gas), physical access network (BP Pulse EV network), convenience retail (M&amp;S), all integrated with their own energy trading function (Porter, 1985; Spender, 2014). In doing so, BP will earn premium margins on fleet EV charging and corporate green CPPAs while using their global trading capabilities to hedge against volatility and hence generate better risk-adjusted returns than individual asset players.</w:t>
      </w:r>
    </w:p>
    <w:p w14:paraId="7DB053EF" w14:textId="63DC0A1C" w:rsidR="006D26B8" w:rsidRPr="00C10D9A" w:rsidRDefault="006D26B8" w:rsidP="00950D93">
      <w:pPr>
        <w:pStyle w:val="Heading2"/>
        <w:spacing w:line="360" w:lineRule="auto"/>
        <w:rPr>
          <w:sz w:val="24"/>
          <w:szCs w:val="24"/>
        </w:rPr>
      </w:pPr>
      <w:bookmarkStart w:id="13" w:name="_Toc237351804"/>
      <w:r w:rsidRPr="00C10D9A">
        <w:rPr>
          <w:sz w:val="24"/>
          <w:szCs w:val="24"/>
        </w:rPr>
        <w:t>4.2 strategy Validation using Porter’s Five forces and Ansoff’s Matrix</w:t>
      </w:r>
      <w:bookmarkEnd w:id="13"/>
      <w:r w:rsidRPr="00C10D9A">
        <w:rPr>
          <w:sz w:val="24"/>
          <w:szCs w:val="24"/>
        </w:rPr>
        <w:tab/>
      </w:r>
    </w:p>
    <w:p w14:paraId="7324AA1C" w14:textId="77777777" w:rsidR="006D26B8" w:rsidRPr="006D26B8" w:rsidRDefault="006D26B8" w:rsidP="00950D93">
      <w:pPr>
        <w:spacing w:line="360" w:lineRule="auto"/>
        <w:jc w:val="both"/>
        <w:rPr>
          <w:rFonts w:ascii="Arial" w:hAnsi="Arial" w:cs="Arial"/>
        </w:rPr>
      </w:pPr>
      <w:proofErr w:type="gramStart"/>
      <w:r w:rsidRPr="006D26B8">
        <w:rPr>
          <w:rFonts w:ascii="Arial" w:hAnsi="Arial" w:cs="Arial"/>
        </w:rPr>
        <w:t>In order to</w:t>
      </w:r>
      <w:proofErr w:type="gramEnd"/>
      <w:r w:rsidRPr="006D26B8">
        <w:rPr>
          <w:rFonts w:ascii="Arial" w:hAnsi="Arial" w:cs="Arial"/>
        </w:rPr>
        <w:t xml:space="preserve"> test the recommended Hybrid Integrated Energy Hub strategy against the UK energy market, Porter's (1979) Five Forces tool will be used to evaluate the attractiveness of the industry structure.</w:t>
      </w:r>
    </w:p>
    <w:p w14:paraId="4D346C55" w14:textId="609EDD85" w:rsidR="006D26B8" w:rsidRDefault="006D26B8" w:rsidP="00950D93">
      <w:pPr>
        <w:spacing w:line="360" w:lineRule="auto"/>
        <w:jc w:val="both"/>
        <w:rPr>
          <w:rFonts w:ascii="Arial" w:hAnsi="Arial" w:cs="Arial"/>
        </w:rPr>
      </w:pPr>
      <w:r w:rsidRPr="006D26B8">
        <w:rPr>
          <w:rFonts w:ascii="Arial" w:hAnsi="Arial" w:cs="Arial"/>
        </w:rPr>
        <w:t xml:space="preserve">New Entrant Threat in the UK energy infrastructure market </w:t>
      </w:r>
      <w:proofErr w:type="gramStart"/>
      <w:r w:rsidRPr="006D26B8">
        <w:rPr>
          <w:rFonts w:ascii="Arial" w:hAnsi="Arial" w:cs="Arial"/>
        </w:rPr>
        <w:t>is considered to be</w:t>
      </w:r>
      <w:proofErr w:type="gramEnd"/>
      <w:r w:rsidRPr="006D26B8">
        <w:rPr>
          <w:rFonts w:ascii="Arial" w:hAnsi="Arial" w:cs="Arial"/>
        </w:rPr>
        <w:t xml:space="preserve"> low to medium. The entry into the segments of utility-scale renewable energy generation and national EV charging infrastructure requires enormous capital investments, </w:t>
      </w:r>
      <w:proofErr w:type="gramStart"/>
      <w:r w:rsidRPr="006D26B8">
        <w:rPr>
          <w:rFonts w:ascii="Arial" w:hAnsi="Arial" w:cs="Arial"/>
        </w:rPr>
        <w:t>highly-specialized</w:t>
      </w:r>
      <w:proofErr w:type="gramEnd"/>
      <w:r w:rsidRPr="006D26B8">
        <w:rPr>
          <w:rFonts w:ascii="Arial" w:hAnsi="Arial" w:cs="Arial"/>
        </w:rPr>
        <w:t xml:space="preserve"> technology, and many years of going through regulatory hurdles (BEIS, 2023). In addition, the creation of 1,200 sites across the country for the retail forecourts is an almost impossible barrier to entry for any new entrant (CMA, 2023). However, the Buyer Power </w:t>
      </w:r>
      <w:proofErr w:type="gramStart"/>
      <w:r w:rsidRPr="006D26B8">
        <w:rPr>
          <w:rFonts w:ascii="Arial" w:hAnsi="Arial" w:cs="Arial"/>
        </w:rPr>
        <w:t>is considered to be</w:t>
      </w:r>
      <w:proofErr w:type="gramEnd"/>
      <w:r w:rsidRPr="006D26B8">
        <w:rPr>
          <w:rFonts w:ascii="Arial" w:hAnsi="Arial" w:cs="Arial"/>
        </w:rPr>
        <w:t xml:space="preserve"> high and increasing. The UK retail customers show low switching cost when choosing fuel stations or public EV chargers due to price comparison apps such as </w:t>
      </w:r>
      <w:proofErr w:type="spellStart"/>
      <w:r w:rsidRPr="006D26B8">
        <w:rPr>
          <w:rFonts w:ascii="Arial" w:hAnsi="Arial" w:cs="Arial"/>
        </w:rPr>
        <w:t>Zapmap</w:t>
      </w:r>
      <w:proofErr w:type="spellEnd"/>
      <w:r w:rsidRPr="006D26B8">
        <w:rPr>
          <w:rFonts w:ascii="Arial" w:hAnsi="Arial" w:cs="Arial"/>
        </w:rPr>
        <w:t xml:space="preserve"> and </w:t>
      </w:r>
      <w:proofErr w:type="spellStart"/>
      <w:r w:rsidRPr="006D26B8">
        <w:rPr>
          <w:rFonts w:ascii="Arial" w:hAnsi="Arial" w:cs="Arial"/>
        </w:rPr>
        <w:t>PetrolPrices</w:t>
      </w:r>
      <w:proofErr w:type="spellEnd"/>
      <w:r w:rsidRPr="006D26B8">
        <w:rPr>
          <w:rFonts w:ascii="Arial" w:hAnsi="Arial" w:cs="Arial"/>
        </w:rPr>
        <w:t xml:space="preserve"> (</w:t>
      </w:r>
      <w:proofErr w:type="spellStart"/>
      <w:r w:rsidRPr="006D26B8">
        <w:rPr>
          <w:rFonts w:ascii="Arial" w:hAnsi="Arial" w:cs="Arial"/>
        </w:rPr>
        <w:t>Zapmap</w:t>
      </w:r>
      <w:proofErr w:type="spellEnd"/>
      <w:r w:rsidRPr="006D26B8">
        <w:rPr>
          <w:rFonts w:ascii="Arial" w:hAnsi="Arial" w:cs="Arial"/>
        </w:rPr>
        <w:t>, 2024).</w:t>
      </w:r>
    </w:p>
    <w:p w14:paraId="536479EF" w14:textId="2E6CC682" w:rsidR="006D26B8" w:rsidRDefault="00560AE9" w:rsidP="00950D93">
      <w:pPr>
        <w:spacing w:line="360" w:lineRule="auto"/>
        <w:jc w:val="both"/>
        <w:rPr>
          <w:rFonts w:ascii="Arial" w:hAnsi="Arial" w:cs="Arial"/>
        </w:rPr>
      </w:pPr>
      <w:r w:rsidRPr="00560AE9">
        <w:rPr>
          <w:rFonts w:ascii="Arial" w:hAnsi="Arial" w:cs="Arial"/>
        </w:rPr>
        <w:lastRenderedPageBreak/>
        <w:t>There is a High Bargaining Power of Suppliers along the renewable energy supply chain. A handful of worldwide wind turbine OEMs and battery cell suppliers have significant market power in the industry, thereby transferring any inflation or supply chain costs directly to the developers (IRENA, 2024). Simultaneously, UK National Grid ESO has total structural bargaining power when it comes to connecting projects to the grid (National Grid, 2023). The Threat of Substitutes is extremely high in case of BP's oil legacy business due to rapid technological substitution by electric vehicles, green hydrogen, and domestic heat pumps (SMMT, 2024). Finally, there is Fierce Competitive Rivalry among all UK energy sectors, including international supermajors, green utilities, and EV charge point operators (</w:t>
      </w:r>
      <w:proofErr w:type="spellStart"/>
      <w:r w:rsidRPr="00560AE9">
        <w:rPr>
          <w:rFonts w:ascii="Arial" w:hAnsi="Arial" w:cs="Arial"/>
        </w:rPr>
        <w:t>Zapmap</w:t>
      </w:r>
      <w:proofErr w:type="spellEnd"/>
      <w:r w:rsidRPr="00560AE9">
        <w:rPr>
          <w:rFonts w:ascii="Arial" w:hAnsi="Arial" w:cs="Arial"/>
        </w:rPr>
        <w:t>, 2024). In accordance with Porter's (1979) Five Forces model, there is significant competitive rivalry in commodity generation business, which confirms the necessity for BP to use the integrated approach.</w:t>
      </w:r>
    </w:p>
    <w:p w14:paraId="3D861A69" w14:textId="156B11D9" w:rsidR="00560AE9" w:rsidRDefault="00560AE9" w:rsidP="00950D93">
      <w:pPr>
        <w:spacing w:line="360" w:lineRule="auto"/>
        <w:jc w:val="both"/>
        <w:rPr>
          <w:rFonts w:ascii="Arial" w:hAnsi="Arial" w:cs="Arial"/>
        </w:rPr>
      </w:pPr>
      <w:r w:rsidRPr="00560AE9">
        <w:rPr>
          <w:rFonts w:ascii="Arial" w:hAnsi="Arial" w:cs="Arial"/>
        </w:rPr>
        <w:t>Supplier Power is strong along the entire renewable energy supply chain, as there is a dominant position taken by a few global OEM wind turbine suppliers and battery cell manufacturers with the direct pass-through of price increases and supply chain shortages to the developers of projects (IRENA, 2024). At the same time, the UK National Grid ESO is structurally in absolute control of the process of connecting renewable generation assets to the grid (National Grid, 2023). The Power of Substitute Products is extremely high for the legacy oil production division of BP, given the fast technological substitution with electric vehicles, green hydrogen, and residential heat pumps (SMMT, 2024). Lastly, Competitive Rivalry is high in all UK energy sectors, including the presence of international supermajors, green utilities, and companies specializing in providing EV charge points (</w:t>
      </w:r>
      <w:proofErr w:type="spellStart"/>
      <w:r w:rsidRPr="00560AE9">
        <w:rPr>
          <w:rFonts w:ascii="Arial" w:hAnsi="Arial" w:cs="Arial"/>
        </w:rPr>
        <w:t>Zapmap</w:t>
      </w:r>
      <w:proofErr w:type="spellEnd"/>
      <w:r w:rsidRPr="00560AE9">
        <w:rPr>
          <w:rFonts w:ascii="Arial" w:hAnsi="Arial" w:cs="Arial"/>
        </w:rPr>
        <w:t>, 2024). Porter's (1979) Five Forces framework proves that commodity energy production is in a tough competitive environment and margins pressure, thus supporting BP's integrated approach.</w:t>
      </w:r>
    </w:p>
    <w:p w14:paraId="2BB5A942" w14:textId="3935DB23" w:rsidR="00560AE9" w:rsidRPr="00C10D9A" w:rsidRDefault="009D4447" w:rsidP="00950D93">
      <w:pPr>
        <w:pStyle w:val="Heading2"/>
        <w:spacing w:line="360" w:lineRule="auto"/>
        <w:rPr>
          <w:sz w:val="24"/>
          <w:szCs w:val="24"/>
        </w:rPr>
      </w:pPr>
      <w:bookmarkStart w:id="14" w:name="_Toc237351805"/>
      <w:r w:rsidRPr="00C10D9A">
        <w:rPr>
          <w:sz w:val="24"/>
          <w:szCs w:val="24"/>
        </w:rPr>
        <w:t>4.3 Execution Roadmap, Competitive Advantage and Risk Mitigation</w:t>
      </w:r>
      <w:bookmarkEnd w:id="14"/>
    </w:p>
    <w:p w14:paraId="330EC654" w14:textId="338FB888" w:rsidR="009D4447" w:rsidRDefault="00385EB4" w:rsidP="00950D93">
      <w:pPr>
        <w:spacing w:line="360" w:lineRule="auto"/>
        <w:jc w:val="both"/>
        <w:rPr>
          <w:rFonts w:ascii="Arial" w:hAnsi="Arial" w:cs="Arial"/>
        </w:rPr>
      </w:pPr>
      <w:r w:rsidRPr="00385EB4">
        <w:rPr>
          <w:rFonts w:ascii="Arial" w:hAnsi="Arial" w:cs="Arial"/>
        </w:rPr>
        <w:t xml:space="preserve">Implementing the suggested Hybrid Integrated Energy Hub approach can result in optimal results due to the creation of a strategically self-propelled fly-wheel mechanism which will increase BP's competitive advantage in the UK. With the integration of offshore wind power generation with gas firming, hydrogen production for industrial purposes, and EV charging networks, BP removes intermediaries and extracts value from each stage of the energy value chain (Spender, 2014). Whenever </w:t>
      </w:r>
      <w:r w:rsidRPr="00385EB4">
        <w:rPr>
          <w:rFonts w:ascii="Arial" w:hAnsi="Arial" w:cs="Arial"/>
        </w:rPr>
        <w:lastRenderedPageBreak/>
        <w:t>there is an oversupply of power generated by UK offshore wind farms, BP's trading operation has the capability of using the surplus electricity in the production of green hydrogen in electrolysers in H2Teesside or charging BP Pulse ultra-rapid charging hubs. On the other hand, whenever there is underproduction of power, BP uses its flexible gas portfolio and its energy trading book to meet its green PPA obligations without suffering any penalty in the market.</w:t>
      </w:r>
    </w:p>
    <w:p w14:paraId="64EAD22B" w14:textId="3DF65C35" w:rsidR="00385EB4" w:rsidRDefault="000E6A7D" w:rsidP="00950D93">
      <w:pPr>
        <w:spacing w:line="360" w:lineRule="auto"/>
        <w:jc w:val="both"/>
        <w:rPr>
          <w:rFonts w:ascii="Arial" w:hAnsi="Arial" w:cs="Arial"/>
        </w:rPr>
      </w:pPr>
      <w:r w:rsidRPr="000E6A7D">
        <w:rPr>
          <w:rFonts w:ascii="Arial" w:hAnsi="Arial" w:cs="Arial"/>
        </w:rPr>
        <w:t xml:space="preserve">However, adopting such a complex approach will come with many operational, regulatory, and financial problems in the UK. The first challenge to be overcome is the serious UK National Grid connection queue delay problem, whereby renewable and storage projects have grid connection delays that take as long as 10-15 years because of transmission grid capacity problems (National Grid, 2023). </w:t>
      </w:r>
      <w:proofErr w:type="gramStart"/>
      <w:r w:rsidRPr="000E6A7D">
        <w:rPr>
          <w:rFonts w:ascii="Arial" w:hAnsi="Arial" w:cs="Arial"/>
        </w:rPr>
        <w:t>In order to</w:t>
      </w:r>
      <w:proofErr w:type="gramEnd"/>
      <w:r w:rsidRPr="000E6A7D">
        <w:rPr>
          <w:rFonts w:ascii="Arial" w:hAnsi="Arial" w:cs="Arial"/>
        </w:rPr>
        <w:t xml:space="preserve"> solve the above bottleneck of the grid, BP needs to have a co-location and microgrid strategy. By co-locating offshore wind landfall locations and solar energy projects with local industrial hydrogen electrolysers (H2Teesside) and BESS, BP can use the electricity generated without relying on the main grid network.</w:t>
      </w:r>
    </w:p>
    <w:p w14:paraId="337F2C60" w14:textId="3BF2CC3D" w:rsidR="000E6A7D" w:rsidRDefault="000E6A7D" w:rsidP="00950D93">
      <w:pPr>
        <w:spacing w:line="360" w:lineRule="auto"/>
        <w:jc w:val="both"/>
        <w:rPr>
          <w:rFonts w:ascii="Arial" w:hAnsi="Arial" w:cs="Arial"/>
        </w:rPr>
      </w:pPr>
      <w:r w:rsidRPr="000E6A7D">
        <w:rPr>
          <w:rFonts w:ascii="Arial" w:hAnsi="Arial" w:cs="Arial"/>
        </w:rPr>
        <w:t>The second significant issue in question is cost inflation and delays in turbine supplies through the European offshore wind industry, which poses a threat to projects' IRR (IRENA, 2024). The solution for BP to prevent this is to enter into long-term procurement agreements and joint venture investments with top-tier manufacturers of wind turbines and companies involved in the marine installation of such turbines. Additionally, in order to avoid fiscal risks associated with the unexpected tax adjustment in the UK, more specifically, in terms of the Energy Profits Levy in the UK, BP must invest in dual-fuel hybrid financing structures which include co-investments from the UK Infrastructure Bank and issuance of green bonds (HM Treasury, 2024).</w:t>
      </w:r>
    </w:p>
    <w:p w14:paraId="5335D222" w14:textId="00BD6377" w:rsidR="000E6A7D" w:rsidRPr="00C10D9A" w:rsidRDefault="009C1CF7" w:rsidP="00950D93">
      <w:pPr>
        <w:pStyle w:val="Heading1"/>
        <w:spacing w:line="360" w:lineRule="auto"/>
        <w:rPr>
          <w:sz w:val="24"/>
          <w:szCs w:val="24"/>
        </w:rPr>
      </w:pPr>
      <w:bookmarkStart w:id="15" w:name="_Toc237351806"/>
      <w:r w:rsidRPr="00C10D9A">
        <w:rPr>
          <w:sz w:val="24"/>
          <w:szCs w:val="24"/>
        </w:rPr>
        <w:t>Section 2 Reflection Account of Research and Analytical Process</w:t>
      </w:r>
      <w:bookmarkEnd w:id="15"/>
      <w:r w:rsidRPr="00C10D9A">
        <w:rPr>
          <w:sz w:val="24"/>
          <w:szCs w:val="24"/>
        </w:rPr>
        <w:t xml:space="preserve"> </w:t>
      </w:r>
    </w:p>
    <w:p w14:paraId="27D51F4F" w14:textId="6AAFD277" w:rsidR="00FD155F" w:rsidRPr="00C10D9A" w:rsidRDefault="009C1CF7" w:rsidP="00950D93">
      <w:pPr>
        <w:pStyle w:val="Heading1"/>
        <w:spacing w:line="360" w:lineRule="auto"/>
        <w:rPr>
          <w:sz w:val="24"/>
          <w:szCs w:val="24"/>
        </w:rPr>
      </w:pPr>
      <w:bookmarkStart w:id="16" w:name="_Toc237351807"/>
      <w:r w:rsidRPr="00C10D9A">
        <w:rPr>
          <w:sz w:val="24"/>
          <w:szCs w:val="24"/>
        </w:rPr>
        <w:t>5. Reflection Practice using Gibbs Reflection Cycle</w:t>
      </w:r>
      <w:bookmarkEnd w:id="16"/>
    </w:p>
    <w:p w14:paraId="45DA1B77" w14:textId="558DBFCB" w:rsidR="009C1CF7" w:rsidRDefault="009C1CF7" w:rsidP="00950D93">
      <w:pPr>
        <w:spacing w:line="360" w:lineRule="auto"/>
        <w:jc w:val="both"/>
        <w:rPr>
          <w:rFonts w:ascii="Arial" w:hAnsi="Arial" w:cs="Arial"/>
        </w:rPr>
      </w:pPr>
      <w:proofErr w:type="gramStart"/>
      <w:r w:rsidRPr="009C1CF7">
        <w:rPr>
          <w:rFonts w:ascii="Arial" w:hAnsi="Arial" w:cs="Arial"/>
        </w:rPr>
        <w:t>In order to</w:t>
      </w:r>
      <w:proofErr w:type="gramEnd"/>
      <w:r w:rsidRPr="009C1CF7">
        <w:rPr>
          <w:rFonts w:ascii="Arial" w:hAnsi="Arial" w:cs="Arial"/>
        </w:rPr>
        <w:t xml:space="preserve"> assess critically my own personal learning process, analytical approach, and professional skills development while working on this strategic report, I use the framework provided by Gibbs' (1988) Reflective Cycle. The cycle consists of six stages: Description, Feelings, Evaluation, Analysis, Conclusion, and Action Plan.</w:t>
      </w:r>
    </w:p>
    <w:p w14:paraId="08F741D5" w14:textId="4430056B" w:rsidR="007F689B" w:rsidRPr="00C10D9A" w:rsidRDefault="007F689B" w:rsidP="00950D93">
      <w:pPr>
        <w:pStyle w:val="Heading2"/>
        <w:spacing w:line="360" w:lineRule="auto"/>
        <w:rPr>
          <w:sz w:val="24"/>
          <w:szCs w:val="24"/>
        </w:rPr>
      </w:pPr>
      <w:bookmarkStart w:id="17" w:name="_Toc237351808"/>
      <w:r w:rsidRPr="00C10D9A">
        <w:rPr>
          <w:sz w:val="24"/>
          <w:szCs w:val="24"/>
        </w:rPr>
        <w:lastRenderedPageBreak/>
        <w:t>5.1 Description</w:t>
      </w:r>
      <w:bookmarkEnd w:id="17"/>
      <w:r w:rsidRPr="00C10D9A">
        <w:rPr>
          <w:sz w:val="24"/>
          <w:szCs w:val="24"/>
        </w:rPr>
        <w:t xml:space="preserve"> </w:t>
      </w:r>
    </w:p>
    <w:p w14:paraId="1F0CCD1B" w14:textId="2C2BAA53" w:rsidR="007F689B" w:rsidRDefault="007F689B" w:rsidP="00950D93">
      <w:pPr>
        <w:spacing w:line="360" w:lineRule="auto"/>
        <w:jc w:val="both"/>
        <w:rPr>
          <w:rFonts w:ascii="Arial" w:hAnsi="Arial" w:cs="Arial"/>
        </w:rPr>
      </w:pPr>
      <w:r w:rsidRPr="007F689B">
        <w:rPr>
          <w:rFonts w:ascii="Arial" w:hAnsi="Arial" w:cs="Arial"/>
        </w:rPr>
        <w:t xml:space="preserve">This assignment involved taking up the position of a strategic management consultant, which meant conducting an elaborate strategic analysis of British Petroleum (BP plc), especially </w:t>
      </w:r>
      <w:proofErr w:type="gramStart"/>
      <w:r w:rsidRPr="007F689B">
        <w:rPr>
          <w:rFonts w:ascii="Arial" w:hAnsi="Arial" w:cs="Arial"/>
        </w:rPr>
        <w:t>with regard to</w:t>
      </w:r>
      <w:proofErr w:type="gramEnd"/>
      <w:r w:rsidRPr="007F689B">
        <w:rPr>
          <w:rFonts w:ascii="Arial" w:hAnsi="Arial" w:cs="Arial"/>
        </w:rPr>
        <w:t xml:space="preserve"> its operational strategy, competitive positioning, and energy transition within the UK. Strategic tools such as PESTLE analysis, VRIO analysis, SWOT Matrix, Balanced Scorecard, Porter's Five Forces and Ansoff's Growth Matrix had to be used to come up with practical business level suggestions, </w:t>
      </w:r>
      <w:proofErr w:type="gramStart"/>
      <w:r w:rsidRPr="007F689B">
        <w:rPr>
          <w:rFonts w:ascii="Arial" w:hAnsi="Arial" w:cs="Arial"/>
        </w:rPr>
        <w:t>This</w:t>
      </w:r>
      <w:proofErr w:type="gramEnd"/>
      <w:r w:rsidRPr="007F689B">
        <w:rPr>
          <w:rFonts w:ascii="Arial" w:hAnsi="Arial" w:cs="Arial"/>
        </w:rPr>
        <w:t xml:space="preserve"> was achieved by carrying out a review of secondary sources like the BP annual financial report, UK government policies (DESNZ, HM Treasury) and the energy sector databases, amongst others.</w:t>
      </w:r>
    </w:p>
    <w:p w14:paraId="351640A2" w14:textId="38B25565" w:rsidR="001E07EE" w:rsidRPr="00C10D9A" w:rsidRDefault="001E07EE" w:rsidP="00950D93">
      <w:pPr>
        <w:pStyle w:val="Heading2"/>
        <w:spacing w:line="360" w:lineRule="auto"/>
        <w:rPr>
          <w:sz w:val="24"/>
          <w:szCs w:val="24"/>
        </w:rPr>
      </w:pPr>
      <w:bookmarkStart w:id="18" w:name="_Toc237351809"/>
      <w:r w:rsidRPr="00C10D9A">
        <w:rPr>
          <w:sz w:val="24"/>
          <w:szCs w:val="24"/>
        </w:rPr>
        <w:t>5.2 Feelings</w:t>
      </w:r>
      <w:bookmarkEnd w:id="18"/>
    </w:p>
    <w:p w14:paraId="3384FB90" w14:textId="0F438400" w:rsidR="001E07EE" w:rsidRDefault="001E07EE" w:rsidP="00950D93">
      <w:pPr>
        <w:spacing w:line="360" w:lineRule="auto"/>
        <w:jc w:val="both"/>
        <w:rPr>
          <w:rFonts w:ascii="Arial" w:hAnsi="Arial" w:cs="Arial"/>
        </w:rPr>
      </w:pPr>
      <w:r w:rsidRPr="001E07EE">
        <w:rPr>
          <w:rFonts w:ascii="Arial" w:hAnsi="Arial" w:cs="Arial"/>
        </w:rPr>
        <w:t>In the beginning of the research process, I felt a great deal of intellectual motivation along with anxiety concerning the inherent complexity of the dual model approach of BP. BP is a company operating in a rather controversial business environment where green strategies proclaimed publicly tend to clash with the old-fashioned use of fossil fuels. Initially, I felt a little bit scared by the amount of contradicting information that I had to deal with</w:t>
      </w:r>
      <w:r w:rsidR="00BF55E6">
        <w:rPr>
          <w:rFonts w:ascii="Arial" w:hAnsi="Arial" w:cs="Arial"/>
        </w:rPr>
        <w:t xml:space="preserve"> </w:t>
      </w:r>
      <w:r w:rsidRPr="001E07EE">
        <w:rPr>
          <w:rFonts w:ascii="Arial" w:hAnsi="Arial" w:cs="Arial"/>
        </w:rPr>
        <w:t>this ranged from positive corporate ESG PR messages to criticisms of environmentalists and analysts (ClientEarth, 2023). I was afraid to be unbiased in the evaluation and to stick to objective scientific principles throughout the process. But once I formulated my analytical approach based on theoretical framework, I gained confidence (Gibbs, 1988).</w:t>
      </w:r>
    </w:p>
    <w:p w14:paraId="7AA9A695" w14:textId="34C59A30" w:rsidR="001E07EE" w:rsidRPr="00C10D9A" w:rsidRDefault="001E07EE" w:rsidP="00950D93">
      <w:pPr>
        <w:pStyle w:val="Heading2"/>
        <w:spacing w:line="360" w:lineRule="auto"/>
        <w:rPr>
          <w:sz w:val="24"/>
          <w:szCs w:val="24"/>
        </w:rPr>
      </w:pPr>
      <w:bookmarkStart w:id="19" w:name="_Toc237351810"/>
      <w:r w:rsidRPr="00C10D9A">
        <w:rPr>
          <w:sz w:val="24"/>
          <w:szCs w:val="24"/>
        </w:rPr>
        <w:t>5.3 Evaluation</w:t>
      </w:r>
      <w:bookmarkEnd w:id="19"/>
    </w:p>
    <w:p w14:paraId="20191E27" w14:textId="5145C5B3" w:rsidR="001E07EE" w:rsidRDefault="001E07EE" w:rsidP="00950D93">
      <w:pPr>
        <w:spacing w:line="360" w:lineRule="auto"/>
        <w:jc w:val="both"/>
        <w:rPr>
          <w:rFonts w:ascii="Arial" w:hAnsi="Arial" w:cs="Arial"/>
        </w:rPr>
      </w:pPr>
      <w:r w:rsidRPr="001E07EE">
        <w:rPr>
          <w:rFonts w:ascii="Arial" w:hAnsi="Arial" w:cs="Arial"/>
        </w:rPr>
        <w:t>In examining the research process, there have been both some notable strengths and methodological difficulties. On the one hand, the synthesis of different theories made it possible for me to develop a well-grounded argument on the integrated energy strategy of BP. This especially refers to the use of VRIO by Barney (1991), which helped me to differentiate the temporary competitive advantage of BP at physical retail forecourts from its sustainable competitive advantage in global energy trading. At the same time, a problem was the processing of a large amount of secondary data in accordance with the given word count restrictions. I faced a difficulty to find the balance between the description of the history of the corporation and critical analysis of the information provided.</w:t>
      </w:r>
    </w:p>
    <w:p w14:paraId="2D2F5318" w14:textId="4A0F8104" w:rsidR="001E07EE" w:rsidRPr="00C10D9A" w:rsidRDefault="001E07EE" w:rsidP="00950D93">
      <w:pPr>
        <w:pStyle w:val="Heading2"/>
        <w:spacing w:line="360" w:lineRule="auto"/>
        <w:rPr>
          <w:sz w:val="24"/>
          <w:szCs w:val="24"/>
        </w:rPr>
      </w:pPr>
      <w:bookmarkStart w:id="20" w:name="_Toc237351811"/>
      <w:r w:rsidRPr="00C10D9A">
        <w:rPr>
          <w:sz w:val="24"/>
          <w:szCs w:val="24"/>
        </w:rPr>
        <w:lastRenderedPageBreak/>
        <w:t>5.4 Analysis</w:t>
      </w:r>
      <w:bookmarkEnd w:id="20"/>
      <w:r w:rsidRPr="00C10D9A">
        <w:rPr>
          <w:sz w:val="24"/>
          <w:szCs w:val="24"/>
        </w:rPr>
        <w:t xml:space="preserve"> </w:t>
      </w:r>
    </w:p>
    <w:p w14:paraId="47F72214" w14:textId="20DAD80C" w:rsidR="001E07EE" w:rsidRDefault="001E07EE" w:rsidP="00950D93">
      <w:pPr>
        <w:spacing w:line="360" w:lineRule="auto"/>
        <w:jc w:val="both"/>
        <w:rPr>
          <w:rFonts w:ascii="Arial" w:hAnsi="Arial" w:cs="Arial"/>
        </w:rPr>
      </w:pPr>
      <w:r w:rsidRPr="001E07EE">
        <w:rPr>
          <w:rFonts w:ascii="Arial" w:hAnsi="Arial" w:cs="Arial"/>
        </w:rPr>
        <w:t xml:space="preserve">After considering why such instances occurred, it became evident that application of strategic management concepts to actual energy companies calls for going beyond linear reasoning. While writing earlier versions, I considered the PESTLE elements as separate external considerations. Nonetheless, the literature on strategy management (Grant, 2021) enlightened me about how the political elements of the environment (like the UK Energy Profits Levy) interrelate with internal competencies to allocate capital (Barney, 1991), which then determine strategies according to the Ansoff's (1957) matrix. </w:t>
      </w:r>
    </w:p>
    <w:p w14:paraId="0647B7C1" w14:textId="529761E3" w:rsidR="001E07EE" w:rsidRPr="00C10D9A" w:rsidRDefault="001E07EE" w:rsidP="00950D93">
      <w:pPr>
        <w:pStyle w:val="Heading2"/>
        <w:spacing w:line="360" w:lineRule="auto"/>
        <w:rPr>
          <w:sz w:val="24"/>
          <w:szCs w:val="24"/>
        </w:rPr>
      </w:pPr>
      <w:bookmarkStart w:id="21" w:name="_Toc237351812"/>
      <w:r w:rsidRPr="00C10D9A">
        <w:rPr>
          <w:sz w:val="24"/>
          <w:szCs w:val="24"/>
        </w:rPr>
        <w:t>5.5 Conclusion</w:t>
      </w:r>
      <w:bookmarkEnd w:id="21"/>
    </w:p>
    <w:p w14:paraId="4973DB20" w14:textId="08611C2B" w:rsidR="001E07EE" w:rsidRDefault="001E07EE" w:rsidP="00950D93">
      <w:pPr>
        <w:spacing w:line="360" w:lineRule="auto"/>
        <w:jc w:val="both"/>
        <w:rPr>
          <w:rFonts w:ascii="Arial" w:hAnsi="Arial" w:cs="Arial"/>
        </w:rPr>
      </w:pPr>
      <w:r w:rsidRPr="001E07EE">
        <w:rPr>
          <w:rFonts w:ascii="Arial" w:hAnsi="Arial" w:cs="Arial"/>
        </w:rPr>
        <w:t xml:space="preserve">In summary, this research and analysis process was a profoundly enriching experience that has tremendously improved my ability in strategic thinking, data synthesis, and management consultancy. I came to know that successful strategic consultancy is not about blindly implementing the theories through rigid </w:t>
      </w:r>
      <w:proofErr w:type="gramStart"/>
      <w:r w:rsidRPr="001E07EE">
        <w:rPr>
          <w:rFonts w:ascii="Arial" w:hAnsi="Arial" w:cs="Arial"/>
        </w:rPr>
        <w:t>frameworks, but</w:t>
      </w:r>
      <w:proofErr w:type="gramEnd"/>
      <w:r w:rsidRPr="001E07EE">
        <w:rPr>
          <w:rFonts w:ascii="Arial" w:hAnsi="Arial" w:cs="Arial"/>
        </w:rPr>
        <w:t xml:space="preserve"> rather using frameworks in a dynamic manner for </w:t>
      </w:r>
      <w:proofErr w:type="spellStart"/>
      <w:r w:rsidRPr="001E07EE">
        <w:rPr>
          <w:rFonts w:ascii="Arial" w:hAnsi="Arial" w:cs="Arial"/>
        </w:rPr>
        <w:t>analyzing</w:t>
      </w:r>
      <w:proofErr w:type="spellEnd"/>
      <w:r w:rsidRPr="001E07EE">
        <w:rPr>
          <w:rFonts w:ascii="Arial" w:hAnsi="Arial" w:cs="Arial"/>
        </w:rPr>
        <w:t xml:space="preserve"> complex business problems and trade-offs in an uncertain environment and arriving at actionable recommendations from these analyses (Spender, 2014). I also understood the importance of ensuring complete consistency between the CSR goals and the firm’s capital allocation strategy.</w:t>
      </w:r>
    </w:p>
    <w:p w14:paraId="70239822" w14:textId="7176731D" w:rsidR="001E07EE" w:rsidRPr="00C10D9A" w:rsidRDefault="001E07EE" w:rsidP="00950D93">
      <w:pPr>
        <w:pStyle w:val="Heading2"/>
        <w:spacing w:line="360" w:lineRule="auto"/>
        <w:rPr>
          <w:sz w:val="24"/>
          <w:szCs w:val="24"/>
        </w:rPr>
      </w:pPr>
      <w:bookmarkStart w:id="22" w:name="_Toc237351813"/>
      <w:r w:rsidRPr="00C10D9A">
        <w:rPr>
          <w:sz w:val="24"/>
          <w:szCs w:val="24"/>
        </w:rPr>
        <w:t>5.6 Action Plan</w:t>
      </w:r>
      <w:bookmarkEnd w:id="22"/>
    </w:p>
    <w:p w14:paraId="59A12514" w14:textId="0FE721AB" w:rsidR="001E07EE" w:rsidRDefault="001E07EE" w:rsidP="00950D93">
      <w:pPr>
        <w:spacing w:line="360" w:lineRule="auto"/>
        <w:jc w:val="both"/>
        <w:rPr>
          <w:rFonts w:ascii="Arial" w:hAnsi="Arial" w:cs="Arial"/>
        </w:rPr>
      </w:pPr>
      <w:r w:rsidRPr="001E07EE">
        <w:rPr>
          <w:rFonts w:ascii="Arial" w:hAnsi="Arial" w:cs="Arial"/>
        </w:rPr>
        <w:t xml:space="preserve">To expand on this learning experience through future strategic management evaluations and in my professional business career, I have come up with an effective three-step plan that I intend to put into practice </w:t>
      </w:r>
      <w:proofErr w:type="gramStart"/>
      <w:r w:rsidRPr="001E07EE">
        <w:rPr>
          <w:rFonts w:ascii="Arial" w:hAnsi="Arial" w:cs="Arial"/>
        </w:rPr>
        <w:t>in order to</w:t>
      </w:r>
      <w:proofErr w:type="gramEnd"/>
      <w:r w:rsidRPr="001E07EE">
        <w:rPr>
          <w:rFonts w:ascii="Arial" w:hAnsi="Arial" w:cs="Arial"/>
        </w:rPr>
        <w:t xml:space="preserve"> improve myself in the future. Firstly, I will set up a proper data screening process right at the beginning of my research using bibliographic tools for finding influential academic sources and primary industry data to avoid information overflow (Gibbs, 1988). </w:t>
      </w:r>
    </w:p>
    <w:p w14:paraId="28A30997" w14:textId="77777777" w:rsidR="001E07EE" w:rsidRDefault="001E07EE" w:rsidP="00950D93">
      <w:pPr>
        <w:spacing w:line="360" w:lineRule="auto"/>
        <w:rPr>
          <w:rFonts w:ascii="Arial" w:hAnsi="Arial" w:cs="Arial"/>
        </w:rPr>
      </w:pPr>
    </w:p>
    <w:p w14:paraId="5F59ECB3" w14:textId="77777777" w:rsidR="00C10D9A" w:rsidRDefault="00C10D9A" w:rsidP="00950D93">
      <w:pPr>
        <w:spacing w:line="360" w:lineRule="auto"/>
        <w:rPr>
          <w:rFonts w:ascii="Arial" w:hAnsi="Arial" w:cs="Arial"/>
        </w:rPr>
      </w:pPr>
    </w:p>
    <w:p w14:paraId="341ABA1C" w14:textId="77777777" w:rsidR="00C10D9A" w:rsidRDefault="00C10D9A" w:rsidP="00950D93">
      <w:pPr>
        <w:spacing w:line="360" w:lineRule="auto"/>
        <w:rPr>
          <w:rFonts w:ascii="Arial" w:hAnsi="Arial" w:cs="Arial"/>
        </w:rPr>
      </w:pPr>
    </w:p>
    <w:p w14:paraId="61D070B5" w14:textId="77777777" w:rsidR="00C10D9A" w:rsidRDefault="00C10D9A" w:rsidP="00950D93">
      <w:pPr>
        <w:spacing w:line="360" w:lineRule="auto"/>
        <w:rPr>
          <w:rFonts w:ascii="Arial" w:hAnsi="Arial" w:cs="Arial"/>
        </w:rPr>
      </w:pPr>
    </w:p>
    <w:p w14:paraId="2C4F4EB8" w14:textId="77777777" w:rsidR="00C10D9A" w:rsidRDefault="00C10D9A" w:rsidP="00950D93">
      <w:pPr>
        <w:spacing w:line="360" w:lineRule="auto"/>
        <w:rPr>
          <w:rFonts w:ascii="Arial" w:hAnsi="Arial" w:cs="Arial"/>
        </w:rPr>
      </w:pPr>
    </w:p>
    <w:p w14:paraId="002BD719" w14:textId="77777777" w:rsidR="00C10D9A" w:rsidRDefault="00C10D9A" w:rsidP="00950D93">
      <w:pPr>
        <w:spacing w:line="360" w:lineRule="auto"/>
        <w:rPr>
          <w:rFonts w:ascii="Arial" w:hAnsi="Arial" w:cs="Arial"/>
        </w:rPr>
      </w:pPr>
    </w:p>
    <w:p w14:paraId="5BD35739" w14:textId="012523C9" w:rsidR="00B9647F" w:rsidRPr="00C10D9A" w:rsidRDefault="00B9647F" w:rsidP="00950D93">
      <w:pPr>
        <w:pStyle w:val="Heading1"/>
        <w:spacing w:line="360" w:lineRule="auto"/>
        <w:rPr>
          <w:sz w:val="24"/>
          <w:szCs w:val="24"/>
        </w:rPr>
      </w:pPr>
      <w:bookmarkStart w:id="23" w:name="_Toc237351814"/>
      <w:r w:rsidRPr="00C10D9A">
        <w:rPr>
          <w:sz w:val="24"/>
          <w:szCs w:val="24"/>
        </w:rPr>
        <w:t>Reference</w:t>
      </w:r>
      <w:bookmarkEnd w:id="23"/>
      <w:r w:rsidRPr="00C10D9A">
        <w:rPr>
          <w:sz w:val="24"/>
          <w:szCs w:val="24"/>
        </w:rPr>
        <w:t xml:space="preserve"> </w:t>
      </w:r>
    </w:p>
    <w:p w14:paraId="196E9E09" w14:textId="77777777" w:rsidR="00C10D9A" w:rsidRDefault="00B9647F" w:rsidP="00950D93">
      <w:pPr>
        <w:pStyle w:val="NoSpacing"/>
        <w:spacing w:line="360" w:lineRule="auto"/>
      </w:pPr>
      <w:r>
        <w:t>Ansoff, H.I. (1957) 'Strategies for Diversification', Harvard Business Review, 35(5), pp. 113-124.</w:t>
      </w:r>
    </w:p>
    <w:p w14:paraId="4204E861" w14:textId="491A850A" w:rsidR="00B9647F" w:rsidRPr="00D347E2" w:rsidRDefault="00B9647F" w:rsidP="00950D93">
      <w:pPr>
        <w:pStyle w:val="NoSpacing"/>
        <w:spacing w:line="360" w:lineRule="auto"/>
        <w:rPr>
          <w:rFonts w:cs="Arial"/>
        </w:rPr>
      </w:pPr>
      <w:r>
        <w:br/>
        <w:t>BEIS (2023) Electricity Generation Costs 2023. London: Department for Business, Energy &amp; Industrial Strategy.</w:t>
      </w:r>
      <w:r>
        <w:br/>
      </w:r>
      <w:r>
        <w:br/>
        <w:t>BP (2024a) BP Annual Report and Form 20-F 2023. London: BP plc.</w:t>
      </w:r>
      <w:r>
        <w:br/>
      </w:r>
      <w:r>
        <w:br/>
        <w:t>BP (2024b) BP in the UK: Transforming Energy Systems. London: BP plc.</w:t>
      </w:r>
      <w:r>
        <w:br/>
      </w:r>
      <w:r>
        <w:br/>
        <w:t>Bank of England (2024) Monetary Policy Report - February 2024. London: Bank of England.</w:t>
      </w:r>
      <w:r>
        <w:br/>
      </w:r>
      <w:r>
        <w:br/>
        <w:t>Barney, J.B. (1991) 'Firm Resources and Sustained Competitive Advantage', Journal of Management, 17(1), pp. 99-120.</w:t>
      </w:r>
      <w:r>
        <w:br/>
      </w:r>
      <w:r>
        <w:br/>
        <w:t>CMA (2023) Supply of Road Fuel in the UK Market Study: Final Report. London: Competition and Markets Authority.</w:t>
      </w:r>
      <w:r>
        <w:br/>
      </w:r>
      <w:r>
        <w:br/>
        <w:t>ClientEarth (2023) Legal Action Against BP Directors Over Climate Risk Management. London: ClientEarth Communications.</w:t>
      </w:r>
      <w:r>
        <w:br/>
      </w:r>
      <w:r>
        <w:br/>
        <w:t>Climate Change Committee (2023) Progress in Reducing Emissions: 2023 Report to Parliament. London: CCC.</w:t>
      </w:r>
      <w:r>
        <w:br/>
      </w:r>
      <w:r>
        <w:br/>
        <w:t>Crown Estate (2021) Offshore Wind Leasing Round 4: Opportunity Assessment. London: The Crown Estate.</w:t>
      </w:r>
      <w:r>
        <w:br/>
      </w:r>
      <w:r>
        <w:lastRenderedPageBreak/>
        <w:br/>
        <w:t>DESNZ (2024) Delivering Net Zero: UK Energy Policy Strategy 2024. London: Department for Energy Security and Net Zero.</w:t>
      </w:r>
      <w:r>
        <w:br/>
      </w:r>
      <w:r>
        <w:br/>
        <w:t>Elkington, J. (1997) Cannibals with Forks: The Triple Bottom Line of 21st Century Business. Oxford: Capstone Publishing.</w:t>
      </w:r>
      <w:r>
        <w:br/>
      </w:r>
      <w:r>
        <w:br/>
        <w:t>Gibbs, G. (1988) Learning by Doing: A Guide to Teaching and Learning Methods. Further Education Unit. Oxford: Oxford Polytechnic.</w:t>
      </w:r>
      <w:r>
        <w:br/>
      </w:r>
      <w:r>
        <w:br/>
        <w:t xml:space="preserve">Grant, R.M. (2021) Contemporary Strategy Analysis. 11th </w:t>
      </w:r>
      <w:proofErr w:type="spellStart"/>
      <w:r>
        <w:t>edn</w:t>
      </w:r>
      <w:proofErr w:type="spellEnd"/>
      <w:r>
        <w:t>. Chichester: John Wiley &amp; Sons.</w:t>
      </w:r>
      <w:r>
        <w:br/>
      </w:r>
      <w:r>
        <w:br/>
        <w:t>HM Treasury (2024) Energy Profits Levy Guidance and Autumn Statement Adjustments. London: HM Treasury.</w:t>
      </w:r>
      <w:r>
        <w:br/>
      </w:r>
      <w:r>
        <w:br/>
        <w:t>Helm, D. (2021) Net Zero: How We Stop Climate Change. London: William Collins.</w:t>
      </w:r>
      <w:r>
        <w:br/>
      </w:r>
      <w:r>
        <w:br/>
        <w:t>IEA (2023) Renewable Energy Market Update: Outlook for 2023 and 2024. Paris: International Energy Agency.</w:t>
      </w:r>
      <w:r>
        <w:br/>
      </w:r>
      <w:r>
        <w:br/>
        <w:t>IRENA (2024) Renewable Power Generation Costs in 2023. Abu Dhabi: International Renewable Energy Agency.</w:t>
      </w:r>
      <w:r>
        <w:br/>
      </w:r>
      <w:r>
        <w:br/>
        <w:t>Kaplan, R.S. and Norton, D.P. (1992) 'The Balanced Scorecard - Measures that Drive Performance', Harvard Business Review, 70(1), pp. 71-79.</w:t>
      </w:r>
      <w:r>
        <w:br/>
      </w:r>
      <w:r>
        <w:br/>
        <w:t xml:space="preserve">National Grid (2023) Electricity </w:t>
      </w:r>
      <w:proofErr w:type="gramStart"/>
      <w:r>
        <w:t>Ten Year</w:t>
      </w:r>
      <w:proofErr w:type="gramEnd"/>
      <w:r>
        <w:t xml:space="preserve"> Statement 2023. Warwick: National Grid ESO.</w:t>
      </w:r>
      <w:r>
        <w:br/>
      </w:r>
      <w:r>
        <w:br/>
        <w:t>Porter, M.E. (1979) 'How Competitive Forces Shape Strategy', Harvard Business Review, 57(2), pp. 137-145.</w:t>
      </w:r>
      <w:r>
        <w:br/>
      </w:r>
      <w:r>
        <w:br/>
      </w:r>
      <w:r>
        <w:lastRenderedPageBreak/>
        <w:t>Porter, M.E. (1985) Competitive Advantage: Creating and Sustaining Superior Performance. New York: Free Press.</w:t>
      </w:r>
      <w:r>
        <w:br/>
      </w:r>
      <w:r>
        <w:br/>
        <w:t>Porter, M.E. and Kramer, M.R. (2011) 'Creating Shared Value', Harvard Business Review, 89(1/2), pp. 62-77.</w:t>
      </w:r>
      <w:r>
        <w:br/>
      </w:r>
      <w:r>
        <w:br/>
        <w:t>Spender, J.C. (2014) Business Strategy: Managing Uncertainty, Opportunity, and Enterprise. Oxford: Oxford University Press.</w:t>
      </w:r>
      <w:r>
        <w:br/>
      </w:r>
      <w:r>
        <w:br/>
      </w:r>
      <w:proofErr w:type="spellStart"/>
      <w:r>
        <w:t>Zapmap</w:t>
      </w:r>
      <w:proofErr w:type="spellEnd"/>
      <w:r>
        <w:t xml:space="preserve"> (2024) EV Charging Infrastructure Statistics 2024. Bristol: </w:t>
      </w:r>
      <w:proofErr w:type="spellStart"/>
      <w:r>
        <w:t>Zapmap</w:t>
      </w:r>
      <w:proofErr w:type="spellEnd"/>
      <w:r>
        <w:t xml:space="preserve"> Ltd.</w:t>
      </w:r>
      <w:r>
        <w:br/>
      </w:r>
      <w:r>
        <w:br/>
      </w:r>
    </w:p>
    <w:sectPr w:rsidR="00B9647F" w:rsidRPr="00D347E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3A763" w14:textId="77777777" w:rsidR="00796569" w:rsidRDefault="00796569" w:rsidP="00253FD1">
      <w:pPr>
        <w:spacing w:after="0" w:line="240" w:lineRule="auto"/>
      </w:pPr>
      <w:r>
        <w:separator/>
      </w:r>
    </w:p>
  </w:endnote>
  <w:endnote w:type="continuationSeparator" w:id="0">
    <w:p w14:paraId="799766D9" w14:textId="77777777" w:rsidR="00796569" w:rsidRDefault="00796569" w:rsidP="00253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4475491"/>
      <w:docPartObj>
        <w:docPartGallery w:val="Page Numbers (Bottom of Page)"/>
        <w:docPartUnique/>
      </w:docPartObj>
    </w:sdtPr>
    <w:sdtEndPr>
      <w:rPr>
        <w:color w:val="7F7F7F" w:themeColor="background1" w:themeShade="7F"/>
        <w:spacing w:val="60"/>
      </w:rPr>
    </w:sdtEndPr>
    <w:sdtContent>
      <w:p w14:paraId="22779C7D" w14:textId="645C241C" w:rsidR="00253FD1" w:rsidRDefault="00253FD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3246712" w14:textId="77777777" w:rsidR="00253FD1" w:rsidRDefault="00253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A411E" w14:textId="77777777" w:rsidR="00796569" w:rsidRDefault="00796569" w:rsidP="00253FD1">
      <w:pPr>
        <w:spacing w:after="0" w:line="240" w:lineRule="auto"/>
      </w:pPr>
      <w:r>
        <w:separator/>
      </w:r>
    </w:p>
  </w:footnote>
  <w:footnote w:type="continuationSeparator" w:id="0">
    <w:p w14:paraId="32B4C0CF" w14:textId="77777777" w:rsidR="00796569" w:rsidRDefault="00796569" w:rsidP="00253F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A84"/>
    <w:rsid w:val="00054A84"/>
    <w:rsid w:val="000E6A7D"/>
    <w:rsid w:val="00144C63"/>
    <w:rsid w:val="001977E6"/>
    <w:rsid w:val="001E07EE"/>
    <w:rsid w:val="002004AA"/>
    <w:rsid w:val="00233A09"/>
    <w:rsid w:val="00253FD1"/>
    <w:rsid w:val="002560F6"/>
    <w:rsid w:val="00385EB4"/>
    <w:rsid w:val="003A4FC7"/>
    <w:rsid w:val="00560AE9"/>
    <w:rsid w:val="005C3468"/>
    <w:rsid w:val="006D26B8"/>
    <w:rsid w:val="006F2FD5"/>
    <w:rsid w:val="00711340"/>
    <w:rsid w:val="00796569"/>
    <w:rsid w:val="007F689B"/>
    <w:rsid w:val="008264D4"/>
    <w:rsid w:val="008947DF"/>
    <w:rsid w:val="008D578B"/>
    <w:rsid w:val="00950D93"/>
    <w:rsid w:val="009C1CF7"/>
    <w:rsid w:val="009C4651"/>
    <w:rsid w:val="009D4447"/>
    <w:rsid w:val="009E3240"/>
    <w:rsid w:val="00A6770B"/>
    <w:rsid w:val="00A76C45"/>
    <w:rsid w:val="00B20EBB"/>
    <w:rsid w:val="00B9647F"/>
    <w:rsid w:val="00BF55E6"/>
    <w:rsid w:val="00C016E9"/>
    <w:rsid w:val="00C10D9A"/>
    <w:rsid w:val="00C77A47"/>
    <w:rsid w:val="00D150B0"/>
    <w:rsid w:val="00D347E2"/>
    <w:rsid w:val="00D50B7D"/>
    <w:rsid w:val="00DA0568"/>
    <w:rsid w:val="00E01B00"/>
    <w:rsid w:val="00E51E94"/>
    <w:rsid w:val="00E826F0"/>
    <w:rsid w:val="00E967C4"/>
    <w:rsid w:val="00F86058"/>
    <w:rsid w:val="00FD1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F57BC"/>
  <w15:chartTrackingRefBased/>
  <w15:docId w15:val="{E111BD91-897B-441C-8566-9561742E0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A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4A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4A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4A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4A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4A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4A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4A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4A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A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4A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4A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4A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4A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4A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4A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4A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4A84"/>
    <w:rPr>
      <w:rFonts w:eastAsiaTheme="majorEastAsia" w:cstheme="majorBidi"/>
      <w:color w:val="272727" w:themeColor="text1" w:themeTint="D8"/>
    </w:rPr>
  </w:style>
  <w:style w:type="paragraph" w:styleId="Title">
    <w:name w:val="Title"/>
    <w:basedOn w:val="Normal"/>
    <w:next w:val="Normal"/>
    <w:link w:val="TitleChar"/>
    <w:uiPriority w:val="10"/>
    <w:qFormat/>
    <w:rsid w:val="00054A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4A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4A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4A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A84"/>
    <w:pPr>
      <w:spacing w:before="160"/>
      <w:jc w:val="center"/>
    </w:pPr>
    <w:rPr>
      <w:i/>
      <w:iCs/>
      <w:color w:val="404040" w:themeColor="text1" w:themeTint="BF"/>
    </w:rPr>
  </w:style>
  <w:style w:type="character" w:customStyle="1" w:styleId="QuoteChar">
    <w:name w:val="Quote Char"/>
    <w:basedOn w:val="DefaultParagraphFont"/>
    <w:link w:val="Quote"/>
    <w:uiPriority w:val="29"/>
    <w:rsid w:val="00054A84"/>
    <w:rPr>
      <w:i/>
      <w:iCs/>
      <w:color w:val="404040" w:themeColor="text1" w:themeTint="BF"/>
    </w:rPr>
  </w:style>
  <w:style w:type="paragraph" w:styleId="ListParagraph">
    <w:name w:val="List Paragraph"/>
    <w:basedOn w:val="Normal"/>
    <w:uiPriority w:val="34"/>
    <w:qFormat/>
    <w:rsid w:val="00054A84"/>
    <w:pPr>
      <w:ind w:left="720"/>
      <w:contextualSpacing/>
    </w:pPr>
  </w:style>
  <w:style w:type="character" w:styleId="IntenseEmphasis">
    <w:name w:val="Intense Emphasis"/>
    <w:basedOn w:val="DefaultParagraphFont"/>
    <w:uiPriority w:val="21"/>
    <w:qFormat/>
    <w:rsid w:val="00054A84"/>
    <w:rPr>
      <w:i/>
      <w:iCs/>
      <w:color w:val="0F4761" w:themeColor="accent1" w:themeShade="BF"/>
    </w:rPr>
  </w:style>
  <w:style w:type="paragraph" w:styleId="IntenseQuote">
    <w:name w:val="Intense Quote"/>
    <w:basedOn w:val="Normal"/>
    <w:next w:val="Normal"/>
    <w:link w:val="IntenseQuoteChar"/>
    <w:uiPriority w:val="30"/>
    <w:qFormat/>
    <w:rsid w:val="00054A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4A84"/>
    <w:rPr>
      <w:i/>
      <w:iCs/>
      <w:color w:val="0F4761" w:themeColor="accent1" w:themeShade="BF"/>
    </w:rPr>
  </w:style>
  <w:style w:type="character" w:styleId="IntenseReference">
    <w:name w:val="Intense Reference"/>
    <w:basedOn w:val="DefaultParagraphFont"/>
    <w:uiPriority w:val="32"/>
    <w:qFormat/>
    <w:rsid w:val="00054A84"/>
    <w:rPr>
      <w:b/>
      <w:bCs/>
      <w:smallCaps/>
      <w:color w:val="0F4761" w:themeColor="accent1" w:themeShade="BF"/>
      <w:spacing w:val="5"/>
    </w:rPr>
  </w:style>
  <w:style w:type="paragraph" w:styleId="NoSpacing">
    <w:name w:val="No Spacing"/>
    <w:uiPriority w:val="1"/>
    <w:qFormat/>
    <w:rsid w:val="00B9647F"/>
    <w:pPr>
      <w:spacing w:after="0" w:line="240" w:lineRule="auto"/>
    </w:pPr>
  </w:style>
  <w:style w:type="paragraph" w:styleId="TOCHeading">
    <w:name w:val="TOC Heading"/>
    <w:basedOn w:val="Heading1"/>
    <w:next w:val="Normal"/>
    <w:uiPriority w:val="39"/>
    <w:unhideWhenUsed/>
    <w:qFormat/>
    <w:rsid w:val="00E01B0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01B00"/>
    <w:pPr>
      <w:spacing w:after="100"/>
    </w:pPr>
  </w:style>
  <w:style w:type="paragraph" w:styleId="TOC2">
    <w:name w:val="toc 2"/>
    <w:basedOn w:val="Normal"/>
    <w:next w:val="Normal"/>
    <w:autoRedefine/>
    <w:uiPriority w:val="39"/>
    <w:unhideWhenUsed/>
    <w:rsid w:val="00E01B00"/>
    <w:pPr>
      <w:spacing w:after="100"/>
      <w:ind w:left="240"/>
    </w:pPr>
  </w:style>
  <w:style w:type="character" w:styleId="Hyperlink">
    <w:name w:val="Hyperlink"/>
    <w:basedOn w:val="DefaultParagraphFont"/>
    <w:uiPriority w:val="99"/>
    <w:unhideWhenUsed/>
    <w:rsid w:val="00E01B00"/>
    <w:rPr>
      <w:color w:val="467886" w:themeColor="hyperlink"/>
      <w:u w:val="single"/>
    </w:rPr>
  </w:style>
  <w:style w:type="paragraph" w:styleId="Header">
    <w:name w:val="header"/>
    <w:basedOn w:val="Normal"/>
    <w:link w:val="HeaderChar"/>
    <w:uiPriority w:val="99"/>
    <w:unhideWhenUsed/>
    <w:rsid w:val="00253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FD1"/>
  </w:style>
  <w:style w:type="paragraph" w:styleId="Footer">
    <w:name w:val="footer"/>
    <w:basedOn w:val="Normal"/>
    <w:link w:val="FooterChar"/>
    <w:uiPriority w:val="99"/>
    <w:unhideWhenUsed/>
    <w:rsid w:val="00253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8C878-9CC5-470C-9BC4-3A0336B01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6389</Words>
  <Characters>36420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vivek Patel</dc:creator>
  <cp:keywords/>
  <dc:description/>
  <cp:lastModifiedBy>vivek Patel</cp:lastModifiedBy>
  <cp:revision>29</cp:revision>
  <dcterms:created xsi:type="dcterms:W3CDTF">2026-08-10T18:17:00Z</dcterms:created>
  <dcterms:modified xsi:type="dcterms:W3CDTF">2026-08-11T22:28:00Z</dcterms:modified>
</cp:coreProperties>
</file>