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342857535"/>
        <w:docPartObj>
          <w:docPartGallery w:val="Cover Pages"/>
          <w:docPartUnique/>
        </w:docPartObj>
      </w:sdtPr>
      <w:sdtEndPr/>
      <w:sdtContent>
        <w:p w14:paraId="0266D084" w14:textId="5D45C09B" w:rsidR="00365096" w:rsidRDefault="00365096">
          <w:r>
            <w:rPr>
              <w:noProof/>
            </w:rPr>
            <mc:AlternateContent>
              <mc:Choice Requires="wps">
                <w:drawing>
                  <wp:anchor distT="0" distB="0" distL="114300" distR="114300" simplePos="0" relativeHeight="251659264" behindDoc="1" locked="0" layoutInCell="1" allowOverlap="0" wp14:anchorId="3D59FC25" wp14:editId="402AE705">
                    <wp:simplePos x="0" y="0"/>
                    <wp:positionH relativeFrom="page">
                      <wp:align>center</wp:align>
                    </wp:positionH>
                    <wp:positionV relativeFrom="page">
                      <wp:align>center</wp:align>
                    </wp:positionV>
                    <wp:extent cx="6858000" cy="9144000"/>
                    <wp:effectExtent l="0" t="0" r="0" b="0"/>
                    <wp:wrapNone/>
                    <wp:docPr id="8" name="Text Box 8"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365096" w14:paraId="14B9C3F8" w14:textId="77777777">
                                  <w:trPr>
                                    <w:trHeight w:hRule="exact" w:val="9360"/>
                                  </w:trPr>
                                  <w:tc>
                                    <w:tcPr>
                                      <w:tcW w:w="5000" w:type="pct"/>
                                    </w:tcPr>
                                    <w:p w14:paraId="250D927E" w14:textId="77777777" w:rsidR="00365096" w:rsidRDefault="00365096">
                                      <w:r>
                                        <w:rPr>
                                          <w:noProof/>
                                        </w:rPr>
                                        <w:drawing>
                                          <wp:inline distT="0" distB="0" distL="0" distR="0" wp14:anchorId="4FFC2869" wp14:editId="17A725EE">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5">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365096" w14:paraId="5408DB34" w14:textId="77777777">
                                  <w:trPr>
                                    <w:trHeight w:hRule="exact" w:val="4320"/>
                                  </w:trPr>
                                  <w:tc>
                                    <w:tcPr>
                                      <w:tcW w:w="5000" w:type="pct"/>
                                      <w:shd w:val="clear" w:color="auto" w:fill="4472C4" w:themeFill="accent1"/>
                                      <w:vAlign w:val="center"/>
                                    </w:tcPr>
                                    <w:p w14:paraId="49AB848C" w14:textId="3B6FA499" w:rsidR="00365096" w:rsidRPr="00365096" w:rsidRDefault="00FA436E" w:rsidP="00365096">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365096">
                                            <w:rPr>
                                              <w:rFonts w:asciiTheme="majorHAnsi" w:hAnsiTheme="majorHAnsi"/>
                                              <w:color w:val="FFFFFF" w:themeColor="background1"/>
                                              <w:sz w:val="96"/>
                                              <w:szCs w:val="96"/>
                                            </w:rPr>
                                            <w:t>Public Law.</w:t>
                                          </w:r>
                                        </w:sdtContent>
                                      </w:sdt>
                                      <w:r w:rsidR="00365096">
                                        <w:rPr>
                                          <w:color w:val="FFFFFF" w:themeColor="background1"/>
                                          <w:sz w:val="32"/>
                                          <w:szCs w:val="32"/>
                                        </w:rPr>
                                        <w:t xml:space="preserve"> </w:t>
                                      </w:r>
                                    </w:p>
                                  </w:tc>
                                </w:tr>
                                <w:tr w:rsidR="00365096" w14:paraId="1C0AE1C5"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365096" w14:paraId="614FFA0D"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72CE4CC1" w14:textId="4546E169" w:rsidR="00365096" w:rsidRDefault="00365096">
                                                <w:pPr>
                                                  <w:pStyle w:val="NoSpacing"/>
                                                  <w:ind w:left="144" w:right="144"/>
                                                  <w:jc w:val="center"/>
                                                  <w:rPr>
                                                    <w:color w:val="FFFFFF" w:themeColor="background1"/>
                                                  </w:rPr>
                                                </w:pPr>
                                                <w:r>
                                                  <w:rPr>
                                                    <w:color w:val="FFFFFF" w:themeColor="background1"/>
                                                  </w:rPr>
                                                  <w:t>Melenie Jane Box</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20-12-23T00:00:00Z">
                                                <w:dateFormat w:val="M/d/yy"/>
                                                <w:lid w:val="en-US"/>
                                                <w:storeMappedDataAs w:val="dateTime"/>
                                                <w:calendar w:val="gregorian"/>
                                              </w:date>
                                            </w:sdtPr>
                                            <w:sdtEndPr/>
                                            <w:sdtContent>
                                              <w:p w14:paraId="6F637368" w14:textId="57A361BE" w:rsidR="00365096" w:rsidRDefault="00365096">
                                                <w:pPr>
                                                  <w:pStyle w:val="NoSpacing"/>
                                                  <w:ind w:left="144" w:right="144"/>
                                                  <w:jc w:val="center"/>
                                                  <w:rPr>
                                                    <w:color w:val="FFFFFF" w:themeColor="background1"/>
                                                  </w:rPr>
                                                </w:pPr>
                                                <w:r>
                                                  <w:rPr>
                                                    <w:color w:val="FFFFFF" w:themeColor="background1"/>
                                                  </w:rPr>
                                                  <w:t>12/23/20</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554F612E" w14:textId="180FADAE" w:rsidR="00365096" w:rsidRDefault="00365096">
                                                <w:pPr>
                                                  <w:pStyle w:val="NoSpacing"/>
                                                  <w:ind w:left="144" w:right="720"/>
                                                  <w:jc w:val="right"/>
                                                  <w:rPr>
                                                    <w:color w:val="FFFFFF" w:themeColor="background1"/>
                                                  </w:rPr>
                                                </w:pPr>
                                                <w:r>
                                                  <w:rPr>
                                                    <w:color w:val="FFFFFF" w:themeColor="background1"/>
                                                  </w:rPr>
                                                  <w:t>BMLW4004.</w:t>
                                                </w:r>
                                              </w:p>
                                            </w:tc>
                                          </w:sdtContent>
                                        </w:sdt>
                                      </w:tr>
                                    </w:tbl>
                                    <w:p w14:paraId="5438A47B" w14:textId="77777777" w:rsidR="00365096" w:rsidRDefault="00365096"/>
                                  </w:tc>
                                </w:tr>
                              </w:tbl>
                              <w:p w14:paraId="6884094C" w14:textId="77777777" w:rsidR="00365096" w:rsidRDefault="00365096"/>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D59FC25" id="_x0000_t202" coordsize="21600,21600" o:spt="202" path="m,l,21600r21600,l21600,xe">
                    <v:stroke joinstyle="miter"/>
                    <v:path gradientshapeok="t" o:connecttype="rect"/>
                  </v:shapetype>
                  <v:shape id="Text Box 8"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365096" w14:paraId="14B9C3F8" w14:textId="77777777">
                            <w:trPr>
                              <w:trHeight w:hRule="exact" w:val="9360"/>
                            </w:trPr>
                            <w:tc>
                              <w:tcPr>
                                <w:tcW w:w="5000" w:type="pct"/>
                              </w:tcPr>
                              <w:p w14:paraId="250D927E" w14:textId="77777777" w:rsidR="00365096" w:rsidRDefault="00365096">
                                <w:r>
                                  <w:rPr>
                                    <w:noProof/>
                                  </w:rPr>
                                  <w:drawing>
                                    <wp:inline distT="0" distB="0" distL="0" distR="0" wp14:anchorId="4FFC2869" wp14:editId="17A725EE">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5">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365096" w14:paraId="5408DB34" w14:textId="77777777">
                            <w:trPr>
                              <w:trHeight w:hRule="exact" w:val="4320"/>
                            </w:trPr>
                            <w:tc>
                              <w:tcPr>
                                <w:tcW w:w="5000" w:type="pct"/>
                                <w:shd w:val="clear" w:color="auto" w:fill="4472C4" w:themeFill="accent1"/>
                                <w:vAlign w:val="center"/>
                              </w:tcPr>
                              <w:p w14:paraId="49AB848C" w14:textId="3B6FA499" w:rsidR="00365096" w:rsidRPr="00365096" w:rsidRDefault="00FA436E" w:rsidP="00365096">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365096">
                                      <w:rPr>
                                        <w:rFonts w:asciiTheme="majorHAnsi" w:hAnsiTheme="majorHAnsi"/>
                                        <w:color w:val="FFFFFF" w:themeColor="background1"/>
                                        <w:sz w:val="96"/>
                                        <w:szCs w:val="96"/>
                                      </w:rPr>
                                      <w:t>Public Law.</w:t>
                                    </w:r>
                                  </w:sdtContent>
                                </w:sdt>
                                <w:r w:rsidR="00365096">
                                  <w:rPr>
                                    <w:color w:val="FFFFFF" w:themeColor="background1"/>
                                    <w:sz w:val="32"/>
                                    <w:szCs w:val="32"/>
                                  </w:rPr>
                                  <w:t xml:space="preserve"> </w:t>
                                </w:r>
                              </w:p>
                            </w:tc>
                          </w:tr>
                          <w:tr w:rsidR="00365096" w14:paraId="1C0AE1C5"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365096" w14:paraId="614FFA0D"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72CE4CC1" w14:textId="4546E169" w:rsidR="00365096" w:rsidRDefault="00365096">
                                          <w:pPr>
                                            <w:pStyle w:val="NoSpacing"/>
                                            <w:ind w:left="144" w:right="144"/>
                                            <w:jc w:val="center"/>
                                            <w:rPr>
                                              <w:color w:val="FFFFFF" w:themeColor="background1"/>
                                            </w:rPr>
                                          </w:pPr>
                                          <w:r>
                                            <w:rPr>
                                              <w:color w:val="FFFFFF" w:themeColor="background1"/>
                                            </w:rPr>
                                            <w:t>Melenie Jane Box</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20-12-23T00:00:00Z">
                                          <w:dateFormat w:val="M/d/yy"/>
                                          <w:lid w:val="en-US"/>
                                          <w:storeMappedDataAs w:val="dateTime"/>
                                          <w:calendar w:val="gregorian"/>
                                        </w:date>
                                      </w:sdtPr>
                                      <w:sdtEndPr/>
                                      <w:sdtContent>
                                        <w:p w14:paraId="6F637368" w14:textId="57A361BE" w:rsidR="00365096" w:rsidRDefault="00365096">
                                          <w:pPr>
                                            <w:pStyle w:val="NoSpacing"/>
                                            <w:ind w:left="144" w:right="144"/>
                                            <w:jc w:val="center"/>
                                            <w:rPr>
                                              <w:color w:val="FFFFFF" w:themeColor="background1"/>
                                            </w:rPr>
                                          </w:pPr>
                                          <w:r>
                                            <w:rPr>
                                              <w:color w:val="FFFFFF" w:themeColor="background1"/>
                                            </w:rPr>
                                            <w:t>12/23/20</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554F612E" w14:textId="180FADAE" w:rsidR="00365096" w:rsidRDefault="00365096">
                                          <w:pPr>
                                            <w:pStyle w:val="NoSpacing"/>
                                            <w:ind w:left="144" w:right="720"/>
                                            <w:jc w:val="right"/>
                                            <w:rPr>
                                              <w:color w:val="FFFFFF" w:themeColor="background1"/>
                                            </w:rPr>
                                          </w:pPr>
                                          <w:r>
                                            <w:rPr>
                                              <w:color w:val="FFFFFF" w:themeColor="background1"/>
                                            </w:rPr>
                                            <w:t>BMLW4004.</w:t>
                                          </w:r>
                                        </w:p>
                                      </w:tc>
                                    </w:sdtContent>
                                  </w:sdt>
                                </w:tr>
                              </w:tbl>
                              <w:p w14:paraId="5438A47B" w14:textId="77777777" w:rsidR="00365096" w:rsidRDefault="00365096"/>
                            </w:tc>
                          </w:tr>
                        </w:tbl>
                        <w:p w14:paraId="6884094C" w14:textId="77777777" w:rsidR="00365096" w:rsidRDefault="00365096"/>
                      </w:txbxContent>
                    </v:textbox>
                    <w10:wrap anchorx="page" anchory="page"/>
                  </v:shape>
                </w:pict>
              </mc:Fallback>
            </mc:AlternateContent>
          </w:r>
        </w:p>
        <w:p w14:paraId="2D889513" w14:textId="48ED718C" w:rsidR="00365096" w:rsidRDefault="00365096">
          <w:r>
            <w:br w:type="page"/>
          </w:r>
        </w:p>
      </w:sdtContent>
    </w:sdt>
    <w:p w14:paraId="12E5CE1C" w14:textId="02DCF4E0" w:rsidR="00365096" w:rsidRDefault="00365096" w:rsidP="00365096">
      <w:pPr>
        <w:spacing w:line="480" w:lineRule="auto"/>
        <w:rPr>
          <w:rFonts w:ascii="Arial" w:hAnsi="Arial" w:cs="Arial"/>
          <w:sz w:val="24"/>
          <w:szCs w:val="24"/>
        </w:rPr>
      </w:pPr>
      <w:r>
        <w:rPr>
          <w:rFonts w:ascii="Arial" w:hAnsi="Arial" w:cs="Arial"/>
          <w:sz w:val="24"/>
          <w:szCs w:val="24"/>
        </w:rPr>
        <w:lastRenderedPageBreak/>
        <w:t>In a democratic society, freedom of expression should be granted and can only be subject to any drawn restrictions which could be necessary to protect any legitimate interests which include reputations. These would set out any standards of respect for freedom of expression. (Defining Defamation – Article 19 -2020).</w:t>
      </w:r>
    </w:p>
    <w:p w14:paraId="1BB0DE69" w14:textId="77777777" w:rsidR="00F82FB6" w:rsidRDefault="00DB6B84" w:rsidP="00365096">
      <w:pPr>
        <w:spacing w:line="480" w:lineRule="auto"/>
        <w:rPr>
          <w:rFonts w:ascii="Arial" w:hAnsi="Arial" w:cs="Arial"/>
          <w:sz w:val="24"/>
          <w:szCs w:val="24"/>
        </w:rPr>
      </w:pPr>
      <w:r>
        <w:rPr>
          <w:rFonts w:ascii="Arial" w:hAnsi="Arial" w:cs="Arial"/>
          <w:sz w:val="24"/>
          <w:szCs w:val="24"/>
        </w:rPr>
        <w:t xml:space="preserve">There is a very intricate relationship between the right to express freely </w:t>
      </w:r>
      <w:proofErr w:type="gramStart"/>
      <w:r>
        <w:rPr>
          <w:rFonts w:ascii="Arial" w:hAnsi="Arial" w:cs="Arial"/>
          <w:sz w:val="24"/>
          <w:szCs w:val="24"/>
        </w:rPr>
        <w:t>and also</w:t>
      </w:r>
      <w:proofErr w:type="gramEnd"/>
      <w:r>
        <w:rPr>
          <w:rFonts w:ascii="Arial" w:hAnsi="Arial" w:cs="Arial"/>
          <w:sz w:val="24"/>
          <w:szCs w:val="24"/>
        </w:rPr>
        <w:t xml:space="preserve"> the media’s right to freedom of speech. Freedom of speech can have </w:t>
      </w:r>
      <w:proofErr w:type="gramStart"/>
      <w:r>
        <w:rPr>
          <w:rFonts w:ascii="Arial" w:hAnsi="Arial" w:cs="Arial"/>
          <w:sz w:val="24"/>
          <w:szCs w:val="24"/>
        </w:rPr>
        <w:t>a number of</w:t>
      </w:r>
      <w:proofErr w:type="gramEnd"/>
      <w:r>
        <w:rPr>
          <w:rFonts w:ascii="Arial" w:hAnsi="Arial" w:cs="Arial"/>
          <w:sz w:val="24"/>
          <w:szCs w:val="24"/>
        </w:rPr>
        <w:t xml:space="preserve"> restraints upon which could lead to the judiciaries trying to hit upon a balance between the two. </w:t>
      </w:r>
      <w:proofErr w:type="spellStart"/>
      <w:r>
        <w:rPr>
          <w:rFonts w:ascii="Arial" w:hAnsi="Arial" w:cs="Arial"/>
          <w:sz w:val="24"/>
          <w:szCs w:val="24"/>
        </w:rPr>
        <w:t>Rowbottom</w:t>
      </w:r>
      <w:proofErr w:type="spellEnd"/>
      <w:r>
        <w:rPr>
          <w:rFonts w:ascii="Arial" w:hAnsi="Arial" w:cs="Arial"/>
          <w:sz w:val="24"/>
          <w:szCs w:val="24"/>
        </w:rPr>
        <w:t xml:space="preserve"> (2006)</w:t>
      </w:r>
      <w:r w:rsidR="00A04CED">
        <w:rPr>
          <w:rFonts w:ascii="Arial" w:hAnsi="Arial" w:cs="Arial"/>
          <w:sz w:val="24"/>
          <w:szCs w:val="24"/>
        </w:rPr>
        <w:t xml:space="preserve"> Modern Law Review, Volume 69, Issue 4.</w:t>
      </w:r>
    </w:p>
    <w:p w14:paraId="71AAD418" w14:textId="682596D8" w:rsidR="00DB6B84" w:rsidRDefault="00F82FB6" w:rsidP="00365096">
      <w:pPr>
        <w:spacing w:line="480" w:lineRule="auto"/>
        <w:rPr>
          <w:rFonts w:ascii="Arial" w:hAnsi="Arial" w:cs="Arial"/>
          <w:sz w:val="24"/>
          <w:szCs w:val="24"/>
        </w:rPr>
      </w:pPr>
      <w:r>
        <w:rPr>
          <w:rFonts w:ascii="Arial" w:hAnsi="Arial" w:cs="Arial"/>
          <w:sz w:val="24"/>
          <w:szCs w:val="24"/>
        </w:rPr>
        <w:t xml:space="preserve">The limits of expression include the right to demonstrate </w:t>
      </w:r>
      <w:proofErr w:type="gramStart"/>
      <w:r>
        <w:rPr>
          <w:rFonts w:ascii="Arial" w:hAnsi="Arial" w:cs="Arial"/>
          <w:sz w:val="24"/>
          <w:szCs w:val="24"/>
        </w:rPr>
        <w:t>and also</w:t>
      </w:r>
      <w:proofErr w:type="gramEnd"/>
      <w:r>
        <w:rPr>
          <w:rFonts w:ascii="Arial" w:hAnsi="Arial" w:cs="Arial"/>
          <w:sz w:val="24"/>
          <w:szCs w:val="24"/>
        </w:rPr>
        <w:t xml:space="preserve"> to picket, the right to vote and also the right to communicate your views digitally or written. In todays</w:t>
      </w:r>
      <w:r w:rsidR="00DB6B84">
        <w:rPr>
          <w:rFonts w:ascii="Arial" w:hAnsi="Arial" w:cs="Arial"/>
          <w:sz w:val="24"/>
          <w:szCs w:val="24"/>
        </w:rPr>
        <w:t xml:space="preserve"> </w:t>
      </w:r>
      <w:r>
        <w:rPr>
          <w:rFonts w:ascii="Arial" w:hAnsi="Arial" w:cs="Arial"/>
          <w:sz w:val="24"/>
          <w:szCs w:val="24"/>
        </w:rPr>
        <w:t>society freedom of expression is so very vital, this is within our interests to be upheld, but not to the expense of any other important rights. All rights have many responsibilities when it comes down to it. The people that exercise these may find that this has the potential to affect the lives of others. (Report of the committee on privacy and related matters (June – 1990).</w:t>
      </w:r>
    </w:p>
    <w:p w14:paraId="0518CCDD" w14:textId="6CC5BC4F" w:rsidR="000265E2" w:rsidRDefault="000265E2" w:rsidP="00365096">
      <w:pPr>
        <w:spacing w:line="480" w:lineRule="auto"/>
        <w:rPr>
          <w:rFonts w:ascii="Arial" w:hAnsi="Arial" w:cs="Arial"/>
          <w:sz w:val="24"/>
          <w:szCs w:val="24"/>
        </w:rPr>
      </w:pPr>
      <w:r>
        <w:rPr>
          <w:rFonts w:ascii="Arial" w:hAnsi="Arial" w:cs="Arial"/>
          <w:sz w:val="24"/>
          <w:szCs w:val="24"/>
        </w:rPr>
        <w:t xml:space="preserve">Section 4 was a defence to action against defamation of publications on a matter of public interest. This existing common law defence was established in that case </w:t>
      </w:r>
      <w:proofErr w:type="gramStart"/>
      <w:r>
        <w:rPr>
          <w:rFonts w:ascii="Arial" w:hAnsi="Arial" w:cs="Arial"/>
          <w:sz w:val="24"/>
          <w:szCs w:val="24"/>
        </w:rPr>
        <w:t>and also</w:t>
      </w:r>
      <w:proofErr w:type="gramEnd"/>
      <w:r>
        <w:rPr>
          <w:rFonts w:ascii="Arial" w:hAnsi="Arial" w:cs="Arial"/>
          <w:sz w:val="24"/>
          <w:szCs w:val="24"/>
        </w:rPr>
        <w:t xml:space="preserve"> any subsequent case law.  Subsection one also goes on to provide for the defence to be made available for circumstances to which the defendant shows that the statement that was complained of would form part of another statement on a matter of the publics interest. (Legislation.gov.uk). A recent example of this can be seen when back in June 2020 the Supreme court ordered a libel case retrial over judge’s barrage of hostility. </w:t>
      </w:r>
      <w:r w:rsidR="003034F0">
        <w:rPr>
          <w:rFonts w:ascii="Arial" w:hAnsi="Arial" w:cs="Arial"/>
          <w:sz w:val="24"/>
          <w:szCs w:val="24"/>
        </w:rPr>
        <w:t xml:space="preserve">This re – trial was ordered by the Supreme Court over a long running libel case after it was deemed that one of the High Court judges, Mr. </w:t>
      </w:r>
      <w:r w:rsidR="003034F0">
        <w:rPr>
          <w:rFonts w:ascii="Arial" w:hAnsi="Arial" w:cs="Arial"/>
          <w:sz w:val="24"/>
          <w:szCs w:val="24"/>
        </w:rPr>
        <w:lastRenderedPageBreak/>
        <w:t xml:space="preserve">Justice Jay, had subjected the claimant (who on this occasion was unrepresented) to a whole “barrage of hostility” and very offensive language. It had taken a unanimous ruling of five justices on this claim as this </w:t>
      </w:r>
      <w:proofErr w:type="gramStart"/>
      <w:r w:rsidR="003034F0">
        <w:rPr>
          <w:rFonts w:ascii="Arial" w:hAnsi="Arial" w:cs="Arial"/>
          <w:sz w:val="24"/>
          <w:szCs w:val="24"/>
        </w:rPr>
        <w:t>particular offensive</w:t>
      </w:r>
      <w:proofErr w:type="gramEnd"/>
      <w:r w:rsidR="003034F0">
        <w:rPr>
          <w:rFonts w:ascii="Arial" w:hAnsi="Arial" w:cs="Arial"/>
          <w:sz w:val="24"/>
          <w:szCs w:val="24"/>
        </w:rPr>
        <w:t xml:space="preserve"> article had been published in a Polish Community newspaper. This expands any interest of public defence for journalists in cases of defamation. (Owen </w:t>
      </w:r>
      <w:proofErr w:type="spellStart"/>
      <w:r w:rsidR="003034F0">
        <w:rPr>
          <w:rFonts w:ascii="Arial" w:hAnsi="Arial" w:cs="Arial"/>
          <w:sz w:val="24"/>
          <w:szCs w:val="24"/>
        </w:rPr>
        <w:t>Bowcott</w:t>
      </w:r>
      <w:proofErr w:type="spellEnd"/>
      <w:r w:rsidR="003034F0">
        <w:rPr>
          <w:rFonts w:ascii="Arial" w:hAnsi="Arial" w:cs="Arial"/>
          <w:sz w:val="24"/>
          <w:szCs w:val="24"/>
        </w:rPr>
        <w:t xml:space="preserve"> – Guardian June 2020).</w:t>
      </w:r>
    </w:p>
    <w:p w14:paraId="78D60886" w14:textId="7B99DD85" w:rsidR="007E37FC" w:rsidRDefault="007E37FC" w:rsidP="00365096">
      <w:pPr>
        <w:spacing w:line="480" w:lineRule="auto"/>
        <w:rPr>
          <w:rFonts w:ascii="Arial" w:hAnsi="Arial" w:cs="Arial"/>
          <w:sz w:val="24"/>
          <w:szCs w:val="24"/>
        </w:rPr>
      </w:pPr>
      <w:r>
        <w:rPr>
          <w:rFonts w:ascii="Arial" w:hAnsi="Arial" w:cs="Arial"/>
          <w:sz w:val="24"/>
          <w:szCs w:val="24"/>
        </w:rPr>
        <w:t xml:space="preserve">The Ministry of Justice states the law which </w:t>
      </w:r>
      <w:proofErr w:type="gramStart"/>
      <w:r>
        <w:rPr>
          <w:rFonts w:ascii="Arial" w:hAnsi="Arial" w:cs="Arial"/>
          <w:sz w:val="24"/>
          <w:szCs w:val="24"/>
        </w:rPr>
        <w:t>has to</w:t>
      </w:r>
      <w:proofErr w:type="gramEnd"/>
      <w:r>
        <w:rPr>
          <w:rFonts w:ascii="Arial" w:hAnsi="Arial" w:cs="Arial"/>
          <w:sz w:val="24"/>
          <w:szCs w:val="24"/>
        </w:rPr>
        <w:t xml:space="preserve"> govern any contempt of court is huge and there could be up to several specialist books that would cover over hundreds of pages devoted to this topic. There are a huge different number of contempt offences, so this makes it constrained for the Ministry of Justice by the time </w:t>
      </w:r>
      <w:proofErr w:type="gramStart"/>
      <w:r>
        <w:rPr>
          <w:rFonts w:ascii="Arial" w:hAnsi="Arial" w:cs="Arial"/>
          <w:sz w:val="24"/>
          <w:szCs w:val="24"/>
        </w:rPr>
        <w:t>and also</w:t>
      </w:r>
      <w:proofErr w:type="gramEnd"/>
      <w:r>
        <w:rPr>
          <w:rFonts w:ascii="Arial" w:hAnsi="Arial" w:cs="Arial"/>
          <w:sz w:val="24"/>
          <w:szCs w:val="24"/>
        </w:rPr>
        <w:t xml:space="preserve"> the available resources. Therefore, this may not be possible to obtain or produce any meaningful reform proposals for the whole of the law of contempt within its restraints. From November </w:t>
      </w:r>
      <w:r w:rsidR="005B375A">
        <w:rPr>
          <w:rFonts w:ascii="Arial" w:hAnsi="Arial" w:cs="Arial"/>
          <w:sz w:val="24"/>
          <w:szCs w:val="24"/>
        </w:rPr>
        <w:t>2012 until February 2013, four areas were identified to be in real need of a review. Those four areas were contempt by publication under the Contempt of Court Act (1981) and at common law. The publication, publishers and media, juror contempt and contempt in the face of the court. These consultations had to be made due to there being four contempt’s. The first one being that a juror had been researching a defendant on the internet, the second being a first internet contempt by publication</w:t>
      </w:r>
      <w:r w:rsidR="00CC03A8">
        <w:rPr>
          <w:rFonts w:ascii="Arial" w:hAnsi="Arial" w:cs="Arial"/>
          <w:sz w:val="24"/>
          <w:szCs w:val="24"/>
        </w:rPr>
        <w:t xml:space="preserve">. This was to do with the posting of an incriminating picture of a defendant onto digital media. The third contempt was for proceedings for the vilification of Chris Jefferies and the investigation into the murder of a Miss Joanna </w:t>
      </w:r>
      <w:proofErr w:type="spellStart"/>
      <w:r w:rsidR="00CC03A8">
        <w:rPr>
          <w:rFonts w:ascii="Arial" w:hAnsi="Arial" w:cs="Arial"/>
          <w:sz w:val="24"/>
          <w:szCs w:val="24"/>
        </w:rPr>
        <w:t>Yeates</w:t>
      </w:r>
      <w:proofErr w:type="spellEnd"/>
      <w:r w:rsidR="00CC03A8">
        <w:rPr>
          <w:rFonts w:ascii="Arial" w:hAnsi="Arial" w:cs="Arial"/>
          <w:sz w:val="24"/>
          <w:szCs w:val="24"/>
        </w:rPr>
        <w:t>, and the last one is for the publication of the prosecution of Levi Bellfield following the collapse of his case.</w:t>
      </w:r>
    </w:p>
    <w:p w14:paraId="58D43E7C" w14:textId="3F3A8CE9" w:rsidR="00CC03A8" w:rsidRDefault="00CC03A8" w:rsidP="00365096">
      <w:pPr>
        <w:spacing w:line="480" w:lineRule="auto"/>
        <w:rPr>
          <w:rFonts w:ascii="Arial" w:hAnsi="Arial" w:cs="Arial"/>
          <w:sz w:val="24"/>
          <w:szCs w:val="24"/>
        </w:rPr>
      </w:pPr>
      <w:r>
        <w:rPr>
          <w:rFonts w:ascii="Arial" w:hAnsi="Arial" w:cs="Arial"/>
          <w:sz w:val="24"/>
          <w:szCs w:val="24"/>
        </w:rPr>
        <w:t xml:space="preserve">Cases like the above all challenge what is posed by new media to any existing laws on the contempt of court which would pre – date the age of the internet. These cases </w:t>
      </w:r>
      <w:r>
        <w:rPr>
          <w:rFonts w:ascii="Arial" w:hAnsi="Arial" w:cs="Arial"/>
          <w:sz w:val="24"/>
          <w:szCs w:val="24"/>
        </w:rPr>
        <w:lastRenderedPageBreak/>
        <w:t xml:space="preserve">too would indicate a need for limits on such media coverage to protect any administration of justice </w:t>
      </w:r>
      <w:proofErr w:type="gramStart"/>
      <w:r>
        <w:rPr>
          <w:rFonts w:ascii="Arial" w:hAnsi="Arial" w:cs="Arial"/>
          <w:sz w:val="24"/>
          <w:szCs w:val="24"/>
        </w:rPr>
        <w:t>and also</w:t>
      </w:r>
      <w:proofErr w:type="gramEnd"/>
      <w:r>
        <w:rPr>
          <w:rFonts w:ascii="Arial" w:hAnsi="Arial" w:cs="Arial"/>
          <w:sz w:val="24"/>
          <w:szCs w:val="24"/>
        </w:rPr>
        <w:t xml:space="preserve"> the right to a fair </w:t>
      </w:r>
      <w:r w:rsidR="00BB0EFD">
        <w:rPr>
          <w:rFonts w:ascii="Arial" w:hAnsi="Arial" w:cs="Arial"/>
          <w:sz w:val="24"/>
          <w:szCs w:val="24"/>
        </w:rPr>
        <w:t>trial</w:t>
      </w:r>
      <w:r>
        <w:rPr>
          <w:rFonts w:ascii="Arial" w:hAnsi="Arial" w:cs="Arial"/>
          <w:sz w:val="24"/>
          <w:szCs w:val="24"/>
        </w:rPr>
        <w:t xml:space="preserve">. </w:t>
      </w:r>
      <w:r w:rsidR="00BB0EFD">
        <w:rPr>
          <w:rFonts w:ascii="Arial" w:hAnsi="Arial" w:cs="Arial"/>
          <w:sz w:val="24"/>
          <w:szCs w:val="24"/>
        </w:rPr>
        <w:t xml:space="preserve"> (Ministry of Justice).</w:t>
      </w:r>
    </w:p>
    <w:p w14:paraId="443CA4C1" w14:textId="24A540B5" w:rsidR="005B5F65" w:rsidRDefault="005B5F65" w:rsidP="00365096">
      <w:pPr>
        <w:spacing w:line="480" w:lineRule="auto"/>
        <w:rPr>
          <w:rFonts w:ascii="Arial" w:hAnsi="Arial" w:cs="Arial"/>
          <w:sz w:val="24"/>
          <w:szCs w:val="24"/>
        </w:rPr>
      </w:pPr>
      <w:r>
        <w:rPr>
          <w:rFonts w:ascii="Arial" w:hAnsi="Arial" w:cs="Arial"/>
          <w:sz w:val="24"/>
          <w:szCs w:val="24"/>
        </w:rPr>
        <w:t>Article 10 (1) of the European Convention of Human Rights states that everyone has the freedom to hold any opinion and to also receive and impart with information and ideas without the public authority’s interference.</w:t>
      </w:r>
    </w:p>
    <w:p w14:paraId="72B033D2" w14:textId="68800373" w:rsidR="005B5F65" w:rsidRDefault="005B5F65" w:rsidP="00365096">
      <w:pPr>
        <w:spacing w:line="480" w:lineRule="auto"/>
        <w:rPr>
          <w:rFonts w:ascii="Arial" w:hAnsi="Arial" w:cs="Arial"/>
          <w:sz w:val="24"/>
          <w:szCs w:val="24"/>
        </w:rPr>
      </w:pPr>
      <w:r>
        <w:rPr>
          <w:rFonts w:ascii="Arial" w:hAnsi="Arial" w:cs="Arial"/>
          <w:sz w:val="24"/>
          <w:szCs w:val="24"/>
        </w:rPr>
        <w:t>The 2013 Act of Defamation was firstly aimed at the protection of journalists and not citizens and whistle blowers. It can be said then that there is no public interest in any self - censorship over suspected wrong doings.</w:t>
      </w:r>
    </w:p>
    <w:p w14:paraId="226F8B50" w14:textId="2C40414C" w:rsidR="00975ACC" w:rsidRDefault="005B5F65" w:rsidP="00365096">
      <w:pPr>
        <w:spacing w:line="480" w:lineRule="auto"/>
        <w:rPr>
          <w:rFonts w:ascii="Arial" w:hAnsi="Arial" w:cs="Arial"/>
          <w:sz w:val="24"/>
          <w:szCs w:val="24"/>
        </w:rPr>
      </w:pPr>
      <w:r>
        <w:rPr>
          <w:rFonts w:ascii="Arial" w:hAnsi="Arial" w:cs="Arial"/>
          <w:sz w:val="24"/>
          <w:szCs w:val="24"/>
        </w:rPr>
        <w:t>In a case which involved Reynolds v Times Newspaper, Lord Bingham was to state that welfare and a convenience to a modern additional democracy which Britain and Wales have, are best given out by a decent flow of information to the public concerning, and also by a shake – up of public discussion, of matters, which are of public interest to the community.</w:t>
      </w:r>
      <w:r w:rsidR="00FB3A99">
        <w:rPr>
          <w:rFonts w:ascii="Arial" w:hAnsi="Arial" w:cs="Arial"/>
          <w:sz w:val="24"/>
          <w:szCs w:val="24"/>
        </w:rPr>
        <w:t xml:space="preserve"> </w:t>
      </w:r>
    </w:p>
    <w:p w14:paraId="7A13995C" w14:textId="77777777" w:rsidR="00975ACC" w:rsidRDefault="00975ACC" w:rsidP="00365096">
      <w:pPr>
        <w:spacing w:line="480" w:lineRule="auto"/>
        <w:rPr>
          <w:rFonts w:ascii="Arial" w:hAnsi="Arial" w:cs="Arial"/>
          <w:sz w:val="24"/>
          <w:szCs w:val="24"/>
        </w:rPr>
      </w:pPr>
      <w:proofErr w:type="spellStart"/>
      <w:r>
        <w:rPr>
          <w:rFonts w:ascii="Arial" w:hAnsi="Arial" w:cs="Arial"/>
          <w:sz w:val="24"/>
          <w:szCs w:val="24"/>
        </w:rPr>
        <w:t>Interbrew</w:t>
      </w:r>
      <w:proofErr w:type="spellEnd"/>
      <w:r>
        <w:rPr>
          <w:rFonts w:ascii="Arial" w:hAnsi="Arial" w:cs="Arial"/>
          <w:sz w:val="24"/>
          <w:szCs w:val="24"/>
        </w:rPr>
        <w:t xml:space="preserve"> SA v Financial Times Ltd went to the court of appeal, stating the advisors of the claimant’s carried out such assessments for a possible takeover by the claimant of SAB – South African Breweries. Copies of the presentation to the claimant were to include all details of the timetable takeover and the price of the bid. The claimants went on to state that these had been fabricated and were sent secretly to the defendants. These details went on to be published which had a huge impact on the prices of the claimant and SAB’s shares.</w:t>
      </w:r>
    </w:p>
    <w:p w14:paraId="3815D428" w14:textId="0525D3FD" w:rsidR="00975ACC" w:rsidRDefault="00975ACC" w:rsidP="00365096">
      <w:pPr>
        <w:spacing w:line="480" w:lineRule="auto"/>
        <w:rPr>
          <w:rFonts w:ascii="Arial" w:hAnsi="Arial" w:cs="Arial"/>
          <w:sz w:val="24"/>
          <w:szCs w:val="24"/>
        </w:rPr>
      </w:pPr>
      <w:r>
        <w:rPr>
          <w:rFonts w:ascii="Arial" w:hAnsi="Arial" w:cs="Arial"/>
          <w:sz w:val="24"/>
          <w:szCs w:val="24"/>
        </w:rPr>
        <w:t>The claimant, South African Brew</w:t>
      </w:r>
      <w:r w:rsidR="000C5C3D">
        <w:rPr>
          <w:rFonts w:ascii="Arial" w:hAnsi="Arial" w:cs="Arial"/>
          <w:sz w:val="24"/>
          <w:szCs w:val="24"/>
        </w:rPr>
        <w:t xml:space="preserve">eries applied for an order from Norwich </w:t>
      </w:r>
      <w:proofErr w:type="spellStart"/>
      <w:r w:rsidR="000C5C3D">
        <w:rPr>
          <w:rFonts w:ascii="Arial" w:hAnsi="Arial" w:cs="Arial"/>
          <w:sz w:val="24"/>
          <w:szCs w:val="24"/>
        </w:rPr>
        <w:t>Pharmacal</w:t>
      </w:r>
      <w:proofErr w:type="spellEnd"/>
      <w:r w:rsidR="000C5C3D">
        <w:rPr>
          <w:rFonts w:ascii="Arial" w:hAnsi="Arial" w:cs="Arial"/>
          <w:sz w:val="24"/>
          <w:szCs w:val="24"/>
        </w:rPr>
        <w:t xml:space="preserve">, which required the defendants to give up their copies of this document as it would assist it with tracking down the source. The defendants refused, as they wanted to protect any identity of their source, and so relied on s (10) Contempt of Court Act </w:t>
      </w:r>
      <w:r w:rsidR="000C5C3D">
        <w:rPr>
          <w:rFonts w:ascii="Arial" w:hAnsi="Arial" w:cs="Arial"/>
          <w:sz w:val="24"/>
          <w:szCs w:val="24"/>
        </w:rPr>
        <w:lastRenderedPageBreak/>
        <w:t>(1981). Lightman J went on to make the order sought so the defendants appealed. (5RB – Media and communication Law).</w:t>
      </w:r>
      <w:r>
        <w:rPr>
          <w:rFonts w:ascii="Arial" w:hAnsi="Arial" w:cs="Arial"/>
          <w:sz w:val="24"/>
          <w:szCs w:val="24"/>
        </w:rPr>
        <w:t xml:space="preserve"> </w:t>
      </w:r>
    </w:p>
    <w:p w14:paraId="2E8C1B65" w14:textId="2F0EEEC4" w:rsidR="00FB3A99" w:rsidRDefault="00FB3A99" w:rsidP="00365096">
      <w:pPr>
        <w:spacing w:line="480" w:lineRule="auto"/>
        <w:rPr>
          <w:rFonts w:ascii="Arial" w:hAnsi="Arial" w:cs="Arial"/>
          <w:sz w:val="24"/>
          <w:szCs w:val="24"/>
        </w:rPr>
      </w:pPr>
      <w:r>
        <w:rPr>
          <w:rFonts w:ascii="Arial" w:hAnsi="Arial" w:cs="Arial"/>
          <w:sz w:val="24"/>
          <w:szCs w:val="24"/>
        </w:rPr>
        <w:t xml:space="preserve">There can be no doubt </w:t>
      </w:r>
      <w:proofErr w:type="gramStart"/>
      <w:r>
        <w:rPr>
          <w:rFonts w:ascii="Arial" w:hAnsi="Arial" w:cs="Arial"/>
          <w:sz w:val="24"/>
          <w:szCs w:val="24"/>
        </w:rPr>
        <w:t>in today’s society</w:t>
      </w:r>
      <w:proofErr w:type="gramEnd"/>
      <w:r>
        <w:rPr>
          <w:rFonts w:ascii="Arial" w:hAnsi="Arial" w:cs="Arial"/>
          <w:sz w:val="24"/>
          <w:szCs w:val="24"/>
        </w:rPr>
        <w:t xml:space="preserve"> that the court of Appeal and also the Supreme court do appreciate the threat of defamation proceedings can have on the freedom of expression. Any recognition of this in the legalisation of whistleblowing is missing. (David Lewis – Industrial Law Journal September 2018).</w:t>
      </w:r>
    </w:p>
    <w:p w14:paraId="6AEAAA9E" w14:textId="522391C5" w:rsidR="00D2718C" w:rsidRDefault="00D2718C" w:rsidP="00365096">
      <w:pPr>
        <w:spacing w:line="480" w:lineRule="auto"/>
        <w:rPr>
          <w:rFonts w:ascii="Arial" w:hAnsi="Arial" w:cs="Arial"/>
          <w:sz w:val="24"/>
          <w:szCs w:val="24"/>
        </w:rPr>
      </w:pPr>
      <w:r>
        <w:rPr>
          <w:rFonts w:ascii="Arial" w:hAnsi="Arial" w:cs="Arial"/>
          <w:sz w:val="24"/>
          <w:szCs w:val="24"/>
        </w:rPr>
        <w:t xml:space="preserve">There are </w:t>
      </w:r>
      <w:proofErr w:type="gramStart"/>
      <w:r>
        <w:rPr>
          <w:rFonts w:ascii="Arial" w:hAnsi="Arial" w:cs="Arial"/>
          <w:sz w:val="24"/>
          <w:szCs w:val="24"/>
        </w:rPr>
        <w:t>a number of</w:t>
      </w:r>
      <w:proofErr w:type="gramEnd"/>
      <w:r>
        <w:rPr>
          <w:rFonts w:ascii="Arial" w:hAnsi="Arial" w:cs="Arial"/>
          <w:sz w:val="24"/>
          <w:szCs w:val="24"/>
        </w:rPr>
        <w:t xml:space="preserve"> ways in which both Norton Solutions PLC and the Nature Reserve Trust (NRT) can make a claim for judicial review. Judicial review is an important part of the constitutional settlement in the United Kingdom (UK). This would take the form of a court case where one or several judges decide if a public body has behaved in the appropriate manner and of course within the law itself.</w:t>
      </w:r>
    </w:p>
    <w:p w14:paraId="399C13C0" w14:textId="675051D0" w:rsidR="00D2718C" w:rsidRDefault="00D2718C" w:rsidP="00365096">
      <w:pPr>
        <w:spacing w:line="480" w:lineRule="auto"/>
        <w:rPr>
          <w:rFonts w:ascii="Arial" w:hAnsi="Arial" w:cs="Arial"/>
          <w:sz w:val="24"/>
          <w:szCs w:val="24"/>
        </w:rPr>
      </w:pPr>
      <w:r>
        <w:rPr>
          <w:rFonts w:ascii="Arial" w:hAnsi="Arial" w:cs="Arial"/>
          <w:sz w:val="24"/>
          <w:szCs w:val="24"/>
        </w:rPr>
        <w:t xml:space="preserve">The Nature Reserve Trust (NRT) can make a claim for judicial review as the notice for the application of the licence was only published in the local newspaper. It was clearly stated then when applying for a licence that the company must publish this online and at the proposed site and not just in the local newspaper. </w:t>
      </w:r>
      <w:r w:rsidR="0094574C">
        <w:rPr>
          <w:rFonts w:ascii="Arial" w:hAnsi="Arial" w:cs="Arial"/>
          <w:sz w:val="24"/>
          <w:szCs w:val="24"/>
        </w:rPr>
        <w:t>The Nature Reserve Trust</w:t>
      </w:r>
      <w:r>
        <w:rPr>
          <w:rFonts w:ascii="Arial" w:hAnsi="Arial" w:cs="Arial"/>
          <w:sz w:val="24"/>
          <w:szCs w:val="24"/>
        </w:rPr>
        <w:t xml:space="preserve"> must now follow a procedure through a right of appeal to a tribunal but only if this right exists in relation to the decision which is to be challenged</w:t>
      </w:r>
      <w:r w:rsidR="0094574C">
        <w:rPr>
          <w:rFonts w:ascii="Arial" w:hAnsi="Arial" w:cs="Arial"/>
          <w:sz w:val="24"/>
          <w:szCs w:val="24"/>
        </w:rPr>
        <w:t xml:space="preserve">. If it cannot be achieved this way it would go through a process which is known as a judicial review. Stage one of the judicial </w:t>
      </w:r>
      <w:proofErr w:type="gramStart"/>
      <w:r w:rsidR="0094574C">
        <w:rPr>
          <w:rFonts w:ascii="Arial" w:hAnsi="Arial" w:cs="Arial"/>
          <w:sz w:val="24"/>
          <w:szCs w:val="24"/>
        </w:rPr>
        <w:t>review</w:t>
      </w:r>
      <w:proofErr w:type="gramEnd"/>
      <w:r w:rsidR="0094574C">
        <w:rPr>
          <w:rFonts w:ascii="Arial" w:hAnsi="Arial" w:cs="Arial"/>
          <w:sz w:val="24"/>
          <w:szCs w:val="24"/>
        </w:rPr>
        <w:t xml:space="preserve"> would be is this a public law issue? The answer to that would be yes, it is. An example of this can be seen in the O’Reilly v </w:t>
      </w:r>
      <w:proofErr w:type="spellStart"/>
      <w:r w:rsidR="0094574C">
        <w:rPr>
          <w:rFonts w:ascii="Arial" w:hAnsi="Arial" w:cs="Arial"/>
          <w:sz w:val="24"/>
          <w:szCs w:val="24"/>
        </w:rPr>
        <w:t>Mackman</w:t>
      </w:r>
      <w:proofErr w:type="spellEnd"/>
      <w:r w:rsidR="0094574C">
        <w:rPr>
          <w:rFonts w:ascii="Arial" w:hAnsi="Arial" w:cs="Arial"/>
          <w:sz w:val="24"/>
          <w:szCs w:val="24"/>
        </w:rPr>
        <w:t xml:space="preserve"> case (1983)</w:t>
      </w:r>
      <w:r w:rsidR="00F223C1">
        <w:rPr>
          <w:rFonts w:ascii="Arial" w:hAnsi="Arial" w:cs="Arial"/>
          <w:sz w:val="24"/>
          <w:szCs w:val="24"/>
        </w:rPr>
        <w:t xml:space="preserve">, where prisoners suing the prison authorities by claiming disciplinary decisions had been taken in an unlawful way. It was ruled then by the House of Lords, that using ordinary proceedings than by judicial review the prisoners had </w:t>
      </w:r>
      <w:proofErr w:type="gramStart"/>
      <w:r w:rsidR="00F223C1">
        <w:rPr>
          <w:rFonts w:ascii="Arial" w:hAnsi="Arial" w:cs="Arial"/>
          <w:sz w:val="24"/>
          <w:szCs w:val="24"/>
        </w:rPr>
        <w:t>actually committed</w:t>
      </w:r>
      <w:proofErr w:type="gramEnd"/>
      <w:r w:rsidR="00F223C1">
        <w:rPr>
          <w:rFonts w:ascii="Arial" w:hAnsi="Arial" w:cs="Arial"/>
          <w:sz w:val="24"/>
          <w:szCs w:val="24"/>
        </w:rPr>
        <w:t xml:space="preserve"> a process of abuse, so this struck out their claims. This case </w:t>
      </w:r>
      <w:r w:rsidR="00F223C1">
        <w:rPr>
          <w:rFonts w:ascii="Arial" w:hAnsi="Arial" w:cs="Arial"/>
          <w:sz w:val="24"/>
          <w:szCs w:val="24"/>
        </w:rPr>
        <w:lastRenderedPageBreak/>
        <w:t>paved the way for judicial procedures to be used in the first instance and nothing else.</w:t>
      </w:r>
    </w:p>
    <w:p w14:paraId="0F5F7960" w14:textId="6FA87C17" w:rsidR="00F223C1" w:rsidRDefault="00F223C1" w:rsidP="00365096">
      <w:pPr>
        <w:spacing w:line="480" w:lineRule="auto"/>
        <w:rPr>
          <w:rFonts w:ascii="Arial" w:hAnsi="Arial" w:cs="Arial"/>
          <w:sz w:val="24"/>
          <w:szCs w:val="24"/>
        </w:rPr>
      </w:pPr>
      <w:r>
        <w:rPr>
          <w:rFonts w:ascii="Arial" w:hAnsi="Arial" w:cs="Arial"/>
          <w:sz w:val="24"/>
          <w:szCs w:val="24"/>
        </w:rPr>
        <w:t>Lord Diplock was to say that to proceed with public law would be through a judicial review. He also went on to say that prisoners are not guaranteed any protection that parliament had put in place for public authorities. Private matters are to be dealt with in a private court and that public matters are to be litigated by a judicial review. (Simple Studying).</w:t>
      </w:r>
    </w:p>
    <w:p w14:paraId="2DAD68D4" w14:textId="1643B0FB" w:rsidR="00E3257D" w:rsidRDefault="00E3257D" w:rsidP="00365096">
      <w:pPr>
        <w:spacing w:line="480" w:lineRule="auto"/>
        <w:rPr>
          <w:rFonts w:ascii="Arial" w:hAnsi="Arial" w:cs="Arial"/>
          <w:sz w:val="24"/>
          <w:szCs w:val="24"/>
        </w:rPr>
      </w:pPr>
      <w:r>
        <w:rPr>
          <w:rFonts w:ascii="Arial" w:hAnsi="Arial" w:cs="Arial"/>
          <w:sz w:val="24"/>
          <w:szCs w:val="24"/>
        </w:rPr>
        <w:t>If a claimant wins, the government decision can be quashed or even declared unlawful. This could then also mean that the decision which was made may have to be made again. A decision can be overruled of procedural unfairness if a process leading up to this decision was improper. So therefore, the Nature Reserve Trust (NRT) would be more than likely to see a good outcome from a judicial review. (Raphael Hogarth March 2020 – Institute for government).</w:t>
      </w:r>
    </w:p>
    <w:p w14:paraId="3DE9521D" w14:textId="2D6E4DE6" w:rsidR="00F300B4" w:rsidRDefault="00F300B4" w:rsidP="00365096">
      <w:pPr>
        <w:spacing w:line="480" w:lineRule="auto"/>
        <w:rPr>
          <w:rFonts w:ascii="Arial" w:hAnsi="Arial" w:cs="Arial"/>
          <w:sz w:val="24"/>
          <w:szCs w:val="24"/>
        </w:rPr>
      </w:pPr>
      <w:r>
        <w:rPr>
          <w:rFonts w:ascii="Arial" w:hAnsi="Arial" w:cs="Arial"/>
          <w:sz w:val="24"/>
          <w:szCs w:val="24"/>
        </w:rPr>
        <w:t xml:space="preserve">If </w:t>
      </w:r>
      <w:proofErr w:type="spellStart"/>
      <w:r>
        <w:rPr>
          <w:rFonts w:ascii="Arial" w:hAnsi="Arial" w:cs="Arial"/>
          <w:sz w:val="24"/>
          <w:szCs w:val="24"/>
        </w:rPr>
        <w:t>Westcross</w:t>
      </w:r>
      <w:proofErr w:type="spellEnd"/>
      <w:r>
        <w:rPr>
          <w:rFonts w:ascii="Arial" w:hAnsi="Arial" w:cs="Arial"/>
          <w:sz w:val="24"/>
          <w:szCs w:val="24"/>
        </w:rPr>
        <w:t xml:space="preserve"> PLC have been granted permission for a licence by parliament / government then a judge may not interfere with their decision, thus meaning Norton Solutions PLC do not have a claim for judicial review. If this is a primary legislation which had been passed by parliament, then a court does not have the legality to overturn this decision. This can not be overturned due to the United Kingdom (UK) constitution, parliament is sovereign. The decision to overturn it based upon unfairness is only if the process leading up to this decision was improper. This may be down to a decision maker who was impartial to it who somehow became biased along the way, or the decision maker did not give someone the chance to representation before deciding on their case failed to do so. Another way for the </w:t>
      </w:r>
      <w:r>
        <w:rPr>
          <w:rFonts w:ascii="Arial" w:hAnsi="Arial" w:cs="Arial"/>
          <w:sz w:val="24"/>
          <w:szCs w:val="24"/>
        </w:rPr>
        <w:lastRenderedPageBreak/>
        <w:t>decision to be overturned would be if a public authority</w:t>
      </w:r>
      <w:r w:rsidR="00DE1142">
        <w:rPr>
          <w:rFonts w:ascii="Arial" w:hAnsi="Arial" w:cs="Arial"/>
          <w:sz w:val="24"/>
          <w:szCs w:val="24"/>
        </w:rPr>
        <w:t xml:space="preserve"> acted in a way which goes against human rights. (Human Rights Act – 1998). </w:t>
      </w:r>
    </w:p>
    <w:p w14:paraId="7BAF3A35" w14:textId="725BC844" w:rsidR="00DE1142" w:rsidRDefault="00DE1142" w:rsidP="00365096">
      <w:pPr>
        <w:spacing w:line="480" w:lineRule="auto"/>
        <w:rPr>
          <w:rFonts w:ascii="Arial" w:hAnsi="Arial" w:cs="Arial"/>
          <w:sz w:val="24"/>
          <w:szCs w:val="24"/>
        </w:rPr>
      </w:pPr>
      <w:r>
        <w:rPr>
          <w:rFonts w:ascii="Arial" w:hAnsi="Arial" w:cs="Arial"/>
          <w:sz w:val="24"/>
          <w:szCs w:val="24"/>
        </w:rPr>
        <w:t>There would also be one thing to be excluded from this process. If the public authority were only implementing the decisions of parliament then this is not unlawful even if this does not act incompatibly with any of the rights.</w:t>
      </w:r>
      <w:r w:rsidR="00513905">
        <w:rPr>
          <w:rFonts w:ascii="Arial" w:hAnsi="Arial" w:cs="Arial"/>
          <w:sz w:val="24"/>
          <w:szCs w:val="24"/>
        </w:rPr>
        <w:t xml:space="preserve"> (Institute for government – March 2020). </w:t>
      </w:r>
    </w:p>
    <w:p w14:paraId="461EC68C" w14:textId="3F2428DE" w:rsidR="00513905" w:rsidRDefault="00513905" w:rsidP="00365096">
      <w:pPr>
        <w:spacing w:line="480" w:lineRule="auto"/>
        <w:rPr>
          <w:rFonts w:ascii="Arial" w:hAnsi="Arial" w:cs="Arial"/>
          <w:sz w:val="24"/>
          <w:szCs w:val="24"/>
        </w:rPr>
      </w:pPr>
      <w:r>
        <w:rPr>
          <w:rFonts w:ascii="Arial" w:hAnsi="Arial" w:cs="Arial"/>
          <w:sz w:val="24"/>
          <w:szCs w:val="24"/>
        </w:rPr>
        <w:t xml:space="preserve">In conclusion </w:t>
      </w:r>
      <w:r w:rsidR="00534055">
        <w:rPr>
          <w:rFonts w:ascii="Arial" w:hAnsi="Arial" w:cs="Arial"/>
          <w:sz w:val="24"/>
          <w:szCs w:val="24"/>
        </w:rPr>
        <w:t xml:space="preserve">to this piece of work, the freedom of expression is not always granted because it has been put in place to protect the public and media. Sometimes the public may need to be made aware of things that have happened as it is within their interests. This could then </w:t>
      </w:r>
      <w:proofErr w:type="gramStart"/>
      <w:r w:rsidR="00534055">
        <w:rPr>
          <w:rFonts w:ascii="Arial" w:hAnsi="Arial" w:cs="Arial"/>
          <w:sz w:val="24"/>
          <w:szCs w:val="24"/>
        </w:rPr>
        <w:t>be seen as</w:t>
      </w:r>
      <w:proofErr w:type="gramEnd"/>
      <w:r w:rsidR="00534055">
        <w:rPr>
          <w:rFonts w:ascii="Arial" w:hAnsi="Arial" w:cs="Arial"/>
          <w:sz w:val="24"/>
          <w:szCs w:val="24"/>
        </w:rPr>
        <w:t xml:space="preserve"> a difficult relationship with expressing your rights freely and also the media’s right for freedom of speech.</w:t>
      </w:r>
    </w:p>
    <w:p w14:paraId="6940995F" w14:textId="28417106" w:rsidR="00534055" w:rsidRDefault="00534055" w:rsidP="00365096">
      <w:pPr>
        <w:spacing w:line="480" w:lineRule="auto"/>
        <w:rPr>
          <w:rFonts w:ascii="Arial" w:hAnsi="Arial" w:cs="Arial"/>
          <w:sz w:val="24"/>
          <w:szCs w:val="24"/>
        </w:rPr>
      </w:pPr>
      <w:r>
        <w:rPr>
          <w:rFonts w:ascii="Arial" w:hAnsi="Arial" w:cs="Arial"/>
          <w:sz w:val="24"/>
          <w:szCs w:val="24"/>
        </w:rPr>
        <w:t>Judicial review is an all-important part of the United Kingdom’s (UK) constitution as it is there to protect the public as well as parliament, judges and the government. Neither of those three, parliament, judges or the government are above the law, even though they are the law makers.</w:t>
      </w:r>
    </w:p>
    <w:p w14:paraId="7199B663" w14:textId="30F6F18C" w:rsidR="00534055" w:rsidRDefault="00534055" w:rsidP="00365096">
      <w:pPr>
        <w:spacing w:line="480" w:lineRule="auto"/>
        <w:rPr>
          <w:rFonts w:ascii="Arial" w:hAnsi="Arial" w:cs="Arial"/>
          <w:sz w:val="24"/>
          <w:szCs w:val="24"/>
        </w:rPr>
      </w:pPr>
    </w:p>
    <w:p w14:paraId="0C9D4BD3" w14:textId="06377DC6" w:rsidR="00534055" w:rsidRDefault="007D071F" w:rsidP="00365096">
      <w:pPr>
        <w:spacing w:line="480" w:lineRule="auto"/>
        <w:rPr>
          <w:rFonts w:ascii="Arial" w:hAnsi="Arial" w:cs="Arial"/>
          <w:sz w:val="24"/>
          <w:szCs w:val="24"/>
        </w:rPr>
      </w:pPr>
      <w:hyperlink r:id="rId6" w:history="1">
        <w:r w:rsidRPr="003A515B">
          <w:rPr>
            <w:rStyle w:val="Hyperlink"/>
            <w:rFonts w:ascii="Arial" w:hAnsi="Arial" w:cs="Arial"/>
            <w:sz w:val="24"/>
            <w:szCs w:val="24"/>
          </w:rPr>
          <w:t>https://academic-oup-com.eproxy.uwtsd.ac.uk/ilj/article/47/3/339/4210465#12027981</w:t>
        </w:r>
      </w:hyperlink>
    </w:p>
    <w:p w14:paraId="1E8DDF2E" w14:textId="22C0DD9E" w:rsidR="007D071F" w:rsidRDefault="007D071F" w:rsidP="00365096">
      <w:pPr>
        <w:spacing w:line="480" w:lineRule="auto"/>
        <w:rPr>
          <w:rFonts w:ascii="Arial" w:hAnsi="Arial" w:cs="Arial"/>
          <w:sz w:val="24"/>
          <w:szCs w:val="24"/>
        </w:rPr>
      </w:pPr>
      <w:hyperlink r:id="rId7" w:history="1">
        <w:r w:rsidRPr="003A515B">
          <w:rPr>
            <w:rStyle w:val="Hyperlink"/>
            <w:rFonts w:ascii="Arial" w:hAnsi="Arial" w:cs="Arial"/>
            <w:sz w:val="24"/>
            <w:szCs w:val="24"/>
          </w:rPr>
          <w:t>https://www.article19.org/wp-content/uploads/2018/02/defining-defamation.pdf</w:t>
        </w:r>
      </w:hyperlink>
    </w:p>
    <w:p w14:paraId="62513924" w14:textId="4004CD18" w:rsidR="007D071F" w:rsidRDefault="007D071F" w:rsidP="00365096">
      <w:pPr>
        <w:spacing w:line="480" w:lineRule="auto"/>
        <w:rPr>
          <w:rFonts w:ascii="Arial" w:hAnsi="Arial" w:cs="Arial"/>
          <w:sz w:val="24"/>
          <w:szCs w:val="24"/>
        </w:rPr>
      </w:pPr>
      <w:hyperlink r:id="rId8" w:history="1">
        <w:r w:rsidRPr="003A515B">
          <w:rPr>
            <w:rStyle w:val="Hyperlink"/>
            <w:rFonts w:ascii="Arial" w:hAnsi="Arial" w:cs="Arial"/>
            <w:sz w:val="24"/>
            <w:szCs w:val="24"/>
          </w:rPr>
          <w:t>https://doi-org.eproxy.uwtsd.ac.uk/10.1093/indlaw/dwx015</w:t>
        </w:r>
      </w:hyperlink>
    </w:p>
    <w:p w14:paraId="79D082EB" w14:textId="11130AF0" w:rsidR="007D071F" w:rsidRDefault="007D071F" w:rsidP="00365096">
      <w:pPr>
        <w:spacing w:line="480" w:lineRule="auto"/>
        <w:rPr>
          <w:rFonts w:ascii="Arial" w:hAnsi="Arial" w:cs="Arial"/>
          <w:sz w:val="24"/>
          <w:szCs w:val="24"/>
        </w:rPr>
      </w:pPr>
      <w:hyperlink r:id="rId9" w:history="1">
        <w:r w:rsidRPr="003A515B">
          <w:rPr>
            <w:rStyle w:val="Hyperlink"/>
            <w:rFonts w:ascii="Arial" w:hAnsi="Arial" w:cs="Arial"/>
            <w:sz w:val="24"/>
            <w:szCs w:val="24"/>
          </w:rPr>
          <w:t>https://www.5rb.com/case/interbrew-sa-v-financial-times-ltd-others/</w:t>
        </w:r>
      </w:hyperlink>
    </w:p>
    <w:p w14:paraId="50F70CC3" w14:textId="010C6FAF" w:rsidR="007D071F" w:rsidRDefault="007D071F" w:rsidP="00365096">
      <w:pPr>
        <w:spacing w:line="480" w:lineRule="auto"/>
        <w:rPr>
          <w:rFonts w:ascii="Arial" w:hAnsi="Arial" w:cs="Arial"/>
          <w:sz w:val="24"/>
          <w:szCs w:val="24"/>
        </w:rPr>
      </w:pPr>
      <w:hyperlink r:id="rId10" w:history="1">
        <w:r w:rsidRPr="003A515B">
          <w:rPr>
            <w:rStyle w:val="Hyperlink"/>
            <w:rFonts w:ascii="Arial" w:hAnsi="Arial" w:cs="Arial"/>
            <w:sz w:val="24"/>
            <w:szCs w:val="24"/>
          </w:rPr>
          <w:t>https://www.instituteforgovernment.org.uk/exlainers/judicial-review</w:t>
        </w:r>
      </w:hyperlink>
    </w:p>
    <w:p w14:paraId="2FAFFD0E" w14:textId="4E63146B" w:rsidR="007D071F" w:rsidRDefault="007D071F" w:rsidP="00365096">
      <w:pPr>
        <w:spacing w:line="480" w:lineRule="auto"/>
        <w:rPr>
          <w:rFonts w:ascii="Arial" w:hAnsi="Arial" w:cs="Arial"/>
          <w:sz w:val="24"/>
          <w:szCs w:val="24"/>
        </w:rPr>
      </w:pPr>
      <w:hyperlink r:id="rId11" w:history="1">
        <w:r w:rsidRPr="003A515B">
          <w:rPr>
            <w:rStyle w:val="Hyperlink"/>
            <w:rFonts w:ascii="Arial" w:hAnsi="Arial" w:cs="Arial"/>
            <w:sz w:val="24"/>
            <w:szCs w:val="24"/>
          </w:rPr>
          <w:t>https://www.legislation.gov.uk/ukpga/2013/26/notes/division/5/4</w:t>
        </w:r>
      </w:hyperlink>
    </w:p>
    <w:p w14:paraId="3B7C3FC7" w14:textId="6D94AA35" w:rsidR="007D071F" w:rsidRDefault="007D071F" w:rsidP="00365096">
      <w:pPr>
        <w:spacing w:line="480" w:lineRule="auto"/>
        <w:rPr>
          <w:rFonts w:ascii="Arial" w:hAnsi="Arial" w:cs="Arial"/>
          <w:sz w:val="24"/>
          <w:szCs w:val="24"/>
        </w:rPr>
      </w:pPr>
      <w:hyperlink r:id="rId12" w:history="1">
        <w:r w:rsidRPr="003A515B">
          <w:rPr>
            <w:rStyle w:val="Hyperlink"/>
            <w:rFonts w:ascii="Arial" w:hAnsi="Arial" w:cs="Arial"/>
            <w:sz w:val="24"/>
            <w:szCs w:val="24"/>
          </w:rPr>
          <w:t>https://onlinelibrary.wiley.com/doi/abs/10.111j.1468-2230.2006.00597.x</w:t>
        </w:r>
      </w:hyperlink>
    </w:p>
    <w:p w14:paraId="5F60192E" w14:textId="1BD53E0A" w:rsidR="007D071F" w:rsidRDefault="007D071F" w:rsidP="00365096">
      <w:pPr>
        <w:spacing w:line="480" w:lineRule="auto"/>
        <w:rPr>
          <w:rFonts w:ascii="Arial" w:hAnsi="Arial" w:cs="Arial"/>
          <w:sz w:val="24"/>
          <w:szCs w:val="24"/>
        </w:rPr>
      </w:pPr>
      <w:hyperlink r:id="rId13" w:history="1">
        <w:r w:rsidRPr="003A515B">
          <w:rPr>
            <w:rStyle w:val="Hyperlink"/>
            <w:rFonts w:ascii="Arial" w:hAnsi="Arial" w:cs="Arial"/>
            <w:sz w:val="24"/>
            <w:szCs w:val="24"/>
          </w:rPr>
          <w:t>https://simplestudying.com/oreilly-v-mackman/</w:t>
        </w:r>
      </w:hyperlink>
    </w:p>
    <w:p w14:paraId="4C473CCF" w14:textId="02880D55" w:rsidR="007D071F" w:rsidRDefault="007D071F" w:rsidP="00365096">
      <w:pPr>
        <w:spacing w:line="480" w:lineRule="auto"/>
        <w:rPr>
          <w:rFonts w:ascii="Arial" w:hAnsi="Arial" w:cs="Arial"/>
          <w:sz w:val="24"/>
          <w:szCs w:val="24"/>
        </w:rPr>
      </w:pPr>
      <w:r>
        <w:rPr>
          <w:rFonts w:ascii="Arial" w:hAnsi="Arial" w:cs="Arial"/>
          <w:sz w:val="24"/>
          <w:szCs w:val="24"/>
        </w:rPr>
        <w:t>Z- library-speech, media and ethics -The limits of free expression.</w:t>
      </w:r>
    </w:p>
    <w:p w14:paraId="38741EB7" w14:textId="77777777" w:rsidR="007D071F" w:rsidRDefault="007D071F" w:rsidP="00365096">
      <w:pPr>
        <w:spacing w:line="480" w:lineRule="auto"/>
        <w:rPr>
          <w:rFonts w:ascii="Arial" w:hAnsi="Arial" w:cs="Arial"/>
          <w:sz w:val="24"/>
          <w:szCs w:val="24"/>
        </w:rPr>
      </w:pPr>
      <w:bookmarkStart w:id="0" w:name="_GoBack"/>
      <w:bookmarkEnd w:id="0"/>
    </w:p>
    <w:p w14:paraId="5DC4D016" w14:textId="77777777" w:rsidR="00FB3A99" w:rsidRPr="00365096" w:rsidRDefault="00FB3A99" w:rsidP="00365096">
      <w:pPr>
        <w:spacing w:line="480" w:lineRule="auto"/>
        <w:rPr>
          <w:rFonts w:ascii="Arial" w:hAnsi="Arial" w:cs="Arial"/>
          <w:sz w:val="24"/>
          <w:szCs w:val="24"/>
        </w:rPr>
      </w:pPr>
    </w:p>
    <w:sectPr w:rsidR="00FB3A99" w:rsidRPr="00365096" w:rsidSect="0036509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096"/>
    <w:rsid w:val="000265E2"/>
    <w:rsid w:val="000C5C3D"/>
    <w:rsid w:val="003034F0"/>
    <w:rsid w:val="00365096"/>
    <w:rsid w:val="00460857"/>
    <w:rsid w:val="00513905"/>
    <w:rsid w:val="00534055"/>
    <w:rsid w:val="005B375A"/>
    <w:rsid w:val="005B5F65"/>
    <w:rsid w:val="007D071F"/>
    <w:rsid w:val="007E37FC"/>
    <w:rsid w:val="0094574C"/>
    <w:rsid w:val="00975ACC"/>
    <w:rsid w:val="00A04CED"/>
    <w:rsid w:val="00BB0EFD"/>
    <w:rsid w:val="00CC03A8"/>
    <w:rsid w:val="00D2718C"/>
    <w:rsid w:val="00DB12C9"/>
    <w:rsid w:val="00DB6B84"/>
    <w:rsid w:val="00DE1142"/>
    <w:rsid w:val="00E3257D"/>
    <w:rsid w:val="00F223C1"/>
    <w:rsid w:val="00F300B4"/>
    <w:rsid w:val="00F82FB6"/>
    <w:rsid w:val="00FA436E"/>
    <w:rsid w:val="00FB3A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D9565"/>
  <w15:chartTrackingRefBased/>
  <w15:docId w15:val="{175BC296-CB70-4109-BADC-F4D09FDE5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65096"/>
    <w:pPr>
      <w:spacing w:after="0" w:line="240" w:lineRule="auto"/>
    </w:pPr>
    <w:rPr>
      <w:color w:val="44546A" w:themeColor="text2"/>
      <w:sz w:val="20"/>
      <w:szCs w:val="20"/>
      <w:lang w:val="en-US"/>
    </w:rPr>
  </w:style>
  <w:style w:type="character" w:styleId="Hyperlink">
    <w:name w:val="Hyperlink"/>
    <w:basedOn w:val="DefaultParagraphFont"/>
    <w:uiPriority w:val="99"/>
    <w:unhideWhenUsed/>
    <w:rsid w:val="007D071F"/>
    <w:rPr>
      <w:color w:val="0563C1" w:themeColor="hyperlink"/>
      <w:u w:val="single"/>
    </w:rPr>
  </w:style>
  <w:style w:type="character" w:styleId="UnresolvedMention">
    <w:name w:val="Unresolved Mention"/>
    <w:basedOn w:val="DefaultParagraphFont"/>
    <w:uiPriority w:val="99"/>
    <w:semiHidden/>
    <w:unhideWhenUsed/>
    <w:rsid w:val="007D07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eproxy.uwtsd.ac.uk/10.1093/indlaw/dwx015" TargetMode="External"/><Relationship Id="rId13" Type="http://schemas.openxmlformats.org/officeDocument/2006/relationships/hyperlink" Target="https://simplestudying.com/oreilly-v-mackman/" TargetMode="External"/><Relationship Id="rId3" Type="http://schemas.openxmlformats.org/officeDocument/2006/relationships/settings" Target="settings.xml"/><Relationship Id="rId7" Type="http://schemas.openxmlformats.org/officeDocument/2006/relationships/hyperlink" Target="https://www.article19.org/wp-content/uploads/2018/02/defining-defamation.pdf" TargetMode="External"/><Relationship Id="rId12" Type="http://schemas.openxmlformats.org/officeDocument/2006/relationships/hyperlink" Target="https://onlinelibrary.wiley.com/doi/abs/10.111j.1468-2230.2006.00597.x"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academic-oup-com.eproxy.uwtsd.ac.uk/ilj/article/47/3/339/4210465#12027981" TargetMode="External"/><Relationship Id="rId11" Type="http://schemas.openxmlformats.org/officeDocument/2006/relationships/hyperlink" Target="https://www.legislation.gov.uk/ukpga/2013/26/notes/division/5/4" TargetMode="External"/><Relationship Id="rId5" Type="http://schemas.openxmlformats.org/officeDocument/2006/relationships/image" Target="media/image1.jpg"/><Relationship Id="rId15" Type="http://schemas.openxmlformats.org/officeDocument/2006/relationships/theme" Target="theme/theme1.xml"/><Relationship Id="rId10" Type="http://schemas.openxmlformats.org/officeDocument/2006/relationships/hyperlink" Target="https://www.instituteforgovernment.org.uk/exlainers/judicial-review" TargetMode="External"/><Relationship Id="rId4" Type="http://schemas.openxmlformats.org/officeDocument/2006/relationships/webSettings" Target="webSettings.xml"/><Relationship Id="rId9" Type="http://schemas.openxmlformats.org/officeDocument/2006/relationships/hyperlink" Target="https://www.5rb.com/case/interbrew-sa-v-financial-times-ltd-other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2020-12-23T00:00:00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1746</Words>
  <Characters>9957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Public Law.</vt:lpstr>
    </vt:vector>
  </TitlesOfParts>
  <Company/>
  <LinksUpToDate>false</LinksUpToDate>
  <CharactersWithSpaces>11680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Law.</dc:title>
  <dc:subject>Public Law.</dc:subject>
  <dc:creator>Melenie Jane Box</dc:creator>
  <cp:keywords/>
  <dc:description/>
  <cp:lastModifiedBy>Melenie Jane Box</cp:lastModifiedBy>
  <cp:revision>2</cp:revision>
  <dcterms:created xsi:type="dcterms:W3CDTF">2021-01-04T17:51:00Z</dcterms:created>
  <dcterms:modified xsi:type="dcterms:W3CDTF">2021-01-04T17:51:00Z</dcterms:modified>
  <cp:category>BMLW4004.</cp:category>
</cp:coreProperties>
</file>