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405C8" w14:textId="77777777" w:rsidR="00B02AA1" w:rsidRDefault="00B02AA1" w:rsidP="00B02AA1">
      <w:pPr>
        <w:jc w:val="center"/>
        <w:rPr>
          <w:b/>
        </w:rPr>
      </w:pPr>
    </w:p>
    <w:p w14:paraId="2ADEAD16" w14:textId="77777777" w:rsidR="00B02AA1" w:rsidRDefault="00B02AA1" w:rsidP="00B02AA1">
      <w:pPr>
        <w:jc w:val="center"/>
        <w:rPr>
          <w:b/>
        </w:rPr>
      </w:pPr>
    </w:p>
    <w:p w14:paraId="3BA30055" w14:textId="77777777" w:rsidR="00B02AA1" w:rsidRDefault="00B02AA1" w:rsidP="00B02AA1">
      <w:pPr>
        <w:jc w:val="center"/>
        <w:rPr>
          <w:b/>
        </w:rPr>
      </w:pPr>
    </w:p>
    <w:p w14:paraId="77508076" w14:textId="77777777" w:rsidR="00B02AA1" w:rsidRDefault="00B02AA1" w:rsidP="00B02AA1">
      <w:pPr>
        <w:jc w:val="center"/>
        <w:rPr>
          <w:b/>
        </w:rPr>
      </w:pPr>
    </w:p>
    <w:p w14:paraId="665D28EC" w14:textId="77777777" w:rsidR="00B02AA1" w:rsidRDefault="00B02AA1" w:rsidP="00B02AA1">
      <w:pPr>
        <w:jc w:val="center"/>
        <w:rPr>
          <w:b/>
        </w:rPr>
      </w:pPr>
    </w:p>
    <w:p w14:paraId="1EF7E1E5" w14:textId="50849B80" w:rsidR="00B02AA1" w:rsidRPr="00B02AA1" w:rsidRDefault="00E1493B" w:rsidP="00B02AA1">
      <w:pPr>
        <w:jc w:val="center"/>
        <w:rPr>
          <w:b/>
        </w:rPr>
      </w:pPr>
      <w:r w:rsidRPr="00E1493B">
        <w:rPr>
          <w:b/>
        </w:rPr>
        <w:t>The Impact of the Wysa App on Mental Health Care Transformation in the UK</w:t>
      </w:r>
    </w:p>
    <w:p w14:paraId="26A1C0D8" w14:textId="36014B33" w:rsidR="00B02AA1" w:rsidRPr="0020010E" w:rsidRDefault="00B02B75" w:rsidP="00B02AA1">
      <w:pPr>
        <w:jc w:val="center"/>
      </w:pPr>
      <w:r>
        <w:t xml:space="preserve">Sameena iqbal </w:t>
      </w:r>
    </w:p>
    <w:p w14:paraId="266FF038" w14:textId="06482D72" w:rsidR="00B02AA1" w:rsidRDefault="00B02B75" w:rsidP="00B02AA1">
      <w:pPr>
        <w:jc w:val="center"/>
      </w:pPr>
      <w:r>
        <w:t>2315950</w:t>
      </w:r>
    </w:p>
    <w:p w14:paraId="7E1EAE37" w14:textId="6DBAC3F1" w:rsidR="00B02B75" w:rsidRPr="0020010E" w:rsidRDefault="00B02B75" w:rsidP="00B02AA1">
      <w:pPr>
        <w:jc w:val="center"/>
      </w:pPr>
      <w:r>
        <w:t>Due date:26/10/2025</w:t>
      </w:r>
    </w:p>
    <w:p w14:paraId="2F5F4E57" w14:textId="1552F554" w:rsidR="00B02AA1" w:rsidRDefault="00B02AA1" w:rsidP="00B02B75"/>
    <w:p w14:paraId="764D29B5" w14:textId="77777777" w:rsidR="00B02AA1" w:rsidRDefault="00B02AA1">
      <w:pPr>
        <w:spacing w:before="0" w:after="160" w:line="278" w:lineRule="auto"/>
        <w:jc w:val="left"/>
        <w:rPr>
          <w:b/>
        </w:rPr>
      </w:pPr>
      <w:r>
        <w:rPr>
          <w:b/>
        </w:rPr>
        <w:br w:type="page"/>
      </w:r>
    </w:p>
    <w:p w14:paraId="2A4443E5" w14:textId="77777777" w:rsidR="00B554CE" w:rsidRDefault="00B554CE" w:rsidP="00B02AA1">
      <w:pPr>
        <w:jc w:val="center"/>
        <w:rPr>
          <w:b/>
        </w:rPr>
        <w:sectPr w:rsidR="00B554CE">
          <w:pgSz w:w="12240" w:h="15840"/>
          <w:pgMar w:top="1440" w:right="1440" w:bottom="1440" w:left="1440" w:header="720" w:footer="720" w:gutter="0"/>
          <w:cols w:space="720"/>
          <w:docGrid w:linePitch="360"/>
        </w:sectPr>
      </w:pPr>
    </w:p>
    <w:p w14:paraId="50CC71B0" w14:textId="77777777" w:rsidR="00B554CE" w:rsidRDefault="00B02AA1" w:rsidP="00B02AA1">
      <w:pPr>
        <w:jc w:val="center"/>
        <w:rPr>
          <w:noProof/>
        </w:rPr>
      </w:pPr>
      <w:r w:rsidRPr="00B02AA1">
        <w:rPr>
          <w:b/>
        </w:rPr>
        <w:lastRenderedPageBreak/>
        <w:t>Table of Contents</w:t>
      </w:r>
      <w:r>
        <w:rPr>
          <w:b/>
        </w:rPr>
        <w:fldChar w:fldCharType="begin"/>
      </w:r>
      <w:r>
        <w:rPr>
          <w:b/>
        </w:rPr>
        <w:instrText xml:space="preserve"> TOC \o "1-3" \h \z \u </w:instrText>
      </w:r>
      <w:r>
        <w:rPr>
          <w:b/>
        </w:rPr>
        <w:fldChar w:fldCharType="separate"/>
      </w:r>
    </w:p>
    <w:p w14:paraId="4E3258E9" w14:textId="6B00B54C" w:rsidR="00B554CE" w:rsidRDefault="00B554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12150647" w:history="1">
        <w:r w:rsidR="009A7AC5">
          <w:t>Summary</w:t>
        </w:r>
        <w:r>
          <w:rPr>
            <w:noProof/>
            <w:webHidden/>
          </w:rPr>
          <w:tab/>
        </w:r>
        <w:r>
          <w:rPr>
            <w:noProof/>
            <w:webHidden/>
          </w:rPr>
          <w:fldChar w:fldCharType="begin"/>
        </w:r>
        <w:r>
          <w:rPr>
            <w:noProof/>
            <w:webHidden/>
          </w:rPr>
          <w:instrText xml:space="preserve"> PAGEREF _Toc212150647 \h </w:instrText>
        </w:r>
        <w:r>
          <w:rPr>
            <w:noProof/>
            <w:webHidden/>
          </w:rPr>
        </w:r>
        <w:r>
          <w:rPr>
            <w:noProof/>
            <w:webHidden/>
          </w:rPr>
          <w:fldChar w:fldCharType="separate"/>
        </w:r>
        <w:r>
          <w:rPr>
            <w:noProof/>
            <w:webHidden/>
          </w:rPr>
          <w:t>1</w:t>
        </w:r>
        <w:r>
          <w:rPr>
            <w:noProof/>
            <w:webHidden/>
          </w:rPr>
          <w:fldChar w:fldCharType="end"/>
        </w:r>
      </w:hyperlink>
    </w:p>
    <w:p w14:paraId="7C89B2AA" w14:textId="6C80E31E" w:rsidR="00B554CE" w:rsidRDefault="00B554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12150648" w:history="1">
        <w:r w:rsidR="0006088B">
          <w:rPr>
            <w:rStyle w:val="Hyperlink"/>
            <w:noProof/>
          </w:rPr>
          <w:t>In</w:t>
        </w:r>
        <w:r w:rsidR="00785255">
          <w:rPr>
            <w:rStyle w:val="Hyperlink"/>
            <w:noProof/>
          </w:rPr>
          <w:t>troduction</w:t>
        </w:r>
        <w:r>
          <w:rPr>
            <w:noProof/>
            <w:webHidden/>
          </w:rPr>
          <w:tab/>
        </w:r>
        <w:r>
          <w:rPr>
            <w:noProof/>
            <w:webHidden/>
          </w:rPr>
          <w:fldChar w:fldCharType="begin"/>
        </w:r>
        <w:r>
          <w:rPr>
            <w:noProof/>
            <w:webHidden/>
          </w:rPr>
          <w:instrText xml:space="preserve"> PAGEREF _Toc212150648 \h </w:instrText>
        </w:r>
        <w:r>
          <w:rPr>
            <w:noProof/>
            <w:webHidden/>
          </w:rPr>
        </w:r>
        <w:r>
          <w:rPr>
            <w:noProof/>
            <w:webHidden/>
          </w:rPr>
          <w:fldChar w:fldCharType="separate"/>
        </w:r>
        <w:r>
          <w:rPr>
            <w:noProof/>
            <w:webHidden/>
          </w:rPr>
          <w:t>1</w:t>
        </w:r>
        <w:r>
          <w:rPr>
            <w:noProof/>
            <w:webHidden/>
          </w:rPr>
          <w:fldChar w:fldCharType="end"/>
        </w:r>
      </w:hyperlink>
    </w:p>
    <w:p w14:paraId="499823A9" w14:textId="316B95FB" w:rsidR="00B554CE" w:rsidRDefault="00B554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12150649" w:history="1">
        <w:r w:rsidR="00FD2017">
          <w:rPr>
            <w:rStyle w:val="Hyperlink"/>
            <w:noProof/>
          </w:rPr>
          <w:t xml:space="preserve">Case Study </w:t>
        </w:r>
        <w:r w:rsidR="0006088B">
          <w:rPr>
            <w:rStyle w:val="Hyperlink"/>
            <w:noProof/>
          </w:rPr>
          <w:t>Background</w:t>
        </w:r>
        <w:r>
          <w:rPr>
            <w:noProof/>
            <w:webHidden/>
          </w:rPr>
          <w:tab/>
        </w:r>
        <w:r>
          <w:rPr>
            <w:noProof/>
            <w:webHidden/>
          </w:rPr>
          <w:fldChar w:fldCharType="begin"/>
        </w:r>
        <w:r>
          <w:rPr>
            <w:noProof/>
            <w:webHidden/>
          </w:rPr>
          <w:instrText xml:space="preserve"> PAGEREF _Toc212150649 \h </w:instrText>
        </w:r>
        <w:r>
          <w:rPr>
            <w:noProof/>
            <w:webHidden/>
          </w:rPr>
        </w:r>
        <w:r>
          <w:rPr>
            <w:noProof/>
            <w:webHidden/>
          </w:rPr>
          <w:fldChar w:fldCharType="separate"/>
        </w:r>
        <w:r>
          <w:rPr>
            <w:noProof/>
            <w:webHidden/>
          </w:rPr>
          <w:t>2</w:t>
        </w:r>
        <w:r>
          <w:rPr>
            <w:noProof/>
            <w:webHidden/>
          </w:rPr>
          <w:fldChar w:fldCharType="end"/>
        </w:r>
      </w:hyperlink>
    </w:p>
    <w:p w14:paraId="6C9CE6A1" w14:textId="35A1854F" w:rsidR="00B554CE" w:rsidRDefault="00B554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12150650" w:history="1">
        <w:r w:rsidR="00CB59C7">
          <w:rPr>
            <w:rStyle w:val="Hyperlink"/>
            <w:noProof/>
          </w:rPr>
          <w:t>Evaluation</w:t>
        </w:r>
        <w:r w:rsidRPr="00F15DA0">
          <w:rPr>
            <w:rStyle w:val="Hyperlink"/>
            <w:noProof/>
          </w:rPr>
          <w:t xml:space="preserve"> o</w:t>
        </w:r>
        <w:r w:rsidR="00CB59C7">
          <w:rPr>
            <w:rStyle w:val="Hyperlink"/>
            <w:noProof/>
          </w:rPr>
          <w:t>f</w:t>
        </w:r>
        <w:r w:rsidRPr="00F15DA0">
          <w:rPr>
            <w:rStyle w:val="Hyperlink"/>
            <w:noProof/>
          </w:rPr>
          <w:t xml:space="preserve"> </w:t>
        </w:r>
        <w:r w:rsidR="00B332CE">
          <w:rPr>
            <w:rStyle w:val="Hyperlink"/>
            <w:noProof/>
          </w:rPr>
          <w:t>Workforce Impact</w:t>
        </w:r>
        <w:r>
          <w:rPr>
            <w:noProof/>
            <w:webHidden/>
          </w:rPr>
          <w:tab/>
        </w:r>
        <w:r>
          <w:rPr>
            <w:noProof/>
            <w:webHidden/>
          </w:rPr>
          <w:fldChar w:fldCharType="begin"/>
        </w:r>
        <w:r>
          <w:rPr>
            <w:noProof/>
            <w:webHidden/>
          </w:rPr>
          <w:instrText xml:space="preserve"> PAGEREF _Toc212150650 \h </w:instrText>
        </w:r>
        <w:r>
          <w:rPr>
            <w:noProof/>
            <w:webHidden/>
          </w:rPr>
        </w:r>
        <w:r>
          <w:rPr>
            <w:noProof/>
            <w:webHidden/>
          </w:rPr>
          <w:fldChar w:fldCharType="separate"/>
        </w:r>
        <w:r>
          <w:rPr>
            <w:noProof/>
            <w:webHidden/>
          </w:rPr>
          <w:t>3</w:t>
        </w:r>
        <w:r>
          <w:rPr>
            <w:noProof/>
            <w:webHidden/>
          </w:rPr>
          <w:fldChar w:fldCharType="end"/>
        </w:r>
      </w:hyperlink>
    </w:p>
    <w:p w14:paraId="5A489F54" w14:textId="6AC6845D" w:rsidR="00B554CE" w:rsidRDefault="00B332CE">
      <w:pPr>
        <w:pStyle w:val="TOC1"/>
        <w:tabs>
          <w:tab w:val="right" w:leader="dot" w:pos="9350"/>
        </w:tabs>
        <w:rPr>
          <w:rFonts w:asciiTheme="minorHAnsi" w:eastAsiaTheme="minorEastAsia" w:hAnsiTheme="minorHAnsi"/>
          <w:noProof/>
          <w:kern w:val="0"/>
          <w:sz w:val="22"/>
          <w:szCs w:val="22"/>
          <w:lang w:val="en-GB" w:eastAsia="en-GB"/>
          <w14:ligatures w14:val="none"/>
        </w:rPr>
      </w:pPr>
      <w:r>
        <w:t>Evaluation of Service Delivery</w:t>
      </w:r>
      <w:hyperlink w:anchor="_Toc212150651" w:history="1">
        <w:r w:rsidR="00B554CE">
          <w:rPr>
            <w:noProof/>
            <w:webHidden/>
          </w:rPr>
          <w:tab/>
        </w:r>
        <w:r w:rsidR="00B554CE">
          <w:rPr>
            <w:noProof/>
            <w:webHidden/>
          </w:rPr>
          <w:fldChar w:fldCharType="begin"/>
        </w:r>
        <w:r w:rsidR="00B554CE">
          <w:rPr>
            <w:noProof/>
            <w:webHidden/>
          </w:rPr>
          <w:instrText xml:space="preserve"> PAGEREF _Toc212150651 \h </w:instrText>
        </w:r>
        <w:r w:rsidR="00B554CE">
          <w:rPr>
            <w:noProof/>
            <w:webHidden/>
          </w:rPr>
        </w:r>
        <w:r w:rsidR="00B554CE">
          <w:rPr>
            <w:noProof/>
            <w:webHidden/>
          </w:rPr>
          <w:fldChar w:fldCharType="separate"/>
        </w:r>
        <w:r w:rsidR="00B554CE">
          <w:rPr>
            <w:noProof/>
            <w:webHidden/>
          </w:rPr>
          <w:t>3</w:t>
        </w:r>
        <w:r w:rsidR="00B554CE">
          <w:rPr>
            <w:noProof/>
            <w:webHidden/>
          </w:rPr>
          <w:fldChar w:fldCharType="end"/>
        </w:r>
      </w:hyperlink>
    </w:p>
    <w:p w14:paraId="5E905700" w14:textId="37C3AD62" w:rsidR="00B554CE" w:rsidRDefault="00B554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12150653" w:history="1">
        <w:r w:rsidRPr="00F15DA0">
          <w:rPr>
            <w:rStyle w:val="Hyperlink"/>
            <w:noProof/>
          </w:rPr>
          <w:t>Conclusion</w:t>
        </w:r>
        <w:r>
          <w:rPr>
            <w:noProof/>
            <w:webHidden/>
          </w:rPr>
          <w:tab/>
        </w:r>
        <w:r>
          <w:rPr>
            <w:noProof/>
            <w:webHidden/>
          </w:rPr>
          <w:fldChar w:fldCharType="begin"/>
        </w:r>
        <w:r>
          <w:rPr>
            <w:noProof/>
            <w:webHidden/>
          </w:rPr>
          <w:instrText xml:space="preserve"> PAGEREF _Toc212150653 \h </w:instrText>
        </w:r>
        <w:r>
          <w:rPr>
            <w:noProof/>
            <w:webHidden/>
          </w:rPr>
        </w:r>
        <w:r>
          <w:rPr>
            <w:noProof/>
            <w:webHidden/>
          </w:rPr>
          <w:fldChar w:fldCharType="separate"/>
        </w:r>
        <w:r>
          <w:rPr>
            <w:noProof/>
            <w:webHidden/>
          </w:rPr>
          <w:t>5</w:t>
        </w:r>
        <w:r>
          <w:rPr>
            <w:noProof/>
            <w:webHidden/>
          </w:rPr>
          <w:fldChar w:fldCharType="end"/>
        </w:r>
      </w:hyperlink>
    </w:p>
    <w:p w14:paraId="62668745" w14:textId="21E62DD6" w:rsidR="00B554CE" w:rsidRDefault="00B554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12150654" w:history="1">
        <w:r w:rsidRPr="00F15DA0">
          <w:rPr>
            <w:rStyle w:val="Hyperlink"/>
            <w:noProof/>
          </w:rPr>
          <w:t>References</w:t>
        </w:r>
        <w:r>
          <w:rPr>
            <w:noProof/>
            <w:webHidden/>
          </w:rPr>
          <w:tab/>
        </w:r>
        <w:r>
          <w:rPr>
            <w:noProof/>
            <w:webHidden/>
          </w:rPr>
          <w:fldChar w:fldCharType="begin"/>
        </w:r>
        <w:r>
          <w:rPr>
            <w:noProof/>
            <w:webHidden/>
          </w:rPr>
          <w:instrText xml:space="preserve"> PAGEREF _Toc212150654 \h </w:instrText>
        </w:r>
        <w:r>
          <w:rPr>
            <w:noProof/>
            <w:webHidden/>
          </w:rPr>
        </w:r>
        <w:r>
          <w:rPr>
            <w:noProof/>
            <w:webHidden/>
          </w:rPr>
          <w:fldChar w:fldCharType="separate"/>
        </w:r>
        <w:r>
          <w:rPr>
            <w:noProof/>
            <w:webHidden/>
          </w:rPr>
          <w:t>6</w:t>
        </w:r>
        <w:r>
          <w:rPr>
            <w:noProof/>
            <w:webHidden/>
          </w:rPr>
          <w:fldChar w:fldCharType="end"/>
        </w:r>
      </w:hyperlink>
    </w:p>
    <w:p w14:paraId="706F2794" w14:textId="610D0D7B" w:rsidR="00B02AA1" w:rsidRPr="00B02AA1" w:rsidRDefault="00B02AA1" w:rsidP="00B02AA1">
      <w:pPr>
        <w:jc w:val="center"/>
        <w:rPr>
          <w:b/>
        </w:rPr>
      </w:pPr>
      <w:r>
        <w:rPr>
          <w:b/>
        </w:rPr>
        <w:fldChar w:fldCharType="end"/>
      </w:r>
    </w:p>
    <w:p w14:paraId="734E4542" w14:textId="77777777" w:rsidR="00B02AA1" w:rsidRDefault="00B02AA1" w:rsidP="00B02AA1">
      <w:pPr>
        <w:jc w:val="center"/>
      </w:pPr>
    </w:p>
    <w:p w14:paraId="1CC3F5C8" w14:textId="77777777" w:rsidR="00B02AA1" w:rsidRDefault="00B02AA1">
      <w:pPr>
        <w:spacing w:before="0" w:after="160" w:line="278" w:lineRule="auto"/>
        <w:jc w:val="left"/>
        <w:rPr>
          <w:rFonts w:eastAsiaTheme="majorEastAsia" w:cstheme="majorBidi"/>
          <w:b/>
          <w:color w:val="000000" w:themeColor="text1"/>
          <w:szCs w:val="40"/>
        </w:rPr>
      </w:pPr>
      <w:r>
        <w:br w:type="page"/>
      </w:r>
    </w:p>
    <w:p w14:paraId="1493D141" w14:textId="77777777" w:rsidR="00B554CE" w:rsidRDefault="00B554CE" w:rsidP="008F760F">
      <w:pPr>
        <w:pStyle w:val="Heading1"/>
        <w:sectPr w:rsidR="00B554CE" w:rsidSect="00B554CE">
          <w:footerReference w:type="default" r:id="rId8"/>
          <w:pgSz w:w="12240" w:h="15840"/>
          <w:pgMar w:top="1440" w:right="1440" w:bottom="1440" w:left="1440" w:header="720" w:footer="720" w:gutter="0"/>
          <w:pgNumType w:fmt="lowerRoman" w:start="1"/>
          <w:cols w:space="720"/>
          <w:docGrid w:linePitch="360"/>
        </w:sectPr>
      </w:pPr>
    </w:p>
    <w:p w14:paraId="1E4AA473" w14:textId="3A538DB6" w:rsidR="0084257D" w:rsidRPr="000130F1" w:rsidRDefault="0084257D" w:rsidP="000130F1">
      <w:pPr>
        <w:pStyle w:val="Heading1"/>
        <w:jc w:val="both"/>
        <w:rPr>
          <w:rFonts w:ascii="Arial" w:hAnsi="Arial" w:cs="Arial"/>
          <w:sz w:val="22"/>
          <w:szCs w:val="22"/>
        </w:rPr>
      </w:pPr>
      <w:r w:rsidRPr="000130F1">
        <w:rPr>
          <w:rFonts w:ascii="Arial" w:hAnsi="Arial" w:cs="Arial"/>
          <w:sz w:val="22"/>
          <w:szCs w:val="22"/>
        </w:rPr>
        <w:lastRenderedPageBreak/>
        <w:t xml:space="preserve"> Summary</w:t>
      </w:r>
    </w:p>
    <w:p w14:paraId="309382BB" w14:textId="77777777" w:rsidR="0084257D" w:rsidRPr="000130F1" w:rsidRDefault="0084257D" w:rsidP="000130F1">
      <w:pPr>
        <w:pStyle w:val="Heading1"/>
        <w:rPr>
          <w:rFonts w:ascii="Arial" w:hAnsi="Arial" w:cs="Arial"/>
          <w:sz w:val="22"/>
          <w:szCs w:val="22"/>
        </w:rPr>
      </w:pPr>
    </w:p>
    <w:p w14:paraId="14CBBA2F" w14:textId="53A3CA53"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This report critically examines </w:t>
      </w:r>
      <w:r w:rsidR="00145998" w:rsidRPr="00FF1E77">
        <w:rPr>
          <w:rFonts w:ascii="Arial" w:hAnsi="Arial" w:cs="Arial"/>
          <w:b w:val="0"/>
          <w:bCs/>
          <w:sz w:val="22"/>
          <w:szCs w:val="22"/>
        </w:rPr>
        <w:t>WYSA</w:t>
      </w:r>
      <w:r w:rsidRPr="00FF1E77">
        <w:rPr>
          <w:rFonts w:ascii="Arial" w:hAnsi="Arial" w:cs="Arial"/>
          <w:b w:val="0"/>
          <w:bCs/>
          <w:sz w:val="22"/>
          <w:szCs w:val="22"/>
        </w:rPr>
        <w:t xml:space="preserve">, an artificial intelligence (AI)–powered mental health application, as a digital innovation within the UK’s healthcare system. The analysis focuses specifically on its impact on the workforce and service delivery, following NHS policy frameworks and digital transformation strategies. Drawing on contemporary literature, policy reports, and evaluations from NHS Digital and the Care Quality Commission, the report identifies how </w:t>
      </w:r>
      <w:r w:rsidR="002C759D" w:rsidRPr="00FF1E77">
        <w:rPr>
          <w:rFonts w:ascii="Arial" w:hAnsi="Arial" w:cs="Arial"/>
          <w:b w:val="0"/>
          <w:bCs/>
          <w:sz w:val="22"/>
          <w:szCs w:val="22"/>
        </w:rPr>
        <w:t>WYSA</w:t>
      </w:r>
      <w:r w:rsidRPr="00FF1E77">
        <w:rPr>
          <w:rFonts w:ascii="Arial" w:hAnsi="Arial" w:cs="Arial"/>
          <w:b w:val="0"/>
          <w:bCs/>
          <w:sz w:val="22"/>
          <w:szCs w:val="22"/>
        </w:rPr>
        <w:t xml:space="preserve"> supports workforce efficiency, enhances accessibility, and promotes service modernisation. However, it also exposes tensions between technological efficiency and ethical, professional, and governance considerations. The report concludes that while </w:t>
      </w:r>
      <w:r w:rsidR="00145998" w:rsidRPr="00FF1E77">
        <w:rPr>
          <w:rFonts w:ascii="Arial" w:hAnsi="Arial" w:cs="Arial"/>
          <w:b w:val="0"/>
          <w:bCs/>
          <w:sz w:val="22"/>
          <w:szCs w:val="22"/>
        </w:rPr>
        <w:t>WYSA</w:t>
      </w:r>
      <w:r w:rsidRPr="00FF1E77">
        <w:rPr>
          <w:rFonts w:ascii="Arial" w:hAnsi="Arial" w:cs="Arial"/>
          <w:b w:val="0"/>
          <w:bCs/>
          <w:sz w:val="22"/>
          <w:szCs w:val="22"/>
        </w:rPr>
        <w:t xml:space="preserve"> contributes significantly to reducing workforce strain and improving access to mental health care, the long-term success of such digital tools depends on sustainable integration, equitable digital literacy, and robust regulatory oversight to ensure patient safety, professional accountability, and quality of care.</w:t>
      </w:r>
    </w:p>
    <w:p w14:paraId="66B25FD5" w14:textId="77777777" w:rsidR="0084257D" w:rsidRPr="00FF1E77" w:rsidRDefault="0084257D" w:rsidP="000130F1">
      <w:pPr>
        <w:pStyle w:val="Heading1"/>
        <w:jc w:val="left"/>
        <w:rPr>
          <w:rFonts w:ascii="Arial" w:hAnsi="Arial" w:cs="Arial"/>
          <w:b w:val="0"/>
          <w:bCs/>
          <w:sz w:val="22"/>
          <w:szCs w:val="22"/>
        </w:rPr>
      </w:pPr>
    </w:p>
    <w:p w14:paraId="1E6B6362" w14:textId="18C94CD4" w:rsidR="00DF1CCF" w:rsidRPr="009B6066" w:rsidRDefault="0084257D" w:rsidP="00DF1CCF">
      <w:pPr>
        <w:pStyle w:val="Heading1"/>
        <w:jc w:val="left"/>
        <w:rPr>
          <w:rFonts w:ascii="Arial" w:hAnsi="Arial" w:cs="Arial"/>
          <w:sz w:val="22"/>
          <w:szCs w:val="22"/>
        </w:rPr>
      </w:pPr>
      <w:r w:rsidRPr="009B6066">
        <w:rPr>
          <w:rFonts w:ascii="Arial" w:hAnsi="Arial" w:cs="Arial"/>
          <w:sz w:val="22"/>
          <w:szCs w:val="22"/>
        </w:rPr>
        <w:t>Introduction</w:t>
      </w:r>
    </w:p>
    <w:p w14:paraId="479DDFB8" w14:textId="43231B04"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As reported by NHS Digital (2021), the National Health Service (NHS) has prioritised digital transformation to create a more accessible, efficient, and person-</w:t>
      </w:r>
      <w:r w:rsidR="009B6066" w:rsidRPr="00FF1E77">
        <w:rPr>
          <w:rFonts w:ascii="Arial" w:hAnsi="Arial" w:cs="Arial"/>
          <w:b w:val="0"/>
          <w:bCs/>
          <w:sz w:val="22"/>
          <w:szCs w:val="22"/>
        </w:rPr>
        <w:t>centered</w:t>
      </w:r>
      <w:r w:rsidRPr="00FF1E77">
        <w:rPr>
          <w:rFonts w:ascii="Arial" w:hAnsi="Arial" w:cs="Arial"/>
          <w:b w:val="0"/>
          <w:bCs/>
          <w:sz w:val="22"/>
          <w:szCs w:val="22"/>
        </w:rPr>
        <w:t xml:space="preserve"> healthcare system. Artificial intelligence (AI) applications, such as </w:t>
      </w:r>
      <w:r w:rsidR="009B6066" w:rsidRPr="00FF1E77">
        <w:rPr>
          <w:rFonts w:ascii="Arial" w:hAnsi="Arial" w:cs="Arial"/>
          <w:b w:val="0"/>
          <w:bCs/>
          <w:sz w:val="22"/>
          <w:szCs w:val="22"/>
        </w:rPr>
        <w:t>WYSA</w:t>
      </w:r>
      <w:r w:rsidRPr="00FF1E77">
        <w:rPr>
          <w:rFonts w:ascii="Arial" w:hAnsi="Arial" w:cs="Arial"/>
          <w:b w:val="0"/>
          <w:bCs/>
          <w:sz w:val="22"/>
          <w:szCs w:val="22"/>
        </w:rPr>
        <w:t xml:space="preserve">, are central to this vision. </w:t>
      </w:r>
      <w:r w:rsidR="009B6066" w:rsidRPr="00FF1E77">
        <w:rPr>
          <w:rFonts w:ascii="Arial" w:hAnsi="Arial" w:cs="Arial"/>
          <w:b w:val="0"/>
          <w:bCs/>
          <w:sz w:val="22"/>
          <w:szCs w:val="22"/>
        </w:rPr>
        <w:t>WYSA</w:t>
      </w:r>
      <w:r w:rsidRPr="00FF1E77">
        <w:rPr>
          <w:rFonts w:ascii="Arial" w:hAnsi="Arial" w:cs="Arial"/>
          <w:b w:val="0"/>
          <w:bCs/>
          <w:sz w:val="22"/>
          <w:szCs w:val="22"/>
        </w:rPr>
        <w:t xml:space="preserve"> is an AI-driven mobile application offering conversational, evidence-based psychological support, including cognitive </w:t>
      </w:r>
      <w:r w:rsidR="009B6066" w:rsidRPr="00FF1E77">
        <w:rPr>
          <w:rFonts w:ascii="Arial" w:hAnsi="Arial" w:cs="Arial"/>
          <w:b w:val="0"/>
          <w:bCs/>
          <w:sz w:val="22"/>
          <w:szCs w:val="22"/>
        </w:rPr>
        <w:t>behavioral</w:t>
      </w:r>
      <w:r w:rsidRPr="00FF1E77">
        <w:rPr>
          <w:rFonts w:ascii="Arial" w:hAnsi="Arial" w:cs="Arial"/>
          <w:b w:val="0"/>
          <w:bCs/>
          <w:sz w:val="22"/>
          <w:szCs w:val="22"/>
        </w:rPr>
        <w:t xml:space="preserve"> therapy (CBT), mindfulness, and </w:t>
      </w:r>
      <w:r w:rsidR="009B6066" w:rsidRPr="00FF1E77">
        <w:rPr>
          <w:rFonts w:ascii="Arial" w:hAnsi="Arial" w:cs="Arial"/>
          <w:b w:val="0"/>
          <w:bCs/>
          <w:sz w:val="22"/>
          <w:szCs w:val="22"/>
        </w:rPr>
        <w:t>behavioral</w:t>
      </w:r>
      <w:r w:rsidRPr="00FF1E77">
        <w:rPr>
          <w:rFonts w:ascii="Arial" w:hAnsi="Arial" w:cs="Arial"/>
          <w:b w:val="0"/>
          <w:bCs/>
          <w:sz w:val="22"/>
          <w:szCs w:val="22"/>
        </w:rPr>
        <w:t xml:space="preserve"> reinforcement. According to Inkster et al. (2018), </w:t>
      </w:r>
      <w:r w:rsidR="009B6066" w:rsidRPr="00FF1E77">
        <w:rPr>
          <w:rFonts w:ascii="Arial" w:hAnsi="Arial" w:cs="Arial"/>
          <w:b w:val="0"/>
          <w:bCs/>
          <w:sz w:val="22"/>
          <w:szCs w:val="22"/>
        </w:rPr>
        <w:t>WYSA</w:t>
      </w:r>
      <w:r w:rsidRPr="00FF1E77">
        <w:rPr>
          <w:rFonts w:ascii="Arial" w:hAnsi="Arial" w:cs="Arial"/>
          <w:b w:val="0"/>
          <w:bCs/>
          <w:sz w:val="22"/>
          <w:szCs w:val="22"/>
        </w:rPr>
        <w:t xml:space="preserve"> provides a confidential and empathetic interface for users experiencing stress, anxiety, or depression. Its introduction into the NHS in 2018, through pilot projects such as those at Birmingham and Solihull Mental Health NHS Foundation Trust, reflected an early commitment to scalable, technology-enhanced mental health care.</w:t>
      </w:r>
    </w:p>
    <w:p w14:paraId="0E9C6C17" w14:textId="77777777" w:rsidR="0084257D" w:rsidRPr="00FF1E77" w:rsidRDefault="0084257D" w:rsidP="000130F1">
      <w:pPr>
        <w:pStyle w:val="Heading1"/>
        <w:jc w:val="left"/>
        <w:rPr>
          <w:rFonts w:ascii="Arial" w:hAnsi="Arial" w:cs="Arial"/>
          <w:b w:val="0"/>
          <w:bCs/>
          <w:sz w:val="22"/>
          <w:szCs w:val="22"/>
        </w:rPr>
      </w:pPr>
    </w:p>
    <w:p w14:paraId="763283DB" w14:textId="3646B501"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lastRenderedPageBreak/>
        <w:t xml:space="preserve">Following the COVID-19 pandemic, the demand for mental health support surged, creating an urgent need for digital innovations capable of supplementing traditional care (Thomas, Schroder and Rickwood, 2021). The NHS Long Term Plan (2019) and the Department of Health and Social Care’s (2022) Mental Health and Wellbeing Plan emphasised that digital solutions could improve accessibility and reduce waiting times for therapy. </w:t>
      </w:r>
      <w:r w:rsidR="009B6066" w:rsidRPr="00FF1E77">
        <w:rPr>
          <w:rFonts w:ascii="Arial" w:hAnsi="Arial" w:cs="Arial"/>
          <w:b w:val="0"/>
          <w:bCs/>
          <w:sz w:val="22"/>
          <w:szCs w:val="22"/>
        </w:rPr>
        <w:t>WYSA</w:t>
      </w:r>
      <w:r w:rsidRPr="00FF1E77">
        <w:rPr>
          <w:rFonts w:ascii="Arial" w:hAnsi="Arial" w:cs="Arial"/>
          <w:b w:val="0"/>
          <w:bCs/>
          <w:sz w:val="22"/>
          <w:szCs w:val="22"/>
        </w:rPr>
        <w:t xml:space="preserve"> therefore exemplifies a contemporary response to systemic pressure on the mental health workforce and service delivery. This report critically analyses Wysa’s impact in these two domains, drawing on recent evidence, national policy, and ethical and governance frameworks.</w:t>
      </w:r>
    </w:p>
    <w:p w14:paraId="0AF95296" w14:textId="77777777" w:rsidR="0084257D" w:rsidRPr="00FF1E77" w:rsidRDefault="0084257D" w:rsidP="000130F1">
      <w:pPr>
        <w:pStyle w:val="Heading1"/>
        <w:jc w:val="left"/>
        <w:rPr>
          <w:rFonts w:ascii="Arial" w:hAnsi="Arial" w:cs="Arial"/>
          <w:b w:val="0"/>
          <w:bCs/>
          <w:sz w:val="22"/>
          <w:szCs w:val="22"/>
        </w:rPr>
      </w:pPr>
    </w:p>
    <w:p w14:paraId="19E1F8DF" w14:textId="77777777"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Case Study Background</w:t>
      </w:r>
    </w:p>
    <w:p w14:paraId="0D153538" w14:textId="77777777" w:rsidR="0084257D" w:rsidRPr="00FF1E77" w:rsidRDefault="0084257D" w:rsidP="000130F1">
      <w:pPr>
        <w:pStyle w:val="Heading1"/>
        <w:jc w:val="left"/>
        <w:rPr>
          <w:rFonts w:ascii="Arial" w:hAnsi="Arial" w:cs="Arial"/>
          <w:b w:val="0"/>
          <w:bCs/>
          <w:sz w:val="22"/>
          <w:szCs w:val="22"/>
        </w:rPr>
      </w:pPr>
    </w:p>
    <w:p w14:paraId="01A74D49" w14:textId="65E58195"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The UK mental health system has historically faced structural challenges, including limited workforce capacity, prolonged waiting times, and underfunding (Department of Health, 2014). As reported by Sinha, Meheli and Kadaba (2023), even before the pandemic, patients often waited months for therapy, exacerbating clinical severity and social distress. In response, the Health and Social Care Act (2012) and subsequent digital strategies called for innovation to ensure equitable access to mental health support. </w:t>
      </w:r>
      <w:r w:rsidR="00F76084" w:rsidRPr="00FF1E77">
        <w:rPr>
          <w:rFonts w:ascii="Arial" w:hAnsi="Arial" w:cs="Arial"/>
          <w:b w:val="0"/>
          <w:bCs/>
          <w:sz w:val="22"/>
          <w:szCs w:val="22"/>
        </w:rPr>
        <w:t>WYSA</w:t>
      </w:r>
      <w:r w:rsidRPr="00FF1E77">
        <w:rPr>
          <w:rFonts w:ascii="Arial" w:hAnsi="Arial" w:cs="Arial"/>
          <w:b w:val="0"/>
          <w:bCs/>
          <w:sz w:val="22"/>
          <w:szCs w:val="22"/>
        </w:rPr>
        <w:t xml:space="preserve"> was introduced as an AI-driven complement to traditional therapy, designed to bridge accessibility gaps and reduce workforce strain.</w:t>
      </w:r>
    </w:p>
    <w:p w14:paraId="0A4C95E1" w14:textId="77777777" w:rsidR="0084257D" w:rsidRPr="00FF1E77" w:rsidRDefault="0084257D" w:rsidP="000130F1">
      <w:pPr>
        <w:pStyle w:val="Heading1"/>
        <w:jc w:val="left"/>
        <w:rPr>
          <w:rFonts w:ascii="Arial" w:hAnsi="Arial" w:cs="Arial"/>
          <w:b w:val="0"/>
          <w:bCs/>
          <w:sz w:val="22"/>
          <w:szCs w:val="22"/>
        </w:rPr>
      </w:pPr>
    </w:p>
    <w:p w14:paraId="371EA099" w14:textId="63527885" w:rsidR="0084257D" w:rsidRPr="00FF1E77" w:rsidRDefault="00F76084" w:rsidP="000130F1">
      <w:pPr>
        <w:pStyle w:val="Heading1"/>
        <w:jc w:val="left"/>
        <w:rPr>
          <w:rFonts w:ascii="Arial" w:hAnsi="Arial" w:cs="Arial"/>
          <w:b w:val="0"/>
          <w:bCs/>
          <w:sz w:val="22"/>
          <w:szCs w:val="22"/>
        </w:rPr>
      </w:pPr>
      <w:r w:rsidRPr="00FF1E77">
        <w:rPr>
          <w:rFonts w:ascii="Arial" w:hAnsi="Arial" w:cs="Arial"/>
          <w:b w:val="0"/>
          <w:bCs/>
          <w:sz w:val="22"/>
          <w:szCs w:val="22"/>
        </w:rPr>
        <w:t>WYSA</w:t>
      </w:r>
      <w:r w:rsidR="0084257D" w:rsidRPr="00FF1E77">
        <w:rPr>
          <w:rFonts w:ascii="Arial" w:hAnsi="Arial" w:cs="Arial"/>
          <w:b w:val="0"/>
          <w:bCs/>
          <w:sz w:val="22"/>
          <w:szCs w:val="22"/>
        </w:rPr>
        <w:t xml:space="preserve"> operates through a chatbot interface offering personalised psychological interventions. According to Amin, Hong and Mazhar (2025), the app utilises natural language processing and reinforcement learning to deliver adaptive, evidence-based support. While not a replacement for professional care, </w:t>
      </w:r>
      <w:r w:rsidRPr="00FF1E77">
        <w:rPr>
          <w:rFonts w:ascii="Arial" w:hAnsi="Arial" w:cs="Arial"/>
          <w:b w:val="0"/>
          <w:bCs/>
          <w:sz w:val="22"/>
          <w:szCs w:val="22"/>
        </w:rPr>
        <w:t>WYSA</w:t>
      </w:r>
      <w:r w:rsidR="0084257D" w:rsidRPr="00FF1E77">
        <w:rPr>
          <w:rFonts w:ascii="Arial" w:hAnsi="Arial" w:cs="Arial"/>
          <w:b w:val="0"/>
          <w:bCs/>
          <w:sz w:val="22"/>
          <w:szCs w:val="22"/>
        </w:rPr>
        <w:t xml:space="preserve"> functions as a first line of self-guided mental health assistance, allowing users to engage with therapeutic activities before or alongside formal treatment. NHS Dorset and NHS Lancashire, for instance, implemented </w:t>
      </w:r>
      <w:r w:rsidRPr="00FF1E77">
        <w:rPr>
          <w:rFonts w:ascii="Arial" w:hAnsi="Arial" w:cs="Arial"/>
          <w:b w:val="0"/>
          <w:bCs/>
          <w:sz w:val="22"/>
          <w:szCs w:val="22"/>
        </w:rPr>
        <w:t>WYSA</w:t>
      </w:r>
      <w:r w:rsidR="0084257D" w:rsidRPr="00FF1E77">
        <w:rPr>
          <w:rFonts w:ascii="Arial" w:hAnsi="Arial" w:cs="Arial"/>
          <w:b w:val="0"/>
          <w:bCs/>
          <w:sz w:val="22"/>
          <w:szCs w:val="22"/>
        </w:rPr>
        <w:t xml:space="preserve"> as part of wellbeing programmes for staff and patients during the pandemic (NHS Digital, 2022).</w:t>
      </w:r>
    </w:p>
    <w:p w14:paraId="3FBC89B8" w14:textId="35C25E4B"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However, as reported by Coyle and McGlade (2022), the adoption of AI in mental health raises complex governance, privacy, and ethical concerns. Data from </w:t>
      </w:r>
      <w:r w:rsidR="00F76084" w:rsidRPr="00FF1E77">
        <w:rPr>
          <w:rFonts w:ascii="Arial" w:hAnsi="Arial" w:cs="Arial"/>
          <w:b w:val="0"/>
          <w:bCs/>
          <w:sz w:val="22"/>
          <w:szCs w:val="22"/>
        </w:rPr>
        <w:t>WYSA</w:t>
      </w:r>
      <w:r w:rsidRPr="00FF1E77">
        <w:rPr>
          <w:rFonts w:ascii="Arial" w:hAnsi="Arial" w:cs="Arial"/>
          <w:b w:val="0"/>
          <w:bCs/>
          <w:sz w:val="22"/>
          <w:szCs w:val="22"/>
        </w:rPr>
        <w:t xml:space="preserve"> constitute “special category” personal information under the UK General Data Protection Regulation (GDPR, 2018) and the Data Protection Act (2018), necessitating stringent oversight. Therefore, while </w:t>
      </w:r>
      <w:r w:rsidR="009B6066" w:rsidRPr="00FF1E77">
        <w:rPr>
          <w:rFonts w:ascii="Arial" w:hAnsi="Arial" w:cs="Arial"/>
          <w:b w:val="0"/>
          <w:bCs/>
          <w:sz w:val="22"/>
          <w:szCs w:val="22"/>
        </w:rPr>
        <w:t>WYSA</w:t>
      </w:r>
      <w:r w:rsidRPr="00FF1E77">
        <w:rPr>
          <w:rFonts w:ascii="Arial" w:hAnsi="Arial" w:cs="Arial"/>
          <w:b w:val="0"/>
          <w:bCs/>
          <w:sz w:val="22"/>
          <w:szCs w:val="22"/>
        </w:rPr>
        <w:t xml:space="preserve"> embodies innovation, its deployment must be critically examined in relation to workforce impact and service transformation</w:t>
      </w:r>
    </w:p>
    <w:p w14:paraId="3EFC1D74" w14:textId="77777777" w:rsidR="0084257D" w:rsidRPr="00FF1E77" w:rsidRDefault="0084257D" w:rsidP="000130F1">
      <w:pPr>
        <w:pStyle w:val="Heading1"/>
        <w:jc w:val="left"/>
        <w:rPr>
          <w:rFonts w:ascii="Arial" w:hAnsi="Arial" w:cs="Arial"/>
          <w:b w:val="0"/>
          <w:bCs/>
          <w:sz w:val="22"/>
          <w:szCs w:val="22"/>
        </w:rPr>
      </w:pPr>
    </w:p>
    <w:p w14:paraId="6902BB29" w14:textId="5ACDF67A"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Im</w:t>
      </w:r>
      <w:r w:rsidR="00656B28">
        <w:rPr>
          <w:rFonts w:ascii="Arial" w:hAnsi="Arial" w:cs="Arial"/>
          <w:b w:val="0"/>
          <w:bCs/>
          <w:sz w:val="22"/>
          <w:szCs w:val="22"/>
        </w:rPr>
        <w:t xml:space="preserve">pact </w:t>
      </w:r>
      <w:r w:rsidR="00223AC7">
        <w:rPr>
          <w:rFonts w:ascii="Arial" w:hAnsi="Arial" w:cs="Arial"/>
          <w:b w:val="0"/>
          <w:bCs/>
          <w:sz w:val="22"/>
          <w:szCs w:val="22"/>
        </w:rPr>
        <w:t>on workforce Impact</w:t>
      </w:r>
    </w:p>
    <w:p w14:paraId="28D313CD" w14:textId="77777777" w:rsidR="0084257D" w:rsidRPr="00FF1E77" w:rsidRDefault="0084257D" w:rsidP="000130F1">
      <w:pPr>
        <w:pStyle w:val="Heading1"/>
        <w:jc w:val="left"/>
        <w:rPr>
          <w:rFonts w:ascii="Arial" w:hAnsi="Arial" w:cs="Arial"/>
          <w:b w:val="0"/>
          <w:bCs/>
          <w:sz w:val="22"/>
          <w:szCs w:val="22"/>
        </w:rPr>
      </w:pPr>
    </w:p>
    <w:p w14:paraId="44AB5545" w14:textId="27D8E56C"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The integration of </w:t>
      </w:r>
      <w:r w:rsidR="00F76084" w:rsidRPr="00FF1E77">
        <w:rPr>
          <w:rFonts w:ascii="Arial" w:hAnsi="Arial" w:cs="Arial"/>
          <w:b w:val="0"/>
          <w:bCs/>
          <w:sz w:val="22"/>
          <w:szCs w:val="22"/>
        </w:rPr>
        <w:t>WYSA</w:t>
      </w:r>
      <w:r w:rsidRPr="00FF1E77">
        <w:rPr>
          <w:rFonts w:ascii="Arial" w:hAnsi="Arial" w:cs="Arial"/>
          <w:b w:val="0"/>
          <w:bCs/>
          <w:sz w:val="22"/>
          <w:szCs w:val="22"/>
        </w:rPr>
        <w:t xml:space="preserve"> into UK mental health services has significantly influenced workforce structures, responsibilities, and professional dynamics. According to Inkster et al. (2018), Wysa’s automated conversational support reduces the therapeutic burden on clinicians by managing mild-to-moderate cases, allowing practitioners to focus on complex interventions. This aligns with the NHS Long Term Plan’s (2019) ambition to create a “digitally enabled workforce” that can deliver high-quality, preventative care at scale. During the pandemic, as reported by Gautam et al. (2020), digital mental health tools such as </w:t>
      </w:r>
      <w:r w:rsidR="00F76084" w:rsidRPr="00FF1E77">
        <w:rPr>
          <w:rFonts w:ascii="Arial" w:hAnsi="Arial" w:cs="Arial"/>
          <w:b w:val="0"/>
          <w:bCs/>
          <w:sz w:val="22"/>
          <w:szCs w:val="22"/>
        </w:rPr>
        <w:t>WYSA</w:t>
      </w:r>
      <w:r w:rsidRPr="00FF1E77">
        <w:rPr>
          <w:rFonts w:ascii="Arial" w:hAnsi="Arial" w:cs="Arial"/>
          <w:b w:val="0"/>
          <w:bCs/>
          <w:sz w:val="22"/>
          <w:szCs w:val="22"/>
        </w:rPr>
        <w:t xml:space="preserve"> mitigated workforce burnout by providing consistent, low-intensity support to both patients and NHS staff.</w:t>
      </w:r>
    </w:p>
    <w:p w14:paraId="7BF321F0" w14:textId="77777777" w:rsidR="0084257D" w:rsidRPr="00FF1E77" w:rsidRDefault="0084257D" w:rsidP="000130F1">
      <w:pPr>
        <w:pStyle w:val="Heading1"/>
        <w:jc w:val="left"/>
        <w:rPr>
          <w:rFonts w:ascii="Arial" w:hAnsi="Arial" w:cs="Arial"/>
          <w:b w:val="0"/>
          <w:bCs/>
          <w:sz w:val="22"/>
          <w:szCs w:val="22"/>
        </w:rPr>
      </w:pPr>
    </w:p>
    <w:p w14:paraId="3969E747" w14:textId="05F902FD"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Critically, </w:t>
      </w:r>
      <w:r w:rsidR="00F76084" w:rsidRPr="00FF1E77">
        <w:rPr>
          <w:rFonts w:ascii="Arial" w:hAnsi="Arial" w:cs="Arial"/>
          <w:b w:val="0"/>
          <w:bCs/>
          <w:sz w:val="22"/>
          <w:szCs w:val="22"/>
        </w:rPr>
        <w:t>WYSA</w:t>
      </w:r>
      <w:r w:rsidRPr="00FF1E77">
        <w:rPr>
          <w:rFonts w:ascii="Arial" w:hAnsi="Arial" w:cs="Arial"/>
          <w:b w:val="0"/>
          <w:bCs/>
          <w:sz w:val="22"/>
          <w:szCs w:val="22"/>
        </w:rPr>
        <w:t xml:space="preserve"> represents a paradigm shift in workforce functionality—from direct provision of therapy to the facilitation and supervision of digital care pathways. While this transition enhances productivity, it introduces new competency demands. The NHS Digital Academy (2020) acknowledges that clinicians require digital literacy, confidence, and governance awareness to safely incorporate AI-based tools into clinical workflows. Sinha et al. (2023) argue that the uneven uptake of digital skills within the mental health workforce creates implementation disparities, with some professionals hesitant to trust AI interventions. This highlights the importance of continuous professional development and the co-production of digital solutions with practitioners to ensure clinical acceptance.</w:t>
      </w:r>
    </w:p>
    <w:p w14:paraId="2EDA68A2" w14:textId="77777777" w:rsidR="0084257D" w:rsidRPr="00FF1E77" w:rsidRDefault="0084257D" w:rsidP="000130F1">
      <w:pPr>
        <w:pStyle w:val="Heading1"/>
        <w:jc w:val="left"/>
        <w:rPr>
          <w:rFonts w:ascii="Arial" w:hAnsi="Arial" w:cs="Arial"/>
          <w:b w:val="0"/>
          <w:bCs/>
          <w:sz w:val="22"/>
          <w:szCs w:val="22"/>
        </w:rPr>
      </w:pPr>
    </w:p>
    <w:p w14:paraId="0BECE087" w14:textId="042B29C1"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However, the workforce implications of </w:t>
      </w:r>
      <w:r w:rsidR="00F76084" w:rsidRPr="00FF1E77">
        <w:rPr>
          <w:rFonts w:ascii="Arial" w:hAnsi="Arial" w:cs="Arial"/>
          <w:b w:val="0"/>
          <w:bCs/>
          <w:sz w:val="22"/>
          <w:szCs w:val="22"/>
        </w:rPr>
        <w:t>WYSA</w:t>
      </w:r>
      <w:r w:rsidRPr="00FF1E77">
        <w:rPr>
          <w:rFonts w:ascii="Arial" w:hAnsi="Arial" w:cs="Arial"/>
          <w:b w:val="0"/>
          <w:bCs/>
          <w:sz w:val="22"/>
          <w:szCs w:val="22"/>
        </w:rPr>
        <w:t xml:space="preserve"> are not exclusively positive. As noted by Greenhalgh, Wherton and Papoutsi (2022), digital transformation in healthcare often redistributes rather than eliminates workload. Clinicians may experience “digital fatigue” arising from the need to monitor, evaluate, and interpret data generated by AI systems. Furthermore, as stated by the Royal College of Psychiatrists (2022), the growing reliance on technology risks eroding core therapeutic relationships and reducing opportunities for human empathy—a central pillar of psychological care. The balance between automation and compassion therefore emerges as a critical challenge.</w:t>
      </w:r>
    </w:p>
    <w:p w14:paraId="196E4E12" w14:textId="77777777" w:rsidR="0084257D" w:rsidRPr="00FF1E77" w:rsidRDefault="0084257D" w:rsidP="000130F1">
      <w:pPr>
        <w:pStyle w:val="Heading1"/>
        <w:jc w:val="left"/>
        <w:rPr>
          <w:rFonts w:ascii="Arial" w:hAnsi="Arial" w:cs="Arial"/>
          <w:b w:val="0"/>
          <w:bCs/>
          <w:sz w:val="22"/>
          <w:szCs w:val="22"/>
        </w:rPr>
      </w:pPr>
    </w:p>
    <w:p w14:paraId="37B5D6C4" w14:textId="77777777"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lastRenderedPageBreak/>
        <w:t>From a governance perspective, accountability remains ambiguous. Under the UK GDPR (2018), clinicians and organisations are ultimately responsible for ensuring data protection and informed consent. Yet, as van Voorst (2024) highlights, AI algorithms lack transparency in decision-making (“black-box” models), complicating accountability in clinical outcomes. This raises ethical questions about liability in cases of data misuse or clinical harm. Moreover, the workforce must navigate ethical tensions between technological efficiency and professional duty of care.</w:t>
      </w:r>
    </w:p>
    <w:p w14:paraId="55FCE8F4" w14:textId="77777777" w:rsidR="0084257D" w:rsidRPr="00FF1E77" w:rsidRDefault="0084257D" w:rsidP="000130F1">
      <w:pPr>
        <w:pStyle w:val="Heading1"/>
        <w:jc w:val="left"/>
        <w:rPr>
          <w:rFonts w:ascii="Arial" w:hAnsi="Arial" w:cs="Arial"/>
          <w:b w:val="0"/>
          <w:bCs/>
          <w:sz w:val="22"/>
          <w:szCs w:val="22"/>
        </w:rPr>
      </w:pPr>
    </w:p>
    <w:p w14:paraId="2C01424F" w14:textId="360F2FCE"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Despite these concerns, </w:t>
      </w:r>
      <w:r w:rsidR="00BA1643" w:rsidRPr="00FF1E77">
        <w:rPr>
          <w:rFonts w:ascii="Arial" w:hAnsi="Arial" w:cs="Arial"/>
          <w:b w:val="0"/>
          <w:bCs/>
          <w:sz w:val="22"/>
          <w:szCs w:val="22"/>
        </w:rPr>
        <w:t>WYSA</w:t>
      </w:r>
      <w:r w:rsidRPr="00FF1E77">
        <w:rPr>
          <w:rFonts w:ascii="Arial" w:hAnsi="Arial" w:cs="Arial"/>
          <w:b w:val="0"/>
          <w:bCs/>
          <w:sz w:val="22"/>
          <w:szCs w:val="22"/>
        </w:rPr>
        <w:t xml:space="preserve"> has demonstrated measurable workforce benefits. NHS evaluations reported by NHS Digital (2022) indicate that </w:t>
      </w:r>
      <w:r w:rsidR="00F76084" w:rsidRPr="00FF1E77">
        <w:rPr>
          <w:rFonts w:ascii="Arial" w:hAnsi="Arial" w:cs="Arial"/>
          <w:b w:val="0"/>
          <w:bCs/>
          <w:sz w:val="22"/>
          <w:szCs w:val="22"/>
        </w:rPr>
        <w:t>WYSA</w:t>
      </w:r>
      <w:r w:rsidRPr="00FF1E77">
        <w:rPr>
          <w:rFonts w:ascii="Arial" w:hAnsi="Arial" w:cs="Arial"/>
          <w:b w:val="0"/>
          <w:bCs/>
          <w:sz w:val="22"/>
          <w:szCs w:val="22"/>
        </w:rPr>
        <w:t xml:space="preserve"> reduced administrative workloads and improved staff wellbeing scores across pilot sites. However, as argued by Coyle and McGlade (2022), long-term sustainability requires embedding ethical guidelines, digital literacy frameworks, and psychological support mechanisms for staff adapting to new modes of care. In summary, </w:t>
      </w:r>
      <w:r w:rsidR="00F76084" w:rsidRPr="00FF1E77">
        <w:rPr>
          <w:rFonts w:ascii="Arial" w:hAnsi="Arial" w:cs="Arial"/>
          <w:b w:val="0"/>
          <w:bCs/>
          <w:sz w:val="22"/>
          <w:szCs w:val="22"/>
        </w:rPr>
        <w:t>WYSA</w:t>
      </w:r>
      <w:r w:rsidRPr="00FF1E77">
        <w:rPr>
          <w:rFonts w:ascii="Arial" w:hAnsi="Arial" w:cs="Arial"/>
          <w:b w:val="0"/>
          <w:bCs/>
          <w:sz w:val="22"/>
          <w:szCs w:val="22"/>
        </w:rPr>
        <w:t xml:space="preserve"> has the potential to empower a digitally competent workforce and optimise mental health provision, but only if accompanied by robust training, ethical oversight, and clear accountability structures.</w:t>
      </w:r>
    </w:p>
    <w:p w14:paraId="47599BC7" w14:textId="77777777" w:rsidR="0084257D" w:rsidRPr="00FF1E77" w:rsidRDefault="0084257D" w:rsidP="000130F1">
      <w:pPr>
        <w:pStyle w:val="Heading1"/>
        <w:jc w:val="left"/>
        <w:rPr>
          <w:rFonts w:ascii="Arial" w:hAnsi="Arial" w:cs="Arial"/>
          <w:b w:val="0"/>
          <w:bCs/>
          <w:sz w:val="22"/>
          <w:szCs w:val="22"/>
        </w:rPr>
      </w:pPr>
    </w:p>
    <w:p w14:paraId="53B9FB48" w14:textId="14752991"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Impact on Service Delivery </w:t>
      </w:r>
    </w:p>
    <w:p w14:paraId="20E9D8C4" w14:textId="77777777" w:rsidR="0084257D" w:rsidRPr="00FF1E77" w:rsidRDefault="0084257D" w:rsidP="000130F1">
      <w:pPr>
        <w:pStyle w:val="Heading1"/>
        <w:jc w:val="left"/>
        <w:rPr>
          <w:rFonts w:ascii="Arial" w:hAnsi="Arial" w:cs="Arial"/>
          <w:b w:val="0"/>
          <w:bCs/>
          <w:sz w:val="22"/>
          <w:szCs w:val="22"/>
        </w:rPr>
      </w:pPr>
    </w:p>
    <w:p w14:paraId="32915B77" w14:textId="6EB26D86" w:rsidR="00763EE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The implementation of </w:t>
      </w:r>
      <w:r w:rsidR="00E4224F" w:rsidRPr="00FF1E77">
        <w:rPr>
          <w:rFonts w:ascii="Arial" w:hAnsi="Arial" w:cs="Arial"/>
          <w:b w:val="0"/>
          <w:bCs/>
          <w:sz w:val="22"/>
          <w:szCs w:val="22"/>
        </w:rPr>
        <w:t>WYSA</w:t>
      </w:r>
      <w:r w:rsidRPr="00FF1E77">
        <w:rPr>
          <w:rFonts w:ascii="Arial" w:hAnsi="Arial" w:cs="Arial"/>
          <w:b w:val="0"/>
          <w:bCs/>
          <w:sz w:val="22"/>
          <w:szCs w:val="22"/>
        </w:rPr>
        <w:t xml:space="preserve"> has redefined service delivery within the UK mental health system, aligning with NHS England’s Digital First policy (2021). By offering 24/7 access to digital self-help interventions, </w:t>
      </w:r>
      <w:r w:rsidR="00E4224F" w:rsidRPr="00FF1E77">
        <w:rPr>
          <w:rFonts w:ascii="Arial" w:hAnsi="Arial" w:cs="Arial"/>
          <w:b w:val="0"/>
          <w:bCs/>
          <w:sz w:val="22"/>
          <w:szCs w:val="22"/>
        </w:rPr>
        <w:t>WYSA</w:t>
      </w:r>
      <w:r w:rsidRPr="00FF1E77">
        <w:rPr>
          <w:rFonts w:ascii="Arial" w:hAnsi="Arial" w:cs="Arial"/>
          <w:b w:val="0"/>
          <w:bCs/>
          <w:sz w:val="22"/>
          <w:szCs w:val="22"/>
        </w:rPr>
        <w:t xml:space="preserve"> addresses long-standing issues of accessibility, waiting times, and service continuity. As reported by Chen and Asch (2022), automation within mental health services enhances efficiency by enabling early intervention and data-informed triage. Wysa’s ability to provide immediate support reduces pressure on referral systems, which have historically been overburdened by increasing demand (Peipert, Krendl and Lorenzo-Luaces, 2022</w:t>
      </w:r>
      <w:r w:rsidR="00725308">
        <w:rPr>
          <w:rFonts w:ascii="Arial" w:hAnsi="Arial" w:cs="Arial"/>
          <w:b w:val="0"/>
          <w:bCs/>
          <w:sz w:val="22"/>
          <w:szCs w:val="22"/>
        </w:rPr>
        <w:t>)</w:t>
      </w:r>
      <w:r w:rsidR="004D5004">
        <w:rPr>
          <w:rFonts w:ascii="Arial" w:hAnsi="Arial" w:cs="Arial"/>
          <w:b w:val="0"/>
          <w:bCs/>
          <w:sz w:val="22"/>
          <w:szCs w:val="22"/>
        </w:rPr>
        <w:t>.</w:t>
      </w:r>
    </w:p>
    <w:p w14:paraId="01B6B233" w14:textId="56AF337E" w:rsidR="0084257D" w:rsidRPr="00FF1E77" w:rsidRDefault="000B75F6" w:rsidP="000130F1">
      <w:pPr>
        <w:pStyle w:val="Heading1"/>
        <w:jc w:val="left"/>
        <w:rPr>
          <w:rFonts w:ascii="Arial" w:hAnsi="Arial" w:cs="Arial"/>
          <w:b w:val="0"/>
          <w:bCs/>
          <w:sz w:val="22"/>
          <w:szCs w:val="22"/>
        </w:rPr>
      </w:pPr>
      <w:r>
        <w:rPr>
          <w:rFonts w:ascii="Arial" w:hAnsi="Arial" w:cs="Arial"/>
          <w:b w:val="0"/>
          <w:bCs/>
          <w:sz w:val="22"/>
          <w:szCs w:val="22"/>
        </w:rPr>
        <w:lastRenderedPageBreak/>
        <w:t xml:space="preserve"> </w:t>
      </w:r>
      <w:r w:rsidR="0084257D" w:rsidRPr="00FF1E77">
        <w:rPr>
          <w:rFonts w:ascii="Arial" w:hAnsi="Arial" w:cs="Arial"/>
          <w:b w:val="0"/>
          <w:bCs/>
          <w:sz w:val="22"/>
          <w:szCs w:val="22"/>
        </w:rPr>
        <w:t xml:space="preserve">From a critical standpoint, </w:t>
      </w:r>
      <w:r w:rsidR="00145998" w:rsidRPr="00FF1E77">
        <w:rPr>
          <w:rFonts w:ascii="Arial" w:hAnsi="Arial" w:cs="Arial"/>
          <w:b w:val="0"/>
          <w:bCs/>
          <w:sz w:val="22"/>
          <w:szCs w:val="22"/>
        </w:rPr>
        <w:t>WYSA</w:t>
      </w:r>
      <w:r w:rsidR="0084257D" w:rsidRPr="00FF1E77">
        <w:rPr>
          <w:rFonts w:ascii="Arial" w:hAnsi="Arial" w:cs="Arial"/>
          <w:b w:val="0"/>
          <w:bCs/>
          <w:sz w:val="22"/>
          <w:szCs w:val="22"/>
        </w:rPr>
        <w:t xml:space="preserve"> contributes to a shift toward preventative, population-based care, yet this transformation also introduces structural challenges. According to the Care Quality Commission (2021), the integration of AI applications into NHS systems is hindered by interoperability issues and inconsistent data governance standards. Fragmented digital infrastructure limits the ability of </w:t>
      </w:r>
      <w:r w:rsidR="00E4224F" w:rsidRPr="00FF1E77">
        <w:rPr>
          <w:rFonts w:ascii="Arial" w:hAnsi="Arial" w:cs="Arial"/>
          <w:b w:val="0"/>
          <w:bCs/>
          <w:sz w:val="22"/>
          <w:szCs w:val="22"/>
        </w:rPr>
        <w:t>WYSA</w:t>
      </w:r>
      <w:r w:rsidR="0084257D" w:rsidRPr="00FF1E77">
        <w:rPr>
          <w:rFonts w:ascii="Arial" w:hAnsi="Arial" w:cs="Arial"/>
          <w:b w:val="0"/>
          <w:bCs/>
          <w:sz w:val="22"/>
          <w:szCs w:val="22"/>
        </w:rPr>
        <w:t xml:space="preserve"> to fully interface with existing electronic health records, thereby restricting its potential for holistic patient management. Furthermore, the Health and Social Care Committee (2023) noted that without unified digital frameworks, data sharing between NHS trusts remains inconsistent, undermining the scalability of AI-based solutions.</w:t>
      </w:r>
    </w:p>
    <w:p w14:paraId="58DEF14B" w14:textId="77777777" w:rsidR="0084257D" w:rsidRPr="00FF1E77" w:rsidRDefault="0084257D" w:rsidP="000130F1">
      <w:pPr>
        <w:pStyle w:val="Heading1"/>
        <w:jc w:val="left"/>
        <w:rPr>
          <w:rFonts w:ascii="Arial" w:hAnsi="Arial" w:cs="Arial"/>
          <w:b w:val="0"/>
          <w:bCs/>
          <w:sz w:val="22"/>
          <w:szCs w:val="22"/>
        </w:rPr>
      </w:pPr>
    </w:p>
    <w:p w14:paraId="7BDBAEE0" w14:textId="35C8332A"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Another key tension lies in balancing accessibility with personalisation. While </w:t>
      </w:r>
      <w:r w:rsidR="00E4224F" w:rsidRPr="00FF1E77">
        <w:rPr>
          <w:rFonts w:ascii="Arial" w:hAnsi="Arial" w:cs="Arial"/>
          <w:b w:val="0"/>
          <w:bCs/>
          <w:sz w:val="22"/>
          <w:szCs w:val="22"/>
        </w:rPr>
        <w:t>WYSA</w:t>
      </w:r>
      <w:r w:rsidRPr="00FF1E77">
        <w:rPr>
          <w:rFonts w:ascii="Arial" w:hAnsi="Arial" w:cs="Arial"/>
          <w:b w:val="0"/>
          <w:bCs/>
          <w:sz w:val="22"/>
          <w:szCs w:val="22"/>
        </w:rPr>
        <w:t xml:space="preserve"> offers immediate access, its automated responses lack the nuance of human clinical judgment. As van Voorst (2024) argues, AI systems are limited in their ability to detect crisis-level risks or complex comorbidities, which could result in underestimating patient severity. Consequently, digital care should not replace but rather complement traditional therapy. The NHS Digital (2023) AI and Health Strategy reinforces this hybrid model, emphasising the need for human oversight and ethical governance.</w:t>
      </w:r>
    </w:p>
    <w:p w14:paraId="35D0B60C" w14:textId="77777777" w:rsidR="0084257D" w:rsidRPr="00FF1E77" w:rsidRDefault="0084257D" w:rsidP="000130F1">
      <w:pPr>
        <w:pStyle w:val="Heading1"/>
        <w:jc w:val="left"/>
        <w:rPr>
          <w:rFonts w:ascii="Arial" w:hAnsi="Arial" w:cs="Arial"/>
          <w:b w:val="0"/>
          <w:bCs/>
          <w:sz w:val="22"/>
          <w:szCs w:val="22"/>
        </w:rPr>
      </w:pPr>
    </w:p>
    <w:p w14:paraId="22E4A8C7" w14:textId="77777777"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Equity and inclusion are also central considerations. As reported by Marmot et al. (2020), digital exclusion continues to affect older adults, individuals in rural areas, and those from lower socioeconomic backgrounds. Wysa’s effectiveness is therefore mediated by users’ access to technology and digital literacy. To mitigate this, NHS organisations must ensure that digital transformation strategies include targeted inclusion programmes and patient education. Otherwise, innovations risk deepening existing health inequalities.</w:t>
      </w:r>
    </w:p>
    <w:p w14:paraId="392B9988" w14:textId="77777777" w:rsidR="0084257D" w:rsidRPr="00FF1E77" w:rsidRDefault="0084257D" w:rsidP="000130F1">
      <w:pPr>
        <w:pStyle w:val="Heading1"/>
        <w:jc w:val="left"/>
        <w:rPr>
          <w:rFonts w:ascii="Arial" w:hAnsi="Arial" w:cs="Arial"/>
          <w:b w:val="0"/>
          <w:bCs/>
          <w:sz w:val="22"/>
          <w:szCs w:val="22"/>
        </w:rPr>
      </w:pPr>
    </w:p>
    <w:p w14:paraId="58ADDBEF" w14:textId="3CFD00DC"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Despite these challenges, </w:t>
      </w:r>
      <w:r w:rsidR="00CC611F" w:rsidRPr="00FF1E77">
        <w:rPr>
          <w:rFonts w:ascii="Arial" w:hAnsi="Arial" w:cs="Arial"/>
          <w:b w:val="0"/>
          <w:bCs/>
          <w:sz w:val="22"/>
          <w:szCs w:val="22"/>
        </w:rPr>
        <w:t>WYSA</w:t>
      </w:r>
      <w:r w:rsidRPr="00FF1E77">
        <w:rPr>
          <w:rFonts w:ascii="Arial" w:hAnsi="Arial" w:cs="Arial"/>
          <w:b w:val="0"/>
          <w:bCs/>
          <w:sz w:val="22"/>
          <w:szCs w:val="22"/>
        </w:rPr>
        <w:t xml:space="preserve"> has demonstrably improved service reach and responsiveness. NHS Digital’s (2022) evaluation found that integration of </w:t>
      </w:r>
      <w:r w:rsidR="006769CF" w:rsidRPr="00FF1E77">
        <w:rPr>
          <w:rFonts w:ascii="Arial" w:hAnsi="Arial" w:cs="Arial"/>
          <w:b w:val="0"/>
          <w:bCs/>
          <w:sz w:val="22"/>
          <w:szCs w:val="22"/>
        </w:rPr>
        <w:t>WYSA</w:t>
      </w:r>
      <w:r w:rsidRPr="00FF1E77">
        <w:rPr>
          <w:rFonts w:ascii="Arial" w:hAnsi="Arial" w:cs="Arial"/>
          <w:b w:val="0"/>
          <w:bCs/>
          <w:sz w:val="22"/>
          <w:szCs w:val="22"/>
        </w:rPr>
        <w:t xml:space="preserve"> into primary care reduced the average waiting time for mental health triage by 30%, illustrating the potential of AI-driven service optimisation. Furthermore, the Department of Health and Social Care (2022) noted that digital mental health tools contribute to continuity of care by enabling remote support during service disruptions, such as those experienced during the pandemic. However, the sustainability of these improvements depends on regulatory stability and ethical clarity.</w:t>
      </w:r>
    </w:p>
    <w:p w14:paraId="20DB3E63" w14:textId="77777777" w:rsidR="0084257D" w:rsidRPr="00FF1E77" w:rsidRDefault="0084257D" w:rsidP="000130F1">
      <w:pPr>
        <w:pStyle w:val="Heading1"/>
        <w:jc w:val="left"/>
        <w:rPr>
          <w:rFonts w:ascii="Arial" w:hAnsi="Arial" w:cs="Arial"/>
          <w:b w:val="0"/>
          <w:bCs/>
          <w:sz w:val="22"/>
          <w:szCs w:val="22"/>
        </w:rPr>
      </w:pPr>
    </w:p>
    <w:p w14:paraId="15F51849" w14:textId="77777777"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lastRenderedPageBreak/>
        <w:t>Critically, the success of digital service delivery must be evaluated not only in terms of efficiency but also quality and safety. The Care Quality Commission (2022) has called for stronger frameworks to monitor the clinical effectiveness and risk management of digital mental health applications. Transparency in data processing, consent management, and algorithmic accountability are essential to maintaining patient trust. As reported by the House of Commons Library (2023), public confidence in AI technologies remains fragile, underscoring the need for regulatory coherence and continuous evaluation.</w:t>
      </w:r>
    </w:p>
    <w:p w14:paraId="76B16476" w14:textId="77777777" w:rsidR="0084257D" w:rsidRPr="00FF1E77" w:rsidRDefault="0084257D" w:rsidP="000130F1">
      <w:pPr>
        <w:pStyle w:val="Heading1"/>
        <w:jc w:val="left"/>
        <w:rPr>
          <w:rFonts w:ascii="Arial" w:hAnsi="Arial" w:cs="Arial"/>
          <w:b w:val="0"/>
          <w:bCs/>
          <w:sz w:val="22"/>
          <w:szCs w:val="22"/>
        </w:rPr>
      </w:pPr>
    </w:p>
    <w:p w14:paraId="0E67E8B3" w14:textId="77777777"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Overall, Wysa’s impact on service delivery is transformative but conditional. It enhances accessibility, flexibility, and preventative care, yet it also exposes systemic limitations in digital governance and inclusion. Effective service modernisation requires a balance between innovation, ethical responsibility, and equitable implementation.</w:t>
      </w:r>
    </w:p>
    <w:p w14:paraId="4356C8CF" w14:textId="77777777" w:rsidR="0084257D" w:rsidRPr="00FF1E77" w:rsidRDefault="0084257D" w:rsidP="000130F1">
      <w:pPr>
        <w:pStyle w:val="Heading1"/>
        <w:jc w:val="left"/>
        <w:rPr>
          <w:rFonts w:ascii="Arial" w:hAnsi="Arial" w:cs="Arial"/>
          <w:b w:val="0"/>
          <w:bCs/>
          <w:sz w:val="22"/>
          <w:szCs w:val="22"/>
        </w:rPr>
      </w:pPr>
    </w:p>
    <w:p w14:paraId="7362865C" w14:textId="77777777" w:rsidR="0084257D" w:rsidRPr="00FF1E77" w:rsidRDefault="0084257D" w:rsidP="000130F1">
      <w:pPr>
        <w:pStyle w:val="Heading1"/>
        <w:jc w:val="left"/>
        <w:rPr>
          <w:rFonts w:ascii="Arial" w:hAnsi="Arial" w:cs="Arial"/>
          <w:b w:val="0"/>
          <w:bCs/>
          <w:sz w:val="22"/>
          <w:szCs w:val="22"/>
        </w:rPr>
      </w:pPr>
    </w:p>
    <w:p w14:paraId="25C97D78" w14:textId="77777777"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w:t>
      </w:r>
    </w:p>
    <w:p w14:paraId="3DDF3CC9" w14:textId="77777777" w:rsidR="0084257D" w:rsidRPr="00FF1E77" w:rsidRDefault="0084257D" w:rsidP="000130F1">
      <w:pPr>
        <w:pStyle w:val="Heading1"/>
        <w:jc w:val="left"/>
        <w:rPr>
          <w:rFonts w:ascii="Arial" w:hAnsi="Arial" w:cs="Arial"/>
          <w:b w:val="0"/>
          <w:bCs/>
          <w:sz w:val="22"/>
          <w:szCs w:val="22"/>
        </w:rPr>
      </w:pPr>
    </w:p>
    <w:p w14:paraId="382BBCD8" w14:textId="77777777" w:rsidR="00AE3C63" w:rsidRPr="00AE3C63" w:rsidRDefault="0084257D" w:rsidP="00AE3C63">
      <w:pPr>
        <w:pStyle w:val="Heading1"/>
        <w:jc w:val="left"/>
        <w:rPr>
          <w:rFonts w:ascii="Arial" w:hAnsi="Arial" w:cs="Arial"/>
          <w:b w:val="0"/>
          <w:bCs/>
          <w:sz w:val="22"/>
          <w:szCs w:val="22"/>
        </w:rPr>
      </w:pPr>
      <w:r w:rsidRPr="00FF1E77">
        <w:rPr>
          <w:rFonts w:ascii="Arial" w:hAnsi="Arial" w:cs="Arial"/>
          <w:b w:val="0"/>
          <w:bCs/>
          <w:sz w:val="22"/>
          <w:szCs w:val="22"/>
        </w:rPr>
        <w:t>Conclusi</w:t>
      </w:r>
      <w:r w:rsidR="00AE3C63">
        <w:rPr>
          <w:rFonts w:ascii="Arial" w:hAnsi="Arial" w:cs="Arial"/>
          <w:b w:val="0"/>
          <w:bCs/>
          <w:sz w:val="22"/>
          <w:szCs w:val="22"/>
        </w:rPr>
        <w:t>on</w:t>
      </w:r>
    </w:p>
    <w:p w14:paraId="553E474E" w14:textId="3C134BFC" w:rsidR="0084257D" w:rsidRPr="00FF1E77" w:rsidRDefault="0084257D" w:rsidP="000130F1">
      <w:pPr>
        <w:pStyle w:val="Heading1"/>
        <w:jc w:val="left"/>
        <w:rPr>
          <w:rFonts w:ascii="Arial" w:hAnsi="Arial" w:cs="Arial"/>
          <w:b w:val="0"/>
          <w:bCs/>
          <w:sz w:val="22"/>
          <w:szCs w:val="22"/>
        </w:rPr>
      </w:pPr>
      <w:r w:rsidRPr="00FF1E77">
        <w:rPr>
          <w:rFonts w:ascii="Arial" w:hAnsi="Arial" w:cs="Arial"/>
          <w:b w:val="0"/>
          <w:bCs/>
          <w:sz w:val="22"/>
          <w:szCs w:val="22"/>
        </w:rPr>
        <w:t xml:space="preserve">In conclusion, </w:t>
      </w:r>
      <w:r w:rsidR="006769CF" w:rsidRPr="00FF1E77">
        <w:rPr>
          <w:rFonts w:ascii="Arial" w:hAnsi="Arial" w:cs="Arial"/>
          <w:b w:val="0"/>
          <w:bCs/>
          <w:sz w:val="22"/>
          <w:szCs w:val="22"/>
        </w:rPr>
        <w:t>WYSA</w:t>
      </w:r>
      <w:r w:rsidRPr="00FF1E77">
        <w:rPr>
          <w:rFonts w:ascii="Arial" w:hAnsi="Arial" w:cs="Arial"/>
          <w:b w:val="0"/>
          <w:bCs/>
          <w:sz w:val="22"/>
          <w:szCs w:val="22"/>
        </w:rPr>
        <w:t xml:space="preserve"> exemplifies how AI-driven innovation can reshape mental health care by improving workforce efficiency and service delivery within the NHS. As reported by NHS England (2019), digital transformation is essential for addressing capacity pressures and enhancing accessibility. The critical analysis reveals that </w:t>
      </w:r>
      <w:r w:rsidR="006769CF" w:rsidRPr="00FF1E77">
        <w:rPr>
          <w:rFonts w:ascii="Arial" w:hAnsi="Arial" w:cs="Arial"/>
          <w:b w:val="0"/>
          <w:bCs/>
          <w:sz w:val="22"/>
          <w:szCs w:val="22"/>
        </w:rPr>
        <w:t>WYSA</w:t>
      </w:r>
      <w:r w:rsidRPr="00FF1E77">
        <w:rPr>
          <w:rFonts w:ascii="Arial" w:hAnsi="Arial" w:cs="Arial"/>
          <w:b w:val="0"/>
          <w:bCs/>
          <w:sz w:val="22"/>
          <w:szCs w:val="22"/>
        </w:rPr>
        <w:t xml:space="preserve"> has reduced clinician workload, improved triage efficiency, and expanded access to mental health support. However, its integration introduces new challenges related to digital competence, ethical accountability, and data governance. The workforce must adapt to new roles that combine clinical expertise with digital literacy, while services must ensure inclusivity, safety, and interoperability.</w:t>
      </w:r>
    </w:p>
    <w:p w14:paraId="51426E34" w14:textId="77777777" w:rsidR="0084257D" w:rsidRPr="00FF1E77" w:rsidRDefault="0084257D" w:rsidP="000130F1">
      <w:pPr>
        <w:pStyle w:val="Heading1"/>
        <w:jc w:val="left"/>
        <w:rPr>
          <w:rFonts w:ascii="Arial" w:hAnsi="Arial" w:cs="Arial"/>
          <w:b w:val="0"/>
          <w:bCs/>
          <w:sz w:val="22"/>
          <w:szCs w:val="22"/>
        </w:rPr>
      </w:pPr>
    </w:p>
    <w:p w14:paraId="4D94C8F7" w14:textId="2BC217BB" w:rsidR="00835556" w:rsidRPr="00FF1E77" w:rsidRDefault="0084257D" w:rsidP="000130F1">
      <w:pPr>
        <w:pStyle w:val="Heading1"/>
        <w:jc w:val="left"/>
        <w:rPr>
          <w:rFonts w:ascii="Arial" w:hAnsi="Arial" w:cs="Arial"/>
          <w:b w:val="0"/>
          <w:bCs/>
          <w:sz w:val="22"/>
          <w:szCs w:val="22"/>
        </w:rPr>
        <w:sectPr w:rsidR="00835556" w:rsidRPr="00FF1E77" w:rsidSect="00B554CE">
          <w:footerReference w:type="default" r:id="rId9"/>
          <w:pgSz w:w="12240" w:h="15840"/>
          <w:pgMar w:top="1440" w:right="1440" w:bottom="1440" w:left="1440" w:header="720" w:footer="720" w:gutter="0"/>
          <w:pgNumType w:start="1"/>
          <w:cols w:space="720"/>
          <w:docGrid w:linePitch="360"/>
        </w:sectPr>
      </w:pPr>
      <w:r w:rsidRPr="00FF1E77">
        <w:rPr>
          <w:rFonts w:ascii="Arial" w:hAnsi="Arial" w:cs="Arial"/>
          <w:b w:val="0"/>
          <w:bCs/>
          <w:sz w:val="22"/>
          <w:szCs w:val="22"/>
        </w:rPr>
        <w:lastRenderedPageBreak/>
        <w:t xml:space="preserve">As argued by Greenhalgh et al. (2022), digital transformation in health care should be viewed as a socio-technical process—where human and technological factors interact dynamically. Wysa’s long-term success therefore depends on sustained professional training, regulatory oversight, and ethical governance under the UK GDPR (2018) and the Data Protection Act (2018). Ultimately, the deployment of </w:t>
      </w:r>
      <w:r w:rsidR="00C52B18" w:rsidRPr="00FF1E77">
        <w:rPr>
          <w:rFonts w:ascii="Arial" w:hAnsi="Arial" w:cs="Arial"/>
          <w:b w:val="0"/>
          <w:bCs/>
          <w:sz w:val="22"/>
          <w:szCs w:val="22"/>
        </w:rPr>
        <w:t>WYSA</w:t>
      </w:r>
      <w:r w:rsidRPr="00FF1E77">
        <w:rPr>
          <w:rFonts w:ascii="Arial" w:hAnsi="Arial" w:cs="Arial"/>
          <w:b w:val="0"/>
          <w:bCs/>
          <w:sz w:val="22"/>
          <w:szCs w:val="22"/>
        </w:rPr>
        <w:t xml:space="preserve"> illustrates both the promise and the complexity of digital mental health innovation: it enhances efficiency and </w:t>
      </w:r>
      <w:r w:rsidR="00AE3C63" w:rsidRPr="00FF1E77">
        <w:rPr>
          <w:rFonts w:ascii="Arial" w:hAnsi="Arial" w:cs="Arial"/>
          <w:b w:val="0"/>
          <w:bCs/>
          <w:sz w:val="22"/>
          <w:szCs w:val="22"/>
        </w:rPr>
        <w:t xml:space="preserve">reach </w:t>
      </w:r>
      <w:r w:rsidRPr="00FF1E77">
        <w:rPr>
          <w:rFonts w:ascii="Arial" w:hAnsi="Arial" w:cs="Arial"/>
          <w:b w:val="0"/>
          <w:bCs/>
          <w:sz w:val="22"/>
          <w:szCs w:val="22"/>
        </w:rPr>
        <w:t>must be implemented with critical awareness of its limitations to ensure that technology complements, rather than replaces, human compassion and professional judgment.</w:t>
      </w:r>
    </w:p>
    <w:p w14:paraId="508050AE" w14:textId="4D082C35" w:rsidR="00C4303A" w:rsidRPr="00FF1E77" w:rsidRDefault="00C4303A" w:rsidP="000130F1">
      <w:pPr>
        <w:pStyle w:val="Heading1"/>
        <w:jc w:val="left"/>
        <w:rPr>
          <w:rFonts w:ascii="Arial" w:hAnsi="Arial" w:cs="Arial"/>
          <w:b w:val="0"/>
          <w:bCs/>
          <w:sz w:val="22"/>
          <w:szCs w:val="22"/>
        </w:rPr>
      </w:pPr>
      <w:bookmarkStart w:id="0" w:name="_Toc212150654"/>
      <w:r w:rsidRPr="00FF1E77">
        <w:rPr>
          <w:rFonts w:ascii="Arial" w:hAnsi="Arial" w:cs="Arial"/>
          <w:b w:val="0"/>
          <w:bCs/>
          <w:sz w:val="22"/>
          <w:szCs w:val="22"/>
        </w:rPr>
        <w:lastRenderedPageBreak/>
        <w:t>References</w:t>
      </w:r>
      <w:bookmarkEnd w:id="0"/>
    </w:p>
    <w:p w14:paraId="23A84CC6"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Alasmrai, M.A., Ismail, R.M. and Ali Al-Abyadh, M.H. (2025) ‘Personalized Cognitive Behavioral Therapy for Adults Using Machine Learning: A Multi-Factor, Reinforcement-Based Approach’, Fusion: Practice &amp; Applications, 20(2).</w:t>
      </w:r>
    </w:p>
    <w:p w14:paraId="0A960659"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Amin, A., Hong, Y. and Mazhar, B. (2025) ‘Enhancing AI-Driven Mental Health Solutions’, International Journal of Human–Computer Interaction, pp.1–16.</w:t>
      </w:r>
    </w:p>
    <w:p w14:paraId="387E4393"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Care Quality Commission (2021) Driving Improvement Through Digital Innovation. London: CQC.</w:t>
      </w:r>
    </w:p>
    <w:p w14:paraId="5EF31D91"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Care Quality Commission (2022) Digital Mental Health: Safety and Effectiveness Review. London: CQC.</w:t>
      </w:r>
    </w:p>
    <w:p w14:paraId="2FC2223D"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Chen, M. and Asch, D.A. (2022) ‘Machine Learning and the Future of Mental Health Care’, New England Journal of Medicine, 387(5), pp.348–356.</w:t>
      </w:r>
    </w:p>
    <w:p w14:paraId="45A83A7A"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Coyle, D. and McGlade, A. (2022) ‘Ethical Challenges in AI-Based Mental Health Tools’, Digital Health Journal, 8(3), pp.210–223.</w:t>
      </w:r>
    </w:p>
    <w:p w14:paraId="61D83CA0"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Department of Health (2014) Closing the Gap: Priorities for Essential Change in Mental Health. London: DH.</w:t>
      </w:r>
    </w:p>
    <w:p w14:paraId="3F9AABF4"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Department of Health and Social Care (2022) Mental Health and Wellbeing Plan: Discussion Paper. London: DHSC.</w:t>
      </w:r>
    </w:p>
    <w:p w14:paraId="2BC383B6"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East, R. and Havard, J. (2021) ‘Self-Management and AI: Empowerment or Burden?’, British Journal of Nursing, 30(12), pp.690–696.</w:t>
      </w:r>
    </w:p>
    <w:p w14:paraId="06A0AF51"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Gautam, M. et al. (2020) ‘Current and future challenges in the delivery of mental healthcare during COVID-19’, SN Comprehensive Clinical Medicine, 2(7), pp.865–870.</w:t>
      </w:r>
    </w:p>
    <w:p w14:paraId="5D7273DE"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Greenhalgh, T., Wherton, J. and Papoutsi, C. (2022) ‘Beyond Adoption: A New Framework for Digital Transformation in Health Care’, Social Science &amp; Medicine, 298, p.114877.</w:t>
      </w:r>
    </w:p>
    <w:p w14:paraId="0AD3E365"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Gudepu, B.K. and Jaladi, D.S. (2021) ‘GDPR Compliance Challenges and How to Overcome Them’, International Journal of Modern Computing, 4(1), pp.61–71.</w:t>
      </w:r>
    </w:p>
    <w:p w14:paraId="7DC741B3"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House of Commons Library (2023) Data Protection and Artificial Intelligence in Health Care. London: UK Parliament.</w:t>
      </w:r>
    </w:p>
    <w:p w14:paraId="60307014"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lastRenderedPageBreak/>
        <w:t>Inkster, B., Sarda, S. and Subramanian, V. (2018) ‘A real-world mixed methods data evaluation of an empathy-driven AI agent’, JMIR mHealth and uHealth, 6(11), p.e12106.</w:t>
      </w:r>
    </w:p>
    <w:p w14:paraId="3D489971"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Kazandjian, C. (2025) Utilising Artificial Intelligence to Improve Access to Mental Health Services for Depression and Anxiety in Underserved Communities. Northeastern University.</w:t>
      </w:r>
    </w:p>
    <w:p w14:paraId="2533464A"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Marmot, M. et al. (2020) Health Equity in England: The Marmot Review 10 Years On. London: Institute of Health Equity.</w:t>
      </w:r>
    </w:p>
    <w:p w14:paraId="3B1C4E3D"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NHS Digital (2021) Data Strategy for Health and Social Care: Transforming for a Digital Future. London: NHS Digital.</w:t>
      </w:r>
    </w:p>
    <w:p w14:paraId="47F24D55"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NHS Digital (2022) Innovation Case Study: Wysa Mental Health App Implementation. London: NHS Digital.</w:t>
      </w:r>
    </w:p>
    <w:p w14:paraId="358D812F"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NHS England (2019) The NHS Long Term Plan. London: NHS England.</w:t>
      </w:r>
    </w:p>
    <w:p w14:paraId="10A1B09C"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NHS England (2020) Digital Academy: Building a Digitally-Ready Workforce. London: NHS England.</w:t>
      </w:r>
    </w:p>
    <w:p w14:paraId="2600FD8E"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NHS England (2021) Digital First: Remote and Online Mental Health Services. London: NHS England.</w:t>
      </w:r>
    </w:p>
    <w:p w14:paraId="0F0C02DC"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Ofcom (2023) UK Online Nation Report 2023. London: Ofcom.</w:t>
      </w:r>
    </w:p>
    <w:p w14:paraId="5AD67655"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Peipert, A., Krendl, A.C. and Lorenzo-Luaces, L. (2022) ‘Waiting lists for psychotherapy and provider attitudes’, JMIR Formative Research, 6(9), p.e39787.</w:t>
      </w:r>
    </w:p>
    <w:p w14:paraId="70866E7F"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Royal College of Psychiatrists (2022) The Future of Digital Psychiatry: Position Statement. London: RCPsych.</w:t>
      </w:r>
    </w:p>
    <w:p w14:paraId="7049F33F"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Sinha, C., Meheli, S. and Kadaba, M. (2023) ‘Understanding digital mental health needs and usage with Wysa’, JMIR Formative Research, 7(1), p.e41913.</w:t>
      </w:r>
    </w:p>
    <w:p w14:paraId="6005B47E" w14:textId="77777777" w:rsidR="00835556" w:rsidRPr="00FF1E77" w:rsidRDefault="00835556" w:rsidP="000130F1">
      <w:pPr>
        <w:jc w:val="left"/>
        <w:rPr>
          <w:rFonts w:ascii="Arial" w:hAnsi="Arial" w:cs="Arial"/>
          <w:bCs/>
          <w:sz w:val="22"/>
          <w:szCs w:val="22"/>
        </w:rPr>
      </w:pPr>
      <w:r w:rsidRPr="00FF1E77">
        <w:rPr>
          <w:rFonts w:ascii="Arial" w:hAnsi="Arial" w:cs="Arial"/>
          <w:bCs/>
          <w:sz w:val="22"/>
          <w:szCs w:val="22"/>
        </w:rPr>
        <w:t>Thomas, K.A., Schroder, A.M. and Rickwood, D.J. (2021) ‘Managing demand and waitlists for mental health services’, Mental Health Review Journal, 26(1), pp.1–17.</w:t>
      </w:r>
    </w:p>
    <w:p w14:paraId="7977BF73" w14:textId="683FFA16" w:rsidR="00AF67F5" w:rsidRPr="00FF1E77" w:rsidRDefault="00835556" w:rsidP="000130F1">
      <w:pPr>
        <w:jc w:val="left"/>
        <w:rPr>
          <w:rFonts w:ascii="Arial" w:hAnsi="Arial" w:cs="Arial"/>
          <w:bCs/>
          <w:sz w:val="22"/>
          <w:szCs w:val="22"/>
        </w:rPr>
      </w:pPr>
      <w:r w:rsidRPr="00FF1E77">
        <w:rPr>
          <w:rFonts w:ascii="Arial" w:hAnsi="Arial" w:cs="Arial"/>
          <w:bCs/>
          <w:sz w:val="22"/>
          <w:szCs w:val="22"/>
        </w:rPr>
        <w:t>van Voorst, R. (2024) ‘Challenges and limitations of human oversight in ethical AI implementation in health care’, Mayo Clinic Proceedings: Digital Health, 2(4), pp.559–563.</w:t>
      </w:r>
    </w:p>
    <w:p w14:paraId="0EF8088F" w14:textId="41346773" w:rsidR="00724771" w:rsidRPr="00FF1E77" w:rsidRDefault="00724771" w:rsidP="000130F1">
      <w:pPr>
        <w:jc w:val="left"/>
        <w:rPr>
          <w:rFonts w:ascii="Arial" w:hAnsi="Arial" w:cs="Arial"/>
          <w:bCs/>
          <w:sz w:val="22"/>
          <w:szCs w:val="22"/>
        </w:rPr>
      </w:pPr>
      <w:r w:rsidRPr="00FF1E77">
        <w:rPr>
          <w:rFonts w:ascii="Arial" w:hAnsi="Arial" w:cs="Arial"/>
          <w:bCs/>
          <w:sz w:val="22"/>
          <w:szCs w:val="22"/>
        </w:rPr>
        <w:t xml:space="preserve">Wysa. (2018) Wysa partners with NHS to provide digital mental health support. Available at: </w:t>
      </w:r>
      <w:hyperlink r:id="rId10" w:history="1">
        <w:r w:rsidRPr="00FF1E77">
          <w:rPr>
            <w:rStyle w:val="Hyperlink"/>
            <w:rFonts w:ascii="Arial" w:hAnsi="Arial" w:cs="Arial"/>
            <w:bCs/>
            <w:sz w:val="22"/>
            <w:szCs w:val="22"/>
          </w:rPr>
          <w:t>https://www.wysa.io</w:t>
        </w:r>
      </w:hyperlink>
      <w:r w:rsidRPr="00FF1E77">
        <w:rPr>
          <w:rFonts w:ascii="Arial" w:hAnsi="Arial" w:cs="Arial"/>
          <w:bCs/>
          <w:sz w:val="22"/>
          <w:szCs w:val="22"/>
        </w:rPr>
        <w:t xml:space="preserve"> (Accessed: 23 October 2025).</w:t>
      </w:r>
    </w:p>
    <w:p w14:paraId="5C6D20A7" w14:textId="77777777" w:rsidR="00724771" w:rsidRPr="00FF1E77" w:rsidRDefault="00724771" w:rsidP="000130F1">
      <w:pPr>
        <w:jc w:val="left"/>
        <w:rPr>
          <w:rFonts w:ascii="Arial" w:hAnsi="Arial" w:cs="Arial"/>
          <w:bCs/>
          <w:sz w:val="22"/>
          <w:szCs w:val="22"/>
        </w:rPr>
      </w:pPr>
    </w:p>
    <w:p w14:paraId="4C739D4A" w14:textId="77777777" w:rsidR="00A16969" w:rsidRPr="00FF1E77" w:rsidRDefault="00A16969" w:rsidP="000130F1">
      <w:pPr>
        <w:jc w:val="left"/>
        <w:rPr>
          <w:rFonts w:ascii="Arial" w:hAnsi="Arial" w:cs="Arial"/>
          <w:bCs/>
          <w:sz w:val="22"/>
          <w:szCs w:val="22"/>
        </w:rPr>
      </w:pPr>
    </w:p>
    <w:sectPr w:rsidR="00A16969" w:rsidRPr="00FF1E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42EBE" w14:textId="77777777" w:rsidR="002E6D79" w:rsidRDefault="002E6D79" w:rsidP="00B02AA1">
      <w:pPr>
        <w:spacing w:before="0" w:line="240" w:lineRule="auto"/>
      </w:pPr>
      <w:r>
        <w:separator/>
      </w:r>
    </w:p>
  </w:endnote>
  <w:endnote w:type="continuationSeparator" w:id="0">
    <w:p w14:paraId="2B20E451" w14:textId="77777777" w:rsidR="002E6D79" w:rsidRDefault="002E6D79" w:rsidP="00B02AA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179328"/>
      <w:docPartObj>
        <w:docPartGallery w:val="Page Numbers (Bottom of Page)"/>
        <w:docPartUnique/>
      </w:docPartObj>
    </w:sdtPr>
    <w:sdtEndPr>
      <w:rPr>
        <w:noProof/>
      </w:rPr>
    </w:sdtEndPr>
    <w:sdtContent>
      <w:p w14:paraId="00618B08" w14:textId="0513CBAF" w:rsidR="00B554CE" w:rsidRDefault="00B554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8165FA" w14:textId="77777777" w:rsidR="00B554CE" w:rsidRDefault="00B554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084824"/>
      <w:docPartObj>
        <w:docPartGallery w:val="Page Numbers (Bottom of Page)"/>
        <w:docPartUnique/>
      </w:docPartObj>
    </w:sdtPr>
    <w:sdtEndPr>
      <w:rPr>
        <w:noProof/>
      </w:rPr>
    </w:sdtEndPr>
    <w:sdtContent>
      <w:p w14:paraId="4127F4F1" w14:textId="738DE2F2" w:rsidR="00B554CE" w:rsidRDefault="00B554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2D3EB0" w14:textId="77777777" w:rsidR="00B554CE" w:rsidRDefault="00B55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4661D" w14:textId="77777777" w:rsidR="002E6D79" w:rsidRDefault="002E6D79" w:rsidP="00B02AA1">
      <w:pPr>
        <w:spacing w:before="0" w:line="240" w:lineRule="auto"/>
      </w:pPr>
      <w:r>
        <w:separator/>
      </w:r>
    </w:p>
  </w:footnote>
  <w:footnote w:type="continuationSeparator" w:id="0">
    <w:p w14:paraId="0D8C471A" w14:textId="77777777" w:rsidR="002E6D79" w:rsidRDefault="002E6D79" w:rsidP="00B02AA1">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75FE1"/>
    <w:multiLevelType w:val="multilevel"/>
    <w:tmpl w:val="27A68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719E3"/>
    <w:multiLevelType w:val="multilevel"/>
    <w:tmpl w:val="ABDA5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010D2"/>
    <w:multiLevelType w:val="multilevel"/>
    <w:tmpl w:val="D3C0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27553"/>
    <w:multiLevelType w:val="multilevel"/>
    <w:tmpl w:val="6EA080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D3C1C3B"/>
    <w:multiLevelType w:val="multilevel"/>
    <w:tmpl w:val="95D2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781A4E"/>
    <w:multiLevelType w:val="multilevel"/>
    <w:tmpl w:val="A516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8121F8"/>
    <w:multiLevelType w:val="multilevel"/>
    <w:tmpl w:val="C616F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266DB8"/>
    <w:multiLevelType w:val="multilevel"/>
    <w:tmpl w:val="DCB23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4C5A4D"/>
    <w:multiLevelType w:val="multilevel"/>
    <w:tmpl w:val="ED883F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813EFC"/>
    <w:multiLevelType w:val="multilevel"/>
    <w:tmpl w:val="39327B3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629966239">
    <w:abstractNumId w:val="3"/>
  </w:num>
  <w:num w:numId="2" w16cid:durableId="2090499182">
    <w:abstractNumId w:val="9"/>
  </w:num>
  <w:num w:numId="3" w16cid:durableId="1345323760">
    <w:abstractNumId w:val="8"/>
  </w:num>
  <w:num w:numId="4" w16cid:durableId="1539270880">
    <w:abstractNumId w:val="4"/>
  </w:num>
  <w:num w:numId="5" w16cid:durableId="777603260">
    <w:abstractNumId w:val="6"/>
  </w:num>
  <w:num w:numId="6" w16cid:durableId="498039720">
    <w:abstractNumId w:val="2"/>
  </w:num>
  <w:num w:numId="7" w16cid:durableId="1529753974">
    <w:abstractNumId w:val="1"/>
  </w:num>
  <w:num w:numId="8" w16cid:durableId="1103499319">
    <w:abstractNumId w:val="0"/>
  </w:num>
  <w:num w:numId="9" w16cid:durableId="1178076860">
    <w:abstractNumId w:val="5"/>
  </w:num>
  <w:num w:numId="10" w16cid:durableId="15136897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4DD"/>
    <w:rsid w:val="00003DEE"/>
    <w:rsid w:val="00011EB1"/>
    <w:rsid w:val="000130F1"/>
    <w:rsid w:val="00015D15"/>
    <w:rsid w:val="00036192"/>
    <w:rsid w:val="000528D1"/>
    <w:rsid w:val="0006088B"/>
    <w:rsid w:val="0008019B"/>
    <w:rsid w:val="00087BB3"/>
    <w:rsid w:val="000B75F6"/>
    <w:rsid w:val="000C233A"/>
    <w:rsid w:val="001374E8"/>
    <w:rsid w:val="00145998"/>
    <w:rsid w:val="00167033"/>
    <w:rsid w:val="00170DEE"/>
    <w:rsid w:val="00184E74"/>
    <w:rsid w:val="001901D2"/>
    <w:rsid w:val="001C4621"/>
    <w:rsid w:val="001D3B09"/>
    <w:rsid w:val="00217E4C"/>
    <w:rsid w:val="00223AC7"/>
    <w:rsid w:val="00244A00"/>
    <w:rsid w:val="00262A0D"/>
    <w:rsid w:val="002840B4"/>
    <w:rsid w:val="00296AE7"/>
    <w:rsid w:val="002A2100"/>
    <w:rsid w:val="002A598F"/>
    <w:rsid w:val="002A5A09"/>
    <w:rsid w:val="002C0FB5"/>
    <w:rsid w:val="002C759D"/>
    <w:rsid w:val="002D4BC3"/>
    <w:rsid w:val="002E6D79"/>
    <w:rsid w:val="002F0CB9"/>
    <w:rsid w:val="003026B1"/>
    <w:rsid w:val="003174DD"/>
    <w:rsid w:val="00322ACD"/>
    <w:rsid w:val="00326084"/>
    <w:rsid w:val="003547BC"/>
    <w:rsid w:val="003F0A6A"/>
    <w:rsid w:val="00461668"/>
    <w:rsid w:val="004660EA"/>
    <w:rsid w:val="00477B56"/>
    <w:rsid w:val="004C12DE"/>
    <w:rsid w:val="004D5004"/>
    <w:rsid w:val="004E6A83"/>
    <w:rsid w:val="00506C8B"/>
    <w:rsid w:val="005070B6"/>
    <w:rsid w:val="00520FBF"/>
    <w:rsid w:val="00525189"/>
    <w:rsid w:val="00555944"/>
    <w:rsid w:val="00556EF0"/>
    <w:rsid w:val="00562F21"/>
    <w:rsid w:val="0056724A"/>
    <w:rsid w:val="005803D6"/>
    <w:rsid w:val="0058583F"/>
    <w:rsid w:val="00586AAF"/>
    <w:rsid w:val="005931FC"/>
    <w:rsid w:val="005B3E17"/>
    <w:rsid w:val="005D104D"/>
    <w:rsid w:val="005D1A43"/>
    <w:rsid w:val="005D28D3"/>
    <w:rsid w:val="005D2975"/>
    <w:rsid w:val="005D7A69"/>
    <w:rsid w:val="00623D3E"/>
    <w:rsid w:val="00642757"/>
    <w:rsid w:val="006548C0"/>
    <w:rsid w:val="00656B28"/>
    <w:rsid w:val="00657DE4"/>
    <w:rsid w:val="00674D43"/>
    <w:rsid w:val="006769CF"/>
    <w:rsid w:val="00696198"/>
    <w:rsid w:val="00696238"/>
    <w:rsid w:val="006C40E9"/>
    <w:rsid w:val="006E02CF"/>
    <w:rsid w:val="006F2961"/>
    <w:rsid w:val="00711B41"/>
    <w:rsid w:val="00724771"/>
    <w:rsid w:val="00725308"/>
    <w:rsid w:val="007459CC"/>
    <w:rsid w:val="00763EE7"/>
    <w:rsid w:val="00785255"/>
    <w:rsid w:val="007A316A"/>
    <w:rsid w:val="007D1C93"/>
    <w:rsid w:val="007D6132"/>
    <w:rsid w:val="007D6BC7"/>
    <w:rsid w:val="007D7DB6"/>
    <w:rsid w:val="007E5557"/>
    <w:rsid w:val="00800578"/>
    <w:rsid w:val="0082079E"/>
    <w:rsid w:val="00824C85"/>
    <w:rsid w:val="00827B42"/>
    <w:rsid w:val="00835556"/>
    <w:rsid w:val="0084257D"/>
    <w:rsid w:val="0084527C"/>
    <w:rsid w:val="00884A5C"/>
    <w:rsid w:val="008903D0"/>
    <w:rsid w:val="008A0974"/>
    <w:rsid w:val="008B5120"/>
    <w:rsid w:val="008E7828"/>
    <w:rsid w:val="008F4194"/>
    <w:rsid w:val="008F760F"/>
    <w:rsid w:val="00901118"/>
    <w:rsid w:val="009325C3"/>
    <w:rsid w:val="00942BD0"/>
    <w:rsid w:val="00990CD1"/>
    <w:rsid w:val="009A7AC5"/>
    <w:rsid w:val="009B6066"/>
    <w:rsid w:val="009D1F8E"/>
    <w:rsid w:val="009F64D7"/>
    <w:rsid w:val="00A05022"/>
    <w:rsid w:val="00A16969"/>
    <w:rsid w:val="00A41688"/>
    <w:rsid w:val="00A7230E"/>
    <w:rsid w:val="00A76443"/>
    <w:rsid w:val="00A80D71"/>
    <w:rsid w:val="00AD16A2"/>
    <w:rsid w:val="00AD4B76"/>
    <w:rsid w:val="00AE3C63"/>
    <w:rsid w:val="00AE7165"/>
    <w:rsid w:val="00AF67F5"/>
    <w:rsid w:val="00B019AB"/>
    <w:rsid w:val="00B02AA1"/>
    <w:rsid w:val="00B02B75"/>
    <w:rsid w:val="00B213D8"/>
    <w:rsid w:val="00B332CE"/>
    <w:rsid w:val="00B554CE"/>
    <w:rsid w:val="00B673D5"/>
    <w:rsid w:val="00B81FD5"/>
    <w:rsid w:val="00B9635F"/>
    <w:rsid w:val="00BA1643"/>
    <w:rsid w:val="00C0445D"/>
    <w:rsid w:val="00C07C86"/>
    <w:rsid w:val="00C4303A"/>
    <w:rsid w:val="00C5051E"/>
    <w:rsid w:val="00C52B18"/>
    <w:rsid w:val="00C70F76"/>
    <w:rsid w:val="00CB59C7"/>
    <w:rsid w:val="00CC611F"/>
    <w:rsid w:val="00CE1E47"/>
    <w:rsid w:val="00D05081"/>
    <w:rsid w:val="00D132F3"/>
    <w:rsid w:val="00D34550"/>
    <w:rsid w:val="00D67728"/>
    <w:rsid w:val="00D8477F"/>
    <w:rsid w:val="00D94BD3"/>
    <w:rsid w:val="00DB5BAD"/>
    <w:rsid w:val="00DF1CCF"/>
    <w:rsid w:val="00E1493B"/>
    <w:rsid w:val="00E14D8C"/>
    <w:rsid w:val="00E2207B"/>
    <w:rsid w:val="00E22810"/>
    <w:rsid w:val="00E26C08"/>
    <w:rsid w:val="00E3025C"/>
    <w:rsid w:val="00E4224F"/>
    <w:rsid w:val="00E709A6"/>
    <w:rsid w:val="00E7780F"/>
    <w:rsid w:val="00E80799"/>
    <w:rsid w:val="00EC6C7C"/>
    <w:rsid w:val="00ED2B1A"/>
    <w:rsid w:val="00EF5906"/>
    <w:rsid w:val="00F04AAA"/>
    <w:rsid w:val="00F05F16"/>
    <w:rsid w:val="00F43B30"/>
    <w:rsid w:val="00F56C32"/>
    <w:rsid w:val="00F76084"/>
    <w:rsid w:val="00F8034D"/>
    <w:rsid w:val="00FB2DA6"/>
    <w:rsid w:val="00FB4501"/>
    <w:rsid w:val="00FC2384"/>
    <w:rsid w:val="00FD2017"/>
    <w:rsid w:val="00FF1E7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5EF441"/>
  <w15:chartTrackingRefBased/>
  <w15:docId w15:val="{6465739E-3EB4-1F4B-9425-EE32C0C8B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668"/>
    <w:pPr>
      <w:spacing w:before="120" w:after="0" w:line="360" w:lineRule="auto"/>
      <w:jc w:val="both"/>
    </w:pPr>
    <w:rPr>
      <w:rFonts w:ascii="Times New Roman" w:hAnsi="Times New Roman"/>
    </w:rPr>
  </w:style>
  <w:style w:type="paragraph" w:styleId="Heading1">
    <w:name w:val="heading 1"/>
    <w:basedOn w:val="Normal"/>
    <w:next w:val="Normal"/>
    <w:link w:val="Heading1Char"/>
    <w:uiPriority w:val="9"/>
    <w:qFormat/>
    <w:rsid w:val="002A2100"/>
    <w:pPr>
      <w:keepNext/>
      <w:keepLines/>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2A2100"/>
    <w:pPr>
      <w:keepNext/>
      <w:keepLines/>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586AAF"/>
    <w:pPr>
      <w:keepNext/>
      <w:keepLines/>
      <w:jc w:val="left"/>
      <w:outlineLvl w:val="2"/>
    </w:pPr>
    <w:rPr>
      <w:rFonts w:eastAsiaTheme="majorEastAsia" w:cstheme="majorBidi"/>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100"/>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2A2100"/>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semiHidden/>
    <w:rsid w:val="00586AAF"/>
    <w:rPr>
      <w:rFonts w:ascii="Times New Roman" w:eastAsiaTheme="majorEastAsia" w:hAnsi="Times New Roman" w:cstheme="majorBidi"/>
      <w:i/>
      <w:szCs w:val="28"/>
    </w:rPr>
  </w:style>
  <w:style w:type="character" w:styleId="Hyperlink">
    <w:name w:val="Hyperlink"/>
    <w:basedOn w:val="DefaultParagraphFont"/>
    <w:uiPriority w:val="99"/>
    <w:unhideWhenUsed/>
    <w:rsid w:val="007D7DB6"/>
    <w:rPr>
      <w:color w:val="467886" w:themeColor="hyperlink"/>
      <w:u w:val="single"/>
    </w:rPr>
  </w:style>
  <w:style w:type="character" w:styleId="UnresolvedMention">
    <w:name w:val="Unresolved Mention"/>
    <w:basedOn w:val="DefaultParagraphFont"/>
    <w:uiPriority w:val="99"/>
    <w:semiHidden/>
    <w:unhideWhenUsed/>
    <w:rsid w:val="007D7DB6"/>
    <w:rPr>
      <w:color w:val="605E5C"/>
      <w:shd w:val="clear" w:color="auto" w:fill="E1DFDD"/>
    </w:rPr>
  </w:style>
  <w:style w:type="paragraph" w:styleId="Header">
    <w:name w:val="header"/>
    <w:basedOn w:val="Normal"/>
    <w:link w:val="HeaderChar"/>
    <w:uiPriority w:val="99"/>
    <w:unhideWhenUsed/>
    <w:rsid w:val="00B02AA1"/>
    <w:pPr>
      <w:tabs>
        <w:tab w:val="center" w:pos="4680"/>
        <w:tab w:val="right" w:pos="9360"/>
      </w:tabs>
      <w:spacing w:before="0" w:line="240" w:lineRule="auto"/>
    </w:pPr>
  </w:style>
  <w:style w:type="character" w:customStyle="1" w:styleId="HeaderChar">
    <w:name w:val="Header Char"/>
    <w:basedOn w:val="DefaultParagraphFont"/>
    <w:link w:val="Header"/>
    <w:uiPriority w:val="99"/>
    <w:rsid w:val="00B02AA1"/>
    <w:rPr>
      <w:rFonts w:ascii="Times New Roman" w:hAnsi="Times New Roman"/>
    </w:rPr>
  </w:style>
  <w:style w:type="paragraph" w:styleId="Footer">
    <w:name w:val="footer"/>
    <w:basedOn w:val="Normal"/>
    <w:link w:val="FooterChar"/>
    <w:uiPriority w:val="99"/>
    <w:unhideWhenUsed/>
    <w:rsid w:val="00B02AA1"/>
    <w:pPr>
      <w:tabs>
        <w:tab w:val="center" w:pos="4680"/>
        <w:tab w:val="right" w:pos="9360"/>
      </w:tabs>
      <w:spacing w:before="0" w:line="240" w:lineRule="auto"/>
    </w:pPr>
  </w:style>
  <w:style w:type="character" w:customStyle="1" w:styleId="FooterChar">
    <w:name w:val="Footer Char"/>
    <w:basedOn w:val="DefaultParagraphFont"/>
    <w:link w:val="Footer"/>
    <w:uiPriority w:val="99"/>
    <w:rsid w:val="00B02AA1"/>
    <w:rPr>
      <w:rFonts w:ascii="Times New Roman" w:hAnsi="Times New Roman"/>
    </w:rPr>
  </w:style>
  <w:style w:type="paragraph" w:styleId="TOC1">
    <w:name w:val="toc 1"/>
    <w:basedOn w:val="Normal"/>
    <w:next w:val="Normal"/>
    <w:autoRedefine/>
    <w:uiPriority w:val="39"/>
    <w:unhideWhenUsed/>
    <w:rsid w:val="00B02A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9184231">
      <w:bodyDiv w:val="1"/>
      <w:marLeft w:val="0"/>
      <w:marRight w:val="0"/>
      <w:marTop w:val="0"/>
      <w:marBottom w:val="0"/>
      <w:divBdr>
        <w:top w:val="none" w:sz="0" w:space="0" w:color="auto"/>
        <w:left w:val="none" w:sz="0" w:space="0" w:color="auto"/>
        <w:bottom w:val="none" w:sz="0" w:space="0" w:color="auto"/>
        <w:right w:val="none" w:sz="0" w:space="0" w:color="auto"/>
      </w:divBdr>
    </w:div>
    <w:div w:id="993029060">
      <w:bodyDiv w:val="1"/>
      <w:marLeft w:val="0"/>
      <w:marRight w:val="0"/>
      <w:marTop w:val="0"/>
      <w:marBottom w:val="0"/>
      <w:divBdr>
        <w:top w:val="none" w:sz="0" w:space="0" w:color="auto"/>
        <w:left w:val="none" w:sz="0" w:space="0" w:color="auto"/>
        <w:bottom w:val="none" w:sz="0" w:space="0" w:color="auto"/>
        <w:right w:val="none" w:sz="0" w:space="0" w:color="auto"/>
      </w:divBdr>
    </w:div>
    <w:div w:id="1851795223">
      <w:bodyDiv w:val="1"/>
      <w:marLeft w:val="0"/>
      <w:marRight w:val="0"/>
      <w:marTop w:val="0"/>
      <w:marBottom w:val="0"/>
      <w:divBdr>
        <w:top w:val="none" w:sz="0" w:space="0" w:color="auto"/>
        <w:left w:val="none" w:sz="0" w:space="0" w:color="auto"/>
        <w:bottom w:val="none" w:sz="0" w:space="0" w:color="auto"/>
        <w:right w:val="none" w:sz="0" w:space="0" w:color="auto"/>
      </w:divBdr>
    </w:div>
    <w:div w:id="208387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www.wysa.io" TargetMode="Externa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CD127-1F7F-4167-8B20-C3CE1B993B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2670</Words>
  <Characters>15220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17855</CharactersWithSpaces>
  <SharedDoc>false</SharedDoc>
  <HLinks>
    <vt:vector size="48" baseType="variant">
      <vt:variant>
        <vt:i4>1441797</vt:i4>
      </vt:variant>
      <vt:variant>
        <vt:i4>45</vt:i4>
      </vt:variant>
      <vt:variant>
        <vt:i4>0</vt:i4>
      </vt:variant>
      <vt:variant>
        <vt:i4>5</vt:i4>
      </vt:variant>
      <vt:variant>
        <vt:lpwstr>https://www.wysa.io/</vt:lpwstr>
      </vt:variant>
      <vt:variant>
        <vt:lpwstr/>
      </vt:variant>
      <vt:variant>
        <vt:i4>1179699</vt:i4>
      </vt:variant>
      <vt:variant>
        <vt:i4>38</vt:i4>
      </vt:variant>
      <vt:variant>
        <vt:i4>0</vt:i4>
      </vt:variant>
      <vt:variant>
        <vt:i4>5</vt:i4>
      </vt:variant>
      <vt:variant>
        <vt:lpwstr/>
      </vt:variant>
      <vt:variant>
        <vt:lpwstr>_Toc212150654</vt:lpwstr>
      </vt:variant>
      <vt:variant>
        <vt:i4>1179699</vt:i4>
      </vt:variant>
      <vt:variant>
        <vt:i4>32</vt:i4>
      </vt:variant>
      <vt:variant>
        <vt:i4>0</vt:i4>
      </vt:variant>
      <vt:variant>
        <vt:i4>5</vt:i4>
      </vt:variant>
      <vt:variant>
        <vt:lpwstr/>
      </vt:variant>
      <vt:variant>
        <vt:lpwstr>_Toc212150653</vt:lpwstr>
      </vt:variant>
      <vt:variant>
        <vt:i4>1179699</vt:i4>
      </vt:variant>
      <vt:variant>
        <vt:i4>26</vt:i4>
      </vt:variant>
      <vt:variant>
        <vt:i4>0</vt:i4>
      </vt:variant>
      <vt:variant>
        <vt:i4>5</vt:i4>
      </vt:variant>
      <vt:variant>
        <vt:lpwstr/>
      </vt:variant>
      <vt:variant>
        <vt:lpwstr>_Toc212150651</vt:lpwstr>
      </vt:variant>
      <vt:variant>
        <vt:i4>1179699</vt:i4>
      </vt:variant>
      <vt:variant>
        <vt:i4>20</vt:i4>
      </vt:variant>
      <vt:variant>
        <vt:i4>0</vt:i4>
      </vt:variant>
      <vt:variant>
        <vt:i4>5</vt:i4>
      </vt:variant>
      <vt:variant>
        <vt:lpwstr/>
      </vt:variant>
      <vt:variant>
        <vt:lpwstr>_Toc212150650</vt:lpwstr>
      </vt:variant>
      <vt:variant>
        <vt:i4>1245235</vt:i4>
      </vt:variant>
      <vt:variant>
        <vt:i4>14</vt:i4>
      </vt:variant>
      <vt:variant>
        <vt:i4>0</vt:i4>
      </vt:variant>
      <vt:variant>
        <vt:i4>5</vt:i4>
      </vt:variant>
      <vt:variant>
        <vt:lpwstr/>
      </vt:variant>
      <vt:variant>
        <vt:lpwstr>_Toc212150649</vt:lpwstr>
      </vt:variant>
      <vt:variant>
        <vt:i4>1245235</vt:i4>
      </vt:variant>
      <vt:variant>
        <vt:i4>8</vt:i4>
      </vt:variant>
      <vt:variant>
        <vt:i4>0</vt:i4>
      </vt:variant>
      <vt:variant>
        <vt:i4>5</vt:i4>
      </vt:variant>
      <vt:variant>
        <vt:lpwstr/>
      </vt:variant>
      <vt:variant>
        <vt:lpwstr>_Toc212150648</vt:lpwstr>
      </vt:variant>
      <vt:variant>
        <vt:i4>1245235</vt:i4>
      </vt:variant>
      <vt:variant>
        <vt:i4>2</vt:i4>
      </vt:variant>
      <vt:variant>
        <vt:i4>0</vt:i4>
      </vt:variant>
      <vt:variant>
        <vt:i4>5</vt:i4>
      </vt:variant>
      <vt:variant>
        <vt:lpwstr/>
      </vt:variant>
      <vt:variant>
        <vt:lpwstr>_Toc212150647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Sam Iqbal 368351</cp:lastModifiedBy>
  <cp:revision>2</cp:revision>
  <dcterms:created xsi:type="dcterms:W3CDTF">2025-10-25T10:40:00Z</dcterms:created>
  <dcterms:modified xsi:type="dcterms:W3CDTF">2025-10-25T10:40:00Z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985bd6f9-9d43-40be-9375-caeb262686f3</vt:lpwstr>
  </property>
</Properties>
</file>