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748E8D" w14:textId="77777777" w:rsidR="00756B49" w:rsidRDefault="00E85562">
      <w:pPr>
        <w:jc w:val="center"/>
      </w:pPr>
      <w:r>
        <w:rPr>
          <w:noProof/>
        </w:rPr>
        <w:drawing>
          <wp:inline distT="0" distB="0" distL="0" distR="0" wp14:anchorId="186A9355" wp14:editId="4BA2F2B4">
            <wp:extent cx="2629128" cy="1066892"/>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629128" cy="1066892"/>
                    </a:xfrm>
                    <a:prstGeom prst="rect">
                      <a:avLst/>
                    </a:prstGeom>
                    <a:ln/>
                  </pic:spPr>
                </pic:pic>
              </a:graphicData>
            </a:graphic>
          </wp:inline>
        </w:drawing>
      </w:r>
    </w:p>
    <w:p w14:paraId="458D8FB7" w14:textId="77777777" w:rsidR="00756B49" w:rsidRDefault="00E85562">
      <w:pPr>
        <w:jc w:val="center"/>
        <w:rPr>
          <w:b/>
          <w:sz w:val="44"/>
          <w:szCs w:val="44"/>
        </w:rPr>
      </w:pPr>
      <w:r>
        <w:rPr>
          <w:b/>
          <w:sz w:val="44"/>
          <w:szCs w:val="44"/>
        </w:rPr>
        <w:t>School of International Hotel Management</w:t>
      </w:r>
    </w:p>
    <w:p w14:paraId="62CF26CF" w14:textId="77777777" w:rsidR="00756B49" w:rsidRDefault="00E85562">
      <w:pPr>
        <w:jc w:val="center"/>
        <w:rPr>
          <w:b/>
          <w:sz w:val="44"/>
          <w:szCs w:val="44"/>
        </w:rPr>
      </w:pPr>
      <w:r>
        <w:rPr>
          <w:b/>
          <w:sz w:val="44"/>
          <w:szCs w:val="44"/>
        </w:rPr>
        <w:t>BA International Hotel Management</w:t>
      </w:r>
    </w:p>
    <w:p w14:paraId="4010D068" w14:textId="77777777" w:rsidR="00756B49" w:rsidRDefault="00756B49">
      <w:pPr>
        <w:jc w:val="center"/>
        <w:rPr>
          <w:b/>
          <w:sz w:val="44"/>
          <w:szCs w:val="44"/>
        </w:rPr>
      </w:pPr>
    </w:p>
    <w:p w14:paraId="6017ED43" w14:textId="77777777" w:rsidR="00756B49" w:rsidRDefault="00E85562">
      <w:pPr>
        <w:jc w:val="center"/>
        <w:rPr>
          <w:b/>
          <w:sz w:val="40"/>
          <w:szCs w:val="40"/>
        </w:rPr>
      </w:pPr>
      <w:r>
        <w:rPr>
          <w:b/>
          <w:sz w:val="40"/>
          <w:szCs w:val="40"/>
        </w:rPr>
        <w:t>BMIH5005 Personnel Resourcing and Development</w:t>
      </w:r>
    </w:p>
    <w:p w14:paraId="10F6081F" w14:textId="77777777" w:rsidR="00756B49" w:rsidRDefault="00E85562">
      <w:pPr>
        <w:shd w:val="clear" w:color="auto" w:fill="FFD965"/>
        <w:jc w:val="center"/>
        <w:rPr>
          <w:b/>
          <w:i/>
          <w:sz w:val="36"/>
          <w:szCs w:val="36"/>
        </w:rPr>
      </w:pPr>
      <w:r>
        <w:rPr>
          <w:b/>
          <w:i/>
          <w:sz w:val="36"/>
          <w:szCs w:val="36"/>
        </w:rPr>
        <w:t>Essay</w:t>
      </w:r>
    </w:p>
    <w:p w14:paraId="49A24C80" w14:textId="77777777" w:rsidR="00756B49" w:rsidRDefault="00756B49">
      <w:pPr>
        <w:rPr>
          <w:b/>
          <w:i/>
          <w:sz w:val="36"/>
          <w:szCs w:val="36"/>
        </w:rPr>
      </w:pPr>
    </w:p>
    <w:p w14:paraId="725DB006" w14:textId="77777777" w:rsidR="00756B49" w:rsidRDefault="00E85562">
      <w:pPr>
        <w:shd w:val="clear" w:color="auto" w:fill="F4B083"/>
        <w:jc w:val="center"/>
        <w:rPr>
          <w:b/>
          <w:sz w:val="36"/>
          <w:szCs w:val="36"/>
        </w:rPr>
      </w:pPr>
      <w:r>
        <w:rPr>
          <w:b/>
          <w:sz w:val="36"/>
          <w:szCs w:val="36"/>
        </w:rPr>
        <w:t xml:space="preserve">How To Engage Employees Throughout </w:t>
      </w:r>
      <w:proofErr w:type="gramStart"/>
      <w:r>
        <w:rPr>
          <w:b/>
          <w:sz w:val="36"/>
          <w:szCs w:val="36"/>
        </w:rPr>
        <w:t>The</w:t>
      </w:r>
      <w:proofErr w:type="gramEnd"/>
      <w:r>
        <w:rPr>
          <w:b/>
          <w:sz w:val="36"/>
          <w:szCs w:val="36"/>
        </w:rPr>
        <w:t xml:space="preserve"> Employee Lifecycle</w:t>
      </w:r>
    </w:p>
    <w:p w14:paraId="0F36DB1B" w14:textId="77777777" w:rsidR="00756B49" w:rsidRDefault="00756B49">
      <w:pPr>
        <w:tabs>
          <w:tab w:val="left" w:pos="2213"/>
        </w:tabs>
        <w:jc w:val="left"/>
        <w:rPr>
          <w:sz w:val="36"/>
          <w:szCs w:val="36"/>
        </w:rPr>
      </w:pPr>
    </w:p>
    <w:p w14:paraId="46805747" w14:textId="77777777" w:rsidR="00756B49" w:rsidRDefault="00756B49">
      <w:pPr>
        <w:tabs>
          <w:tab w:val="left" w:pos="2213"/>
        </w:tabs>
        <w:jc w:val="left"/>
        <w:rPr>
          <w:sz w:val="36"/>
          <w:szCs w:val="36"/>
        </w:rPr>
      </w:pPr>
    </w:p>
    <w:p w14:paraId="44A108AC" w14:textId="2AB0EBF7" w:rsidR="00756B49" w:rsidRDefault="00E85562">
      <w:pPr>
        <w:tabs>
          <w:tab w:val="left" w:pos="2213"/>
        </w:tabs>
        <w:jc w:val="left"/>
        <w:rPr>
          <w:sz w:val="36"/>
          <w:szCs w:val="36"/>
        </w:rPr>
      </w:pPr>
      <w:r>
        <w:rPr>
          <w:sz w:val="36"/>
          <w:szCs w:val="36"/>
        </w:rPr>
        <w:t>Student Name:</w:t>
      </w:r>
      <w:r w:rsidR="00621312">
        <w:rPr>
          <w:sz w:val="36"/>
          <w:szCs w:val="36"/>
        </w:rPr>
        <w:t xml:space="preserve"> Syeda Nessa Begum</w:t>
      </w:r>
    </w:p>
    <w:p w14:paraId="70D68C11" w14:textId="270FC307" w:rsidR="00756B49" w:rsidRDefault="00E85562">
      <w:pPr>
        <w:tabs>
          <w:tab w:val="left" w:pos="2213"/>
        </w:tabs>
        <w:jc w:val="left"/>
        <w:rPr>
          <w:sz w:val="36"/>
          <w:szCs w:val="36"/>
        </w:rPr>
      </w:pPr>
      <w:r>
        <w:rPr>
          <w:sz w:val="36"/>
          <w:szCs w:val="36"/>
        </w:rPr>
        <w:t>Student ID:</w:t>
      </w:r>
      <w:r w:rsidR="00621312">
        <w:rPr>
          <w:sz w:val="36"/>
          <w:szCs w:val="36"/>
        </w:rPr>
        <w:t xml:space="preserve"> 2109894 </w:t>
      </w:r>
    </w:p>
    <w:p w14:paraId="71C8635B" w14:textId="47C2A7F4" w:rsidR="00756B49" w:rsidRDefault="00E85562">
      <w:pPr>
        <w:tabs>
          <w:tab w:val="left" w:pos="2213"/>
        </w:tabs>
        <w:jc w:val="left"/>
        <w:rPr>
          <w:sz w:val="36"/>
          <w:szCs w:val="36"/>
        </w:rPr>
      </w:pPr>
      <w:r>
        <w:rPr>
          <w:sz w:val="36"/>
          <w:szCs w:val="36"/>
        </w:rPr>
        <w:t xml:space="preserve">Word </w:t>
      </w:r>
      <w:r>
        <w:rPr>
          <w:sz w:val="36"/>
          <w:szCs w:val="36"/>
        </w:rPr>
        <w:t>Count:</w:t>
      </w:r>
      <w:r w:rsidR="00621312">
        <w:rPr>
          <w:sz w:val="36"/>
          <w:szCs w:val="36"/>
        </w:rPr>
        <w:t>2608</w:t>
      </w:r>
    </w:p>
    <w:p w14:paraId="11B208BF" w14:textId="015BDC05" w:rsidR="00621312" w:rsidRDefault="00621312">
      <w:pPr>
        <w:tabs>
          <w:tab w:val="left" w:pos="2213"/>
        </w:tabs>
        <w:jc w:val="left"/>
        <w:rPr>
          <w:sz w:val="36"/>
          <w:szCs w:val="36"/>
        </w:rPr>
      </w:pPr>
      <w:r>
        <w:rPr>
          <w:sz w:val="36"/>
          <w:szCs w:val="36"/>
        </w:rPr>
        <w:t>Module: BMIH5005</w:t>
      </w:r>
    </w:p>
    <w:p w14:paraId="2F988B94" w14:textId="35CF6B5E" w:rsidR="00756B49" w:rsidRDefault="00E85562">
      <w:pPr>
        <w:tabs>
          <w:tab w:val="left" w:pos="2213"/>
        </w:tabs>
        <w:jc w:val="left"/>
        <w:rPr>
          <w:sz w:val="36"/>
          <w:szCs w:val="36"/>
        </w:rPr>
      </w:pPr>
      <w:r>
        <w:rPr>
          <w:sz w:val="36"/>
          <w:szCs w:val="36"/>
        </w:rPr>
        <w:t xml:space="preserve">Lecture Name : Emma Robarts </w:t>
      </w:r>
    </w:p>
    <w:p w14:paraId="0A2F6770" w14:textId="77777777" w:rsidR="00756B49" w:rsidRDefault="00E85562">
      <w:pPr>
        <w:pStyle w:val="Heading1"/>
        <w:spacing w:after="240"/>
        <w:rPr>
          <w:color w:val="000000"/>
          <w:highlight w:val="white"/>
        </w:rPr>
      </w:pPr>
      <w:r>
        <w:rPr>
          <w:color w:val="000000"/>
          <w:highlight w:val="white"/>
        </w:rPr>
        <w:lastRenderedPageBreak/>
        <w:t>Introduction</w:t>
      </w:r>
    </w:p>
    <w:p w14:paraId="579FEFC7" w14:textId="77777777" w:rsidR="00756B49" w:rsidRDefault="00E85562">
      <w:pPr>
        <w:pBdr>
          <w:top w:val="nil"/>
          <w:left w:val="nil"/>
          <w:bottom w:val="nil"/>
          <w:right w:val="nil"/>
          <w:between w:val="nil"/>
        </w:pBdr>
        <w:spacing w:after="240"/>
      </w:pPr>
      <w:r>
        <w:rPr>
          <w:highlight w:val="white"/>
        </w:rPr>
        <w:t xml:space="preserve">Human Resources sets up, maintains, and oversees a wide variety of procedures, all of which must be compatible with one another and with the Employee Life Cycle as a whole. In addition, it ought to reflect well on </w:t>
      </w:r>
      <w:r>
        <w:rPr>
          <w:highlight w:val="white"/>
        </w:rPr>
        <w:t xml:space="preserve">the </w:t>
      </w:r>
      <w:proofErr w:type="gramStart"/>
      <w:r>
        <w:rPr>
          <w:highlight w:val="white"/>
        </w:rPr>
        <w:t>organisation as a whole</w:t>
      </w:r>
      <w:proofErr w:type="gramEnd"/>
      <w:r>
        <w:rPr>
          <w:highlight w:val="white"/>
        </w:rPr>
        <w:t xml:space="preserve"> (Jung et al., 2018). Employees and employers alike might benefit from keeping tabs on their work history at the company, as it provides a clear path through the various stages of one's employment and allows for in-depth statisti</w:t>
      </w:r>
      <w:r>
        <w:rPr>
          <w:highlight w:val="white"/>
        </w:rPr>
        <w:t>cal analysis. The employee's time spent working for the firm (</w:t>
      </w:r>
      <w:proofErr w:type="spellStart"/>
      <w:r>
        <w:rPr>
          <w:highlight w:val="white"/>
        </w:rPr>
        <w:t>Alagaraja</w:t>
      </w:r>
      <w:proofErr w:type="spellEnd"/>
      <w:r>
        <w:rPr>
          <w:highlight w:val="white"/>
        </w:rPr>
        <w:t xml:space="preserve"> et al., 2015). </w:t>
      </w:r>
      <w:r>
        <w:t xml:space="preserve">During the stages of an employee's life cycle when HR functions overlap, talent management software may be used. For this reason, the HR life cycle or HR cycle may also </w:t>
      </w:r>
      <w:r>
        <w:t>be used. Employee life cycle management is a major HR duty since people are a company's most valuable resource (Anthony et al., 2017). When a company has a life cycle programme in place, workers know where they are in their employment timeline, and manager</w:t>
      </w:r>
      <w:r>
        <w:t>s may utilise information obtained during off-boarding to inform future HR decisions.</w:t>
      </w:r>
    </w:p>
    <w:p w14:paraId="2DBE990F" w14:textId="77777777" w:rsidR="00756B49" w:rsidRDefault="00E85562">
      <w:pPr>
        <w:pStyle w:val="Heading1"/>
        <w:spacing w:after="240"/>
        <w:rPr>
          <w:color w:val="000000"/>
        </w:rPr>
      </w:pPr>
      <w:r>
        <w:rPr>
          <w:color w:val="000000"/>
        </w:rPr>
        <w:t>Main Body</w:t>
      </w:r>
    </w:p>
    <w:p w14:paraId="0402A048" w14:textId="77777777" w:rsidR="00756B49" w:rsidRDefault="00E85562">
      <w:pPr>
        <w:pBdr>
          <w:top w:val="nil"/>
          <w:left w:val="nil"/>
          <w:bottom w:val="nil"/>
          <w:right w:val="nil"/>
          <w:between w:val="nil"/>
        </w:pBdr>
        <w:spacing w:after="0"/>
        <w:rPr>
          <w:highlight w:val="white"/>
        </w:rPr>
      </w:pPr>
      <w:r>
        <w:rPr>
          <w:b/>
        </w:rPr>
        <w:t>Human resources play a crucial part in encouraging employee engagement</w:t>
      </w:r>
      <w:r>
        <w:t xml:space="preserve">, which is why it is beneficial for businesses. It has the potential to improve things for both the worker and the </w:t>
      </w:r>
      <w:proofErr w:type="gramStart"/>
      <w:r>
        <w:t>company as a whole</w:t>
      </w:r>
      <w:proofErr w:type="gramEnd"/>
      <w:r>
        <w:t>. Employees that are fully engaged in their work are those who are making the most of their talents in stimulating environm</w:t>
      </w:r>
      <w:r>
        <w:t>ents with supportive co-workers and bosses (Bakker et al., 2018). Human resources must have a broad perspective of the contract between the company and its workers if employee engagement is to be maximized. Human resources are responsible for making sure w</w:t>
      </w:r>
      <w:r>
        <w:t xml:space="preserve">orkers receive the training, resources, and working conditions they need to excel in their employment (Byrne et al., 2016). </w:t>
      </w:r>
      <w:r>
        <w:rPr>
          <w:highlight w:val="white"/>
        </w:rPr>
        <w:t>HR plays a crucial role in ensuring the primary factors are addressed because of the many areas it oversees that have a direct influ</w:t>
      </w:r>
      <w:r>
        <w:rPr>
          <w:highlight w:val="white"/>
        </w:rPr>
        <w:t xml:space="preserve">ence on employee engagement. HR is the driving force behind employee engagement in all high-performing firms due to its people-centric approach and mediation function. There is a mountain of evidence for this, most of it coming from Gallup, which has been </w:t>
      </w:r>
      <w:r>
        <w:rPr>
          <w:highlight w:val="white"/>
        </w:rPr>
        <w:t>a leader in showcasing the value of employee engagement (</w:t>
      </w:r>
      <w:proofErr w:type="spellStart"/>
      <w:r>
        <w:rPr>
          <w:highlight w:val="white"/>
        </w:rPr>
        <w:t>Carasco</w:t>
      </w:r>
      <w:proofErr w:type="spellEnd"/>
      <w:r>
        <w:rPr>
          <w:highlight w:val="white"/>
        </w:rPr>
        <w:t xml:space="preserve"> et al., 2015). Despite this mountain of evidence, Gallup reports that just 15% of workers globally are actively engaged in their jobs. Human resource professionals are in a special position t</w:t>
      </w:r>
      <w:r>
        <w:rPr>
          <w:highlight w:val="white"/>
        </w:rPr>
        <w:t xml:space="preserve">o address this issue. Human resources have always functioned as a neutral party between upper management and the workforce. As a result, HR may serve as a go-between for management and workers by helping to foster an </w:t>
      </w:r>
      <w:r>
        <w:rPr>
          <w:highlight w:val="white"/>
        </w:rPr>
        <w:lastRenderedPageBreak/>
        <w:t>engaged workforce and tracking its effe</w:t>
      </w:r>
      <w:r>
        <w:rPr>
          <w:highlight w:val="white"/>
        </w:rPr>
        <w:t>cts (Soane et al., 2012). Human resources are particularly essential because of the function it plays in fostering the company's culture and making sure that the company's leadership, business goals, and workers all have a direct line of communication. Hum</w:t>
      </w:r>
      <w:r>
        <w:rPr>
          <w:highlight w:val="white"/>
        </w:rPr>
        <w:t xml:space="preserve">an resources, then, may play a significant role in boosting employee enthusiasm. </w:t>
      </w:r>
    </w:p>
    <w:p w14:paraId="73CB96BC" w14:textId="77777777" w:rsidR="00756B49" w:rsidRDefault="00756B49">
      <w:pPr>
        <w:pBdr>
          <w:top w:val="nil"/>
          <w:left w:val="nil"/>
          <w:bottom w:val="nil"/>
          <w:right w:val="nil"/>
          <w:between w:val="nil"/>
        </w:pBdr>
        <w:spacing w:after="0"/>
        <w:rPr>
          <w:highlight w:val="white"/>
        </w:rPr>
      </w:pPr>
    </w:p>
    <w:p w14:paraId="6462AD6B" w14:textId="77777777" w:rsidR="00756B49" w:rsidRDefault="00E85562">
      <w:pPr>
        <w:pBdr>
          <w:top w:val="nil"/>
          <w:left w:val="nil"/>
          <w:bottom w:val="nil"/>
          <w:right w:val="nil"/>
          <w:between w:val="nil"/>
        </w:pBdr>
        <w:spacing w:after="0"/>
        <w:rPr>
          <w:highlight w:val="white"/>
        </w:rPr>
      </w:pPr>
      <w:r>
        <w:rPr>
          <w:highlight w:val="white"/>
        </w:rPr>
        <w:t>The employee lifecycle is crucial when discussing the method of engaging a team and the benefits that come from doing so (</w:t>
      </w:r>
      <w:proofErr w:type="spellStart"/>
      <w:r>
        <w:rPr>
          <w:highlight w:val="white"/>
        </w:rPr>
        <w:t>Zigarmi</w:t>
      </w:r>
      <w:proofErr w:type="spellEnd"/>
      <w:r>
        <w:rPr>
          <w:highlight w:val="white"/>
        </w:rPr>
        <w:t xml:space="preserve"> et al., 2015). Engaged employees make for a</w:t>
      </w:r>
      <w:r>
        <w:rPr>
          <w:highlight w:val="white"/>
        </w:rPr>
        <w:t xml:space="preserve"> more knowledgeable, invested, and productive workplace, which in turn helps the company </w:t>
      </w:r>
      <w:proofErr w:type="gramStart"/>
      <w:r>
        <w:rPr>
          <w:highlight w:val="white"/>
        </w:rPr>
        <w:t>as a whole achieve</w:t>
      </w:r>
      <w:proofErr w:type="gramEnd"/>
      <w:r>
        <w:rPr>
          <w:highlight w:val="white"/>
        </w:rPr>
        <w:t xml:space="preserve"> its objectives. The following are </w:t>
      </w:r>
      <w:r>
        <w:rPr>
          <w:b/>
          <w:highlight w:val="white"/>
        </w:rPr>
        <w:t>some of the advantages to the company that employee engagement</w:t>
      </w:r>
      <w:r>
        <w:rPr>
          <w:highlight w:val="white"/>
        </w:rPr>
        <w:t xml:space="preserve"> may provide if it is executed correctly:</w:t>
      </w:r>
    </w:p>
    <w:p w14:paraId="38A3DD47" w14:textId="77777777" w:rsidR="00756B49" w:rsidRDefault="00756B49">
      <w:pPr>
        <w:pBdr>
          <w:top w:val="nil"/>
          <w:left w:val="nil"/>
          <w:bottom w:val="nil"/>
          <w:right w:val="nil"/>
          <w:between w:val="nil"/>
        </w:pBdr>
        <w:spacing w:after="0"/>
        <w:rPr>
          <w:highlight w:val="white"/>
        </w:rPr>
      </w:pPr>
    </w:p>
    <w:p w14:paraId="016CCCDB" w14:textId="77777777" w:rsidR="00756B49" w:rsidRDefault="00E85562">
      <w:pPr>
        <w:pBdr>
          <w:top w:val="nil"/>
          <w:left w:val="nil"/>
          <w:bottom w:val="nil"/>
          <w:right w:val="nil"/>
          <w:between w:val="nil"/>
        </w:pBdr>
        <w:spacing w:after="0"/>
        <w:rPr>
          <w:rFonts w:ascii="Arial" w:eastAsia="Arial" w:hAnsi="Arial" w:cs="Arial"/>
          <w:highlight w:val="white"/>
        </w:rPr>
      </w:pPr>
      <w:r>
        <w:rPr>
          <w:highlight w:val="white"/>
        </w:rPr>
        <w:t xml:space="preserve">When </w:t>
      </w:r>
      <w:r>
        <w:rPr>
          <w:highlight w:val="white"/>
        </w:rPr>
        <w:t>workers are invested in their work, it shows in how they interact with and care for consumers. A good customer connection is built on pleasant customer experiences, making the consumer feel appreciated, and a friendly attitude (</w:t>
      </w:r>
      <w:proofErr w:type="spellStart"/>
      <w:r>
        <w:rPr>
          <w:highlight w:val="white"/>
        </w:rPr>
        <w:t>Osam</w:t>
      </w:r>
      <w:proofErr w:type="spellEnd"/>
      <w:r>
        <w:rPr>
          <w:highlight w:val="white"/>
        </w:rPr>
        <w:t xml:space="preserve"> et al., 2017). Employee</w:t>
      </w:r>
      <w:r>
        <w:rPr>
          <w:highlight w:val="white"/>
        </w:rPr>
        <w:t>s will pay greater attention to their superiors when they see that they care about their concerns. Staff enthusiasm for their work and overall involvement in the company rises as a result. There is a correlation between an employee's willingness to show up</w:t>
      </w:r>
      <w:r>
        <w:rPr>
          <w:highlight w:val="white"/>
        </w:rPr>
        <w:t xml:space="preserve"> and participate in the workplace and their dedication to quality and safety (Shuck et al., 2012). There is a direct correlation between an employee's mental state and the likelihood of an accident occurring on the job</w:t>
      </w:r>
      <w:r>
        <w:rPr>
          <w:rFonts w:ascii="Arial" w:eastAsia="Arial" w:hAnsi="Arial" w:cs="Arial"/>
          <w:highlight w:val="white"/>
        </w:rPr>
        <w:t>.</w:t>
      </w:r>
    </w:p>
    <w:p w14:paraId="45FB9BCA" w14:textId="77777777" w:rsidR="00756B49" w:rsidRDefault="00756B49">
      <w:pPr>
        <w:pBdr>
          <w:top w:val="nil"/>
          <w:left w:val="nil"/>
          <w:bottom w:val="nil"/>
          <w:right w:val="nil"/>
          <w:between w:val="nil"/>
        </w:pBdr>
        <w:spacing w:after="0"/>
      </w:pPr>
    </w:p>
    <w:p w14:paraId="609470FE" w14:textId="77777777" w:rsidR="00756B49" w:rsidRDefault="00E85562">
      <w:pPr>
        <w:pBdr>
          <w:top w:val="nil"/>
          <w:left w:val="nil"/>
          <w:bottom w:val="nil"/>
          <w:right w:val="nil"/>
          <w:between w:val="nil"/>
        </w:pBdr>
        <w:spacing w:after="0"/>
      </w:pPr>
      <w:r>
        <w:t>Employees that are fully involved i</w:t>
      </w:r>
      <w:r>
        <w:t>n their work show a high degree of organisational loyalty since they are the ones who are most committed to the company's goals. Employees that are invested in their jobs feel that their efforts are respected and recognised (</w:t>
      </w:r>
      <w:proofErr w:type="spellStart"/>
      <w:r>
        <w:t>Sarti</w:t>
      </w:r>
      <w:proofErr w:type="spellEnd"/>
      <w:r>
        <w:t>, 2014). They will be less</w:t>
      </w:r>
      <w:r>
        <w:t xml:space="preserve"> sociable and more productive in the workplace. Employers may reap the advantages of employee involvement in the form of higher production and efficiency. Employee morale is high, and they are more invested in doing good work for the company. increased pro</w:t>
      </w:r>
      <w:r>
        <w:t>fits, more creativity, and less absence and illness are all possible outcomes (Rana, 2015). Implementation of a system that encourages employees to provide suggestions for improving work procedures. more happiness and a sensation of being more invested in,</w:t>
      </w:r>
      <w:r>
        <w:t xml:space="preserve"> dedicated to, and fruitful in one's profession. Active teams are more robust and more prepared to deal with adversity.</w:t>
      </w:r>
    </w:p>
    <w:p w14:paraId="39BFB90F" w14:textId="77777777" w:rsidR="00756B49" w:rsidRDefault="00756B49">
      <w:pPr>
        <w:pBdr>
          <w:top w:val="nil"/>
          <w:left w:val="nil"/>
          <w:bottom w:val="nil"/>
          <w:right w:val="nil"/>
          <w:between w:val="nil"/>
        </w:pBdr>
        <w:spacing w:after="0"/>
        <w:rPr>
          <w:highlight w:val="white"/>
        </w:rPr>
      </w:pPr>
    </w:p>
    <w:p w14:paraId="0B2B46CD" w14:textId="77777777" w:rsidR="00756B49" w:rsidRDefault="00E85562">
      <w:pPr>
        <w:pBdr>
          <w:top w:val="nil"/>
          <w:left w:val="nil"/>
          <w:bottom w:val="nil"/>
          <w:right w:val="nil"/>
          <w:between w:val="nil"/>
        </w:pBdr>
        <w:spacing w:after="0"/>
      </w:pPr>
      <w:r>
        <w:rPr>
          <w:highlight w:val="white"/>
        </w:rPr>
        <w:t>The two key advantages that a firm will get from mapping the employee journey, in the same manner, the company map the consumer experie</w:t>
      </w:r>
      <w:r>
        <w:rPr>
          <w:highlight w:val="white"/>
        </w:rPr>
        <w:t xml:space="preserve">nce are greater talent retention and an </w:t>
      </w:r>
      <w:r>
        <w:rPr>
          <w:highlight w:val="white"/>
        </w:rPr>
        <w:lastRenderedPageBreak/>
        <w:t xml:space="preserve">improved reputation. Time and money lost due to employee turnover may be mitigated if the company's resources are used efficiently (Memon et al., 2016). Similarly, if the company has a stellar reputation, it will be </w:t>
      </w:r>
      <w:r>
        <w:rPr>
          <w:highlight w:val="white"/>
        </w:rPr>
        <w:t xml:space="preserve">able to attract and retain a more talented and dedicated crew. The following description of each </w:t>
      </w:r>
      <w:r>
        <w:rPr>
          <w:b/>
          <w:highlight w:val="white"/>
        </w:rPr>
        <w:t>step of the</w:t>
      </w:r>
      <w:r>
        <w:rPr>
          <w:highlight w:val="white"/>
        </w:rPr>
        <w:t xml:space="preserve"> </w:t>
      </w:r>
      <w:r>
        <w:rPr>
          <w:b/>
          <w:highlight w:val="white"/>
        </w:rPr>
        <w:t>employee life cycle</w:t>
      </w:r>
      <w:r>
        <w:rPr>
          <w:highlight w:val="white"/>
        </w:rPr>
        <w:t xml:space="preserve"> is provided to facilitate comprehension of the role that employee engagement plays at each stage</w:t>
      </w:r>
      <w:r>
        <w:t>. </w:t>
      </w:r>
    </w:p>
    <w:p w14:paraId="1647CB7D" w14:textId="77777777" w:rsidR="00756B49" w:rsidRDefault="00756B49">
      <w:pPr>
        <w:pBdr>
          <w:top w:val="nil"/>
          <w:left w:val="nil"/>
          <w:bottom w:val="nil"/>
          <w:right w:val="nil"/>
          <w:between w:val="nil"/>
        </w:pBdr>
        <w:spacing w:after="0"/>
        <w:rPr>
          <w:b/>
        </w:rPr>
      </w:pPr>
    </w:p>
    <w:p w14:paraId="5B5649E8" w14:textId="77777777" w:rsidR="00756B49" w:rsidRDefault="00E85562">
      <w:pPr>
        <w:pBdr>
          <w:top w:val="nil"/>
          <w:left w:val="nil"/>
          <w:bottom w:val="nil"/>
          <w:right w:val="nil"/>
          <w:between w:val="nil"/>
        </w:pBdr>
        <w:spacing w:after="0"/>
      </w:pPr>
      <w:r>
        <w:rPr>
          <w:b/>
        </w:rPr>
        <w:t xml:space="preserve">Attraction, </w:t>
      </w:r>
      <w:r>
        <w:t xml:space="preserve">attracting new </w:t>
      </w:r>
      <w:r>
        <w:t>workers is the first step in the employee life cycle. However unique and robust the offering may be, it will not matter if the company cannot successfully recruit and keep top personnel (</w:t>
      </w:r>
      <w:proofErr w:type="spellStart"/>
      <w:r>
        <w:t>EduGorilla</w:t>
      </w:r>
      <w:proofErr w:type="spellEnd"/>
      <w:r>
        <w:t xml:space="preserve"> Prep Experts, 2022). The company's reputation as a desirab</w:t>
      </w:r>
      <w:r>
        <w:t>le place to work, among both present workers and prospective ones, is part of its reputation management strategy, which is also known as the employer brand. People who are interested in working for the firm, whether they are already doing so or not, have a</w:t>
      </w:r>
      <w:r>
        <w:t xml:space="preserve"> favourable impression of working conditions inside the organisation (Ganesh et al., 2022). </w:t>
      </w:r>
    </w:p>
    <w:p w14:paraId="185E3EC6" w14:textId="77777777" w:rsidR="00756B49" w:rsidRDefault="00E85562">
      <w:pPr>
        <w:pBdr>
          <w:top w:val="nil"/>
          <w:left w:val="nil"/>
          <w:bottom w:val="nil"/>
          <w:right w:val="nil"/>
          <w:between w:val="nil"/>
        </w:pBdr>
        <w:spacing w:after="0"/>
      </w:pPr>
      <w:r>
        <w:t>  </w:t>
      </w:r>
    </w:p>
    <w:p w14:paraId="729ADE36" w14:textId="77777777" w:rsidR="00756B49" w:rsidRDefault="00E85562">
      <w:pPr>
        <w:pBdr>
          <w:top w:val="nil"/>
          <w:left w:val="nil"/>
          <w:bottom w:val="nil"/>
          <w:right w:val="nil"/>
          <w:between w:val="nil"/>
        </w:pBdr>
        <w:spacing w:after="0"/>
      </w:pPr>
      <w:r>
        <w:rPr>
          <w:b/>
        </w:rPr>
        <w:t xml:space="preserve">Recruitment, </w:t>
      </w:r>
      <w:r>
        <w:t>the second stage of the employee life cycle is recruitment, which entails aggressively searching for and winning over the most qualified people for</w:t>
      </w:r>
      <w:r>
        <w:t xml:space="preserve"> open positions inside the organisation. Job openings are one cause of recruitment, but new positions may also be established (Grace Donaldson, 2022). The most effective recruiting strategies guarantee a rewarding experience for job seekers, encourage grou</w:t>
      </w:r>
      <w:r>
        <w:t>p efforts to fill open positions based on well-defined standards and provide actionable insights to enhance future hiring efforts.   </w:t>
      </w:r>
    </w:p>
    <w:p w14:paraId="3A4BA4DE" w14:textId="77777777" w:rsidR="00756B49" w:rsidRDefault="00756B49">
      <w:pPr>
        <w:pBdr>
          <w:top w:val="nil"/>
          <w:left w:val="nil"/>
          <w:bottom w:val="nil"/>
          <w:right w:val="nil"/>
          <w:between w:val="nil"/>
        </w:pBdr>
        <w:spacing w:after="0"/>
      </w:pPr>
    </w:p>
    <w:p w14:paraId="0300BE2E" w14:textId="77777777" w:rsidR="00756B49" w:rsidRDefault="00E85562">
      <w:pPr>
        <w:pBdr>
          <w:top w:val="nil"/>
          <w:left w:val="nil"/>
          <w:bottom w:val="nil"/>
          <w:right w:val="nil"/>
          <w:between w:val="nil"/>
        </w:pBdr>
        <w:spacing w:after="0"/>
      </w:pPr>
      <w:r>
        <w:rPr>
          <w:b/>
        </w:rPr>
        <w:t xml:space="preserve">Onboarding, </w:t>
      </w:r>
      <w:r>
        <w:t>the onboarding process comes next in the employee life cycle model. Once the company have hired the best peop</w:t>
      </w:r>
      <w:r>
        <w:t>le, the next step is to make sure they're acclimated to the company culture and know how to do their jobs effectively (Leong Chan et al., 2022). During "onboarding," a company's newest employees are trained on the entries and outs of their positions, as we</w:t>
      </w:r>
      <w:r>
        <w:t>ll as the values, norms, and procedures that are essential to their success. Long-term contributions and engagement need to make new personnel feel welcome in the team and well-acclimatised to the nature of both their work and the business.  </w:t>
      </w:r>
    </w:p>
    <w:p w14:paraId="4E8CA2E8" w14:textId="77777777" w:rsidR="00756B49" w:rsidRDefault="00756B49">
      <w:pPr>
        <w:pBdr>
          <w:top w:val="nil"/>
          <w:left w:val="nil"/>
          <w:bottom w:val="nil"/>
          <w:right w:val="nil"/>
          <w:between w:val="nil"/>
        </w:pBdr>
        <w:spacing w:after="0"/>
      </w:pPr>
    </w:p>
    <w:p w14:paraId="045280F8" w14:textId="77777777" w:rsidR="00756B49" w:rsidRDefault="00E85562">
      <w:pPr>
        <w:pBdr>
          <w:top w:val="nil"/>
          <w:left w:val="nil"/>
          <w:bottom w:val="nil"/>
          <w:right w:val="nil"/>
          <w:between w:val="nil"/>
        </w:pBdr>
        <w:spacing w:after="0"/>
      </w:pPr>
      <w:r>
        <w:rPr>
          <w:b/>
        </w:rPr>
        <w:t>Development,</w:t>
      </w:r>
      <w:r>
        <w:rPr>
          <w:b/>
        </w:rPr>
        <w:t xml:space="preserve"> </w:t>
      </w:r>
      <w:r>
        <w:t>The employee growth stage in the employee life cycle model. As a leader, the manager can assist accelerate their team's skill development and provide them with a clearer route to advancement within the organisation by continuously encouraging their profes</w:t>
      </w:r>
      <w:r>
        <w:t xml:space="preserve">sional growth throughout this time (Rahul </w:t>
      </w:r>
      <w:proofErr w:type="spellStart"/>
      <w:r>
        <w:t>Ghatak</w:t>
      </w:r>
      <w:proofErr w:type="spellEnd"/>
      <w:r>
        <w:t>, 2022).</w:t>
      </w:r>
    </w:p>
    <w:p w14:paraId="6C2A56AC" w14:textId="77777777" w:rsidR="00756B49" w:rsidRDefault="00756B49">
      <w:pPr>
        <w:pBdr>
          <w:top w:val="nil"/>
          <w:left w:val="nil"/>
          <w:bottom w:val="nil"/>
          <w:right w:val="nil"/>
          <w:between w:val="nil"/>
        </w:pBdr>
        <w:spacing w:after="0"/>
        <w:rPr>
          <w:b/>
        </w:rPr>
      </w:pPr>
    </w:p>
    <w:p w14:paraId="2F4C079C" w14:textId="77777777" w:rsidR="00756B49" w:rsidRDefault="00E85562">
      <w:pPr>
        <w:pBdr>
          <w:top w:val="nil"/>
          <w:left w:val="nil"/>
          <w:bottom w:val="nil"/>
          <w:right w:val="nil"/>
          <w:between w:val="nil"/>
        </w:pBdr>
        <w:spacing w:after="0"/>
      </w:pPr>
      <w:r>
        <w:rPr>
          <w:b/>
        </w:rPr>
        <w:lastRenderedPageBreak/>
        <w:t xml:space="preserve">Retention, </w:t>
      </w:r>
      <w:r>
        <w:t xml:space="preserve">Employee retention is the fifth and final phase of the lifecycle model. The impact of the company's culture may be felt more than ever. Employee turnover is costly; thus, it is important </w:t>
      </w:r>
      <w:r>
        <w:t xml:space="preserve">to keep the culture of the company positive (Shraddha </w:t>
      </w:r>
      <w:proofErr w:type="spellStart"/>
      <w:r>
        <w:t>Kakade</w:t>
      </w:r>
      <w:proofErr w:type="spellEnd"/>
      <w:r>
        <w:t>, 2022). Companies may mitigate this threat and boost employee longevity and job satisfaction by focusing on retention.   </w:t>
      </w:r>
    </w:p>
    <w:p w14:paraId="12CCC0B8" w14:textId="77777777" w:rsidR="00756B49" w:rsidRDefault="00756B49">
      <w:pPr>
        <w:pBdr>
          <w:top w:val="nil"/>
          <w:left w:val="nil"/>
          <w:bottom w:val="nil"/>
          <w:right w:val="nil"/>
          <w:between w:val="nil"/>
        </w:pBdr>
        <w:spacing w:after="0"/>
        <w:rPr>
          <w:b/>
        </w:rPr>
      </w:pPr>
    </w:p>
    <w:p w14:paraId="540A0C8A" w14:textId="77777777" w:rsidR="00756B49" w:rsidRDefault="00E85562">
      <w:pPr>
        <w:pBdr>
          <w:top w:val="nil"/>
          <w:left w:val="nil"/>
          <w:bottom w:val="nil"/>
          <w:right w:val="nil"/>
          <w:between w:val="nil"/>
        </w:pBdr>
        <w:spacing w:after="0"/>
      </w:pPr>
      <w:r>
        <w:rPr>
          <w:b/>
        </w:rPr>
        <w:t xml:space="preserve">Separation, </w:t>
      </w:r>
      <w:r>
        <w:t>Employee separation is the ultimate phase of the employee li</w:t>
      </w:r>
      <w:r>
        <w:t>fe cycle. Whether it is via retirement, a move to a new job, or a decision to leave the workforce for personal reasons, most workers' time in the workforce will eventually come to an end (</w:t>
      </w:r>
      <w:proofErr w:type="spellStart"/>
      <w:r>
        <w:t>Sprigg</w:t>
      </w:r>
      <w:proofErr w:type="spellEnd"/>
      <w:r>
        <w:t xml:space="preserve">, 2022). It is crucial to give the process of leaving as much </w:t>
      </w:r>
      <w:r>
        <w:t>attention and strategic planning as the process of joining. The departure of a team member might have a significant impact on the remaining members. The company's management and HR department should help the departing worker plan a smooth departure that wi</w:t>
      </w:r>
      <w:r>
        <w:t xml:space="preserve">ll have little impact on the business (Jung et al., 2018). </w:t>
      </w:r>
      <w:r>
        <w:rPr>
          <w:b/>
        </w:rPr>
        <w:t>For instance</w:t>
      </w:r>
      <w:r>
        <w:t xml:space="preserve">, </w:t>
      </w:r>
      <w:proofErr w:type="gramStart"/>
      <w:r>
        <w:t>It</w:t>
      </w:r>
      <w:proofErr w:type="gramEnd"/>
      <w:r>
        <w:t xml:space="preserve"> can provide my staff members with a pay and benefits package that is on par with the market average. Also include workers in the decision-making process as much as possible</w:t>
      </w:r>
      <w:r>
        <w:rPr>
          <w:rFonts w:ascii="Arial" w:eastAsia="Arial" w:hAnsi="Arial" w:cs="Arial"/>
          <w:highlight w:val="white"/>
        </w:rPr>
        <w:t>.</w:t>
      </w:r>
    </w:p>
    <w:p w14:paraId="208FDEBB" w14:textId="77777777" w:rsidR="00756B49" w:rsidRDefault="00756B49">
      <w:pPr>
        <w:pBdr>
          <w:top w:val="nil"/>
          <w:left w:val="nil"/>
          <w:bottom w:val="nil"/>
          <w:right w:val="nil"/>
          <w:between w:val="nil"/>
        </w:pBdr>
        <w:spacing w:after="0"/>
        <w:rPr>
          <w:highlight w:val="yellow"/>
        </w:rPr>
      </w:pPr>
    </w:p>
    <w:p w14:paraId="4A60622E" w14:textId="77777777" w:rsidR="00756B49" w:rsidRDefault="00E85562">
      <w:pPr>
        <w:pBdr>
          <w:top w:val="nil"/>
          <w:left w:val="nil"/>
          <w:bottom w:val="nil"/>
          <w:right w:val="nil"/>
          <w:between w:val="nil"/>
        </w:pBdr>
        <w:spacing w:after="0"/>
      </w:pPr>
      <w:r>
        <w:rPr>
          <w:b/>
        </w:rPr>
        <w:t>The Z</w:t>
      </w:r>
      <w:r>
        <w:rPr>
          <w:b/>
        </w:rPr>
        <w:t>inger model</w:t>
      </w:r>
      <w:r>
        <w:t xml:space="preserve"> is based on the idea that all workers need a base set of resources to function properly. At this point, it's crucial to focus on improving health, capitalising on strengths, finding purpose, and reviving drained energies. The company may increa</w:t>
      </w:r>
      <w:r>
        <w:t>se employee motivation by using the following strategies (</w:t>
      </w:r>
      <w:proofErr w:type="spellStart"/>
      <w:r>
        <w:t>Alagaraja</w:t>
      </w:r>
      <w:proofErr w:type="spellEnd"/>
      <w:r>
        <w:t xml:space="preserve"> et al., 2015).</w:t>
      </w:r>
    </w:p>
    <w:p w14:paraId="6EA36C07" w14:textId="77777777" w:rsidR="00756B49" w:rsidRDefault="00756B49">
      <w:pPr>
        <w:pBdr>
          <w:top w:val="nil"/>
          <w:left w:val="nil"/>
          <w:bottom w:val="nil"/>
          <w:right w:val="nil"/>
          <w:between w:val="nil"/>
        </w:pBdr>
        <w:spacing w:after="0"/>
      </w:pPr>
    </w:p>
    <w:p w14:paraId="0E744946" w14:textId="77777777" w:rsidR="00756B49" w:rsidRDefault="00E85562">
      <w:pPr>
        <w:pBdr>
          <w:top w:val="nil"/>
          <w:left w:val="nil"/>
          <w:bottom w:val="nil"/>
          <w:right w:val="nil"/>
          <w:between w:val="nil"/>
        </w:pBdr>
        <w:spacing w:after="0"/>
      </w:pPr>
      <w:r>
        <w:rPr>
          <w:b/>
        </w:rPr>
        <w:t>To enhance well-being,</w:t>
      </w:r>
      <w:r>
        <w:t xml:space="preserve"> workers cannot give their all in the workplace if they are neglecting their health and happiness. Increased employee engagement and productivity may be achieved via the establishment of a work environment free from harassment and discrimination (psycholog</w:t>
      </w:r>
      <w:r>
        <w:t>ical safety), as well as through the provision of enough time off for vacation and illness (Anthony et al., 2017).</w:t>
      </w:r>
    </w:p>
    <w:p w14:paraId="1E2BB84E" w14:textId="77777777" w:rsidR="00756B49" w:rsidRDefault="00756B49">
      <w:pPr>
        <w:pBdr>
          <w:top w:val="nil"/>
          <w:left w:val="nil"/>
          <w:bottom w:val="nil"/>
          <w:right w:val="nil"/>
          <w:between w:val="nil"/>
        </w:pBdr>
        <w:spacing w:after="0"/>
      </w:pPr>
    </w:p>
    <w:p w14:paraId="0E4A52D1" w14:textId="77777777" w:rsidR="00756B49" w:rsidRDefault="00E85562">
      <w:pPr>
        <w:pBdr>
          <w:top w:val="nil"/>
          <w:left w:val="nil"/>
          <w:bottom w:val="nil"/>
          <w:right w:val="nil"/>
          <w:between w:val="nil"/>
        </w:pBdr>
        <w:spacing w:after="0"/>
      </w:pPr>
      <w:r>
        <w:rPr>
          <w:b/>
        </w:rPr>
        <w:t>Enliven energy,</w:t>
      </w:r>
      <w:r>
        <w:t xml:space="preserve"> the objective is to foster a workplace in which people are both energised by and able to give their best effort to their tas</w:t>
      </w:r>
      <w:r>
        <w:t>ks. The first one has a lot to do with how happy employees are and the second, one is up to the supervisors (Bakker et al., 2018). Make sure the company check in with their staff regularly to see how their morale is holding up. Then, a company may use patt</w:t>
      </w:r>
      <w:r>
        <w:t>erns to spot roadblocks and wasted efforts.</w:t>
      </w:r>
    </w:p>
    <w:p w14:paraId="5457E488" w14:textId="77777777" w:rsidR="00756B49" w:rsidRDefault="00756B49">
      <w:pPr>
        <w:pBdr>
          <w:top w:val="nil"/>
          <w:left w:val="nil"/>
          <w:bottom w:val="nil"/>
          <w:right w:val="nil"/>
          <w:between w:val="nil"/>
        </w:pBdr>
        <w:spacing w:after="0"/>
      </w:pPr>
    </w:p>
    <w:p w14:paraId="4AE70F9F" w14:textId="77777777" w:rsidR="00756B49" w:rsidRDefault="00E85562">
      <w:pPr>
        <w:pBdr>
          <w:top w:val="nil"/>
          <w:left w:val="nil"/>
          <w:bottom w:val="nil"/>
          <w:right w:val="nil"/>
          <w:between w:val="nil"/>
        </w:pBdr>
        <w:spacing w:after="0"/>
      </w:pPr>
      <w:r>
        <w:rPr>
          <w:b/>
        </w:rPr>
        <w:lastRenderedPageBreak/>
        <w:t xml:space="preserve">Make meaning, </w:t>
      </w:r>
      <w:r>
        <w:t xml:space="preserve">employees who find meaning in their job are more likely to stick around for the long haul. </w:t>
      </w:r>
      <w:proofErr w:type="gramStart"/>
      <w:r>
        <w:t>The majority of</w:t>
      </w:r>
      <w:proofErr w:type="gramEnd"/>
      <w:r>
        <w:t xml:space="preserve"> workers value doing the job they care about above monetary compensation (Byrne et al., 201</w:t>
      </w:r>
      <w:r>
        <w:t>6). To keep their staff engaged, management should explain how their job fits into the bigger picture of the firm and the influence it has on the globe.</w:t>
      </w:r>
    </w:p>
    <w:p w14:paraId="1D4F14EA" w14:textId="77777777" w:rsidR="00756B49" w:rsidRDefault="00756B49">
      <w:pPr>
        <w:pBdr>
          <w:top w:val="nil"/>
          <w:left w:val="nil"/>
          <w:bottom w:val="nil"/>
          <w:right w:val="nil"/>
          <w:between w:val="nil"/>
        </w:pBdr>
        <w:spacing w:after="0"/>
      </w:pPr>
    </w:p>
    <w:p w14:paraId="7DE219CA" w14:textId="77777777" w:rsidR="00756B49" w:rsidRDefault="00E85562">
      <w:pPr>
        <w:pBdr>
          <w:top w:val="nil"/>
          <w:left w:val="nil"/>
          <w:bottom w:val="nil"/>
          <w:right w:val="nil"/>
          <w:between w:val="nil"/>
        </w:pBdr>
        <w:spacing w:after="0"/>
      </w:pPr>
      <w:r>
        <w:rPr>
          <w:b/>
        </w:rPr>
        <w:t>Leveraging strengths,</w:t>
      </w:r>
      <w:r>
        <w:t xml:space="preserve"> leadership is accountable for creating environments where employees may showcase</w:t>
      </w:r>
      <w:r>
        <w:t xml:space="preserve"> and grow their skills. Utilising workers' innate skillsets in this way increases morale and output, which helps the </w:t>
      </w:r>
      <w:proofErr w:type="gramStart"/>
      <w:r>
        <w:t>business as a whole</w:t>
      </w:r>
      <w:proofErr w:type="gramEnd"/>
      <w:r>
        <w:t>.</w:t>
      </w:r>
    </w:p>
    <w:p w14:paraId="660450D8" w14:textId="77777777" w:rsidR="00756B49" w:rsidRDefault="00756B49">
      <w:pPr>
        <w:pBdr>
          <w:top w:val="nil"/>
          <w:left w:val="nil"/>
          <w:bottom w:val="nil"/>
          <w:right w:val="nil"/>
          <w:between w:val="nil"/>
        </w:pBdr>
        <w:spacing w:after="0"/>
      </w:pPr>
    </w:p>
    <w:p w14:paraId="4E9E4F0D" w14:textId="77777777" w:rsidR="00756B49" w:rsidRDefault="00E85562">
      <w:pPr>
        <w:pBdr>
          <w:top w:val="nil"/>
          <w:left w:val="nil"/>
          <w:bottom w:val="nil"/>
          <w:right w:val="nil"/>
          <w:between w:val="nil"/>
        </w:pBdr>
        <w:spacing w:after="0"/>
      </w:pPr>
      <w:r>
        <w:t xml:space="preserve">Ultimately, the company want engaged workers because they are the ones who will help to achieve the company's aim of </w:t>
      </w:r>
      <w:r>
        <w:t>higher production and profits (</w:t>
      </w:r>
      <w:proofErr w:type="spellStart"/>
      <w:r>
        <w:t>Carasco</w:t>
      </w:r>
      <w:proofErr w:type="spellEnd"/>
      <w:r>
        <w:t xml:space="preserve"> et al., 2015). Make sure the company have well-defined goals for the company’s strategic involvement before it set out on this path. Companies may measure the progress and fine-tune their strategies by focusing on con</w:t>
      </w:r>
      <w:r>
        <w:t>crete measures like employee net promoter score (NPS), employee engagement and retention rates, and team key performance indicators (KPIs) (Soane et al., 2012). Contact Monkey and other such smart internal email platforms will allow monitoring and exploiti</w:t>
      </w:r>
      <w:r>
        <w:t xml:space="preserve">ng these parameters for expansion. Maintaining a record of company outgoing and incoming emails is a crucial internal email best practice. </w:t>
      </w:r>
    </w:p>
    <w:p w14:paraId="2A4B84BC" w14:textId="77777777" w:rsidR="00756B49" w:rsidRDefault="00756B49">
      <w:pPr>
        <w:pBdr>
          <w:top w:val="nil"/>
          <w:left w:val="nil"/>
          <w:bottom w:val="nil"/>
          <w:right w:val="nil"/>
          <w:between w:val="nil"/>
        </w:pBdr>
        <w:spacing w:after="240"/>
      </w:pPr>
    </w:p>
    <w:p w14:paraId="2E2FE010" w14:textId="77777777" w:rsidR="00756B49" w:rsidRDefault="00E85562">
      <w:pPr>
        <w:pStyle w:val="Heading1"/>
        <w:spacing w:after="240"/>
        <w:rPr>
          <w:color w:val="000000"/>
        </w:rPr>
      </w:pPr>
      <w:r>
        <w:rPr>
          <w:color w:val="000000"/>
        </w:rPr>
        <w:t>Conclusion</w:t>
      </w:r>
    </w:p>
    <w:p w14:paraId="7DB38F63" w14:textId="77777777" w:rsidR="00756B49" w:rsidRDefault="00E85562">
      <w:pPr>
        <w:pBdr>
          <w:top w:val="nil"/>
          <w:left w:val="nil"/>
          <w:bottom w:val="nil"/>
          <w:right w:val="nil"/>
          <w:between w:val="nil"/>
        </w:pBdr>
        <w:spacing w:after="240"/>
      </w:pPr>
      <w:r>
        <w:rPr>
          <w:highlight w:val="white"/>
        </w:rPr>
        <w:t>Since disinterested workers are less likely to put forth the effort and are less likely to be inspired b</w:t>
      </w:r>
      <w:r>
        <w:rPr>
          <w:highlight w:val="white"/>
        </w:rPr>
        <w:t xml:space="preserve">y their jobs, </w:t>
      </w:r>
      <w:proofErr w:type="gramStart"/>
      <w:r>
        <w:rPr>
          <w:highlight w:val="white"/>
        </w:rPr>
        <w:t>it is clear that keeping</w:t>
      </w:r>
      <w:proofErr w:type="gramEnd"/>
      <w:r>
        <w:rPr>
          <w:highlight w:val="white"/>
        </w:rPr>
        <w:t xml:space="preserve"> workers engaged is crucial. Since workers are an organisation's most important resource, boosting their motivation takes more than just words. To install confidence in their work, employees should be made aware of the</w:t>
      </w:r>
      <w:r>
        <w:rPr>
          <w:highlight w:val="white"/>
        </w:rPr>
        <w:t xml:space="preserve"> new policies being put in place by upper management. The employee life cycle diagram is a helpful tool for visualising and planning an employee's path through a business, equipping them with the data they need to guarantee a great experience at every stag</w:t>
      </w:r>
      <w:r>
        <w:rPr>
          <w:highlight w:val="white"/>
        </w:rPr>
        <w:t>e of their employment there. Once HR has finalised the employee's benefits and salary, they will communicate that information to the departing worker. To protect the company's reputation and gather insight from departing workers, offboarding is essential.</w:t>
      </w:r>
      <w:r>
        <w:t xml:space="preserve"> </w:t>
      </w:r>
      <w:r>
        <w:br w:type="page"/>
      </w:r>
    </w:p>
    <w:p w14:paraId="6C90D767" w14:textId="77777777" w:rsidR="00756B49" w:rsidRDefault="00E85562">
      <w:pPr>
        <w:pStyle w:val="Heading1"/>
        <w:spacing w:after="240"/>
        <w:rPr>
          <w:color w:val="000000"/>
        </w:rPr>
      </w:pPr>
      <w:r>
        <w:rPr>
          <w:color w:val="000000"/>
        </w:rPr>
        <w:lastRenderedPageBreak/>
        <w:t xml:space="preserve">References </w:t>
      </w:r>
    </w:p>
    <w:p w14:paraId="0BA46FCD" w14:textId="77777777" w:rsidR="00756B49" w:rsidRDefault="00E85562">
      <w:pPr>
        <w:spacing w:before="240" w:after="240"/>
        <w:rPr>
          <w:highlight w:val="white"/>
        </w:rPr>
      </w:pPr>
      <w:proofErr w:type="spellStart"/>
      <w:r>
        <w:rPr>
          <w:highlight w:val="white"/>
        </w:rPr>
        <w:t>Alagaraja</w:t>
      </w:r>
      <w:proofErr w:type="spellEnd"/>
      <w:r>
        <w:rPr>
          <w:highlight w:val="white"/>
        </w:rPr>
        <w:t>, M. and Shuck, B., 2015. Exploring organisational alignment-employee engagement linkages and impact on individual performance: A conceptual model. </w:t>
      </w:r>
      <w:r>
        <w:rPr>
          <w:i/>
          <w:highlight w:val="white"/>
        </w:rPr>
        <w:t>Human Resource Development Review</w:t>
      </w:r>
      <w:r>
        <w:rPr>
          <w:highlight w:val="white"/>
        </w:rPr>
        <w:t>, </w:t>
      </w:r>
      <w:r>
        <w:rPr>
          <w:i/>
          <w:highlight w:val="white"/>
        </w:rPr>
        <w:t>14</w:t>
      </w:r>
      <w:r>
        <w:rPr>
          <w:highlight w:val="white"/>
        </w:rPr>
        <w:t>(1), pp.17-37.</w:t>
      </w:r>
    </w:p>
    <w:p w14:paraId="3E61B5CF" w14:textId="77777777" w:rsidR="00756B49" w:rsidRDefault="00E85562">
      <w:pPr>
        <w:spacing w:before="240" w:after="240"/>
        <w:rPr>
          <w:highlight w:val="white"/>
        </w:rPr>
      </w:pPr>
      <w:r>
        <w:rPr>
          <w:highlight w:val="white"/>
        </w:rPr>
        <w:t>Anthony‐McMann, P.E., Ellinger, A</w:t>
      </w:r>
      <w:r>
        <w:rPr>
          <w:highlight w:val="white"/>
        </w:rPr>
        <w:t xml:space="preserve">.D., </w:t>
      </w:r>
      <w:proofErr w:type="spellStart"/>
      <w:r>
        <w:rPr>
          <w:highlight w:val="white"/>
        </w:rPr>
        <w:t>Astakhova</w:t>
      </w:r>
      <w:proofErr w:type="spellEnd"/>
      <w:r>
        <w:rPr>
          <w:highlight w:val="white"/>
        </w:rPr>
        <w:t>, M. and Halbesleben, J.R., 2017. Exploring different operationalizations of employee engagement and their relationships with workplace stress and burnout. </w:t>
      </w:r>
      <w:r>
        <w:rPr>
          <w:i/>
          <w:highlight w:val="white"/>
        </w:rPr>
        <w:t>Human Resource Development Quarterly</w:t>
      </w:r>
      <w:r>
        <w:rPr>
          <w:highlight w:val="white"/>
        </w:rPr>
        <w:t>, </w:t>
      </w:r>
      <w:r>
        <w:rPr>
          <w:i/>
          <w:highlight w:val="white"/>
        </w:rPr>
        <w:t>28</w:t>
      </w:r>
      <w:r>
        <w:rPr>
          <w:highlight w:val="white"/>
        </w:rPr>
        <w:t>(2), pp.163-195.</w:t>
      </w:r>
    </w:p>
    <w:p w14:paraId="458891BA" w14:textId="77777777" w:rsidR="00756B49" w:rsidRDefault="00E85562">
      <w:pPr>
        <w:spacing w:before="240" w:after="240"/>
        <w:rPr>
          <w:highlight w:val="white"/>
        </w:rPr>
      </w:pPr>
      <w:r>
        <w:rPr>
          <w:highlight w:val="white"/>
        </w:rPr>
        <w:t xml:space="preserve">Bakker, A.B. and </w:t>
      </w:r>
      <w:r>
        <w:rPr>
          <w:highlight w:val="white"/>
        </w:rPr>
        <w:t>Demerouti, E., 2018. Multiple levels in job demands-resources theory: Implications for employee well-being and performance. </w:t>
      </w:r>
      <w:r>
        <w:rPr>
          <w:i/>
          <w:highlight w:val="white"/>
        </w:rPr>
        <w:t>Handbook of well-being</w:t>
      </w:r>
      <w:r>
        <w:rPr>
          <w:highlight w:val="white"/>
        </w:rPr>
        <w:t>.</w:t>
      </w:r>
    </w:p>
    <w:p w14:paraId="234B6A02" w14:textId="77777777" w:rsidR="00756B49" w:rsidRDefault="00E85562">
      <w:pPr>
        <w:spacing w:before="240" w:after="240"/>
        <w:rPr>
          <w:highlight w:val="white"/>
        </w:rPr>
      </w:pPr>
      <w:r>
        <w:rPr>
          <w:highlight w:val="white"/>
        </w:rPr>
        <w:t>Byrne, Z.S., Peters, J.M. and Weston, J.W., 2016. The struggle with employee engagement: Measures and constr</w:t>
      </w:r>
      <w:r>
        <w:rPr>
          <w:highlight w:val="white"/>
        </w:rPr>
        <w:t>uct clarification using five samples. </w:t>
      </w:r>
      <w:r>
        <w:rPr>
          <w:i/>
          <w:highlight w:val="white"/>
        </w:rPr>
        <w:t>Journal of Applied Psychology</w:t>
      </w:r>
      <w:r>
        <w:rPr>
          <w:highlight w:val="white"/>
        </w:rPr>
        <w:t>, </w:t>
      </w:r>
      <w:r>
        <w:rPr>
          <w:i/>
          <w:highlight w:val="white"/>
        </w:rPr>
        <w:t>101</w:t>
      </w:r>
      <w:r>
        <w:rPr>
          <w:highlight w:val="white"/>
        </w:rPr>
        <w:t>(9), pp.1201.</w:t>
      </w:r>
    </w:p>
    <w:p w14:paraId="1F2E959C" w14:textId="77777777" w:rsidR="00756B49" w:rsidRDefault="00E85562">
      <w:pPr>
        <w:spacing w:before="240" w:after="240"/>
        <w:rPr>
          <w:highlight w:val="white"/>
        </w:rPr>
      </w:pPr>
      <w:proofErr w:type="spellStart"/>
      <w:r>
        <w:rPr>
          <w:highlight w:val="white"/>
        </w:rPr>
        <w:t>Carasco</w:t>
      </w:r>
      <w:proofErr w:type="spellEnd"/>
      <w:r>
        <w:rPr>
          <w:highlight w:val="white"/>
        </w:rPr>
        <w:t>-Saul, M., Kim, W. and Kim, T., 2015. Leadership and employee engagement: Proposing research agendas through a review of literature. </w:t>
      </w:r>
      <w:r>
        <w:rPr>
          <w:i/>
          <w:highlight w:val="white"/>
        </w:rPr>
        <w:t xml:space="preserve">Human Resource </w:t>
      </w:r>
      <w:r>
        <w:rPr>
          <w:i/>
          <w:highlight w:val="white"/>
        </w:rPr>
        <w:t>Development Review</w:t>
      </w:r>
      <w:r>
        <w:rPr>
          <w:highlight w:val="white"/>
        </w:rPr>
        <w:t>, </w:t>
      </w:r>
      <w:r>
        <w:rPr>
          <w:i/>
          <w:highlight w:val="white"/>
        </w:rPr>
        <w:t>14</w:t>
      </w:r>
      <w:r>
        <w:rPr>
          <w:highlight w:val="white"/>
        </w:rPr>
        <w:t>(1), pp.38-63.</w:t>
      </w:r>
    </w:p>
    <w:p w14:paraId="592E5511" w14:textId="77777777" w:rsidR="00756B49" w:rsidRDefault="00E85562">
      <w:pPr>
        <w:pBdr>
          <w:top w:val="nil"/>
          <w:left w:val="nil"/>
          <w:bottom w:val="nil"/>
          <w:right w:val="nil"/>
          <w:between w:val="nil"/>
        </w:pBdr>
        <w:spacing w:before="240" w:after="240"/>
      </w:pPr>
      <w:proofErr w:type="spellStart"/>
      <w:r>
        <w:t>EduGorilla</w:t>
      </w:r>
      <w:proofErr w:type="spellEnd"/>
      <w:r>
        <w:t xml:space="preserve"> Prep Experts, 2022. </w:t>
      </w:r>
      <w:r>
        <w:rPr>
          <w:i/>
        </w:rPr>
        <w:t>SBI Clerk Mains Exam 2022 | 1900+ Solved Questions (8 Full-length Mock Tests + 2 Previous Year Papers) Mock Test Paper</w:t>
      </w:r>
      <w:r>
        <w:t xml:space="preserve">. </w:t>
      </w:r>
      <w:proofErr w:type="spellStart"/>
      <w:r>
        <w:t>EduGorilla</w:t>
      </w:r>
      <w:proofErr w:type="spellEnd"/>
      <w:r>
        <w:t xml:space="preserve"> Community </w:t>
      </w:r>
      <w:proofErr w:type="spellStart"/>
      <w:r>
        <w:t>Pvt.</w:t>
      </w:r>
      <w:proofErr w:type="spellEnd"/>
      <w:r>
        <w:t xml:space="preserve"> Ltd, p.135.</w:t>
      </w:r>
    </w:p>
    <w:p w14:paraId="61824D62" w14:textId="77777777" w:rsidR="00756B49" w:rsidRDefault="00E85562">
      <w:pPr>
        <w:pBdr>
          <w:top w:val="nil"/>
          <w:left w:val="nil"/>
          <w:bottom w:val="nil"/>
          <w:right w:val="nil"/>
          <w:between w:val="nil"/>
        </w:pBdr>
        <w:spacing w:before="240" w:after="240"/>
      </w:pPr>
      <w:r>
        <w:t xml:space="preserve">Ganesh </w:t>
      </w:r>
      <w:proofErr w:type="spellStart"/>
      <w:r>
        <w:t>Bhutkar</w:t>
      </w:r>
      <w:proofErr w:type="spellEnd"/>
      <w:r>
        <w:t xml:space="preserve">, Barbara </w:t>
      </w:r>
      <w:proofErr w:type="spellStart"/>
      <w:r>
        <w:t>Barric</w:t>
      </w:r>
      <w:r>
        <w:t>elli</w:t>
      </w:r>
      <w:proofErr w:type="spellEnd"/>
      <w:r>
        <w:t xml:space="preserve">, Qin </w:t>
      </w:r>
      <w:proofErr w:type="spellStart"/>
      <w:r>
        <w:t>Xiangang</w:t>
      </w:r>
      <w:proofErr w:type="spellEnd"/>
      <w:r>
        <w:t xml:space="preserve">, </w:t>
      </w:r>
      <w:proofErr w:type="spellStart"/>
      <w:r>
        <w:t>Torkil</w:t>
      </w:r>
      <w:proofErr w:type="spellEnd"/>
      <w:r>
        <w:t xml:space="preserve"> </w:t>
      </w:r>
      <w:proofErr w:type="spellStart"/>
      <w:r>
        <w:t>Clemmensen</w:t>
      </w:r>
      <w:proofErr w:type="spellEnd"/>
      <w:r>
        <w:t xml:space="preserve">, Frederica Gonçalves, José </w:t>
      </w:r>
      <w:proofErr w:type="spellStart"/>
      <w:r>
        <w:t>Abdelnour</w:t>
      </w:r>
      <w:proofErr w:type="spellEnd"/>
      <w:r>
        <w:t xml:space="preserve">-Nocera, Arminda Lopes, Fei </w:t>
      </w:r>
      <w:proofErr w:type="spellStart"/>
      <w:r>
        <w:t>Lyu</w:t>
      </w:r>
      <w:proofErr w:type="spellEnd"/>
      <w:r>
        <w:t xml:space="preserve">, </w:t>
      </w:r>
      <w:proofErr w:type="spellStart"/>
      <w:r>
        <w:t>Ronggang</w:t>
      </w:r>
      <w:proofErr w:type="spellEnd"/>
      <w:r>
        <w:t xml:space="preserve"> Zhou and Wenjun Hou, 2022. </w:t>
      </w:r>
      <w:r>
        <w:rPr>
          <w:i/>
        </w:rPr>
        <w:t>Human Work Interaction Design. Artificial Intelligence and Designing for a Positive Work Experience in a Low Desi</w:t>
      </w:r>
      <w:r>
        <w:rPr>
          <w:i/>
        </w:rPr>
        <w:t>re Society: 6th IFIP WG 13. 6 Working Conference, HWID 2021, Beijing, China, May 15-16, 2021, Revised Selected Papers Volume 609 of IFIP Advances in Information and Communication Technology Series, ISSN 1868-422X</w:t>
      </w:r>
      <w:r>
        <w:t>. 1st ed. Springer Nature, p.108.</w:t>
      </w:r>
    </w:p>
    <w:p w14:paraId="5EDF8B21" w14:textId="77777777" w:rsidR="00756B49" w:rsidRDefault="00E85562">
      <w:pPr>
        <w:pBdr>
          <w:top w:val="nil"/>
          <w:left w:val="nil"/>
          <w:bottom w:val="nil"/>
          <w:right w:val="nil"/>
          <w:between w:val="nil"/>
        </w:pBdr>
        <w:spacing w:before="240" w:after="240"/>
      </w:pPr>
      <w:r>
        <w:t>Grace Dona</w:t>
      </w:r>
      <w:r>
        <w:t>ldson, 2022. </w:t>
      </w:r>
      <w:r>
        <w:rPr>
          <w:i/>
        </w:rPr>
        <w:t>6 Templates for Each Stage of the Employee Life Cycle for Long-Term Retention | Process Street | Checklist, Workflow and SOP Software</w:t>
      </w:r>
      <w:r>
        <w:t>. [online] Process Street. Available at: &lt;https://www.process.st/employee-life-cycle/&gt; [Accessed 10 October 20</w:t>
      </w:r>
      <w:r>
        <w:t>22].</w:t>
      </w:r>
    </w:p>
    <w:p w14:paraId="40E96BB9" w14:textId="77777777" w:rsidR="00756B49" w:rsidRDefault="00E85562">
      <w:pPr>
        <w:spacing w:before="240" w:after="240"/>
        <w:rPr>
          <w:highlight w:val="white"/>
        </w:rPr>
      </w:pPr>
      <w:r>
        <w:rPr>
          <w:highlight w:val="white"/>
        </w:rPr>
        <w:lastRenderedPageBreak/>
        <w:t>Jung, H.S. and Yoon, H.H., 2018. Improving frontline service employees' innovative behaviour using conflict management in the hospitality industry: The mediating role of engagement. </w:t>
      </w:r>
      <w:r>
        <w:rPr>
          <w:i/>
          <w:highlight w:val="white"/>
        </w:rPr>
        <w:t>Tourism Management</w:t>
      </w:r>
      <w:r>
        <w:rPr>
          <w:highlight w:val="white"/>
        </w:rPr>
        <w:t>, </w:t>
      </w:r>
      <w:r>
        <w:rPr>
          <w:i/>
          <w:highlight w:val="white"/>
        </w:rPr>
        <w:t>69</w:t>
      </w:r>
      <w:r>
        <w:rPr>
          <w:highlight w:val="white"/>
        </w:rPr>
        <w:t>, pp.498-507.</w:t>
      </w:r>
    </w:p>
    <w:p w14:paraId="55D65FEA" w14:textId="77777777" w:rsidR="00756B49" w:rsidRDefault="00E85562">
      <w:pPr>
        <w:pBdr>
          <w:top w:val="nil"/>
          <w:left w:val="nil"/>
          <w:bottom w:val="nil"/>
          <w:right w:val="nil"/>
          <w:between w:val="nil"/>
        </w:pBdr>
        <w:spacing w:before="240" w:after="240"/>
      </w:pPr>
      <w:r>
        <w:t xml:space="preserve">Leong Chan, Liliya </w:t>
      </w:r>
      <w:proofErr w:type="spellStart"/>
      <w:r>
        <w:t>Hogaboam</w:t>
      </w:r>
      <w:proofErr w:type="spellEnd"/>
      <w:r>
        <w:t xml:space="preserve"> and </w:t>
      </w:r>
      <w:proofErr w:type="spellStart"/>
      <w:r>
        <w:t>R</w:t>
      </w:r>
      <w:r>
        <w:t>enzhi</w:t>
      </w:r>
      <w:proofErr w:type="spellEnd"/>
      <w:r>
        <w:t xml:space="preserve"> Cao, 2022. </w:t>
      </w:r>
      <w:r>
        <w:rPr>
          <w:i/>
        </w:rPr>
        <w:t>Applied Artificial Intelligence in Business: Concepts and Cases Applied innovation and technology management, ISSN 2662-9410</w:t>
      </w:r>
      <w:r>
        <w:t>. 1st ed. Springer Nature, p.146.</w:t>
      </w:r>
    </w:p>
    <w:p w14:paraId="1C2A6755" w14:textId="77777777" w:rsidR="00756B49" w:rsidRDefault="00E85562">
      <w:pPr>
        <w:spacing w:before="240" w:after="240"/>
      </w:pPr>
      <w:r>
        <w:rPr>
          <w:highlight w:val="white"/>
        </w:rPr>
        <w:t xml:space="preserve">Memon, M.A., Salleh, R. and </w:t>
      </w:r>
      <w:proofErr w:type="spellStart"/>
      <w:r>
        <w:rPr>
          <w:highlight w:val="white"/>
        </w:rPr>
        <w:t>Baharom</w:t>
      </w:r>
      <w:proofErr w:type="spellEnd"/>
      <w:r>
        <w:rPr>
          <w:highlight w:val="white"/>
        </w:rPr>
        <w:t>, M.N.R., 2016. The link between training sati</w:t>
      </w:r>
      <w:r>
        <w:rPr>
          <w:highlight w:val="white"/>
        </w:rPr>
        <w:t>sfaction, work engagement and turnover intention. </w:t>
      </w:r>
      <w:r>
        <w:rPr>
          <w:i/>
          <w:highlight w:val="white"/>
        </w:rPr>
        <w:t>European Journal of Training and Development</w:t>
      </w:r>
      <w:r>
        <w:rPr>
          <w:highlight w:val="white"/>
        </w:rPr>
        <w:t>.</w:t>
      </w:r>
    </w:p>
    <w:p w14:paraId="21CADAC2" w14:textId="77777777" w:rsidR="00756B49" w:rsidRDefault="00E85562">
      <w:pPr>
        <w:spacing w:before="240" w:after="240"/>
        <w:rPr>
          <w:highlight w:val="white"/>
        </w:rPr>
      </w:pPr>
      <w:proofErr w:type="spellStart"/>
      <w:r>
        <w:rPr>
          <w:highlight w:val="white"/>
        </w:rPr>
        <w:t>Osam</w:t>
      </w:r>
      <w:proofErr w:type="spellEnd"/>
      <w:r>
        <w:rPr>
          <w:highlight w:val="white"/>
        </w:rPr>
        <w:t xml:space="preserve">, K., Shuck, B., </w:t>
      </w:r>
      <w:proofErr w:type="spellStart"/>
      <w:r>
        <w:rPr>
          <w:highlight w:val="white"/>
        </w:rPr>
        <w:t>Zigarmi</w:t>
      </w:r>
      <w:proofErr w:type="spellEnd"/>
      <w:r>
        <w:rPr>
          <w:highlight w:val="white"/>
        </w:rPr>
        <w:t xml:space="preserve">, D. and </w:t>
      </w:r>
      <w:proofErr w:type="spellStart"/>
      <w:r>
        <w:rPr>
          <w:highlight w:val="white"/>
        </w:rPr>
        <w:t>Nimon</w:t>
      </w:r>
      <w:proofErr w:type="spellEnd"/>
      <w:r>
        <w:rPr>
          <w:highlight w:val="white"/>
        </w:rPr>
        <w:t>, K., 2017. Definitional and conceptual muddling: Identifying the positionality of employee engagement and defining th</w:t>
      </w:r>
      <w:r>
        <w:rPr>
          <w:highlight w:val="white"/>
        </w:rPr>
        <w:t>e construct. </w:t>
      </w:r>
      <w:r>
        <w:rPr>
          <w:i/>
          <w:highlight w:val="white"/>
        </w:rPr>
        <w:t>Human Resource Development Review</w:t>
      </w:r>
      <w:r>
        <w:rPr>
          <w:highlight w:val="white"/>
        </w:rPr>
        <w:t>, </w:t>
      </w:r>
      <w:r>
        <w:rPr>
          <w:i/>
          <w:highlight w:val="white"/>
        </w:rPr>
        <w:t>16</w:t>
      </w:r>
      <w:r>
        <w:rPr>
          <w:highlight w:val="white"/>
        </w:rPr>
        <w:t>(3), pp.263-293.</w:t>
      </w:r>
    </w:p>
    <w:p w14:paraId="7E3704C3" w14:textId="77777777" w:rsidR="00756B49" w:rsidRDefault="00E85562">
      <w:pPr>
        <w:pBdr>
          <w:top w:val="nil"/>
          <w:left w:val="nil"/>
          <w:bottom w:val="nil"/>
          <w:right w:val="nil"/>
          <w:between w:val="nil"/>
        </w:pBdr>
        <w:spacing w:before="240" w:after="240"/>
      </w:pPr>
      <w:r>
        <w:t xml:space="preserve">Rahul </w:t>
      </w:r>
      <w:proofErr w:type="spellStart"/>
      <w:r>
        <w:t>Ghatak</w:t>
      </w:r>
      <w:proofErr w:type="spellEnd"/>
      <w:r>
        <w:t>, 2022. </w:t>
      </w:r>
      <w:r>
        <w:rPr>
          <w:i/>
        </w:rPr>
        <w:t>People Analytics: Data to Decisions Management for Professionals</w:t>
      </w:r>
      <w:r>
        <w:t>. 1st ed. Springer Nature, p.122.</w:t>
      </w:r>
    </w:p>
    <w:p w14:paraId="1FBEA733" w14:textId="77777777" w:rsidR="00756B49" w:rsidRDefault="00E85562">
      <w:pPr>
        <w:spacing w:before="240" w:after="240"/>
        <w:rPr>
          <w:highlight w:val="white"/>
        </w:rPr>
      </w:pPr>
      <w:r>
        <w:rPr>
          <w:highlight w:val="white"/>
        </w:rPr>
        <w:t>Rana, S., 2015. High-involvement work practices and employee engagement</w:t>
      </w:r>
      <w:r>
        <w:rPr>
          <w:highlight w:val="white"/>
        </w:rPr>
        <w:t>. </w:t>
      </w:r>
      <w:r>
        <w:rPr>
          <w:i/>
          <w:highlight w:val="white"/>
        </w:rPr>
        <w:t>Human Resource Development International</w:t>
      </w:r>
      <w:r>
        <w:rPr>
          <w:highlight w:val="white"/>
        </w:rPr>
        <w:t>, </w:t>
      </w:r>
      <w:r>
        <w:rPr>
          <w:i/>
          <w:highlight w:val="white"/>
        </w:rPr>
        <w:t>18</w:t>
      </w:r>
      <w:r>
        <w:rPr>
          <w:highlight w:val="white"/>
        </w:rPr>
        <w:t>(3), pp.308-316.</w:t>
      </w:r>
    </w:p>
    <w:p w14:paraId="70211AD4" w14:textId="77777777" w:rsidR="00756B49" w:rsidRDefault="00E85562">
      <w:pPr>
        <w:spacing w:before="240" w:after="240"/>
        <w:rPr>
          <w:highlight w:val="white"/>
        </w:rPr>
      </w:pPr>
      <w:proofErr w:type="spellStart"/>
      <w:r>
        <w:rPr>
          <w:highlight w:val="white"/>
        </w:rPr>
        <w:t>Sarti</w:t>
      </w:r>
      <w:proofErr w:type="spellEnd"/>
      <w:r>
        <w:rPr>
          <w:highlight w:val="white"/>
        </w:rPr>
        <w:t>, D., 2014. Job resources as antecedents of engagement at work: Evidence from a long‐term care setting. </w:t>
      </w:r>
      <w:r>
        <w:rPr>
          <w:i/>
          <w:highlight w:val="white"/>
        </w:rPr>
        <w:t>Human Resource Development Quarterly</w:t>
      </w:r>
      <w:r>
        <w:rPr>
          <w:highlight w:val="white"/>
        </w:rPr>
        <w:t>, </w:t>
      </w:r>
      <w:r>
        <w:rPr>
          <w:i/>
          <w:highlight w:val="white"/>
        </w:rPr>
        <w:t>25</w:t>
      </w:r>
      <w:r>
        <w:rPr>
          <w:highlight w:val="white"/>
        </w:rPr>
        <w:t>(2), pp.213-237.</w:t>
      </w:r>
    </w:p>
    <w:p w14:paraId="410F25E9" w14:textId="77777777" w:rsidR="00756B49" w:rsidRDefault="00E85562">
      <w:pPr>
        <w:pBdr>
          <w:top w:val="nil"/>
          <w:left w:val="nil"/>
          <w:bottom w:val="nil"/>
          <w:right w:val="nil"/>
          <w:between w:val="nil"/>
        </w:pBdr>
        <w:spacing w:before="240" w:after="240"/>
      </w:pPr>
      <w:r>
        <w:t xml:space="preserve">Shraddha </w:t>
      </w:r>
      <w:proofErr w:type="spellStart"/>
      <w:r>
        <w:t>Kakade</w:t>
      </w:r>
      <w:proofErr w:type="spellEnd"/>
      <w:r>
        <w:t>, 2022. </w:t>
      </w:r>
      <w:r>
        <w:rPr>
          <w:i/>
        </w:rPr>
        <w:t>What</w:t>
      </w:r>
      <w:r>
        <w:rPr>
          <w:i/>
        </w:rPr>
        <w:t xml:space="preserve"> is an Employee Life Cycle? - Definition from WhatIs.com</w:t>
      </w:r>
      <w:r>
        <w:t xml:space="preserve">. [online] </w:t>
      </w:r>
      <w:proofErr w:type="spellStart"/>
      <w:r>
        <w:t>SearchHRSoftware</w:t>
      </w:r>
      <w:proofErr w:type="spellEnd"/>
      <w:r>
        <w:t>. Available at: &lt;https://www.techtarget.com/searchhrsoftware/definition/employee-life-cycle&gt; [Accessed 10 October 2022].</w:t>
      </w:r>
    </w:p>
    <w:p w14:paraId="7D2E2EE3" w14:textId="77777777" w:rsidR="00756B49" w:rsidRDefault="00E85562">
      <w:pPr>
        <w:spacing w:before="240" w:after="240"/>
        <w:rPr>
          <w:highlight w:val="white"/>
        </w:rPr>
      </w:pPr>
      <w:r>
        <w:rPr>
          <w:highlight w:val="white"/>
        </w:rPr>
        <w:t xml:space="preserve">Shuck, B. and Herd, A.M., 2012. Employee engagement </w:t>
      </w:r>
      <w:r>
        <w:rPr>
          <w:highlight w:val="white"/>
        </w:rPr>
        <w:t>and leadership: Exploring the convergence of two frameworks and implications for leadership development in HRD. </w:t>
      </w:r>
      <w:r>
        <w:rPr>
          <w:i/>
          <w:highlight w:val="white"/>
        </w:rPr>
        <w:t>Human resource development review</w:t>
      </w:r>
      <w:r>
        <w:rPr>
          <w:highlight w:val="white"/>
        </w:rPr>
        <w:t>, </w:t>
      </w:r>
      <w:r>
        <w:rPr>
          <w:i/>
          <w:highlight w:val="white"/>
        </w:rPr>
        <w:t>11</w:t>
      </w:r>
      <w:r>
        <w:rPr>
          <w:highlight w:val="white"/>
        </w:rPr>
        <w:t>(2), pp.156-181.</w:t>
      </w:r>
    </w:p>
    <w:p w14:paraId="6FC9B319" w14:textId="77777777" w:rsidR="00756B49" w:rsidRDefault="00E85562">
      <w:pPr>
        <w:spacing w:before="240" w:after="240"/>
        <w:rPr>
          <w:highlight w:val="white"/>
        </w:rPr>
      </w:pPr>
      <w:r>
        <w:rPr>
          <w:highlight w:val="white"/>
        </w:rPr>
        <w:t xml:space="preserve">Soane, E., Truss, C., </w:t>
      </w:r>
      <w:proofErr w:type="spellStart"/>
      <w:r>
        <w:rPr>
          <w:highlight w:val="white"/>
        </w:rPr>
        <w:t>Alfes</w:t>
      </w:r>
      <w:proofErr w:type="spellEnd"/>
      <w:r>
        <w:rPr>
          <w:highlight w:val="white"/>
        </w:rPr>
        <w:t xml:space="preserve">, K., Shantz, A., Rees, C. and </w:t>
      </w:r>
      <w:proofErr w:type="spellStart"/>
      <w:r>
        <w:rPr>
          <w:highlight w:val="white"/>
        </w:rPr>
        <w:t>Gatenby</w:t>
      </w:r>
      <w:proofErr w:type="spellEnd"/>
      <w:r>
        <w:rPr>
          <w:highlight w:val="white"/>
        </w:rPr>
        <w:t>, M., 2012. Development a</w:t>
      </w:r>
      <w:r>
        <w:rPr>
          <w:highlight w:val="white"/>
        </w:rPr>
        <w:t>nd application of a new measure of employee engagement: the ISA Engagement Scale. </w:t>
      </w:r>
      <w:r>
        <w:rPr>
          <w:i/>
          <w:highlight w:val="white"/>
        </w:rPr>
        <w:t>Human resource development international</w:t>
      </w:r>
      <w:r>
        <w:rPr>
          <w:highlight w:val="white"/>
        </w:rPr>
        <w:t>, </w:t>
      </w:r>
      <w:r>
        <w:rPr>
          <w:i/>
          <w:highlight w:val="white"/>
        </w:rPr>
        <w:t>15</w:t>
      </w:r>
      <w:r>
        <w:rPr>
          <w:highlight w:val="white"/>
        </w:rPr>
        <w:t>(5), pp.529-547.</w:t>
      </w:r>
    </w:p>
    <w:p w14:paraId="27E8B102" w14:textId="77777777" w:rsidR="00756B49" w:rsidRDefault="00E85562">
      <w:pPr>
        <w:pBdr>
          <w:top w:val="nil"/>
          <w:left w:val="nil"/>
          <w:bottom w:val="nil"/>
          <w:right w:val="nil"/>
          <w:between w:val="nil"/>
        </w:pBdr>
        <w:spacing w:before="240" w:after="240"/>
      </w:pPr>
      <w:proofErr w:type="spellStart"/>
      <w:r>
        <w:lastRenderedPageBreak/>
        <w:t>Sprigg</w:t>
      </w:r>
      <w:proofErr w:type="spellEnd"/>
      <w:r>
        <w:t xml:space="preserve"> HR, 2022. </w:t>
      </w:r>
      <w:r>
        <w:rPr>
          <w:i/>
        </w:rPr>
        <w:t xml:space="preserve">The 6 Stages of the Employee Life Cycle • </w:t>
      </w:r>
      <w:proofErr w:type="spellStart"/>
      <w:r>
        <w:rPr>
          <w:i/>
        </w:rPr>
        <w:t>SpriggHR</w:t>
      </w:r>
      <w:proofErr w:type="spellEnd"/>
      <w:r>
        <w:t xml:space="preserve">. [online] </w:t>
      </w:r>
      <w:proofErr w:type="spellStart"/>
      <w:r>
        <w:t>SpriggHR</w:t>
      </w:r>
      <w:proofErr w:type="spellEnd"/>
      <w:r>
        <w:t>. Available at: &lt;https://sp</w:t>
      </w:r>
      <w:r>
        <w:t>rigghr.com/blog/360-degree-continuous-feedback/the-6-stages-of-the-employee-life-cycle/&gt; [Accessed 10 October 2022].</w:t>
      </w:r>
    </w:p>
    <w:p w14:paraId="24DB54FF" w14:textId="77777777" w:rsidR="00756B49" w:rsidRDefault="00E85562">
      <w:pPr>
        <w:spacing w:before="240" w:after="240"/>
        <w:rPr>
          <w:highlight w:val="white"/>
        </w:rPr>
      </w:pPr>
      <w:proofErr w:type="spellStart"/>
      <w:r>
        <w:rPr>
          <w:highlight w:val="white"/>
        </w:rPr>
        <w:t>Zigarmi</w:t>
      </w:r>
      <w:proofErr w:type="spellEnd"/>
      <w:r>
        <w:rPr>
          <w:highlight w:val="white"/>
        </w:rPr>
        <w:t>, D., Shuck, B., and Owen, J., 2015. Psychological needs, engagement, and work intentions: A Bayesian multi-measurement mediation ap</w:t>
      </w:r>
      <w:r>
        <w:rPr>
          <w:highlight w:val="white"/>
        </w:rPr>
        <w:t>proach and implications for HRD. </w:t>
      </w:r>
      <w:r>
        <w:rPr>
          <w:i/>
          <w:highlight w:val="white"/>
        </w:rPr>
        <w:t>European Journal of Training and Development</w:t>
      </w:r>
      <w:r>
        <w:rPr>
          <w:highlight w:val="white"/>
        </w:rPr>
        <w:t>.</w:t>
      </w:r>
    </w:p>
    <w:p w14:paraId="0D58881E" w14:textId="77777777" w:rsidR="00756B49" w:rsidRDefault="00756B49">
      <w:pPr>
        <w:pBdr>
          <w:top w:val="nil"/>
          <w:left w:val="nil"/>
          <w:bottom w:val="nil"/>
          <w:right w:val="nil"/>
          <w:between w:val="nil"/>
        </w:pBdr>
        <w:spacing w:after="240"/>
        <w:ind w:left="720"/>
        <w:rPr>
          <w:color w:val="000000"/>
        </w:rPr>
      </w:pPr>
    </w:p>
    <w:sectPr w:rsidR="00756B49">
      <w:footerReference w:type="default" r:id="rId8"/>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BDE240" w14:textId="77777777" w:rsidR="003961DD" w:rsidRDefault="003961DD">
      <w:pPr>
        <w:spacing w:after="0" w:line="240" w:lineRule="auto"/>
      </w:pPr>
      <w:r>
        <w:separator/>
      </w:r>
    </w:p>
  </w:endnote>
  <w:endnote w:type="continuationSeparator" w:id="0">
    <w:p w14:paraId="0E1D9BEC" w14:textId="77777777" w:rsidR="003961DD" w:rsidRDefault="003961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9384C4" w14:textId="77777777" w:rsidR="00756B49" w:rsidRDefault="00E85562">
    <w:pPr>
      <w:pBdr>
        <w:top w:val="single" w:sz="4" w:space="1" w:color="D9D9D9"/>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621312">
      <w:rPr>
        <w:noProof/>
        <w:color w:val="000000"/>
      </w:rPr>
      <w:t>1</w:t>
    </w:r>
    <w:r>
      <w:rPr>
        <w:color w:val="000000"/>
      </w:rPr>
      <w:fldChar w:fldCharType="end"/>
    </w:r>
    <w:r>
      <w:rPr>
        <w:color w:val="000000"/>
      </w:rPr>
      <w:t xml:space="preserve"> | </w:t>
    </w:r>
    <w:r>
      <w:rPr>
        <w:color w:val="7F7F7F"/>
      </w:rPr>
      <w:t>Page</w:t>
    </w:r>
  </w:p>
  <w:p w14:paraId="4359459E" w14:textId="77777777" w:rsidR="00756B49" w:rsidRDefault="00756B49">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009FB4" w14:textId="77777777" w:rsidR="003961DD" w:rsidRDefault="003961DD">
      <w:pPr>
        <w:spacing w:after="0" w:line="240" w:lineRule="auto"/>
      </w:pPr>
      <w:r>
        <w:separator/>
      </w:r>
    </w:p>
  </w:footnote>
  <w:footnote w:type="continuationSeparator" w:id="0">
    <w:p w14:paraId="6F49FA72" w14:textId="77777777" w:rsidR="003961DD" w:rsidRDefault="003961D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6B49"/>
    <w:rsid w:val="003961DD"/>
    <w:rsid w:val="00621312"/>
    <w:rsid w:val="00756B49"/>
    <w:rsid w:val="00E855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81C2EA"/>
  <w15:docId w15:val="{E229CABF-095D-4849-B5CE-8D2008F04F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7284"/>
  </w:style>
  <w:style w:type="paragraph" w:styleId="Heading1">
    <w:name w:val="heading 1"/>
    <w:basedOn w:val="Normal"/>
    <w:next w:val="Normal"/>
    <w:link w:val="Heading1Char"/>
    <w:uiPriority w:val="9"/>
    <w:qFormat/>
    <w:rsid w:val="00A37284"/>
    <w:pPr>
      <w:keepNext/>
      <w:keepLines/>
      <w:spacing w:before="240" w:after="0"/>
      <w:outlineLvl w:val="0"/>
    </w:pPr>
    <w:rPr>
      <w:rFonts w:eastAsiaTheme="majorEastAsia" w:cstheme="majorBidi"/>
      <w:b/>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E7428A"/>
    <w:pPr>
      <w:keepNext/>
      <w:keepLines/>
      <w:spacing w:before="40"/>
      <w:jc w:val="left"/>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F2374E"/>
    <w:pPr>
      <w:keepNext/>
      <w:keepLines/>
      <w:spacing w:before="40" w:after="0"/>
      <w:outlineLvl w:val="2"/>
    </w:pPr>
    <w:rPr>
      <w:rFonts w:eastAsia="Calibri" w:cs="Arial"/>
      <w:b/>
      <w:color w:val="FF6699"/>
      <w:sz w:val="26"/>
      <w:szCs w:val="20"/>
      <w:u w:val="single"/>
    </w:rPr>
  </w:style>
  <w:style w:type="paragraph" w:styleId="Heading4">
    <w:name w:val="heading 4"/>
    <w:basedOn w:val="Normal"/>
    <w:next w:val="Normal"/>
    <w:link w:val="Heading4Char"/>
    <w:uiPriority w:val="9"/>
    <w:semiHidden/>
    <w:unhideWhenUsed/>
    <w:qFormat/>
    <w:rsid w:val="004D4534"/>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A37284"/>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E7428A"/>
    <w:rPr>
      <w:rFonts w:ascii="Times New Roman" w:eastAsiaTheme="majorEastAsia" w:hAnsi="Times New Roman" w:cstheme="majorBidi"/>
      <w:color w:val="2F5496" w:themeColor="accent1" w:themeShade="BF"/>
      <w:sz w:val="28"/>
      <w:szCs w:val="26"/>
      <w:lang w:eastAsia="en-GB"/>
    </w:rPr>
  </w:style>
  <w:style w:type="character" w:customStyle="1" w:styleId="Heading3Char">
    <w:name w:val="Heading 3 Char"/>
    <w:basedOn w:val="DefaultParagraphFont"/>
    <w:link w:val="Heading3"/>
    <w:uiPriority w:val="9"/>
    <w:rsid w:val="00F2374E"/>
    <w:rPr>
      <w:rFonts w:ascii="Times New Roman" w:eastAsia="Calibri" w:hAnsi="Times New Roman" w:cs="Arial"/>
      <w:b/>
      <w:color w:val="FF6699"/>
      <w:sz w:val="26"/>
      <w:szCs w:val="20"/>
      <w:u w:val="single"/>
      <w:lang w:val="en-GB" w:eastAsia="en-GB"/>
    </w:rPr>
  </w:style>
  <w:style w:type="paragraph" w:styleId="ListParagraph">
    <w:name w:val="List Paragraph"/>
    <w:basedOn w:val="Normal"/>
    <w:qFormat/>
    <w:rsid w:val="00141775"/>
    <w:pPr>
      <w:spacing w:after="0"/>
      <w:contextualSpacing/>
    </w:pPr>
    <w:rPr>
      <w:rFonts w:eastAsia="Calibri"/>
    </w:rPr>
  </w:style>
  <w:style w:type="paragraph" w:styleId="NoSpacing">
    <w:name w:val="No Spacing"/>
    <w:uiPriority w:val="1"/>
    <w:qFormat/>
    <w:rsid w:val="001D1D7D"/>
    <w:pPr>
      <w:spacing w:after="0"/>
    </w:pPr>
    <w:rPr>
      <w:rFonts w:eastAsia="Arial" w:cs="Arial"/>
      <w:color w:val="000000" w:themeColor="text1"/>
    </w:rPr>
  </w:style>
  <w:style w:type="paragraph" w:styleId="NormalWeb">
    <w:name w:val="Normal (Web)"/>
    <w:basedOn w:val="Normal"/>
    <w:uiPriority w:val="99"/>
    <w:unhideWhenUsed/>
    <w:rsid w:val="005C0C15"/>
    <w:pPr>
      <w:spacing w:before="100" w:beforeAutospacing="1" w:after="100" w:afterAutospacing="1" w:line="240" w:lineRule="auto"/>
      <w:jc w:val="left"/>
    </w:pPr>
    <w:rPr>
      <w:lang w:val="en-US"/>
    </w:rPr>
  </w:style>
  <w:style w:type="character" w:styleId="Hyperlink">
    <w:name w:val="Hyperlink"/>
    <w:basedOn w:val="DefaultParagraphFont"/>
    <w:uiPriority w:val="99"/>
    <w:semiHidden/>
    <w:unhideWhenUsed/>
    <w:rsid w:val="005C0C15"/>
    <w:rPr>
      <w:color w:val="0000FF"/>
      <w:u w:val="single"/>
    </w:rPr>
  </w:style>
  <w:style w:type="character" w:customStyle="1" w:styleId="Heading4Char">
    <w:name w:val="Heading 4 Char"/>
    <w:basedOn w:val="DefaultParagraphFont"/>
    <w:link w:val="Heading4"/>
    <w:uiPriority w:val="9"/>
    <w:rsid w:val="004D4534"/>
    <w:rPr>
      <w:rFonts w:asciiTheme="majorHAnsi" w:eastAsiaTheme="majorEastAsia" w:hAnsiTheme="majorHAnsi" w:cstheme="majorBidi"/>
      <w:i/>
      <w:iCs/>
      <w:color w:val="2F5496" w:themeColor="accent1" w:themeShade="BF"/>
      <w:sz w:val="24"/>
      <w:lang w:val="en-GB"/>
    </w:rPr>
  </w:style>
  <w:style w:type="character" w:styleId="Strong">
    <w:name w:val="Strong"/>
    <w:basedOn w:val="DefaultParagraphFont"/>
    <w:uiPriority w:val="22"/>
    <w:qFormat/>
    <w:rsid w:val="00D93CCE"/>
    <w:rPr>
      <w:b/>
      <w:bCs/>
    </w:rPr>
  </w:style>
  <w:style w:type="paragraph" w:styleId="Header">
    <w:name w:val="header"/>
    <w:basedOn w:val="Normal"/>
    <w:link w:val="HeaderChar"/>
    <w:uiPriority w:val="99"/>
    <w:unhideWhenUsed/>
    <w:rsid w:val="000D184F"/>
    <w:pPr>
      <w:tabs>
        <w:tab w:val="center" w:pos="4680"/>
        <w:tab w:val="right" w:pos="9360"/>
      </w:tabs>
      <w:spacing w:after="0" w:line="240" w:lineRule="auto"/>
    </w:pPr>
  </w:style>
  <w:style w:type="character" w:customStyle="1" w:styleId="HeaderChar">
    <w:name w:val="Header Char"/>
    <w:basedOn w:val="DefaultParagraphFont"/>
    <w:link w:val="Header"/>
    <w:uiPriority w:val="99"/>
    <w:rsid w:val="000D184F"/>
    <w:rPr>
      <w:rFonts w:ascii="Times New Roman" w:hAnsi="Times New Roman"/>
      <w:sz w:val="24"/>
      <w:lang w:val="en-GB"/>
    </w:rPr>
  </w:style>
  <w:style w:type="paragraph" w:styleId="Footer">
    <w:name w:val="footer"/>
    <w:basedOn w:val="Normal"/>
    <w:link w:val="FooterChar"/>
    <w:uiPriority w:val="99"/>
    <w:unhideWhenUsed/>
    <w:rsid w:val="000D184F"/>
    <w:pPr>
      <w:tabs>
        <w:tab w:val="center" w:pos="4680"/>
        <w:tab w:val="right" w:pos="9360"/>
      </w:tabs>
      <w:spacing w:after="0" w:line="240" w:lineRule="auto"/>
    </w:pPr>
  </w:style>
  <w:style w:type="character" w:customStyle="1" w:styleId="FooterChar">
    <w:name w:val="Footer Char"/>
    <w:basedOn w:val="DefaultParagraphFont"/>
    <w:link w:val="Footer"/>
    <w:uiPriority w:val="99"/>
    <w:rsid w:val="000D184F"/>
    <w:rPr>
      <w:rFonts w:ascii="Times New Roman" w:hAnsi="Times New Roman"/>
      <w:sz w:val="24"/>
      <w:lang w:val="en-GB"/>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JYk2lZp9SDh040jRNZ/2Obx5Mkw==">AMUW2mU3Cfuzdepz1s9vMVUBqUX6IFq7iCfRjGa+MOJcLTvg6zPkP4uhKZwEfRkx3AMrbo/RSSh+zMKOsKY4PM/f8xFLzuQ+ErZaaw1KRX60MD505BsLI/Y=</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2572</Words>
  <Characters>14666</Characters>
  <Application>Microsoft Office Word</Application>
  <DocSecurity>0</DocSecurity>
  <Lines>122</Lines>
  <Paragraphs>34</Paragraphs>
  <ScaleCrop>false</ScaleCrop>
  <Company/>
  <LinksUpToDate>false</LinksUpToDate>
  <CharactersWithSpaces>17204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syeda begum</cp:lastModifiedBy>
  <cp:revision>2</cp:revision>
  <dcterms:created xsi:type="dcterms:W3CDTF">2022-10-25T21:31:00Z</dcterms:created>
  <dcterms:modified xsi:type="dcterms:W3CDTF">2022-10-25T21:31:00Z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28d196234a5b3659ca43359b8020e49165fcea161f865d9030411d5d3bc15ddb</vt:lpwstr>
  </property>
</Properties>
</file>