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A4E759" w14:textId="3E62D8E2" w:rsidR="00C90CD6" w:rsidRDefault="00E04696" w:rsidP="00E04696">
      <w:pPr>
        <w:pStyle w:val="IntenseQuote"/>
      </w:pPr>
      <w:r>
        <w:t>Consider how useful Childe’s criteria for the emergence of towns and/or states are for interpreting the emergence of social complexity in the East Mediterranean in the Bronze Age. Answer with reference to a case study of your choice from the Near East.</w:t>
      </w:r>
    </w:p>
    <w:p w14:paraId="71273B1A" w14:textId="2A7D5937" w:rsidR="00E04696" w:rsidRPr="005C766F" w:rsidRDefault="00171E1B" w:rsidP="001D1E28">
      <w:pPr>
        <w:jc w:val="both"/>
        <w:rPr>
          <w:sz w:val="24"/>
          <w:szCs w:val="24"/>
        </w:rPr>
      </w:pPr>
      <w:r w:rsidRPr="005C766F">
        <w:rPr>
          <w:sz w:val="24"/>
          <w:szCs w:val="24"/>
        </w:rPr>
        <w:t>C</w:t>
      </w:r>
      <w:r w:rsidR="005D4500">
        <w:rPr>
          <w:sz w:val="24"/>
          <w:szCs w:val="24"/>
        </w:rPr>
        <w:t>omplex c</w:t>
      </w:r>
      <w:r w:rsidRPr="005C766F">
        <w:rPr>
          <w:sz w:val="24"/>
          <w:szCs w:val="24"/>
        </w:rPr>
        <w:t>ivilisation</w:t>
      </w:r>
      <w:r w:rsidR="005D4500">
        <w:rPr>
          <w:sz w:val="24"/>
          <w:szCs w:val="24"/>
        </w:rPr>
        <w:t>s and cities</w:t>
      </w:r>
      <w:r w:rsidRPr="005C766F">
        <w:rPr>
          <w:sz w:val="24"/>
          <w:szCs w:val="24"/>
        </w:rPr>
        <w:t>, as</w:t>
      </w:r>
      <w:r w:rsidR="005D4500">
        <w:rPr>
          <w:sz w:val="24"/>
          <w:szCs w:val="24"/>
        </w:rPr>
        <w:t xml:space="preserve"> </w:t>
      </w:r>
      <w:r w:rsidRPr="005C766F">
        <w:rPr>
          <w:sz w:val="24"/>
          <w:szCs w:val="24"/>
        </w:rPr>
        <w:t>concept</w:t>
      </w:r>
      <w:r w:rsidR="005D4500">
        <w:rPr>
          <w:sz w:val="24"/>
          <w:szCs w:val="24"/>
        </w:rPr>
        <w:t>s</w:t>
      </w:r>
      <w:r w:rsidRPr="005C766F">
        <w:rPr>
          <w:sz w:val="24"/>
          <w:szCs w:val="24"/>
        </w:rPr>
        <w:t xml:space="preserve">, </w:t>
      </w:r>
      <w:r w:rsidR="005D4500">
        <w:rPr>
          <w:sz w:val="24"/>
          <w:szCs w:val="24"/>
        </w:rPr>
        <w:t>are</w:t>
      </w:r>
      <w:r w:rsidRPr="005C766F">
        <w:rPr>
          <w:sz w:val="24"/>
          <w:szCs w:val="24"/>
        </w:rPr>
        <w:t xml:space="preserve"> notoriously difficult to define. The main issues surrounding this </w:t>
      </w:r>
      <w:r w:rsidR="005D4500">
        <w:rPr>
          <w:sz w:val="24"/>
          <w:szCs w:val="24"/>
        </w:rPr>
        <w:t>is</w:t>
      </w:r>
      <w:r w:rsidRPr="005C766F">
        <w:rPr>
          <w:sz w:val="24"/>
          <w:szCs w:val="24"/>
        </w:rPr>
        <w:t xml:space="preserve"> where does one draw the line between a </w:t>
      </w:r>
      <w:r w:rsidR="005D4500">
        <w:rPr>
          <w:sz w:val="24"/>
          <w:szCs w:val="24"/>
        </w:rPr>
        <w:t>chiefdom</w:t>
      </w:r>
      <w:r w:rsidR="00DB6DC5">
        <w:rPr>
          <w:sz w:val="24"/>
          <w:szCs w:val="24"/>
        </w:rPr>
        <w:t>’s</w:t>
      </w:r>
      <w:r w:rsidR="005D4500">
        <w:rPr>
          <w:sz w:val="24"/>
          <w:szCs w:val="24"/>
        </w:rPr>
        <w:t xml:space="preserve"> village</w:t>
      </w:r>
      <w:r w:rsidRPr="005C766F">
        <w:rPr>
          <w:sz w:val="24"/>
          <w:szCs w:val="24"/>
        </w:rPr>
        <w:t xml:space="preserve"> and a fledgling city</w:t>
      </w:r>
      <w:r w:rsidR="006501B0" w:rsidRPr="005C766F">
        <w:rPr>
          <w:sz w:val="24"/>
          <w:szCs w:val="24"/>
        </w:rPr>
        <w:t>; when are groups deemed ‘socially complex’ and what is an ‘advanced material culture’. Gordon Childe established a set of ten bullet points which he used to define social complexity in ancient civilisations, and these criteria still have their use today.</w:t>
      </w:r>
    </w:p>
    <w:p w14:paraId="7A2B09C3" w14:textId="7642C4A1" w:rsidR="006501B0" w:rsidRDefault="001D1E28" w:rsidP="001D1E28">
      <w:pPr>
        <w:jc w:val="both"/>
        <w:rPr>
          <w:sz w:val="24"/>
          <w:szCs w:val="24"/>
        </w:rPr>
      </w:pPr>
      <w:r w:rsidRPr="005C766F">
        <w:rPr>
          <w:sz w:val="24"/>
          <w:szCs w:val="24"/>
        </w:rPr>
        <w:t xml:space="preserve">To first discuss their utility, the criteria that Childe established need to be briefly summarised. The ten points he proposed are: The size of the first cities must have been more extensive and have a higher population than previous settlements, cities must accommodate classes who did not produce food for themselves, taxes were brought in from produce made by farmers and workers, large public works need to be undertaken, those not producing food would be dependent on the taxed surplus with the higher echelons taking the higher proportion, some sort of writing script is developed to enable records, basic sciences start to be explored with the use of writing, new forms of art are developed, trade occurs with items accumulated from the surplus used for exchange and finally craftsmen had their trades guaranteed by the state or organisation in charge. </w:t>
      </w:r>
      <w:sdt>
        <w:sdtPr>
          <w:rPr>
            <w:sz w:val="24"/>
            <w:szCs w:val="24"/>
          </w:rPr>
          <w:id w:val="-746567152"/>
          <w:citation/>
        </w:sdtPr>
        <w:sdtContent>
          <w:r w:rsidRPr="005C766F">
            <w:rPr>
              <w:sz w:val="24"/>
              <w:szCs w:val="24"/>
            </w:rPr>
            <w:fldChar w:fldCharType="begin"/>
          </w:r>
          <w:r w:rsidRPr="005C766F">
            <w:rPr>
              <w:sz w:val="24"/>
              <w:szCs w:val="24"/>
            </w:rPr>
            <w:instrText xml:space="preserve">CITATION VGo50 \p 9-16 \l 2057 </w:instrText>
          </w:r>
          <w:r w:rsidRPr="005C766F">
            <w:rPr>
              <w:sz w:val="24"/>
              <w:szCs w:val="24"/>
            </w:rPr>
            <w:fldChar w:fldCharType="separate"/>
          </w:r>
          <w:r w:rsidR="009C2AB9" w:rsidRPr="009C2AB9">
            <w:rPr>
              <w:noProof/>
              <w:sz w:val="24"/>
              <w:szCs w:val="24"/>
            </w:rPr>
            <w:t>(Childe, 1950, pp. 9-16)</w:t>
          </w:r>
          <w:r w:rsidRPr="005C766F">
            <w:rPr>
              <w:sz w:val="24"/>
              <w:szCs w:val="24"/>
            </w:rPr>
            <w:fldChar w:fldCharType="end"/>
          </w:r>
        </w:sdtContent>
      </w:sdt>
      <w:r w:rsidRPr="005C766F">
        <w:rPr>
          <w:sz w:val="24"/>
          <w:szCs w:val="24"/>
        </w:rPr>
        <w:t xml:space="preserve">. </w:t>
      </w:r>
      <w:r w:rsidR="005C766F">
        <w:rPr>
          <w:sz w:val="24"/>
          <w:szCs w:val="24"/>
        </w:rPr>
        <w:t xml:space="preserve">This set of criteria appears very exhaustive and thorough in its identification of aspects of archaeological sites that show ‘complex society’. However, when </w:t>
      </w:r>
      <w:r w:rsidR="00412138">
        <w:rPr>
          <w:sz w:val="24"/>
          <w:szCs w:val="24"/>
        </w:rPr>
        <w:t xml:space="preserve">the criteria are examined more closely and individually, some are less useful or applicable than others. </w:t>
      </w:r>
    </w:p>
    <w:p w14:paraId="5CEB2BCE" w14:textId="1081D781" w:rsidR="009C2AB9" w:rsidRDefault="00A63A77" w:rsidP="001D1E28">
      <w:pPr>
        <w:jc w:val="both"/>
        <w:rPr>
          <w:sz w:val="24"/>
          <w:szCs w:val="24"/>
        </w:rPr>
      </w:pPr>
      <w:r>
        <w:rPr>
          <w:sz w:val="24"/>
          <w:szCs w:val="24"/>
        </w:rPr>
        <w:t xml:space="preserve">One issue that comes to mind is discussed by Wael Abu-Azizeh in their article on nomadic pastoralist group in Jordan. The majority of Childe’s criteria have an implicit assumption that the subject group are sedentary, as there is little point to having large public works and or a wide system of proto-bureaucratic organisation if the populace are moving around on a regular basis. Yet Abu-Azizeh’s article highlights that, in Jordan, “the settlement of this area was mainly devoted during this period to the different forms of mobile subsistence related to a pastoral nomadic way of life” </w:t>
      </w:r>
      <w:sdt>
        <w:sdtPr>
          <w:rPr>
            <w:sz w:val="24"/>
            <w:szCs w:val="24"/>
          </w:rPr>
          <w:id w:val="91672233"/>
          <w:citation/>
        </w:sdtPr>
        <w:sdtContent>
          <w:r>
            <w:rPr>
              <w:sz w:val="24"/>
              <w:szCs w:val="24"/>
            </w:rPr>
            <w:fldChar w:fldCharType="begin"/>
          </w:r>
          <w:r>
            <w:rPr>
              <w:sz w:val="24"/>
              <w:szCs w:val="24"/>
            </w:rPr>
            <w:instrText xml:space="preserve">CITATION Wae13 \p 150 \n  \l 2057 </w:instrText>
          </w:r>
          <w:r>
            <w:rPr>
              <w:sz w:val="24"/>
              <w:szCs w:val="24"/>
            </w:rPr>
            <w:fldChar w:fldCharType="separate"/>
          </w:r>
          <w:r w:rsidR="009C2AB9" w:rsidRPr="009C2AB9">
            <w:rPr>
              <w:noProof/>
              <w:sz w:val="24"/>
              <w:szCs w:val="24"/>
            </w:rPr>
            <w:t>(The South-Eastern Jordan's Chalcolithic-Early Bronze Age Pastoral Nomadic Comples: Patterns of Mobility and Interaction, 2013, p. 150)</w:t>
          </w:r>
          <w:r>
            <w:rPr>
              <w:sz w:val="24"/>
              <w:szCs w:val="24"/>
            </w:rPr>
            <w:fldChar w:fldCharType="end"/>
          </w:r>
        </w:sdtContent>
      </w:sdt>
      <w:r>
        <w:rPr>
          <w:sz w:val="24"/>
          <w:szCs w:val="24"/>
        </w:rPr>
        <w:t xml:space="preserve">. </w:t>
      </w:r>
      <w:r w:rsidR="00327896">
        <w:rPr>
          <w:sz w:val="24"/>
          <w:szCs w:val="24"/>
        </w:rPr>
        <w:t xml:space="preserve">One of the al-Thulaythuwat desert sites described in this paper, Site TH.066, is mentioned as a good example of the kind of campsites that are found in the desert: they usually contain small stone enclosures with a relatively small surface area, with little evidence of permanent human housing besides areas where tents might be pitched </w:t>
      </w:r>
      <w:sdt>
        <w:sdtPr>
          <w:rPr>
            <w:sz w:val="24"/>
            <w:szCs w:val="24"/>
          </w:rPr>
          <w:id w:val="-1483693455"/>
          <w:citation/>
        </w:sdtPr>
        <w:sdtContent>
          <w:r w:rsidR="00327896">
            <w:rPr>
              <w:sz w:val="24"/>
              <w:szCs w:val="24"/>
            </w:rPr>
            <w:fldChar w:fldCharType="begin"/>
          </w:r>
          <w:r w:rsidR="00327896">
            <w:rPr>
              <w:sz w:val="24"/>
              <w:szCs w:val="24"/>
            </w:rPr>
            <w:instrText xml:space="preserve">CITATION Wae13 \p 153 \l 2057 </w:instrText>
          </w:r>
          <w:r w:rsidR="00327896">
            <w:rPr>
              <w:sz w:val="24"/>
              <w:szCs w:val="24"/>
            </w:rPr>
            <w:fldChar w:fldCharType="separate"/>
          </w:r>
          <w:r w:rsidR="009C2AB9" w:rsidRPr="009C2AB9">
            <w:rPr>
              <w:noProof/>
              <w:sz w:val="24"/>
              <w:szCs w:val="24"/>
            </w:rPr>
            <w:t>(Abu-Azizeh, 2013, p. 153)</w:t>
          </w:r>
          <w:r w:rsidR="00327896">
            <w:rPr>
              <w:sz w:val="24"/>
              <w:szCs w:val="24"/>
            </w:rPr>
            <w:fldChar w:fldCharType="end"/>
          </w:r>
        </w:sdtContent>
      </w:sdt>
      <w:r w:rsidR="00327896">
        <w:rPr>
          <w:sz w:val="24"/>
          <w:szCs w:val="24"/>
        </w:rPr>
        <w:t xml:space="preserve">. When considered with Childe’s criteria, </w:t>
      </w:r>
      <w:r w:rsidR="00E709FB">
        <w:rPr>
          <w:sz w:val="24"/>
          <w:szCs w:val="24"/>
        </w:rPr>
        <w:t xml:space="preserve">specifically </w:t>
      </w:r>
      <w:r w:rsidR="00327896">
        <w:rPr>
          <w:sz w:val="24"/>
          <w:szCs w:val="24"/>
        </w:rPr>
        <w:t>with its implicit notion of sedentary life</w:t>
      </w:r>
      <w:r w:rsidR="00E709FB">
        <w:rPr>
          <w:sz w:val="24"/>
          <w:szCs w:val="24"/>
        </w:rPr>
        <w:t xml:space="preserve"> and the larger scale of construction projects undertaken</w:t>
      </w:r>
      <w:r w:rsidR="00327896">
        <w:rPr>
          <w:sz w:val="24"/>
          <w:szCs w:val="24"/>
        </w:rPr>
        <w:t xml:space="preserve">, that means that the groups of people who lived this nomadic lifestyle are thereby discounted </w:t>
      </w:r>
      <w:r w:rsidR="00E709FB">
        <w:rPr>
          <w:sz w:val="24"/>
          <w:szCs w:val="24"/>
        </w:rPr>
        <w:t>from being considered part of ‘complex society’.</w:t>
      </w:r>
      <w:r w:rsidR="00DF298B">
        <w:rPr>
          <w:sz w:val="24"/>
          <w:szCs w:val="24"/>
        </w:rPr>
        <w:t xml:space="preserve"> </w:t>
      </w:r>
      <w:r w:rsidR="00A102B8">
        <w:rPr>
          <w:sz w:val="24"/>
          <w:szCs w:val="24"/>
        </w:rPr>
        <w:t xml:space="preserve">This group of campsites, short and long term, show that the people who lived in them had a relatively complex way of life with breeding, </w:t>
      </w:r>
      <w:r w:rsidR="00863DA2">
        <w:rPr>
          <w:sz w:val="24"/>
          <w:szCs w:val="24"/>
        </w:rPr>
        <w:t>herding,</w:t>
      </w:r>
      <w:r w:rsidR="00A102B8">
        <w:rPr>
          <w:sz w:val="24"/>
          <w:szCs w:val="24"/>
        </w:rPr>
        <w:t xml:space="preserve"> and maintaining large groups of </w:t>
      </w:r>
      <w:r w:rsidR="00A102B8">
        <w:rPr>
          <w:sz w:val="24"/>
          <w:szCs w:val="24"/>
        </w:rPr>
        <w:lastRenderedPageBreak/>
        <w:t>domesticated animals</w:t>
      </w:r>
      <w:r w:rsidR="00863DA2">
        <w:rPr>
          <w:sz w:val="24"/>
          <w:szCs w:val="24"/>
        </w:rPr>
        <w:t>. Yet in another aspect this group qualifies for being counted as complex with their interactions with other sedentary groups</w:t>
      </w:r>
      <w:r w:rsidR="00C9400F">
        <w:rPr>
          <w:sz w:val="24"/>
          <w:szCs w:val="24"/>
        </w:rPr>
        <w:t xml:space="preserve">, “contacts and interactions between the pastoral nomadic and sedentary societies are obvious. These can be especially recognised in the field of exchange and trade networks” </w:t>
      </w:r>
      <w:sdt>
        <w:sdtPr>
          <w:rPr>
            <w:sz w:val="24"/>
            <w:szCs w:val="24"/>
          </w:rPr>
          <w:id w:val="-1305846294"/>
          <w:citation/>
        </w:sdtPr>
        <w:sdtContent>
          <w:r w:rsidR="00C9400F">
            <w:rPr>
              <w:sz w:val="24"/>
              <w:szCs w:val="24"/>
            </w:rPr>
            <w:fldChar w:fldCharType="begin"/>
          </w:r>
          <w:r w:rsidR="00C9400F">
            <w:rPr>
              <w:sz w:val="24"/>
              <w:szCs w:val="24"/>
            </w:rPr>
            <w:instrText xml:space="preserve">CITATION Wae13 \p 165 \l 2057 </w:instrText>
          </w:r>
          <w:r w:rsidR="00C9400F">
            <w:rPr>
              <w:sz w:val="24"/>
              <w:szCs w:val="24"/>
            </w:rPr>
            <w:fldChar w:fldCharType="separate"/>
          </w:r>
          <w:r w:rsidR="009C2AB9" w:rsidRPr="009C2AB9">
            <w:rPr>
              <w:noProof/>
              <w:sz w:val="24"/>
              <w:szCs w:val="24"/>
            </w:rPr>
            <w:t>(Abu-Azizeh, 2013, p. 165)</w:t>
          </w:r>
          <w:r w:rsidR="00C9400F">
            <w:rPr>
              <w:sz w:val="24"/>
              <w:szCs w:val="24"/>
            </w:rPr>
            <w:fldChar w:fldCharType="end"/>
          </w:r>
        </w:sdtContent>
      </w:sdt>
      <w:r w:rsidR="00C9400F">
        <w:rPr>
          <w:sz w:val="24"/>
          <w:szCs w:val="24"/>
        </w:rPr>
        <w:t>. Perhaps these nomadic groups could be part of a wider trade network where as they travelled, they took traded goods with them and sold them on at other points, as campsites related to these groups have been found along major travel routes through the area. As these Jordanian groups show, Childe’s criteria have limits when applied to nomadic and semi-nomadic groups, as there are implicit conditions within his specifications.</w:t>
      </w:r>
    </w:p>
    <w:p w14:paraId="60352762" w14:textId="16F708F8" w:rsidR="008A4FDA" w:rsidRDefault="008A4FDA" w:rsidP="00DC7196">
      <w:pPr>
        <w:rPr>
          <w:sz w:val="24"/>
          <w:szCs w:val="24"/>
        </w:rPr>
      </w:pPr>
      <w:r>
        <w:rPr>
          <w:sz w:val="24"/>
          <w:szCs w:val="24"/>
        </w:rPr>
        <w:t xml:space="preserve">A second limitation that must be considered is Childe’s specialisation in Mesopotamian archaeology. In his article relating to the identification of cities in the Levant, Zeidan Kafafi writes that “the environment in which the first cities were established in southern Mesopotamia was completely different from that in the Southern Levant. Thus, when identifying a city this aspect must be taken into consideration” </w:t>
      </w:r>
      <w:sdt>
        <w:sdtPr>
          <w:rPr>
            <w:sz w:val="24"/>
            <w:szCs w:val="24"/>
          </w:rPr>
          <w:id w:val="-813561121"/>
          <w:citation/>
        </w:sdtPr>
        <w:sdtContent>
          <w:r>
            <w:rPr>
              <w:sz w:val="24"/>
              <w:szCs w:val="24"/>
            </w:rPr>
            <w:fldChar w:fldCharType="begin"/>
          </w:r>
          <w:r>
            <w:rPr>
              <w:sz w:val="24"/>
              <w:szCs w:val="24"/>
            </w:rPr>
            <w:instrText xml:space="preserve">CITATION Zei11 \p 49 \n  \l 2057 </w:instrText>
          </w:r>
          <w:r>
            <w:rPr>
              <w:sz w:val="24"/>
              <w:szCs w:val="24"/>
            </w:rPr>
            <w:fldChar w:fldCharType="separate"/>
          </w:r>
          <w:r w:rsidRPr="008A4FDA">
            <w:rPr>
              <w:noProof/>
              <w:sz w:val="24"/>
              <w:szCs w:val="24"/>
            </w:rPr>
            <w:t>(Neither Early Bronze Age Cities Not States in the South of the Levant: Another Perspective, 2011, p. 49)</w:t>
          </w:r>
          <w:r>
            <w:rPr>
              <w:sz w:val="24"/>
              <w:szCs w:val="24"/>
            </w:rPr>
            <w:fldChar w:fldCharType="end"/>
          </w:r>
        </w:sdtContent>
      </w:sdt>
      <w:r w:rsidR="00DC7196">
        <w:rPr>
          <w:sz w:val="24"/>
          <w:szCs w:val="24"/>
        </w:rPr>
        <w:t>. This is something that Childe does not appear to consider much at all in his piece. Although this strays from the subject matter of the Levant and Near East, Chile briefly mentions the Maya of the Yucatan Peninsula; the wording used by Childe saying “</w:t>
      </w:r>
      <w:r w:rsidR="00DC7196" w:rsidRPr="00DC7196">
        <w:rPr>
          <w:sz w:val="24"/>
          <w:szCs w:val="24"/>
        </w:rPr>
        <w:t>the minimum definition of a city, the greatest factor common to the Old World and the New will be substantially reduced and impoverished by the inclusion of the May</w:t>
      </w:r>
      <w:r w:rsidR="00DC7196">
        <w:rPr>
          <w:sz w:val="24"/>
          <w:szCs w:val="24"/>
        </w:rPr>
        <w:t xml:space="preserve">a” </w:t>
      </w:r>
      <w:sdt>
        <w:sdtPr>
          <w:rPr>
            <w:sz w:val="24"/>
            <w:szCs w:val="24"/>
          </w:rPr>
          <w:id w:val="1071857585"/>
          <w:citation/>
        </w:sdtPr>
        <w:sdtContent>
          <w:r w:rsidR="00DC7196">
            <w:rPr>
              <w:sz w:val="24"/>
              <w:szCs w:val="24"/>
            </w:rPr>
            <w:fldChar w:fldCharType="begin"/>
          </w:r>
          <w:r w:rsidR="00DC7196">
            <w:rPr>
              <w:sz w:val="24"/>
              <w:szCs w:val="24"/>
            </w:rPr>
            <w:instrText xml:space="preserve">CITATION VGo50 \p 9 \l 2057 </w:instrText>
          </w:r>
          <w:r w:rsidR="00DC7196">
            <w:rPr>
              <w:sz w:val="24"/>
              <w:szCs w:val="24"/>
            </w:rPr>
            <w:fldChar w:fldCharType="separate"/>
          </w:r>
          <w:r w:rsidR="00DC7196" w:rsidRPr="00DC7196">
            <w:rPr>
              <w:noProof/>
              <w:sz w:val="24"/>
              <w:szCs w:val="24"/>
            </w:rPr>
            <w:t>(Childe, 1950, p. 9)</w:t>
          </w:r>
          <w:r w:rsidR="00DC7196">
            <w:rPr>
              <w:sz w:val="24"/>
              <w:szCs w:val="24"/>
            </w:rPr>
            <w:fldChar w:fldCharType="end"/>
          </w:r>
        </w:sdtContent>
      </w:sdt>
      <w:r w:rsidR="00DC7196">
        <w:rPr>
          <w:sz w:val="24"/>
          <w:szCs w:val="24"/>
        </w:rPr>
        <w:t xml:space="preserve"> does not sound well as a statement. The way he words that statement seems to indicate a degree of contempt for the ancient civilisations of the New World when it comes to their inclusion in archaeological definitions</w:t>
      </w:r>
      <w:r w:rsidR="00AD1523">
        <w:rPr>
          <w:sz w:val="24"/>
          <w:szCs w:val="24"/>
        </w:rPr>
        <w:t xml:space="preserve"> because of their differentiated and slower development when compared to Mesopotamia</w:t>
      </w:r>
      <w:r w:rsidR="00DC7196">
        <w:rPr>
          <w:sz w:val="24"/>
          <w:szCs w:val="24"/>
        </w:rPr>
        <w:t xml:space="preserve">. </w:t>
      </w:r>
      <w:r w:rsidR="00B92D0B">
        <w:rPr>
          <w:sz w:val="24"/>
          <w:szCs w:val="24"/>
        </w:rPr>
        <w:t xml:space="preserve">Disregarding the environmental context in which an ancient city develops is tantamount to disregarding most of the story relating to the site, for a city needs a suitable environment to grow and survive in. </w:t>
      </w:r>
      <w:r w:rsidR="003E3B0F">
        <w:rPr>
          <w:sz w:val="24"/>
          <w:szCs w:val="24"/>
        </w:rPr>
        <w:t>The early cities of the Levant were founded in a desert environment, which is quite different to the fertile river valleys of Mesopotamia</w:t>
      </w:r>
      <w:r w:rsidR="005D4500">
        <w:rPr>
          <w:sz w:val="24"/>
          <w:szCs w:val="24"/>
        </w:rPr>
        <w:t xml:space="preserve"> and Egypt; meaning that these desert cities will have a different type and trajectory of development compared to those in other environments.</w:t>
      </w:r>
    </w:p>
    <w:p w14:paraId="6373041B" w14:textId="685EAD66" w:rsidR="00C9400F" w:rsidRDefault="00177FA3" w:rsidP="001D1E28">
      <w:pPr>
        <w:jc w:val="both"/>
        <w:rPr>
          <w:sz w:val="24"/>
          <w:szCs w:val="24"/>
        </w:rPr>
      </w:pPr>
      <w:r>
        <w:rPr>
          <w:sz w:val="24"/>
          <w:szCs w:val="24"/>
        </w:rPr>
        <w:t xml:space="preserve">One of the benefits of using Childe’s criteria is that it has clearly defined categories to use; one of them being large scale construction and concentration of population. </w:t>
      </w:r>
      <w:r w:rsidR="00C23589">
        <w:rPr>
          <w:sz w:val="24"/>
          <w:szCs w:val="24"/>
        </w:rPr>
        <w:t xml:space="preserve">An example of when Childe’s criteria can be used to full effect is the analysis of Tel Bet Yerah on the coast of Lake Kinneret. The criteria can be used to explicitly define this settlement as part of ‘complex society’ as the ‘city’ fulfils many of the criteria. </w:t>
      </w:r>
      <w:r w:rsidR="00B3676F">
        <w:rPr>
          <w:sz w:val="24"/>
          <w:szCs w:val="24"/>
        </w:rPr>
        <w:t>In a joint authored piece, the authors set out a few features of Tel Bet Yerah, “</w:t>
      </w:r>
      <w:r w:rsidR="00B3676F" w:rsidRPr="00B3676F">
        <w:rPr>
          <w:sz w:val="24"/>
          <w:szCs w:val="24"/>
        </w:rPr>
        <w:t>A massive mudbrick fortification wall was built across the base of the peninsula. Extending northward from the wall, the town was built on a grid of paved streets</w:t>
      </w:r>
      <w:r w:rsidR="00B3676F">
        <w:rPr>
          <w:sz w:val="24"/>
          <w:szCs w:val="24"/>
        </w:rPr>
        <w:t xml:space="preserve">” </w:t>
      </w:r>
      <w:sdt>
        <w:sdtPr>
          <w:rPr>
            <w:sz w:val="24"/>
            <w:szCs w:val="24"/>
          </w:rPr>
          <w:id w:val="1204830031"/>
          <w:citation/>
        </w:sdtPr>
        <w:sdtContent>
          <w:r w:rsidR="00B3676F">
            <w:rPr>
              <w:sz w:val="24"/>
              <w:szCs w:val="24"/>
            </w:rPr>
            <w:fldChar w:fldCharType="begin"/>
          </w:r>
          <w:r w:rsidR="00B3676F">
            <w:rPr>
              <w:sz w:val="24"/>
              <w:szCs w:val="24"/>
            </w:rPr>
            <w:instrText xml:space="preserve">CITATION Gre12 \p 92 \l 2057 </w:instrText>
          </w:r>
          <w:r w:rsidR="00B3676F">
            <w:rPr>
              <w:sz w:val="24"/>
              <w:szCs w:val="24"/>
            </w:rPr>
            <w:fldChar w:fldCharType="separate"/>
          </w:r>
          <w:r w:rsidR="009C2AB9" w:rsidRPr="009C2AB9">
            <w:rPr>
              <w:noProof/>
              <w:sz w:val="24"/>
              <w:szCs w:val="24"/>
            </w:rPr>
            <w:t>(Greenberg, Paz, Wengrow, &amp; Iserlis, 2012, p. 92)</w:t>
          </w:r>
          <w:r w:rsidR="00B3676F">
            <w:rPr>
              <w:sz w:val="24"/>
              <w:szCs w:val="24"/>
            </w:rPr>
            <w:fldChar w:fldCharType="end"/>
          </w:r>
        </w:sdtContent>
      </w:sdt>
      <w:r w:rsidR="00B3676F">
        <w:rPr>
          <w:sz w:val="24"/>
          <w:szCs w:val="24"/>
        </w:rPr>
        <w:t>. This tick</w:t>
      </w:r>
      <w:r w:rsidR="00513D02">
        <w:rPr>
          <w:sz w:val="24"/>
          <w:szCs w:val="24"/>
        </w:rPr>
        <w:t>s</w:t>
      </w:r>
      <w:r w:rsidR="00B3676F">
        <w:rPr>
          <w:sz w:val="24"/>
          <w:szCs w:val="24"/>
        </w:rPr>
        <w:t xml:space="preserve"> the category of implicit sedentariness and large</w:t>
      </w:r>
      <w:r w:rsidR="00EE3F94">
        <w:rPr>
          <w:sz w:val="24"/>
          <w:szCs w:val="24"/>
        </w:rPr>
        <w:t>-</w:t>
      </w:r>
      <w:r w:rsidR="00B3676F">
        <w:rPr>
          <w:sz w:val="24"/>
          <w:szCs w:val="24"/>
        </w:rPr>
        <w:t>scale public works, and to a lesser extent, the existence of a class who do not work the land as labourers</w:t>
      </w:r>
      <w:r w:rsidR="00EE3F94">
        <w:rPr>
          <w:sz w:val="24"/>
          <w:szCs w:val="24"/>
        </w:rPr>
        <w:t xml:space="preserve">, </w:t>
      </w:r>
      <w:r w:rsidR="00B3676F">
        <w:rPr>
          <w:sz w:val="24"/>
          <w:szCs w:val="24"/>
        </w:rPr>
        <w:t>engineers</w:t>
      </w:r>
      <w:r w:rsidR="00EE3F94">
        <w:rPr>
          <w:sz w:val="24"/>
          <w:szCs w:val="24"/>
        </w:rPr>
        <w:t xml:space="preserve"> and brick makers</w:t>
      </w:r>
      <w:r w:rsidR="00B3676F">
        <w:rPr>
          <w:sz w:val="24"/>
          <w:szCs w:val="24"/>
        </w:rPr>
        <w:t xml:space="preserve"> would be needed for such a project. </w:t>
      </w:r>
      <w:r w:rsidR="00EE3F94">
        <w:rPr>
          <w:sz w:val="24"/>
          <w:szCs w:val="24"/>
        </w:rPr>
        <w:t xml:space="preserve">And given the age of the site, these would have been immense works to erect given their size and the required material sciences knowledge and skill as a workforce to build the fortifications. </w:t>
      </w:r>
      <w:r w:rsidR="00513D02">
        <w:rPr>
          <w:sz w:val="24"/>
          <w:szCs w:val="24"/>
        </w:rPr>
        <w:t>Other criteria are fulfilled with signs of consumer culture, specifically with pottery, “</w:t>
      </w:r>
      <w:r w:rsidR="00513D02" w:rsidRPr="00513D02">
        <w:rPr>
          <w:sz w:val="24"/>
          <w:szCs w:val="24"/>
        </w:rPr>
        <w:t xml:space="preserve">At the beginning of Period C, the entire ceramic corpus was </w:t>
      </w:r>
      <w:r w:rsidR="00513D02" w:rsidRPr="00513D02">
        <w:rPr>
          <w:sz w:val="24"/>
          <w:szCs w:val="24"/>
        </w:rPr>
        <w:lastRenderedPageBreak/>
        <w:t>replaced. Vessels were now made in centralized workshops that specialized in a complete “line” of standardized products based on a single clay source</w:t>
      </w:r>
      <w:r w:rsidR="00513D02">
        <w:rPr>
          <w:sz w:val="24"/>
          <w:szCs w:val="24"/>
        </w:rPr>
        <w:t>”</w:t>
      </w:r>
      <w:sdt>
        <w:sdtPr>
          <w:rPr>
            <w:sz w:val="24"/>
            <w:szCs w:val="24"/>
          </w:rPr>
          <w:id w:val="847442349"/>
          <w:citation/>
        </w:sdtPr>
        <w:sdtContent>
          <w:r w:rsidR="00513D02">
            <w:rPr>
              <w:sz w:val="24"/>
              <w:szCs w:val="24"/>
            </w:rPr>
            <w:fldChar w:fldCharType="begin"/>
          </w:r>
          <w:r w:rsidR="00513D02">
            <w:rPr>
              <w:sz w:val="24"/>
              <w:szCs w:val="24"/>
            </w:rPr>
            <w:instrText xml:space="preserve">CITATION Gre12 \p 95 \l 2057 </w:instrText>
          </w:r>
          <w:r w:rsidR="00513D02">
            <w:rPr>
              <w:sz w:val="24"/>
              <w:szCs w:val="24"/>
            </w:rPr>
            <w:fldChar w:fldCharType="separate"/>
          </w:r>
          <w:r w:rsidR="009C2AB9">
            <w:rPr>
              <w:noProof/>
              <w:sz w:val="24"/>
              <w:szCs w:val="24"/>
            </w:rPr>
            <w:t xml:space="preserve"> </w:t>
          </w:r>
          <w:r w:rsidR="009C2AB9" w:rsidRPr="009C2AB9">
            <w:rPr>
              <w:noProof/>
              <w:sz w:val="24"/>
              <w:szCs w:val="24"/>
            </w:rPr>
            <w:t>(Greenberg, Paz, Wengrow, &amp; Iserlis, 2012, p. 95)</w:t>
          </w:r>
          <w:r w:rsidR="00513D02">
            <w:rPr>
              <w:sz w:val="24"/>
              <w:szCs w:val="24"/>
            </w:rPr>
            <w:fldChar w:fldCharType="end"/>
          </w:r>
        </w:sdtContent>
      </w:sdt>
      <w:r w:rsidR="00513D02">
        <w:rPr>
          <w:sz w:val="24"/>
          <w:szCs w:val="24"/>
        </w:rPr>
        <w:t xml:space="preserve">. Standardised production of pottery evidently shows a high demand for the resource, beyond simply needing a clay vessel, and some of the visual examples provided also show that the vessel had been painted with a set of patterns around the neck of the vessel. The criteria filled with these finds is the existence of a class </w:t>
      </w:r>
      <w:r w:rsidR="004902B6">
        <w:rPr>
          <w:sz w:val="24"/>
          <w:szCs w:val="24"/>
        </w:rPr>
        <w:t xml:space="preserve">of artisans </w:t>
      </w:r>
      <w:r w:rsidR="00513D02">
        <w:rPr>
          <w:sz w:val="24"/>
          <w:szCs w:val="24"/>
        </w:rPr>
        <w:t>who do not produce their own food, the development of art given the decorated jar</w:t>
      </w:r>
      <w:r w:rsidR="004902B6">
        <w:rPr>
          <w:sz w:val="24"/>
          <w:szCs w:val="24"/>
        </w:rPr>
        <w:t>; and with some degree of speculation, the city may have had a rudimentary economy with more easily taxable goods being used as currency. Given the rarity of the decorated jars, they can also be interpreted as a symbol of wealth or status, therefore filling the criteria of an upper class who owned more wealth than the other classes.</w:t>
      </w:r>
      <w:r w:rsidR="001A1F77">
        <w:rPr>
          <w:sz w:val="24"/>
          <w:szCs w:val="24"/>
        </w:rPr>
        <w:t xml:space="preserve"> One of the most key criteria is not mentioned in this article, and that is the development of a writing script</w:t>
      </w:r>
      <w:r w:rsidR="009C2AB9">
        <w:rPr>
          <w:sz w:val="24"/>
          <w:szCs w:val="24"/>
        </w:rPr>
        <w:t xml:space="preserve">; but the existence of such a script can be inferred from the existence of the walls and public works if Childe’s criteria have a linear and causal relationship to one another. In my opinion, the development of the public works projects in the form of walls and pavements, will require a degree of understanding of geometry and basic engineering </w:t>
      </w:r>
      <w:sdt>
        <w:sdtPr>
          <w:rPr>
            <w:sz w:val="24"/>
            <w:szCs w:val="24"/>
          </w:rPr>
          <w:id w:val="-453022839"/>
          <w:citation/>
        </w:sdtPr>
        <w:sdtContent>
          <w:r w:rsidR="009C2AB9">
            <w:rPr>
              <w:sz w:val="24"/>
              <w:szCs w:val="24"/>
            </w:rPr>
            <w:fldChar w:fldCharType="begin"/>
          </w:r>
          <w:r w:rsidR="009C2AB9">
            <w:rPr>
              <w:sz w:val="24"/>
              <w:szCs w:val="24"/>
            </w:rPr>
            <w:instrText xml:space="preserve">CITATION VGo50 \p 14 \l 2057 </w:instrText>
          </w:r>
          <w:r w:rsidR="009C2AB9">
            <w:rPr>
              <w:sz w:val="24"/>
              <w:szCs w:val="24"/>
            </w:rPr>
            <w:fldChar w:fldCharType="separate"/>
          </w:r>
          <w:r w:rsidR="009C2AB9" w:rsidRPr="009C2AB9">
            <w:rPr>
              <w:noProof/>
              <w:sz w:val="24"/>
              <w:szCs w:val="24"/>
            </w:rPr>
            <w:t>(Childe, 1950, p. 14)</w:t>
          </w:r>
          <w:r w:rsidR="009C2AB9">
            <w:rPr>
              <w:sz w:val="24"/>
              <w:szCs w:val="24"/>
            </w:rPr>
            <w:fldChar w:fldCharType="end"/>
          </w:r>
        </w:sdtContent>
      </w:sdt>
      <w:r w:rsidR="009C2AB9">
        <w:rPr>
          <w:sz w:val="24"/>
          <w:szCs w:val="24"/>
        </w:rPr>
        <w:t xml:space="preserve">. And Childe’s criteria can be interpreted as being liner, meaning that if the public works require geometric calculations to work then the requisite of a writing script must be in existence already. The Tel Bet Yerah site provides a good example of using Childe’s criteria on an excavation where it can be easily identified as a complex society already, rather than an ambiguous ‘almost a complex society but not quite.’ </w:t>
      </w:r>
    </w:p>
    <w:p w14:paraId="132EFE12" w14:textId="5C22295B" w:rsidR="006E653C" w:rsidRPr="005F39C0" w:rsidRDefault="006E653C" w:rsidP="001D1E28">
      <w:pPr>
        <w:jc w:val="both"/>
        <w:rPr>
          <w:sz w:val="24"/>
          <w:szCs w:val="24"/>
        </w:rPr>
      </w:pPr>
      <w:r>
        <w:rPr>
          <w:sz w:val="24"/>
          <w:szCs w:val="24"/>
        </w:rPr>
        <w:t xml:space="preserve">A secondary benefit is Childe highlighting the importance of classes, specifically the formation of the upper classes. At various points during his description of the criteria, Childe </w:t>
      </w:r>
      <w:sdt>
        <w:sdtPr>
          <w:rPr>
            <w:sz w:val="24"/>
            <w:szCs w:val="24"/>
          </w:rPr>
          <w:id w:val="1457373840"/>
          <w:citation/>
        </w:sdtPr>
        <w:sdtContent>
          <w:r w:rsidR="005F39C0">
            <w:rPr>
              <w:sz w:val="24"/>
              <w:szCs w:val="24"/>
            </w:rPr>
            <w:fldChar w:fldCharType="begin"/>
          </w:r>
          <w:r w:rsidR="005F39C0">
            <w:rPr>
              <w:sz w:val="24"/>
              <w:szCs w:val="24"/>
            </w:rPr>
            <w:instrText xml:space="preserve">CITATION VGo50 \n  \l 2057 </w:instrText>
          </w:r>
          <w:r w:rsidR="005F39C0">
            <w:rPr>
              <w:sz w:val="24"/>
              <w:szCs w:val="24"/>
            </w:rPr>
            <w:fldChar w:fldCharType="separate"/>
          </w:r>
          <w:r w:rsidR="005F39C0" w:rsidRPr="005F39C0">
            <w:rPr>
              <w:noProof/>
              <w:sz w:val="24"/>
              <w:szCs w:val="24"/>
            </w:rPr>
            <w:t>(The Urban Revolution, 1950)</w:t>
          </w:r>
          <w:r w:rsidR="005F39C0">
            <w:rPr>
              <w:sz w:val="24"/>
              <w:szCs w:val="24"/>
            </w:rPr>
            <w:fldChar w:fldCharType="end"/>
          </w:r>
        </w:sdtContent>
      </w:sdt>
      <w:r w:rsidR="005F39C0">
        <w:rPr>
          <w:sz w:val="24"/>
          <w:szCs w:val="24"/>
        </w:rPr>
        <w:t xml:space="preserve"> </w:t>
      </w:r>
      <w:r>
        <w:rPr>
          <w:sz w:val="24"/>
          <w:szCs w:val="24"/>
        </w:rPr>
        <w:t xml:space="preserve">mentions the formation and positions of classes besides the working peasantry. </w:t>
      </w:r>
      <w:r w:rsidR="005F39C0">
        <w:rPr>
          <w:sz w:val="24"/>
          <w:szCs w:val="24"/>
        </w:rPr>
        <w:t xml:space="preserve">The main ones he draws attention to are artisans, ruling elite and briefly, the clergy. Milevski discusses how it can be difficult to detect the class divisions and socio-political environment of an ancient settlement, but insights can be made based on the available evidence. “Copper working required specialised groups of craftspeople dominated by elites who, </w:t>
      </w:r>
      <w:r w:rsidR="005F39C0">
        <w:rPr>
          <w:i/>
          <w:iCs/>
          <w:sz w:val="24"/>
          <w:szCs w:val="24"/>
        </w:rPr>
        <w:t>inter alia</w:t>
      </w:r>
      <w:r w:rsidR="005F39C0">
        <w:rPr>
          <w:sz w:val="24"/>
          <w:szCs w:val="24"/>
        </w:rPr>
        <w:t xml:space="preserve">, controlled production and distribution of copper commodities” </w:t>
      </w:r>
      <w:sdt>
        <w:sdtPr>
          <w:rPr>
            <w:sz w:val="24"/>
            <w:szCs w:val="24"/>
          </w:rPr>
          <w:id w:val="-1399594864"/>
          <w:citation/>
        </w:sdtPr>
        <w:sdtContent>
          <w:r w:rsidR="005F39C0">
            <w:rPr>
              <w:sz w:val="24"/>
              <w:szCs w:val="24"/>
            </w:rPr>
            <w:fldChar w:fldCharType="begin"/>
          </w:r>
          <w:r w:rsidR="005F39C0">
            <w:rPr>
              <w:sz w:val="24"/>
              <w:szCs w:val="24"/>
            </w:rPr>
            <w:instrText xml:space="preserve">CITATION Ian13 \p 201 \l 2057 </w:instrText>
          </w:r>
          <w:r w:rsidR="005F39C0">
            <w:rPr>
              <w:sz w:val="24"/>
              <w:szCs w:val="24"/>
            </w:rPr>
            <w:fldChar w:fldCharType="separate"/>
          </w:r>
          <w:r w:rsidR="005F39C0" w:rsidRPr="005F39C0">
            <w:rPr>
              <w:noProof/>
              <w:sz w:val="24"/>
              <w:szCs w:val="24"/>
            </w:rPr>
            <w:t>(Milevski, 2013, p. 201)</w:t>
          </w:r>
          <w:r w:rsidR="005F39C0">
            <w:rPr>
              <w:sz w:val="24"/>
              <w:szCs w:val="24"/>
            </w:rPr>
            <w:fldChar w:fldCharType="end"/>
          </w:r>
        </w:sdtContent>
      </w:sdt>
      <w:r w:rsidR="00140E19">
        <w:rPr>
          <w:sz w:val="24"/>
          <w:szCs w:val="24"/>
        </w:rPr>
        <w:t xml:space="preserve"> can be inferred from current understanding of metallurgy, but back during antiquity, this kind of knowledge would be incredibly valuable; and valuable knowledge leads to consolidation of position and status in exchange for their services in metal working. The same kind of process can be inferred for the cultic leaders as well, with them acting as a conduit to divinity in exchange for status and material wealth. </w:t>
      </w:r>
      <w:r w:rsidR="00312D58">
        <w:rPr>
          <w:sz w:val="24"/>
          <w:szCs w:val="24"/>
        </w:rPr>
        <w:t xml:space="preserve">Moving forward to a more established city, Milevski elaborates on the formation of castes within the city “An EB elite class had as its base surpluses from those activities and profits from exchanges of goods. Crafts were based more on a certain degree of attachment to the elites and a tendency towards full time specialisation” </w:t>
      </w:r>
      <w:sdt>
        <w:sdtPr>
          <w:rPr>
            <w:sz w:val="24"/>
            <w:szCs w:val="24"/>
          </w:rPr>
          <w:id w:val="-165084884"/>
          <w:citation/>
        </w:sdtPr>
        <w:sdtContent>
          <w:r w:rsidR="00312D58">
            <w:rPr>
              <w:sz w:val="24"/>
              <w:szCs w:val="24"/>
            </w:rPr>
            <w:fldChar w:fldCharType="begin"/>
          </w:r>
          <w:r w:rsidR="00312D58">
            <w:rPr>
              <w:sz w:val="24"/>
              <w:szCs w:val="24"/>
            </w:rPr>
            <w:instrText xml:space="preserve">CITATION Ian13 \p 203 \l 2057 </w:instrText>
          </w:r>
          <w:r w:rsidR="00312D58">
            <w:rPr>
              <w:sz w:val="24"/>
              <w:szCs w:val="24"/>
            </w:rPr>
            <w:fldChar w:fldCharType="separate"/>
          </w:r>
          <w:r w:rsidR="00312D58" w:rsidRPr="00312D58">
            <w:rPr>
              <w:noProof/>
              <w:sz w:val="24"/>
              <w:szCs w:val="24"/>
            </w:rPr>
            <w:t>(Milevski, 2013, p. 203)</w:t>
          </w:r>
          <w:r w:rsidR="00312D58">
            <w:rPr>
              <w:sz w:val="24"/>
              <w:szCs w:val="24"/>
            </w:rPr>
            <w:fldChar w:fldCharType="end"/>
          </w:r>
        </w:sdtContent>
      </w:sdt>
      <w:r w:rsidR="00312D58">
        <w:rPr>
          <w:sz w:val="24"/>
          <w:szCs w:val="24"/>
        </w:rPr>
        <w:t>, and this move towards permanent specialisation in service, direct or indirect, to the more established elites births a middle class of artisans who create commodities for those above and below them in the social strata. And this class system is a key point of Childe’s interpretation of complex society, as to be deemed sufficiently complex to qualify, the society must have a system where there are peasants, item producers and higher ranking officials such as priests, generals and royalty</w:t>
      </w:r>
      <w:r w:rsidR="00C3200A">
        <w:rPr>
          <w:sz w:val="24"/>
          <w:szCs w:val="24"/>
        </w:rPr>
        <w:t>.</w:t>
      </w:r>
    </w:p>
    <w:p w14:paraId="69D82ED1" w14:textId="07E25D4B" w:rsidR="00171E1B" w:rsidRPr="005C766F" w:rsidRDefault="00171E1B" w:rsidP="001D1E28">
      <w:pPr>
        <w:jc w:val="both"/>
        <w:rPr>
          <w:sz w:val="24"/>
          <w:szCs w:val="24"/>
        </w:rPr>
      </w:pPr>
      <w:r w:rsidRPr="005C766F">
        <w:rPr>
          <w:sz w:val="24"/>
          <w:szCs w:val="24"/>
        </w:rPr>
        <w:lastRenderedPageBreak/>
        <w:t>Using Childe’s criteria to establish social complexity and the emergence of civilisation is both a positive and a negative. As a broad set of criterions for defining a nebulous concept, they provide a solid starting point as the criteria highlight what most people would consider ‘civilisation’. However, these criteria would also classify other groups as not being part of a town or wider civilisation. From an anthropological standpoint, Childe’s criteria would discount many groups of people who remain</w:t>
      </w:r>
      <w:r w:rsidR="006E653C">
        <w:rPr>
          <w:sz w:val="24"/>
          <w:szCs w:val="24"/>
        </w:rPr>
        <w:t>ed</w:t>
      </w:r>
      <w:r w:rsidRPr="005C766F">
        <w:rPr>
          <w:sz w:val="24"/>
          <w:szCs w:val="24"/>
        </w:rPr>
        <w:t xml:space="preserve"> nomadic with little material culture in the sense other groups </w:t>
      </w:r>
      <w:r w:rsidR="006E653C">
        <w:rPr>
          <w:sz w:val="24"/>
          <w:szCs w:val="24"/>
        </w:rPr>
        <w:t xml:space="preserve">of the time </w:t>
      </w:r>
      <w:r w:rsidRPr="005C766F">
        <w:rPr>
          <w:sz w:val="24"/>
          <w:szCs w:val="24"/>
        </w:rPr>
        <w:t>ha</w:t>
      </w:r>
      <w:r w:rsidR="006E653C">
        <w:rPr>
          <w:sz w:val="24"/>
          <w:szCs w:val="24"/>
        </w:rPr>
        <w:t>d</w:t>
      </w:r>
      <w:r w:rsidR="00A102B8">
        <w:rPr>
          <w:sz w:val="24"/>
          <w:szCs w:val="24"/>
        </w:rPr>
        <w:t xml:space="preserve">, </w:t>
      </w:r>
      <w:r w:rsidR="009E6E17" w:rsidRPr="005C766F">
        <w:rPr>
          <w:sz w:val="24"/>
          <w:szCs w:val="24"/>
        </w:rPr>
        <w:t>thereby discounting them from towns and</w:t>
      </w:r>
      <w:r w:rsidR="00A102B8">
        <w:rPr>
          <w:sz w:val="24"/>
          <w:szCs w:val="24"/>
        </w:rPr>
        <w:t xml:space="preserve"> complex</w:t>
      </w:r>
      <w:r w:rsidR="009E6E17" w:rsidRPr="005C766F">
        <w:rPr>
          <w:sz w:val="24"/>
          <w:szCs w:val="24"/>
        </w:rPr>
        <w:t xml:space="preserve"> civilisation</w:t>
      </w:r>
      <w:r w:rsidRPr="005C766F">
        <w:rPr>
          <w:sz w:val="24"/>
          <w:szCs w:val="24"/>
        </w:rPr>
        <w:t xml:space="preserve">. </w:t>
      </w:r>
      <w:r w:rsidR="009E6E17" w:rsidRPr="005C766F">
        <w:rPr>
          <w:sz w:val="24"/>
          <w:szCs w:val="24"/>
        </w:rPr>
        <w:t xml:space="preserve">To finalise, Childe’s criteria should be used initially when discussing a group and then the criteria need to be expanded and viewed from a new angle. </w:t>
      </w:r>
    </w:p>
    <w:sdt>
      <w:sdtPr>
        <w:id w:val="-490329546"/>
        <w:docPartObj>
          <w:docPartGallery w:val="Bibliographies"/>
          <w:docPartUnique/>
        </w:docPartObj>
      </w:sdtPr>
      <w:sdtEndPr>
        <w:rPr>
          <w:rFonts w:asciiTheme="minorHAnsi" w:eastAsiaTheme="minorEastAsia" w:hAnsiTheme="minorHAnsi" w:cstheme="minorBidi"/>
          <w:color w:val="auto"/>
          <w:sz w:val="22"/>
          <w:szCs w:val="22"/>
          <w:lang w:val="en-GB" w:eastAsia="ja-JP"/>
        </w:rPr>
      </w:sdtEndPr>
      <w:sdtContent>
        <w:p w14:paraId="357A6F26" w14:textId="72D31790" w:rsidR="00E04696" w:rsidRDefault="00E04696">
          <w:pPr>
            <w:pStyle w:val="Heading1"/>
          </w:pPr>
          <w:r>
            <w:t>References</w:t>
          </w:r>
        </w:p>
        <w:sdt>
          <w:sdtPr>
            <w:id w:val="-573587230"/>
            <w:bibliography/>
          </w:sdtPr>
          <w:sdtContent>
            <w:p w14:paraId="426D5AF8" w14:textId="77777777" w:rsidR="009C2AB9" w:rsidRDefault="00E04696" w:rsidP="009C2AB9">
              <w:pPr>
                <w:pStyle w:val="Bibliography"/>
                <w:ind w:left="720" w:hanging="720"/>
                <w:rPr>
                  <w:noProof/>
                  <w:sz w:val="24"/>
                  <w:szCs w:val="24"/>
                  <w:lang w:val="en-US"/>
                </w:rPr>
              </w:pPr>
              <w:r>
                <w:fldChar w:fldCharType="begin"/>
              </w:r>
              <w:r>
                <w:instrText xml:space="preserve"> BIBLIOGRAPHY </w:instrText>
              </w:r>
              <w:r>
                <w:fldChar w:fldCharType="separate"/>
              </w:r>
              <w:r w:rsidR="009C2AB9">
                <w:rPr>
                  <w:noProof/>
                  <w:lang w:val="en-US"/>
                </w:rPr>
                <w:t xml:space="preserve">Abu-Azizeh, W. (2013). The South-Eastern Jordan's Chalcolithic-Early Bronze Age Pastoral Nomadic Comples: Patterns of Mobility and Interaction. </w:t>
              </w:r>
              <w:r w:rsidR="009C2AB9">
                <w:rPr>
                  <w:i/>
                  <w:iCs/>
                  <w:noProof/>
                  <w:lang w:val="en-US"/>
                </w:rPr>
                <w:t>Paleorient</w:t>
              </w:r>
              <w:r w:rsidR="009C2AB9">
                <w:rPr>
                  <w:noProof/>
                  <w:lang w:val="en-US"/>
                </w:rPr>
                <w:t>, 149-176.</w:t>
              </w:r>
            </w:p>
            <w:p w14:paraId="7847A658" w14:textId="77777777" w:rsidR="009C2AB9" w:rsidRDefault="009C2AB9" w:rsidP="009C2AB9">
              <w:pPr>
                <w:pStyle w:val="Bibliography"/>
                <w:ind w:left="720" w:hanging="720"/>
                <w:rPr>
                  <w:noProof/>
                  <w:lang w:val="en-US"/>
                </w:rPr>
              </w:pPr>
              <w:r>
                <w:rPr>
                  <w:noProof/>
                  <w:lang w:val="en-US"/>
                </w:rPr>
                <w:t xml:space="preserve">Childe, V. G. (1950). The Urban Revolution. </w:t>
              </w:r>
              <w:r>
                <w:rPr>
                  <w:i/>
                  <w:iCs/>
                  <w:noProof/>
                  <w:lang w:val="en-US"/>
                </w:rPr>
                <w:t>The Town Planning Review</w:t>
              </w:r>
              <w:r>
                <w:rPr>
                  <w:noProof/>
                  <w:lang w:val="en-US"/>
                </w:rPr>
                <w:t>, 3-17.</w:t>
              </w:r>
            </w:p>
            <w:p w14:paraId="6FC57E65" w14:textId="77777777" w:rsidR="009C2AB9" w:rsidRDefault="009C2AB9" w:rsidP="009C2AB9">
              <w:pPr>
                <w:pStyle w:val="Bibliography"/>
                <w:ind w:left="720" w:hanging="720"/>
                <w:rPr>
                  <w:noProof/>
                  <w:lang w:val="en-US"/>
                </w:rPr>
              </w:pPr>
              <w:r>
                <w:rPr>
                  <w:noProof/>
                  <w:lang w:val="en-US"/>
                </w:rPr>
                <w:t xml:space="preserve">Greenberg, R., Paz, S., Wengrow, D., &amp; Iserlis, M. (2012). Tel Bet Yerah: Hub of the Early Bronze Age Levant. </w:t>
              </w:r>
              <w:r>
                <w:rPr>
                  <w:i/>
                  <w:iCs/>
                  <w:noProof/>
                  <w:lang w:val="en-US"/>
                </w:rPr>
                <w:t>Near Eastern Archaeology</w:t>
              </w:r>
              <w:r>
                <w:rPr>
                  <w:noProof/>
                  <w:lang w:val="en-US"/>
                </w:rPr>
                <w:t>, 88-107.</w:t>
              </w:r>
            </w:p>
            <w:p w14:paraId="068ECF6C" w14:textId="77777777" w:rsidR="009C2AB9" w:rsidRDefault="009C2AB9" w:rsidP="009C2AB9">
              <w:pPr>
                <w:pStyle w:val="Bibliography"/>
                <w:ind w:left="720" w:hanging="720"/>
                <w:rPr>
                  <w:noProof/>
                  <w:lang w:val="en-US"/>
                </w:rPr>
              </w:pPr>
              <w:r>
                <w:rPr>
                  <w:noProof/>
                  <w:lang w:val="en-US"/>
                </w:rPr>
                <w:t xml:space="preserve">Kafafi, Z. A. (2011). Neither Early Bronze Age Cities Not States in the South of the Levant: Another Perspective. </w:t>
              </w:r>
              <w:r>
                <w:rPr>
                  <w:i/>
                  <w:iCs/>
                  <w:noProof/>
                  <w:lang w:val="en-US"/>
                </w:rPr>
                <w:t>Syria</w:t>
              </w:r>
              <w:r>
                <w:rPr>
                  <w:noProof/>
                  <w:lang w:val="en-US"/>
                </w:rPr>
                <w:t>, 47-57.</w:t>
              </w:r>
            </w:p>
            <w:p w14:paraId="2FB816E9" w14:textId="77777777" w:rsidR="009C2AB9" w:rsidRDefault="009C2AB9" w:rsidP="009C2AB9">
              <w:pPr>
                <w:pStyle w:val="Bibliography"/>
                <w:ind w:left="720" w:hanging="720"/>
                <w:rPr>
                  <w:noProof/>
                  <w:lang w:val="en-US"/>
                </w:rPr>
              </w:pPr>
              <w:r>
                <w:rPr>
                  <w:noProof/>
                  <w:lang w:val="en-US"/>
                </w:rPr>
                <w:t xml:space="preserve">Milevski, I. (2013). The Transition from the Chalcolithic to the Early Bronze Age of the Southern Levant in socio-economic context. </w:t>
              </w:r>
              <w:r>
                <w:rPr>
                  <w:i/>
                  <w:iCs/>
                  <w:noProof/>
                  <w:lang w:val="en-US"/>
                </w:rPr>
                <w:t>Paleorient</w:t>
              </w:r>
              <w:r>
                <w:rPr>
                  <w:noProof/>
                  <w:lang w:val="en-US"/>
                </w:rPr>
                <w:t>, 193-208.</w:t>
              </w:r>
            </w:p>
            <w:p w14:paraId="3506DAC0" w14:textId="7E99F183" w:rsidR="00E04696" w:rsidRDefault="00E04696" w:rsidP="009C2AB9">
              <w:r>
                <w:rPr>
                  <w:b/>
                  <w:bCs/>
                  <w:noProof/>
                </w:rPr>
                <w:fldChar w:fldCharType="end"/>
              </w:r>
            </w:p>
          </w:sdtContent>
        </w:sdt>
      </w:sdtContent>
    </w:sdt>
    <w:p w14:paraId="6DAC1A86" w14:textId="77777777" w:rsidR="00E04696" w:rsidRPr="00E04696" w:rsidRDefault="00E04696" w:rsidP="00E04696">
      <w:pPr>
        <w:rPr>
          <w:sz w:val="28"/>
          <w:szCs w:val="28"/>
        </w:rPr>
      </w:pPr>
    </w:p>
    <w:sectPr w:rsidR="00E04696" w:rsidRPr="00E046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oNotDisplayPageBoundari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696"/>
    <w:rsid w:val="00140E19"/>
    <w:rsid w:val="00171E1B"/>
    <w:rsid w:val="00177FA3"/>
    <w:rsid w:val="001A1F77"/>
    <w:rsid w:val="001D1E28"/>
    <w:rsid w:val="00312D58"/>
    <w:rsid w:val="00327896"/>
    <w:rsid w:val="003E3B0F"/>
    <w:rsid w:val="00412138"/>
    <w:rsid w:val="004902B6"/>
    <w:rsid w:val="00513D02"/>
    <w:rsid w:val="005C766F"/>
    <w:rsid w:val="005D4500"/>
    <w:rsid w:val="005F39C0"/>
    <w:rsid w:val="006501B0"/>
    <w:rsid w:val="006E653C"/>
    <w:rsid w:val="00762D83"/>
    <w:rsid w:val="00863DA2"/>
    <w:rsid w:val="008A4FDA"/>
    <w:rsid w:val="009C2AB9"/>
    <w:rsid w:val="009E6E17"/>
    <w:rsid w:val="00A102B8"/>
    <w:rsid w:val="00A12EF4"/>
    <w:rsid w:val="00A63A77"/>
    <w:rsid w:val="00AD1523"/>
    <w:rsid w:val="00B363C8"/>
    <w:rsid w:val="00B3676F"/>
    <w:rsid w:val="00B92D0B"/>
    <w:rsid w:val="00BE6615"/>
    <w:rsid w:val="00C23589"/>
    <w:rsid w:val="00C3200A"/>
    <w:rsid w:val="00C90CD6"/>
    <w:rsid w:val="00C9400F"/>
    <w:rsid w:val="00DB6DC5"/>
    <w:rsid w:val="00DC7196"/>
    <w:rsid w:val="00DF298B"/>
    <w:rsid w:val="00E04696"/>
    <w:rsid w:val="00E709FB"/>
    <w:rsid w:val="00EE3F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3EEFA"/>
  <w15:chartTrackingRefBased/>
  <w15:docId w15:val="{286C7D7C-B093-4228-BCA4-52B6F1AA9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4696"/>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E0469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04696"/>
    <w:rPr>
      <w:i/>
      <w:iCs/>
      <w:color w:val="4472C4" w:themeColor="accent1"/>
    </w:rPr>
  </w:style>
  <w:style w:type="character" w:customStyle="1" w:styleId="Heading1Char">
    <w:name w:val="Heading 1 Char"/>
    <w:basedOn w:val="DefaultParagraphFont"/>
    <w:link w:val="Heading1"/>
    <w:uiPriority w:val="9"/>
    <w:rsid w:val="00E04696"/>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E046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26102">
      <w:bodyDiv w:val="1"/>
      <w:marLeft w:val="0"/>
      <w:marRight w:val="0"/>
      <w:marTop w:val="0"/>
      <w:marBottom w:val="0"/>
      <w:divBdr>
        <w:top w:val="none" w:sz="0" w:space="0" w:color="auto"/>
        <w:left w:val="none" w:sz="0" w:space="0" w:color="auto"/>
        <w:bottom w:val="none" w:sz="0" w:space="0" w:color="auto"/>
        <w:right w:val="none" w:sz="0" w:space="0" w:color="auto"/>
      </w:divBdr>
    </w:div>
    <w:div w:id="81146956">
      <w:bodyDiv w:val="1"/>
      <w:marLeft w:val="0"/>
      <w:marRight w:val="0"/>
      <w:marTop w:val="0"/>
      <w:marBottom w:val="0"/>
      <w:divBdr>
        <w:top w:val="none" w:sz="0" w:space="0" w:color="auto"/>
        <w:left w:val="none" w:sz="0" w:space="0" w:color="auto"/>
        <w:bottom w:val="none" w:sz="0" w:space="0" w:color="auto"/>
        <w:right w:val="none" w:sz="0" w:space="0" w:color="auto"/>
      </w:divBdr>
    </w:div>
    <w:div w:id="218056159">
      <w:bodyDiv w:val="1"/>
      <w:marLeft w:val="0"/>
      <w:marRight w:val="0"/>
      <w:marTop w:val="0"/>
      <w:marBottom w:val="0"/>
      <w:divBdr>
        <w:top w:val="none" w:sz="0" w:space="0" w:color="auto"/>
        <w:left w:val="none" w:sz="0" w:space="0" w:color="auto"/>
        <w:bottom w:val="none" w:sz="0" w:space="0" w:color="auto"/>
        <w:right w:val="none" w:sz="0" w:space="0" w:color="auto"/>
      </w:divBdr>
    </w:div>
    <w:div w:id="249582772">
      <w:bodyDiv w:val="1"/>
      <w:marLeft w:val="0"/>
      <w:marRight w:val="0"/>
      <w:marTop w:val="0"/>
      <w:marBottom w:val="0"/>
      <w:divBdr>
        <w:top w:val="none" w:sz="0" w:space="0" w:color="auto"/>
        <w:left w:val="none" w:sz="0" w:space="0" w:color="auto"/>
        <w:bottom w:val="none" w:sz="0" w:space="0" w:color="auto"/>
        <w:right w:val="none" w:sz="0" w:space="0" w:color="auto"/>
      </w:divBdr>
    </w:div>
    <w:div w:id="286787009">
      <w:bodyDiv w:val="1"/>
      <w:marLeft w:val="0"/>
      <w:marRight w:val="0"/>
      <w:marTop w:val="0"/>
      <w:marBottom w:val="0"/>
      <w:divBdr>
        <w:top w:val="none" w:sz="0" w:space="0" w:color="auto"/>
        <w:left w:val="none" w:sz="0" w:space="0" w:color="auto"/>
        <w:bottom w:val="none" w:sz="0" w:space="0" w:color="auto"/>
        <w:right w:val="none" w:sz="0" w:space="0" w:color="auto"/>
      </w:divBdr>
    </w:div>
    <w:div w:id="370885544">
      <w:bodyDiv w:val="1"/>
      <w:marLeft w:val="0"/>
      <w:marRight w:val="0"/>
      <w:marTop w:val="0"/>
      <w:marBottom w:val="0"/>
      <w:divBdr>
        <w:top w:val="none" w:sz="0" w:space="0" w:color="auto"/>
        <w:left w:val="none" w:sz="0" w:space="0" w:color="auto"/>
        <w:bottom w:val="none" w:sz="0" w:space="0" w:color="auto"/>
        <w:right w:val="none" w:sz="0" w:space="0" w:color="auto"/>
      </w:divBdr>
    </w:div>
    <w:div w:id="382292296">
      <w:bodyDiv w:val="1"/>
      <w:marLeft w:val="0"/>
      <w:marRight w:val="0"/>
      <w:marTop w:val="0"/>
      <w:marBottom w:val="0"/>
      <w:divBdr>
        <w:top w:val="none" w:sz="0" w:space="0" w:color="auto"/>
        <w:left w:val="none" w:sz="0" w:space="0" w:color="auto"/>
        <w:bottom w:val="none" w:sz="0" w:space="0" w:color="auto"/>
        <w:right w:val="none" w:sz="0" w:space="0" w:color="auto"/>
      </w:divBdr>
    </w:div>
    <w:div w:id="404030107">
      <w:bodyDiv w:val="1"/>
      <w:marLeft w:val="0"/>
      <w:marRight w:val="0"/>
      <w:marTop w:val="0"/>
      <w:marBottom w:val="0"/>
      <w:divBdr>
        <w:top w:val="none" w:sz="0" w:space="0" w:color="auto"/>
        <w:left w:val="none" w:sz="0" w:space="0" w:color="auto"/>
        <w:bottom w:val="none" w:sz="0" w:space="0" w:color="auto"/>
        <w:right w:val="none" w:sz="0" w:space="0" w:color="auto"/>
      </w:divBdr>
    </w:div>
    <w:div w:id="489058397">
      <w:bodyDiv w:val="1"/>
      <w:marLeft w:val="0"/>
      <w:marRight w:val="0"/>
      <w:marTop w:val="0"/>
      <w:marBottom w:val="0"/>
      <w:divBdr>
        <w:top w:val="none" w:sz="0" w:space="0" w:color="auto"/>
        <w:left w:val="none" w:sz="0" w:space="0" w:color="auto"/>
        <w:bottom w:val="none" w:sz="0" w:space="0" w:color="auto"/>
        <w:right w:val="none" w:sz="0" w:space="0" w:color="auto"/>
      </w:divBdr>
    </w:div>
    <w:div w:id="490294964">
      <w:bodyDiv w:val="1"/>
      <w:marLeft w:val="0"/>
      <w:marRight w:val="0"/>
      <w:marTop w:val="0"/>
      <w:marBottom w:val="0"/>
      <w:divBdr>
        <w:top w:val="none" w:sz="0" w:space="0" w:color="auto"/>
        <w:left w:val="none" w:sz="0" w:space="0" w:color="auto"/>
        <w:bottom w:val="none" w:sz="0" w:space="0" w:color="auto"/>
        <w:right w:val="none" w:sz="0" w:space="0" w:color="auto"/>
      </w:divBdr>
    </w:div>
    <w:div w:id="494300796">
      <w:bodyDiv w:val="1"/>
      <w:marLeft w:val="0"/>
      <w:marRight w:val="0"/>
      <w:marTop w:val="0"/>
      <w:marBottom w:val="0"/>
      <w:divBdr>
        <w:top w:val="none" w:sz="0" w:space="0" w:color="auto"/>
        <w:left w:val="none" w:sz="0" w:space="0" w:color="auto"/>
        <w:bottom w:val="none" w:sz="0" w:space="0" w:color="auto"/>
        <w:right w:val="none" w:sz="0" w:space="0" w:color="auto"/>
      </w:divBdr>
    </w:div>
    <w:div w:id="580483617">
      <w:bodyDiv w:val="1"/>
      <w:marLeft w:val="0"/>
      <w:marRight w:val="0"/>
      <w:marTop w:val="0"/>
      <w:marBottom w:val="0"/>
      <w:divBdr>
        <w:top w:val="none" w:sz="0" w:space="0" w:color="auto"/>
        <w:left w:val="none" w:sz="0" w:space="0" w:color="auto"/>
        <w:bottom w:val="none" w:sz="0" w:space="0" w:color="auto"/>
        <w:right w:val="none" w:sz="0" w:space="0" w:color="auto"/>
      </w:divBdr>
    </w:div>
    <w:div w:id="584075533">
      <w:bodyDiv w:val="1"/>
      <w:marLeft w:val="0"/>
      <w:marRight w:val="0"/>
      <w:marTop w:val="0"/>
      <w:marBottom w:val="0"/>
      <w:divBdr>
        <w:top w:val="none" w:sz="0" w:space="0" w:color="auto"/>
        <w:left w:val="none" w:sz="0" w:space="0" w:color="auto"/>
        <w:bottom w:val="none" w:sz="0" w:space="0" w:color="auto"/>
        <w:right w:val="none" w:sz="0" w:space="0" w:color="auto"/>
      </w:divBdr>
    </w:div>
    <w:div w:id="681277010">
      <w:bodyDiv w:val="1"/>
      <w:marLeft w:val="0"/>
      <w:marRight w:val="0"/>
      <w:marTop w:val="0"/>
      <w:marBottom w:val="0"/>
      <w:divBdr>
        <w:top w:val="none" w:sz="0" w:space="0" w:color="auto"/>
        <w:left w:val="none" w:sz="0" w:space="0" w:color="auto"/>
        <w:bottom w:val="none" w:sz="0" w:space="0" w:color="auto"/>
        <w:right w:val="none" w:sz="0" w:space="0" w:color="auto"/>
      </w:divBdr>
    </w:div>
    <w:div w:id="745148150">
      <w:bodyDiv w:val="1"/>
      <w:marLeft w:val="0"/>
      <w:marRight w:val="0"/>
      <w:marTop w:val="0"/>
      <w:marBottom w:val="0"/>
      <w:divBdr>
        <w:top w:val="none" w:sz="0" w:space="0" w:color="auto"/>
        <w:left w:val="none" w:sz="0" w:space="0" w:color="auto"/>
        <w:bottom w:val="none" w:sz="0" w:space="0" w:color="auto"/>
        <w:right w:val="none" w:sz="0" w:space="0" w:color="auto"/>
      </w:divBdr>
    </w:div>
    <w:div w:id="958992988">
      <w:bodyDiv w:val="1"/>
      <w:marLeft w:val="0"/>
      <w:marRight w:val="0"/>
      <w:marTop w:val="0"/>
      <w:marBottom w:val="0"/>
      <w:divBdr>
        <w:top w:val="none" w:sz="0" w:space="0" w:color="auto"/>
        <w:left w:val="none" w:sz="0" w:space="0" w:color="auto"/>
        <w:bottom w:val="none" w:sz="0" w:space="0" w:color="auto"/>
        <w:right w:val="none" w:sz="0" w:space="0" w:color="auto"/>
      </w:divBdr>
    </w:div>
    <w:div w:id="971718287">
      <w:bodyDiv w:val="1"/>
      <w:marLeft w:val="0"/>
      <w:marRight w:val="0"/>
      <w:marTop w:val="0"/>
      <w:marBottom w:val="0"/>
      <w:divBdr>
        <w:top w:val="none" w:sz="0" w:space="0" w:color="auto"/>
        <w:left w:val="none" w:sz="0" w:space="0" w:color="auto"/>
        <w:bottom w:val="none" w:sz="0" w:space="0" w:color="auto"/>
        <w:right w:val="none" w:sz="0" w:space="0" w:color="auto"/>
      </w:divBdr>
    </w:div>
    <w:div w:id="1007294110">
      <w:bodyDiv w:val="1"/>
      <w:marLeft w:val="0"/>
      <w:marRight w:val="0"/>
      <w:marTop w:val="0"/>
      <w:marBottom w:val="0"/>
      <w:divBdr>
        <w:top w:val="none" w:sz="0" w:space="0" w:color="auto"/>
        <w:left w:val="none" w:sz="0" w:space="0" w:color="auto"/>
        <w:bottom w:val="none" w:sz="0" w:space="0" w:color="auto"/>
        <w:right w:val="none" w:sz="0" w:space="0" w:color="auto"/>
      </w:divBdr>
    </w:div>
    <w:div w:id="1116410075">
      <w:bodyDiv w:val="1"/>
      <w:marLeft w:val="0"/>
      <w:marRight w:val="0"/>
      <w:marTop w:val="0"/>
      <w:marBottom w:val="0"/>
      <w:divBdr>
        <w:top w:val="none" w:sz="0" w:space="0" w:color="auto"/>
        <w:left w:val="none" w:sz="0" w:space="0" w:color="auto"/>
        <w:bottom w:val="none" w:sz="0" w:space="0" w:color="auto"/>
        <w:right w:val="none" w:sz="0" w:space="0" w:color="auto"/>
      </w:divBdr>
    </w:div>
    <w:div w:id="1123228934">
      <w:bodyDiv w:val="1"/>
      <w:marLeft w:val="0"/>
      <w:marRight w:val="0"/>
      <w:marTop w:val="0"/>
      <w:marBottom w:val="0"/>
      <w:divBdr>
        <w:top w:val="none" w:sz="0" w:space="0" w:color="auto"/>
        <w:left w:val="none" w:sz="0" w:space="0" w:color="auto"/>
        <w:bottom w:val="none" w:sz="0" w:space="0" w:color="auto"/>
        <w:right w:val="none" w:sz="0" w:space="0" w:color="auto"/>
      </w:divBdr>
    </w:div>
    <w:div w:id="1160003173">
      <w:bodyDiv w:val="1"/>
      <w:marLeft w:val="0"/>
      <w:marRight w:val="0"/>
      <w:marTop w:val="0"/>
      <w:marBottom w:val="0"/>
      <w:divBdr>
        <w:top w:val="none" w:sz="0" w:space="0" w:color="auto"/>
        <w:left w:val="none" w:sz="0" w:space="0" w:color="auto"/>
        <w:bottom w:val="none" w:sz="0" w:space="0" w:color="auto"/>
        <w:right w:val="none" w:sz="0" w:space="0" w:color="auto"/>
      </w:divBdr>
    </w:div>
    <w:div w:id="1235821790">
      <w:bodyDiv w:val="1"/>
      <w:marLeft w:val="0"/>
      <w:marRight w:val="0"/>
      <w:marTop w:val="0"/>
      <w:marBottom w:val="0"/>
      <w:divBdr>
        <w:top w:val="none" w:sz="0" w:space="0" w:color="auto"/>
        <w:left w:val="none" w:sz="0" w:space="0" w:color="auto"/>
        <w:bottom w:val="none" w:sz="0" w:space="0" w:color="auto"/>
        <w:right w:val="none" w:sz="0" w:space="0" w:color="auto"/>
      </w:divBdr>
    </w:div>
    <w:div w:id="1299071585">
      <w:bodyDiv w:val="1"/>
      <w:marLeft w:val="0"/>
      <w:marRight w:val="0"/>
      <w:marTop w:val="0"/>
      <w:marBottom w:val="0"/>
      <w:divBdr>
        <w:top w:val="none" w:sz="0" w:space="0" w:color="auto"/>
        <w:left w:val="none" w:sz="0" w:space="0" w:color="auto"/>
        <w:bottom w:val="none" w:sz="0" w:space="0" w:color="auto"/>
        <w:right w:val="none" w:sz="0" w:space="0" w:color="auto"/>
      </w:divBdr>
    </w:div>
    <w:div w:id="1406101421">
      <w:bodyDiv w:val="1"/>
      <w:marLeft w:val="0"/>
      <w:marRight w:val="0"/>
      <w:marTop w:val="0"/>
      <w:marBottom w:val="0"/>
      <w:divBdr>
        <w:top w:val="none" w:sz="0" w:space="0" w:color="auto"/>
        <w:left w:val="none" w:sz="0" w:space="0" w:color="auto"/>
        <w:bottom w:val="none" w:sz="0" w:space="0" w:color="auto"/>
        <w:right w:val="none" w:sz="0" w:space="0" w:color="auto"/>
      </w:divBdr>
    </w:div>
    <w:div w:id="1534223053">
      <w:bodyDiv w:val="1"/>
      <w:marLeft w:val="0"/>
      <w:marRight w:val="0"/>
      <w:marTop w:val="0"/>
      <w:marBottom w:val="0"/>
      <w:divBdr>
        <w:top w:val="none" w:sz="0" w:space="0" w:color="auto"/>
        <w:left w:val="none" w:sz="0" w:space="0" w:color="auto"/>
        <w:bottom w:val="none" w:sz="0" w:space="0" w:color="auto"/>
        <w:right w:val="none" w:sz="0" w:space="0" w:color="auto"/>
      </w:divBdr>
    </w:div>
    <w:div w:id="1612667593">
      <w:bodyDiv w:val="1"/>
      <w:marLeft w:val="0"/>
      <w:marRight w:val="0"/>
      <w:marTop w:val="0"/>
      <w:marBottom w:val="0"/>
      <w:divBdr>
        <w:top w:val="none" w:sz="0" w:space="0" w:color="auto"/>
        <w:left w:val="none" w:sz="0" w:space="0" w:color="auto"/>
        <w:bottom w:val="none" w:sz="0" w:space="0" w:color="auto"/>
        <w:right w:val="none" w:sz="0" w:space="0" w:color="auto"/>
      </w:divBdr>
    </w:div>
    <w:div w:id="1661041254">
      <w:bodyDiv w:val="1"/>
      <w:marLeft w:val="0"/>
      <w:marRight w:val="0"/>
      <w:marTop w:val="0"/>
      <w:marBottom w:val="0"/>
      <w:divBdr>
        <w:top w:val="none" w:sz="0" w:space="0" w:color="auto"/>
        <w:left w:val="none" w:sz="0" w:space="0" w:color="auto"/>
        <w:bottom w:val="none" w:sz="0" w:space="0" w:color="auto"/>
        <w:right w:val="none" w:sz="0" w:space="0" w:color="auto"/>
      </w:divBdr>
    </w:div>
    <w:div w:id="1821462204">
      <w:bodyDiv w:val="1"/>
      <w:marLeft w:val="0"/>
      <w:marRight w:val="0"/>
      <w:marTop w:val="0"/>
      <w:marBottom w:val="0"/>
      <w:divBdr>
        <w:top w:val="none" w:sz="0" w:space="0" w:color="auto"/>
        <w:left w:val="none" w:sz="0" w:space="0" w:color="auto"/>
        <w:bottom w:val="none" w:sz="0" w:space="0" w:color="auto"/>
        <w:right w:val="none" w:sz="0" w:space="0" w:color="auto"/>
      </w:divBdr>
    </w:div>
    <w:div w:id="1870490621">
      <w:bodyDiv w:val="1"/>
      <w:marLeft w:val="0"/>
      <w:marRight w:val="0"/>
      <w:marTop w:val="0"/>
      <w:marBottom w:val="0"/>
      <w:divBdr>
        <w:top w:val="none" w:sz="0" w:space="0" w:color="auto"/>
        <w:left w:val="none" w:sz="0" w:space="0" w:color="auto"/>
        <w:bottom w:val="none" w:sz="0" w:space="0" w:color="auto"/>
        <w:right w:val="none" w:sz="0" w:space="0" w:color="auto"/>
      </w:divBdr>
    </w:div>
    <w:div w:id="1882083744">
      <w:bodyDiv w:val="1"/>
      <w:marLeft w:val="0"/>
      <w:marRight w:val="0"/>
      <w:marTop w:val="0"/>
      <w:marBottom w:val="0"/>
      <w:divBdr>
        <w:top w:val="none" w:sz="0" w:space="0" w:color="auto"/>
        <w:left w:val="none" w:sz="0" w:space="0" w:color="auto"/>
        <w:bottom w:val="none" w:sz="0" w:space="0" w:color="auto"/>
        <w:right w:val="none" w:sz="0" w:space="0" w:color="auto"/>
      </w:divBdr>
    </w:div>
    <w:div w:id="1891452612">
      <w:bodyDiv w:val="1"/>
      <w:marLeft w:val="0"/>
      <w:marRight w:val="0"/>
      <w:marTop w:val="0"/>
      <w:marBottom w:val="0"/>
      <w:divBdr>
        <w:top w:val="none" w:sz="0" w:space="0" w:color="auto"/>
        <w:left w:val="none" w:sz="0" w:space="0" w:color="auto"/>
        <w:bottom w:val="none" w:sz="0" w:space="0" w:color="auto"/>
        <w:right w:val="none" w:sz="0" w:space="0" w:color="auto"/>
      </w:divBdr>
    </w:div>
    <w:div w:id="1925332415">
      <w:bodyDiv w:val="1"/>
      <w:marLeft w:val="0"/>
      <w:marRight w:val="0"/>
      <w:marTop w:val="0"/>
      <w:marBottom w:val="0"/>
      <w:divBdr>
        <w:top w:val="none" w:sz="0" w:space="0" w:color="auto"/>
        <w:left w:val="none" w:sz="0" w:space="0" w:color="auto"/>
        <w:bottom w:val="none" w:sz="0" w:space="0" w:color="auto"/>
        <w:right w:val="none" w:sz="0" w:space="0" w:color="auto"/>
      </w:divBdr>
    </w:div>
    <w:div w:id="1928465173">
      <w:bodyDiv w:val="1"/>
      <w:marLeft w:val="0"/>
      <w:marRight w:val="0"/>
      <w:marTop w:val="0"/>
      <w:marBottom w:val="0"/>
      <w:divBdr>
        <w:top w:val="none" w:sz="0" w:space="0" w:color="auto"/>
        <w:left w:val="none" w:sz="0" w:space="0" w:color="auto"/>
        <w:bottom w:val="none" w:sz="0" w:space="0" w:color="auto"/>
        <w:right w:val="none" w:sz="0" w:space="0" w:color="auto"/>
      </w:divBdr>
    </w:div>
    <w:div w:id="1965425379">
      <w:bodyDiv w:val="1"/>
      <w:marLeft w:val="0"/>
      <w:marRight w:val="0"/>
      <w:marTop w:val="0"/>
      <w:marBottom w:val="0"/>
      <w:divBdr>
        <w:top w:val="none" w:sz="0" w:space="0" w:color="auto"/>
        <w:left w:val="none" w:sz="0" w:space="0" w:color="auto"/>
        <w:bottom w:val="none" w:sz="0" w:space="0" w:color="auto"/>
        <w:right w:val="none" w:sz="0" w:space="0" w:color="auto"/>
      </w:divBdr>
    </w:div>
    <w:div w:id="1979337789">
      <w:bodyDiv w:val="1"/>
      <w:marLeft w:val="0"/>
      <w:marRight w:val="0"/>
      <w:marTop w:val="0"/>
      <w:marBottom w:val="0"/>
      <w:divBdr>
        <w:top w:val="none" w:sz="0" w:space="0" w:color="auto"/>
        <w:left w:val="none" w:sz="0" w:space="0" w:color="auto"/>
        <w:bottom w:val="none" w:sz="0" w:space="0" w:color="auto"/>
        <w:right w:val="none" w:sz="0" w:space="0" w:color="auto"/>
      </w:divBdr>
    </w:div>
    <w:div w:id="2029867064">
      <w:bodyDiv w:val="1"/>
      <w:marLeft w:val="0"/>
      <w:marRight w:val="0"/>
      <w:marTop w:val="0"/>
      <w:marBottom w:val="0"/>
      <w:divBdr>
        <w:top w:val="none" w:sz="0" w:space="0" w:color="auto"/>
        <w:left w:val="none" w:sz="0" w:space="0" w:color="auto"/>
        <w:bottom w:val="none" w:sz="0" w:space="0" w:color="auto"/>
        <w:right w:val="none" w:sz="0" w:space="0" w:color="auto"/>
      </w:divBdr>
    </w:div>
    <w:div w:id="2030521228">
      <w:bodyDiv w:val="1"/>
      <w:marLeft w:val="0"/>
      <w:marRight w:val="0"/>
      <w:marTop w:val="0"/>
      <w:marBottom w:val="0"/>
      <w:divBdr>
        <w:top w:val="none" w:sz="0" w:space="0" w:color="auto"/>
        <w:left w:val="none" w:sz="0" w:space="0" w:color="auto"/>
        <w:bottom w:val="none" w:sz="0" w:space="0" w:color="auto"/>
        <w:right w:val="none" w:sz="0" w:space="0" w:color="auto"/>
      </w:divBdr>
    </w:div>
    <w:div w:id="205588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VGo50</b:Tag>
    <b:SourceType>JournalArticle</b:SourceType>
    <b:Guid>{8EA23DE4-1612-462B-ACBD-8C602FA5187B}</b:Guid>
    <b:Title>The Urban Revolution</b:Title>
    <b:Year>1950</b:Year>
    <b:Author>
      <b:Author>
        <b:NameList>
          <b:Person>
            <b:Last>Childe</b:Last>
            <b:First>V.</b:First>
            <b:Middle>Gordon</b:Middle>
          </b:Person>
        </b:NameList>
      </b:Author>
    </b:Author>
    <b:JournalName>The Town Planning Review</b:JournalName>
    <b:Pages>3-17</b:Pages>
    <b:RefOrder>1</b:RefOrder>
  </b:Source>
  <b:Source>
    <b:Tag>Ian13</b:Tag>
    <b:SourceType>JournalArticle</b:SourceType>
    <b:Guid>{700818A5-5E26-4E11-ADAE-7961EB7E26DD}</b:Guid>
    <b:Author>
      <b:Author>
        <b:NameList>
          <b:Person>
            <b:Last>Milevski</b:Last>
            <b:First>Ianir</b:First>
          </b:Person>
        </b:NameList>
      </b:Author>
    </b:Author>
    <b:Title>The Transition from the Chalcolithic to the Early Bronze Age of the Southern Levant in socio-economic context</b:Title>
    <b:JournalName>Paleorient</b:JournalName>
    <b:Year>2013</b:Year>
    <b:Pages>193-208</b:Pages>
    <b:RefOrder>5</b:RefOrder>
  </b:Source>
  <b:Source>
    <b:Tag>Wae13</b:Tag>
    <b:SourceType>JournalArticle</b:SourceType>
    <b:Guid>{D912E461-E4E8-4827-B781-F365398D47D8}</b:Guid>
    <b:Author>
      <b:Author>
        <b:NameList>
          <b:Person>
            <b:Last>Abu-Azizeh</b:Last>
            <b:First>Wael</b:First>
          </b:Person>
        </b:NameList>
      </b:Author>
    </b:Author>
    <b:Title>The South-Eastern Jordan's Chalcolithic-Early Bronze Age Pastoral Nomadic Comples: Patterns of Mobility and Interaction</b:Title>
    <b:JournalName>Paleorient</b:JournalName>
    <b:Year>2013</b:Year>
    <b:Pages>149-176</b:Pages>
    <b:RefOrder>2</b:RefOrder>
  </b:Source>
  <b:Source>
    <b:Tag>Gre12</b:Tag>
    <b:SourceType>JournalArticle</b:SourceType>
    <b:Guid>{5EC6B46F-05DB-4A36-ACBF-D7FEA0D78966}</b:Guid>
    <b:Title>Tel Bet Yerah: Hub of the Early Bronze Age Levant</b:Title>
    <b:JournalName>Near Eastern Archaeology</b:JournalName>
    <b:Year>2012</b:Year>
    <b:Pages>88-107</b:Pages>
    <b:Author>
      <b:Author>
        <b:NameList>
          <b:Person>
            <b:Last>Greenberg</b:Last>
            <b:First>Raphael</b:First>
          </b:Person>
          <b:Person>
            <b:Last>Paz</b:Last>
            <b:First>Sarit</b:First>
          </b:Person>
          <b:Person>
            <b:Last>Wengrow</b:Last>
            <b:First>David</b:First>
          </b:Person>
          <b:Person>
            <b:Last>Iserlis</b:Last>
            <b:First>Mark</b:First>
          </b:Person>
        </b:NameList>
      </b:Author>
    </b:Author>
    <b:RefOrder>4</b:RefOrder>
  </b:Source>
  <b:Source>
    <b:Tag>Zei11</b:Tag>
    <b:SourceType>JournalArticle</b:SourceType>
    <b:Guid>{B9B2709D-5AC8-49A7-9738-03D8C30F130E}</b:Guid>
    <b:Title>Neither Early Bronze Age Cities Not States in the South of the Levant: Another Perspective</b:Title>
    <b:Year>2011</b:Year>
    <b:Pages>47-57</b:Pages>
    <b:Author>
      <b:Author>
        <b:NameList>
          <b:Person>
            <b:Last>Kafafi</b:Last>
            <b:First>Zeidan</b:First>
            <b:Middle>A.</b:Middle>
          </b:Person>
        </b:NameList>
      </b:Author>
    </b:Author>
    <b:JournalName>Syria</b:JournalName>
    <b:RefOrder>3</b:RefOrder>
  </b:Source>
</b:Sources>
</file>

<file path=customXml/itemProps1.xml><?xml version="1.0" encoding="utf-8"?>
<ds:datastoreItem xmlns:ds="http://schemas.openxmlformats.org/officeDocument/2006/customXml" ds:itemID="{CEC7DE71-AB1C-4EFF-9E51-D4B4B0366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4</Pages>
  <Words>1947</Words>
  <Characters>11099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Murray</dc:creator>
  <cp:keywords/>
  <dc:description/>
  <cp:lastModifiedBy>Joshua Murray</cp:lastModifiedBy>
  <cp:revision>14</cp:revision>
  <dcterms:created xsi:type="dcterms:W3CDTF">2020-04-17T15:36:00Z</dcterms:created>
  <dcterms:modified xsi:type="dcterms:W3CDTF">2020-04-17T21:52:00Z</dcterms:modified>
</cp:coreProperties>
</file>