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4033437"/>
        <w:docPartObj>
          <w:docPartGallery w:val="Cover Pages"/>
          <w:docPartUnique/>
        </w:docPartObj>
      </w:sdtPr>
      <w:sdtEndPr>
        <w:rPr>
          <w:sz w:val="24"/>
          <w:szCs w:val="24"/>
        </w:rPr>
      </w:sdtEndPr>
      <w:sdtContent>
        <w:p w14:paraId="048ED780" w14:textId="40DF09F6" w:rsidR="00975B02" w:rsidRDefault="00975B02">
          <w:r>
            <w:rPr>
              <w:noProof/>
            </w:rPr>
            <mc:AlternateContent>
              <mc:Choice Requires="wpg">
                <w:drawing>
                  <wp:anchor distT="0" distB="0" distL="114300" distR="114300" simplePos="0" relativeHeight="251659264" behindDoc="1" locked="0" layoutInCell="1" allowOverlap="1" wp14:anchorId="76EDEA65" wp14:editId="20460B90">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3C5D31D" w14:textId="77777777" w:rsidR="00975B02" w:rsidRDefault="00975B0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DA7551" w14:textId="72A88695" w:rsidR="00975B02" w:rsidRDefault="00975B0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- 2319007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3D37533" w14:textId="72FF81E7" w:rsidR="00975B02" w:rsidRDefault="005C3496">
                                      <w:pPr>
                                        <w:pStyle w:val="NoSpacing"/>
                                        <w:spacing w:before="120"/>
                                        <w:rPr>
                                          <w:color w:val="156082" w:themeColor="accent1"/>
                                          <w:sz w:val="36"/>
                                          <w:szCs w:val="36"/>
                                        </w:rPr>
                                      </w:pPr>
                                      <w:r>
                                        <w:rPr>
                                          <w:color w:val="156082" w:themeColor="accent1"/>
                                          <w:sz w:val="36"/>
                                          <w:szCs w:val="36"/>
                                        </w:rPr>
                                        <w:t>Internal Memorandum</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EDEA65"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3C5D31D" w14:textId="77777777" w:rsidR="00975B02" w:rsidRDefault="00975B0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DA7551" w14:textId="72A88695" w:rsidR="00975B02" w:rsidRDefault="00975B0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- 2319007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3D37533" w14:textId="72FF81E7" w:rsidR="00975B02" w:rsidRDefault="005C3496">
                                <w:pPr>
                                  <w:pStyle w:val="NoSpacing"/>
                                  <w:spacing w:before="120"/>
                                  <w:rPr>
                                    <w:color w:val="156082" w:themeColor="accent1"/>
                                    <w:sz w:val="36"/>
                                    <w:szCs w:val="36"/>
                                  </w:rPr>
                                </w:pPr>
                                <w:r>
                                  <w:rPr>
                                    <w:color w:val="156082" w:themeColor="accent1"/>
                                    <w:sz w:val="36"/>
                                    <w:szCs w:val="36"/>
                                  </w:rPr>
                                  <w:t>Internal Memorandum</w:t>
                                </w:r>
                              </w:p>
                            </w:sdtContent>
                          </w:sdt>
                        </w:txbxContent>
                      </v:textbox>
                    </v:shape>
                    <w10:wrap anchorx="page" anchory="page"/>
                  </v:group>
                </w:pict>
              </mc:Fallback>
            </mc:AlternateContent>
          </w:r>
        </w:p>
        <w:p w14:paraId="19DFCC65" w14:textId="3A3646A4" w:rsidR="00975B02" w:rsidRDefault="00975B02">
          <w:pPr>
            <w:spacing w:after="160" w:line="278" w:lineRule="auto"/>
            <w:rPr>
              <w:sz w:val="24"/>
              <w:szCs w:val="24"/>
            </w:rPr>
          </w:pPr>
          <w:r>
            <w:rPr>
              <w:sz w:val="24"/>
              <w:szCs w:val="24"/>
            </w:rPr>
            <w:br w:type="page"/>
          </w:r>
        </w:p>
      </w:sdtContent>
    </w:sdt>
    <w:p w14:paraId="0CC332CB" w14:textId="2AAF15B0" w:rsidR="00351F82" w:rsidRPr="00B22A80" w:rsidRDefault="00351F82" w:rsidP="00351F82">
      <w:pPr>
        <w:rPr>
          <w:rFonts w:ascii="Arial" w:hAnsi="Arial" w:cs="Arial"/>
          <w:b/>
          <w:bCs/>
          <w:sz w:val="24"/>
          <w:szCs w:val="24"/>
          <w:u w:val="single"/>
        </w:rPr>
      </w:pPr>
      <w:r w:rsidRPr="00B22A80">
        <w:rPr>
          <w:rFonts w:ascii="Arial" w:hAnsi="Arial" w:cs="Arial"/>
          <w:b/>
          <w:bCs/>
          <w:sz w:val="24"/>
          <w:szCs w:val="24"/>
          <w:u w:val="single"/>
        </w:rPr>
        <w:lastRenderedPageBreak/>
        <w:t>INTERNAL MEMORANDUM</w:t>
      </w:r>
    </w:p>
    <w:p w14:paraId="37805E5A" w14:textId="77777777" w:rsidR="00351F82" w:rsidRPr="00B22A80" w:rsidRDefault="00351F82" w:rsidP="00351F82">
      <w:pPr>
        <w:rPr>
          <w:rFonts w:ascii="Arial" w:hAnsi="Arial" w:cs="Arial"/>
          <w:b/>
          <w:bCs/>
          <w:sz w:val="24"/>
          <w:szCs w:val="24"/>
          <w:u w:val="single"/>
        </w:rPr>
      </w:pPr>
    </w:p>
    <w:p w14:paraId="52B07CE8" w14:textId="77777777" w:rsidR="00351F82" w:rsidRPr="00B22A80" w:rsidRDefault="00351F82" w:rsidP="00351F82">
      <w:pPr>
        <w:rPr>
          <w:rFonts w:ascii="Arial" w:hAnsi="Arial" w:cs="Arial"/>
          <w:b/>
          <w:bCs/>
          <w:sz w:val="24"/>
          <w:szCs w:val="24"/>
        </w:rPr>
      </w:pPr>
      <w:r w:rsidRPr="00B22A80">
        <w:rPr>
          <w:rFonts w:ascii="Arial" w:hAnsi="Arial" w:cs="Arial"/>
          <w:b/>
          <w:bCs/>
          <w:sz w:val="24"/>
          <w:szCs w:val="24"/>
        </w:rPr>
        <w:t xml:space="preserve">TO: </w:t>
      </w:r>
      <w:r>
        <w:rPr>
          <w:rFonts w:ascii="Arial" w:hAnsi="Arial" w:cs="Arial"/>
          <w:b/>
          <w:bCs/>
          <w:sz w:val="24"/>
          <w:szCs w:val="24"/>
        </w:rPr>
        <w:t>Ada Adebayo</w:t>
      </w:r>
    </w:p>
    <w:p w14:paraId="57B4C4CB" w14:textId="77777777" w:rsidR="00351F82" w:rsidRPr="00B22A80" w:rsidRDefault="00351F82" w:rsidP="00351F82">
      <w:pPr>
        <w:rPr>
          <w:rFonts w:ascii="Arial" w:hAnsi="Arial" w:cs="Arial"/>
          <w:b/>
          <w:bCs/>
          <w:sz w:val="24"/>
          <w:szCs w:val="24"/>
        </w:rPr>
      </w:pPr>
    </w:p>
    <w:p w14:paraId="4CEE8AE5" w14:textId="77777777" w:rsidR="00351F82" w:rsidRPr="00B22A80" w:rsidRDefault="00351F82" w:rsidP="00351F82">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 xml:space="preserve">Jade Brown  </w:t>
      </w:r>
    </w:p>
    <w:p w14:paraId="76534349" w14:textId="77777777" w:rsidR="00351F82" w:rsidRPr="00B22A80" w:rsidRDefault="00351F82" w:rsidP="00351F82">
      <w:pPr>
        <w:rPr>
          <w:rFonts w:ascii="Arial" w:hAnsi="Arial" w:cs="Arial"/>
          <w:b/>
          <w:bCs/>
          <w:sz w:val="24"/>
          <w:szCs w:val="24"/>
        </w:rPr>
      </w:pPr>
    </w:p>
    <w:p w14:paraId="73494E63" w14:textId="77777777" w:rsidR="00351F82" w:rsidRPr="00B22A80" w:rsidRDefault="00351F82" w:rsidP="00351F82">
      <w:pPr>
        <w:rPr>
          <w:rFonts w:ascii="Arial" w:hAnsi="Arial" w:cs="Arial"/>
          <w:b/>
          <w:bCs/>
          <w:sz w:val="24"/>
          <w:szCs w:val="24"/>
        </w:rPr>
      </w:pPr>
      <w:r w:rsidRPr="00B22A80">
        <w:rPr>
          <w:rFonts w:ascii="Arial" w:hAnsi="Arial" w:cs="Arial"/>
          <w:b/>
          <w:bCs/>
          <w:sz w:val="24"/>
          <w:szCs w:val="24"/>
        </w:rPr>
        <w:t xml:space="preserve">MATTER: Case of </w:t>
      </w:r>
      <w:r>
        <w:rPr>
          <w:rFonts w:ascii="Arial" w:hAnsi="Arial" w:cs="Arial"/>
          <w:b/>
          <w:bCs/>
          <w:sz w:val="24"/>
          <w:szCs w:val="24"/>
        </w:rPr>
        <w:t>Kim Cottrell</w:t>
      </w:r>
    </w:p>
    <w:p w14:paraId="5E512A5E" w14:textId="77777777" w:rsidR="00351F82" w:rsidRPr="00B22A80" w:rsidRDefault="00351F82" w:rsidP="00351F82">
      <w:pPr>
        <w:rPr>
          <w:rFonts w:ascii="Arial" w:hAnsi="Arial" w:cs="Arial"/>
          <w:b/>
          <w:bCs/>
          <w:sz w:val="24"/>
          <w:szCs w:val="24"/>
        </w:rPr>
      </w:pPr>
    </w:p>
    <w:p w14:paraId="6AD34278" w14:textId="77777777" w:rsidR="00351F82" w:rsidRDefault="00351F82" w:rsidP="00351F82">
      <w:pPr>
        <w:rPr>
          <w:rFonts w:ascii="Arial" w:hAnsi="Arial" w:cs="Arial"/>
          <w:b/>
          <w:bCs/>
          <w:sz w:val="24"/>
          <w:szCs w:val="24"/>
        </w:rPr>
      </w:pPr>
      <w:r w:rsidRPr="00B22A80">
        <w:rPr>
          <w:rFonts w:ascii="Arial" w:hAnsi="Arial" w:cs="Arial"/>
          <w:b/>
          <w:bCs/>
          <w:sz w:val="24"/>
          <w:szCs w:val="24"/>
        </w:rPr>
        <w:t xml:space="preserve">DATE: </w:t>
      </w:r>
      <w:r>
        <w:rPr>
          <w:rFonts w:ascii="Arial" w:hAnsi="Arial" w:cs="Arial"/>
          <w:b/>
          <w:bCs/>
          <w:sz w:val="24"/>
          <w:szCs w:val="24"/>
        </w:rPr>
        <w:t>15 March 2024</w:t>
      </w:r>
    </w:p>
    <w:p w14:paraId="45A9EC21" w14:textId="77777777" w:rsidR="00351F82" w:rsidRDefault="00351F82" w:rsidP="00351F82">
      <w:pPr>
        <w:rPr>
          <w:rFonts w:ascii="Arial" w:hAnsi="Arial" w:cs="Arial"/>
          <w:b/>
          <w:bCs/>
          <w:sz w:val="24"/>
          <w:szCs w:val="24"/>
        </w:rPr>
      </w:pPr>
    </w:p>
    <w:p w14:paraId="22D4959E" w14:textId="77777777" w:rsidR="00351F82" w:rsidRDefault="00351F82" w:rsidP="00351F82">
      <w:pPr>
        <w:rPr>
          <w:rFonts w:ascii="Arial" w:hAnsi="Arial" w:cs="Arial"/>
          <w:b/>
          <w:bCs/>
          <w:sz w:val="24"/>
          <w:szCs w:val="24"/>
        </w:rPr>
      </w:pPr>
    </w:p>
    <w:p w14:paraId="507C89E4" w14:textId="77777777" w:rsidR="00351F82" w:rsidRPr="00593E6B" w:rsidRDefault="00351F82" w:rsidP="00351F82">
      <w:pPr>
        <w:rPr>
          <w:sz w:val="24"/>
          <w:szCs w:val="24"/>
          <w:u w:val="single"/>
        </w:rPr>
      </w:pPr>
      <w:r w:rsidRPr="00593E6B">
        <w:rPr>
          <w:sz w:val="24"/>
          <w:szCs w:val="24"/>
          <w:u w:val="single"/>
        </w:rPr>
        <w:t xml:space="preserve">Background – </w:t>
      </w:r>
    </w:p>
    <w:p w14:paraId="54C2D235" w14:textId="77777777" w:rsidR="00351F82" w:rsidRDefault="00351F82" w:rsidP="00351F82">
      <w:pPr>
        <w:rPr>
          <w:sz w:val="24"/>
          <w:szCs w:val="24"/>
        </w:rPr>
      </w:pPr>
    </w:p>
    <w:p w14:paraId="5107280D" w14:textId="77777777" w:rsidR="00351F82" w:rsidRPr="000951CB" w:rsidRDefault="00351F82" w:rsidP="00351F82">
      <w:pPr>
        <w:rPr>
          <w:sz w:val="24"/>
          <w:szCs w:val="24"/>
        </w:rPr>
      </w:pPr>
      <w:r w:rsidRPr="000951CB">
        <w:rPr>
          <w:sz w:val="24"/>
          <w:szCs w:val="24"/>
        </w:rPr>
        <w:t>Our client,</w:t>
      </w:r>
      <w:r>
        <w:rPr>
          <w:sz w:val="24"/>
          <w:szCs w:val="24"/>
        </w:rPr>
        <w:t xml:space="preserve"> </w:t>
      </w:r>
      <w:r w:rsidRPr="000951CB">
        <w:rPr>
          <w:sz w:val="24"/>
          <w:szCs w:val="24"/>
        </w:rPr>
        <w:t xml:space="preserve">Kim Cottrell, aged 26, is currently confronting a charge of Assault Occasioning Actual Bodily Harm resulting from an altercation at the Dog and Duck Public House. The incident transpired on Saturday, March 2nd, 2024, in the aftermath of her aunt's passing. Bob Branning, the alleged victim, made a disparaging comment regarding the deceased, provoking </w:t>
      </w:r>
      <w:r>
        <w:rPr>
          <w:sz w:val="24"/>
          <w:szCs w:val="24"/>
        </w:rPr>
        <w:t>Kim</w:t>
      </w:r>
      <w:r w:rsidRPr="000951CB">
        <w:rPr>
          <w:sz w:val="24"/>
          <w:szCs w:val="24"/>
        </w:rPr>
        <w:t xml:space="preserve"> to respond with a physical altercation that resulted in noticeable bruising to </w:t>
      </w:r>
      <w:r>
        <w:rPr>
          <w:sz w:val="24"/>
          <w:szCs w:val="24"/>
        </w:rPr>
        <w:t xml:space="preserve">Bob’s </w:t>
      </w:r>
      <w:r w:rsidRPr="000951CB">
        <w:rPr>
          <w:sz w:val="24"/>
          <w:szCs w:val="24"/>
        </w:rPr>
        <w:t>cheek and jaw.</w:t>
      </w:r>
    </w:p>
    <w:p w14:paraId="1A984AAC" w14:textId="77777777" w:rsidR="00351F82" w:rsidRPr="000951CB" w:rsidRDefault="00351F82" w:rsidP="00351F82">
      <w:pPr>
        <w:rPr>
          <w:sz w:val="24"/>
          <w:szCs w:val="24"/>
        </w:rPr>
      </w:pPr>
    </w:p>
    <w:p w14:paraId="5F757B0E" w14:textId="77777777" w:rsidR="00351F82" w:rsidRPr="00EE750F" w:rsidRDefault="00351F82" w:rsidP="00351F82">
      <w:pPr>
        <w:rPr>
          <w:sz w:val="24"/>
          <w:szCs w:val="24"/>
          <w:u w:val="single"/>
        </w:rPr>
      </w:pPr>
      <w:r w:rsidRPr="00EE750F">
        <w:rPr>
          <w:sz w:val="24"/>
          <w:szCs w:val="24"/>
          <w:u w:val="single"/>
        </w:rPr>
        <w:t xml:space="preserve">Criminal Offence – Assault Occasioning Actual Bodily Harm (ABH) </w:t>
      </w:r>
    </w:p>
    <w:p w14:paraId="38FEA85F" w14:textId="77777777" w:rsidR="00351F82" w:rsidRPr="000951CB" w:rsidRDefault="00351F82" w:rsidP="00351F82">
      <w:pPr>
        <w:rPr>
          <w:sz w:val="24"/>
          <w:szCs w:val="24"/>
        </w:rPr>
      </w:pPr>
    </w:p>
    <w:p w14:paraId="1C8E07A6" w14:textId="367ACE5E" w:rsidR="00351F82" w:rsidRPr="000951CB" w:rsidRDefault="00351F82" w:rsidP="00351F82">
      <w:pPr>
        <w:rPr>
          <w:sz w:val="24"/>
          <w:szCs w:val="24"/>
        </w:rPr>
      </w:pPr>
      <w:r w:rsidRPr="005D05A4">
        <w:rPr>
          <w:sz w:val="24"/>
          <w:szCs w:val="24"/>
        </w:rPr>
        <w:t xml:space="preserve">Kim </w:t>
      </w:r>
      <w:r>
        <w:rPr>
          <w:sz w:val="24"/>
          <w:szCs w:val="24"/>
        </w:rPr>
        <w:t xml:space="preserve">has been charged with </w:t>
      </w:r>
      <w:r w:rsidRPr="005D05A4">
        <w:rPr>
          <w:sz w:val="24"/>
          <w:szCs w:val="24"/>
        </w:rPr>
        <w:t xml:space="preserve">Assault Occasioning Actual Bodily Harm and has been granted release on Unconditional Bail. The legal framework pertinent to Kim's situation is encapsulated in the Offences Against the Person Act of 1861, specifically Section 47, addressing assault leading to actual bodily </w:t>
      </w:r>
      <w:r w:rsidRPr="003B0258">
        <w:rPr>
          <w:sz w:val="24"/>
          <w:szCs w:val="24"/>
        </w:rPr>
        <w:t>harm (OAPA, 1861).</w:t>
      </w:r>
      <w:r>
        <w:rPr>
          <w:sz w:val="24"/>
          <w:szCs w:val="24"/>
        </w:rPr>
        <w:t xml:space="preserve"> According to </w:t>
      </w:r>
      <w:r w:rsidRPr="00171812">
        <w:rPr>
          <w:sz w:val="24"/>
          <w:szCs w:val="24"/>
        </w:rPr>
        <w:t>Jonas (2021</w:t>
      </w:r>
      <w:r w:rsidR="00171812" w:rsidRPr="00171812">
        <w:rPr>
          <w:sz w:val="24"/>
          <w:szCs w:val="24"/>
        </w:rPr>
        <w:t>, pp. 40-48</w:t>
      </w:r>
      <w:r w:rsidRPr="00171812">
        <w:rPr>
          <w:sz w:val="24"/>
          <w:szCs w:val="24"/>
        </w:rPr>
        <w:t>),</w:t>
      </w:r>
      <w:r w:rsidRPr="005D05A4">
        <w:rPr>
          <w:sz w:val="24"/>
          <w:szCs w:val="24"/>
        </w:rPr>
        <w:t xml:space="preserve"> as expounded in Chapter 3 of Actus Reus and </w:t>
      </w:r>
      <w:proofErr w:type="spellStart"/>
      <w:r w:rsidRPr="005D05A4">
        <w:rPr>
          <w:sz w:val="24"/>
          <w:szCs w:val="24"/>
        </w:rPr>
        <w:t>Mens</w:t>
      </w:r>
      <w:proofErr w:type="spellEnd"/>
      <w:r w:rsidRPr="005D05A4">
        <w:rPr>
          <w:sz w:val="24"/>
          <w:szCs w:val="24"/>
        </w:rPr>
        <w:t xml:space="preserve"> Rea in International Criminal Law, the actus reus necessitates the application of force, constituting the essence of the act articulated in the delineation of the charged </w:t>
      </w:r>
      <w:r>
        <w:rPr>
          <w:sz w:val="24"/>
          <w:szCs w:val="24"/>
        </w:rPr>
        <w:t>offence</w:t>
      </w:r>
      <w:r w:rsidRPr="005D05A4">
        <w:rPr>
          <w:sz w:val="24"/>
          <w:szCs w:val="24"/>
        </w:rPr>
        <w:t xml:space="preserve">. The </w:t>
      </w:r>
      <w:proofErr w:type="spellStart"/>
      <w:r w:rsidRPr="005D05A4">
        <w:rPr>
          <w:sz w:val="24"/>
          <w:szCs w:val="24"/>
        </w:rPr>
        <w:t>Mens</w:t>
      </w:r>
      <w:proofErr w:type="spellEnd"/>
      <w:r w:rsidRPr="005D05A4">
        <w:rPr>
          <w:sz w:val="24"/>
          <w:szCs w:val="24"/>
        </w:rPr>
        <w:t xml:space="preserve"> Rea, on the other hand, mandates an intentional or reckless act; both conditions must be met to establish criminal liability. In Kim's case, she </w:t>
      </w:r>
      <w:r>
        <w:rPr>
          <w:sz w:val="24"/>
          <w:szCs w:val="24"/>
        </w:rPr>
        <w:t xml:space="preserve">fulfils both aspects of </w:t>
      </w:r>
      <w:r w:rsidRPr="00C94756">
        <w:rPr>
          <w:sz w:val="24"/>
          <w:szCs w:val="24"/>
        </w:rPr>
        <w:t>the offence by employing force</w:t>
      </w:r>
      <w:r w:rsidRPr="005D05A4">
        <w:rPr>
          <w:sz w:val="24"/>
          <w:szCs w:val="24"/>
        </w:rPr>
        <w:t xml:space="preserve"> and recklessly slapping Bob across the face. The precedent </w:t>
      </w:r>
      <w:r w:rsidRPr="00D11A30">
        <w:rPr>
          <w:sz w:val="24"/>
          <w:szCs w:val="24"/>
        </w:rPr>
        <w:t xml:space="preserve">of R v </w:t>
      </w:r>
      <w:r w:rsidR="00A66A0B">
        <w:rPr>
          <w:sz w:val="24"/>
          <w:szCs w:val="24"/>
        </w:rPr>
        <w:t>Chan Fook</w:t>
      </w:r>
      <w:r w:rsidRPr="00D11A30">
        <w:rPr>
          <w:sz w:val="24"/>
          <w:szCs w:val="24"/>
        </w:rPr>
        <w:t xml:space="preserve"> [19</w:t>
      </w:r>
      <w:r w:rsidR="00A66A0B">
        <w:rPr>
          <w:sz w:val="24"/>
          <w:szCs w:val="24"/>
        </w:rPr>
        <w:t>94</w:t>
      </w:r>
      <w:r w:rsidRPr="00D11A30">
        <w:rPr>
          <w:sz w:val="24"/>
          <w:szCs w:val="24"/>
        </w:rPr>
        <w:t>] aligns with the circumstances, providing relevant context. The responsibility of analysing all</w:t>
      </w:r>
      <w:r w:rsidRPr="002B20C0">
        <w:rPr>
          <w:sz w:val="24"/>
          <w:szCs w:val="24"/>
        </w:rPr>
        <w:t xml:space="preserve"> circumstances and selecting the appropriate charge rests with the prosecutor. Guiding this decision-making process are </w:t>
      </w:r>
      <w:r>
        <w:rPr>
          <w:sz w:val="24"/>
          <w:szCs w:val="24"/>
        </w:rPr>
        <w:t>vital</w:t>
      </w:r>
      <w:r w:rsidRPr="002B20C0">
        <w:rPr>
          <w:sz w:val="24"/>
          <w:szCs w:val="24"/>
        </w:rPr>
        <w:t xml:space="preserve"> principles. Firstly, the severity of the inflicted injuries plays a pivotal role in charge determination. Notably, serious injuries</w:t>
      </w:r>
      <w:r>
        <w:rPr>
          <w:sz w:val="24"/>
          <w:szCs w:val="24"/>
        </w:rPr>
        <w:t xml:space="preserve"> characterised by extensive and severe bruising</w:t>
      </w:r>
      <w:r w:rsidRPr="002B20C0">
        <w:rPr>
          <w:sz w:val="24"/>
          <w:szCs w:val="24"/>
        </w:rPr>
        <w:t xml:space="preserve"> typically warrant charges under section 39. Conversely, in cases of less serious injuries, such as mild bruising, the </w:t>
      </w:r>
      <w:r>
        <w:rPr>
          <w:sz w:val="24"/>
          <w:szCs w:val="24"/>
        </w:rPr>
        <w:t>charge choice</w:t>
      </w:r>
      <w:r w:rsidRPr="002B20C0">
        <w:rPr>
          <w:sz w:val="24"/>
          <w:szCs w:val="24"/>
        </w:rPr>
        <w:t xml:space="preserve"> may vary unless aggravating characteristics are present </w:t>
      </w:r>
      <w:r w:rsidRPr="00EB4AD7">
        <w:rPr>
          <w:sz w:val="24"/>
          <w:szCs w:val="24"/>
        </w:rPr>
        <w:t>(Crown Prosecution Service, 2022).</w:t>
      </w:r>
    </w:p>
    <w:p w14:paraId="0FC83B8E" w14:textId="77777777" w:rsidR="00351F82" w:rsidRDefault="00351F82" w:rsidP="00351F82">
      <w:pPr>
        <w:rPr>
          <w:sz w:val="24"/>
          <w:szCs w:val="24"/>
        </w:rPr>
      </w:pPr>
    </w:p>
    <w:p w14:paraId="0FA17EAC" w14:textId="77777777" w:rsidR="00351F82" w:rsidRPr="00B07A4F" w:rsidRDefault="00351F82" w:rsidP="00351F82">
      <w:pPr>
        <w:rPr>
          <w:sz w:val="24"/>
          <w:szCs w:val="24"/>
          <w:u w:val="single"/>
        </w:rPr>
      </w:pPr>
      <w:r w:rsidRPr="00B07A4F">
        <w:rPr>
          <w:sz w:val="24"/>
          <w:szCs w:val="24"/>
          <w:u w:val="single"/>
        </w:rPr>
        <w:t>Range Of Sentences</w:t>
      </w:r>
    </w:p>
    <w:p w14:paraId="418535EC" w14:textId="77777777" w:rsidR="00351F82" w:rsidRDefault="00351F82" w:rsidP="00351F82">
      <w:pPr>
        <w:rPr>
          <w:sz w:val="24"/>
          <w:szCs w:val="24"/>
        </w:rPr>
      </w:pPr>
    </w:p>
    <w:p w14:paraId="2E72635F" w14:textId="61617D39" w:rsidR="00351F82" w:rsidRPr="0040189C" w:rsidRDefault="00351F82" w:rsidP="00351F82">
      <w:pPr>
        <w:rPr>
          <w:sz w:val="24"/>
          <w:szCs w:val="24"/>
        </w:rPr>
      </w:pPr>
      <w:r w:rsidRPr="0040189C">
        <w:rPr>
          <w:sz w:val="24"/>
          <w:szCs w:val="24"/>
        </w:rPr>
        <w:t xml:space="preserve">This </w:t>
      </w:r>
      <w:r>
        <w:rPr>
          <w:sz w:val="24"/>
          <w:szCs w:val="24"/>
        </w:rPr>
        <w:t>offence falls within the triable either-way</w:t>
      </w:r>
      <w:r w:rsidRPr="0040189C">
        <w:rPr>
          <w:sz w:val="24"/>
          <w:szCs w:val="24"/>
        </w:rPr>
        <w:t xml:space="preserve"> category, carrying a potential sentencing range from a fine to a maximum of five years in custody. The court's delineation of the crime category should be based solely on pertinent factors, </w:t>
      </w:r>
      <w:r>
        <w:rPr>
          <w:sz w:val="24"/>
          <w:szCs w:val="24"/>
        </w:rPr>
        <w:t>thoroughly considering</w:t>
      </w:r>
      <w:r w:rsidRPr="0040189C">
        <w:rPr>
          <w:sz w:val="24"/>
          <w:szCs w:val="24"/>
        </w:rPr>
        <w:t xml:space="preserve"> guilt and harm. The assessment of culpability and harm involves a comprehensive examination of all aspects of the case. In Kim's case, as per section C, the absence of a weapon and the nature of the assault being </w:t>
      </w:r>
      <w:r>
        <w:rPr>
          <w:sz w:val="24"/>
          <w:szCs w:val="24"/>
        </w:rPr>
        <w:t>characterised</w:t>
      </w:r>
      <w:r w:rsidRPr="0040189C">
        <w:rPr>
          <w:sz w:val="24"/>
          <w:szCs w:val="24"/>
        </w:rPr>
        <w:t xml:space="preserve"> as </w:t>
      </w:r>
      <w:r w:rsidR="006A2B28" w:rsidRPr="0040189C">
        <w:rPr>
          <w:sz w:val="24"/>
          <w:szCs w:val="24"/>
        </w:rPr>
        <w:t>impulsive</w:t>
      </w:r>
      <w:r w:rsidRPr="0040189C">
        <w:rPr>
          <w:sz w:val="24"/>
          <w:szCs w:val="24"/>
        </w:rPr>
        <w:t xml:space="preserve"> and brief suggest a lower level of culpability. Concerning the harm category, there is discernible physical harm with a limited impact on the victim. Additionally, if Kim were to be tried in the magistrates’ court, the recommended </w:t>
      </w:r>
      <w:r w:rsidRPr="006E2BF4">
        <w:rPr>
          <w:sz w:val="24"/>
          <w:szCs w:val="24"/>
        </w:rPr>
        <w:lastRenderedPageBreak/>
        <w:t>category range would be a Band B fine and a sentence of up to twenty-six weeks in custody, as stipulated in section A [8.31] – A [8.32] of the Magistrates Court Guide 2015</w:t>
      </w:r>
      <w:r>
        <w:rPr>
          <w:sz w:val="24"/>
          <w:szCs w:val="24"/>
        </w:rPr>
        <w:t xml:space="preserve"> (</w:t>
      </w:r>
      <w:r w:rsidR="009C2544">
        <w:rPr>
          <w:sz w:val="24"/>
          <w:szCs w:val="24"/>
        </w:rPr>
        <w:t>Turner</w:t>
      </w:r>
      <w:r w:rsidR="00FC2C26">
        <w:rPr>
          <w:sz w:val="24"/>
          <w:szCs w:val="24"/>
        </w:rPr>
        <w:t xml:space="preserve">, A. </w:t>
      </w:r>
      <w:r>
        <w:rPr>
          <w:sz w:val="24"/>
          <w:szCs w:val="24"/>
        </w:rPr>
        <w:t>2015)</w:t>
      </w:r>
      <w:r w:rsidR="0096493C">
        <w:rPr>
          <w:sz w:val="24"/>
          <w:szCs w:val="24"/>
        </w:rPr>
        <w:t xml:space="preserve">. </w:t>
      </w:r>
    </w:p>
    <w:p w14:paraId="755AF5AC" w14:textId="77777777" w:rsidR="00351F82" w:rsidRDefault="00351F82" w:rsidP="00351F82">
      <w:pPr>
        <w:rPr>
          <w:sz w:val="24"/>
          <w:szCs w:val="24"/>
        </w:rPr>
      </w:pPr>
    </w:p>
    <w:p w14:paraId="3D8FB03C" w14:textId="77777777" w:rsidR="00351F82" w:rsidRDefault="00351F82" w:rsidP="00351F82">
      <w:pPr>
        <w:spacing w:after="160" w:line="278" w:lineRule="auto"/>
        <w:rPr>
          <w:sz w:val="24"/>
          <w:szCs w:val="24"/>
        </w:rPr>
      </w:pPr>
      <w:r w:rsidRPr="00767C4A">
        <w:rPr>
          <w:sz w:val="24"/>
          <w:szCs w:val="24"/>
        </w:rPr>
        <w:t xml:space="preserve">Aligned with the sentencing guidelines delineated by </w:t>
      </w:r>
      <w:r w:rsidRPr="002F38E7">
        <w:rPr>
          <w:sz w:val="24"/>
          <w:szCs w:val="24"/>
        </w:rPr>
        <w:t>the Sentencing Council (2024)</w:t>
      </w:r>
      <w:r w:rsidRPr="00767C4A">
        <w:rPr>
          <w:sz w:val="24"/>
          <w:szCs w:val="24"/>
        </w:rPr>
        <w:t xml:space="preserve"> for both magistrates and crown court proceedings, aggravating factors indicative of heightened culpability encompass </w:t>
      </w:r>
      <w:r>
        <w:rPr>
          <w:sz w:val="24"/>
          <w:szCs w:val="24"/>
        </w:rPr>
        <w:t>committing</w:t>
      </w:r>
      <w:r w:rsidRPr="00767C4A">
        <w:rPr>
          <w:sz w:val="24"/>
          <w:szCs w:val="24"/>
        </w:rPr>
        <w:t xml:space="preserve"> an </w:t>
      </w:r>
      <w:r>
        <w:rPr>
          <w:sz w:val="24"/>
          <w:szCs w:val="24"/>
        </w:rPr>
        <w:t>offence</w:t>
      </w:r>
      <w:r w:rsidRPr="00767C4A">
        <w:rPr>
          <w:sz w:val="24"/>
          <w:szCs w:val="24"/>
        </w:rPr>
        <w:t xml:space="preserve"> while under the influence of alcohol and drugs. Furthermore, circumstances suggesting a more than usually severe degree of harm may manifest when the </w:t>
      </w:r>
      <w:r>
        <w:rPr>
          <w:sz w:val="24"/>
          <w:szCs w:val="24"/>
        </w:rPr>
        <w:t>offence</w:t>
      </w:r>
      <w:r w:rsidRPr="00767C4A">
        <w:rPr>
          <w:sz w:val="24"/>
          <w:szCs w:val="24"/>
        </w:rPr>
        <w:t xml:space="preserve"> occurs in the presence of others, such as relatives or children of the victim.</w:t>
      </w:r>
    </w:p>
    <w:p w14:paraId="4C68C53D" w14:textId="3666F766" w:rsidR="00351F82" w:rsidRDefault="00351F82" w:rsidP="00351F82">
      <w:pPr>
        <w:spacing w:after="160" w:line="278" w:lineRule="auto"/>
        <w:rPr>
          <w:sz w:val="24"/>
          <w:szCs w:val="24"/>
        </w:rPr>
      </w:pPr>
      <w:r w:rsidRPr="00767C4A">
        <w:rPr>
          <w:sz w:val="24"/>
          <w:szCs w:val="24"/>
        </w:rPr>
        <w:t xml:space="preserve">In Kim's case, her being under the influence of alcohol and the presence of others during the incident </w:t>
      </w:r>
      <w:r w:rsidR="002E0629">
        <w:rPr>
          <w:sz w:val="24"/>
          <w:szCs w:val="24"/>
        </w:rPr>
        <w:t>constitutes</w:t>
      </w:r>
      <w:r w:rsidRPr="00767C4A">
        <w:rPr>
          <w:sz w:val="24"/>
          <w:szCs w:val="24"/>
        </w:rPr>
        <w:t xml:space="preserve"> aggravating factors that warrant consideration in the assessment of her </w:t>
      </w:r>
      <w:r w:rsidR="00F76D0F">
        <w:rPr>
          <w:sz w:val="24"/>
          <w:szCs w:val="24"/>
        </w:rPr>
        <w:t>pre</w:t>
      </w:r>
      <w:r w:rsidR="002E0629">
        <w:rPr>
          <w:sz w:val="24"/>
          <w:szCs w:val="24"/>
        </w:rPr>
        <w:t>cedent</w:t>
      </w:r>
      <w:r w:rsidRPr="00767C4A">
        <w:rPr>
          <w:sz w:val="24"/>
          <w:szCs w:val="24"/>
        </w:rPr>
        <w:t xml:space="preserve">. Notably, Chapter </w:t>
      </w:r>
      <w:r w:rsidRPr="00DF1F91">
        <w:rPr>
          <w:sz w:val="24"/>
          <w:szCs w:val="24"/>
        </w:rPr>
        <w:t>3 of the Sentencing Act (2020), Section 65 (2)(a), Kim's prior conviction for shoplifting seven years ago, may not bear relevance</w:t>
      </w:r>
      <w:r w:rsidRPr="00767C4A">
        <w:rPr>
          <w:sz w:val="24"/>
          <w:szCs w:val="24"/>
        </w:rPr>
        <w:t xml:space="preserve"> to the current </w:t>
      </w:r>
      <w:r>
        <w:rPr>
          <w:sz w:val="24"/>
          <w:szCs w:val="24"/>
        </w:rPr>
        <w:t>offence</w:t>
      </w:r>
      <w:r w:rsidRPr="00767C4A">
        <w:rPr>
          <w:sz w:val="24"/>
          <w:szCs w:val="24"/>
        </w:rPr>
        <w:t>. Similarly, Section 65 (2)(b), addressing the time elapsed since the pertinent previous conviction, is likely to be of negligible significance in this context.</w:t>
      </w:r>
    </w:p>
    <w:p w14:paraId="6A638E06" w14:textId="6EEE0497" w:rsidR="00351F82" w:rsidRPr="00383E9B" w:rsidRDefault="00351F82" w:rsidP="00351F82">
      <w:pPr>
        <w:spacing w:after="160" w:line="278" w:lineRule="auto"/>
        <w:rPr>
          <w:sz w:val="24"/>
          <w:szCs w:val="24"/>
        </w:rPr>
      </w:pPr>
      <w:r>
        <w:rPr>
          <w:sz w:val="24"/>
          <w:szCs w:val="24"/>
        </w:rPr>
        <w:t>Under</w:t>
      </w:r>
      <w:r w:rsidRPr="00451A34">
        <w:rPr>
          <w:sz w:val="24"/>
          <w:szCs w:val="24"/>
        </w:rPr>
        <w:t xml:space="preserve"> </w:t>
      </w:r>
      <w:r w:rsidRPr="00944515">
        <w:rPr>
          <w:sz w:val="24"/>
          <w:szCs w:val="24"/>
        </w:rPr>
        <w:t>Chapter 3, Section 73 (2) of the Sentencing Act (2020)</w:t>
      </w:r>
      <w:r>
        <w:rPr>
          <w:sz w:val="24"/>
          <w:szCs w:val="24"/>
        </w:rPr>
        <w:t xml:space="preserve">, </w:t>
      </w:r>
      <w:r w:rsidRPr="00451A34">
        <w:rPr>
          <w:sz w:val="24"/>
          <w:szCs w:val="24"/>
        </w:rPr>
        <w:t xml:space="preserve">a pertinent mitigating factor involves a potential reduction in sentence attributable to a guilty plea. In evaluating this factor, the court </w:t>
      </w:r>
      <w:r>
        <w:rPr>
          <w:sz w:val="24"/>
          <w:szCs w:val="24"/>
        </w:rPr>
        <w:t>must</w:t>
      </w:r>
      <w:r w:rsidRPr="00451A34">
        <w:rPr>
          <w:sz w:val="24"/>
          <w:szCs w:val="24"/>
        </w:rPr>
        <w:t xml:space="preserve"> consider both the stage in the proceedings </w:t>
      </w:r>
      <w:r>
        <w:rPr>
          <w:sz w:val="24"/>
          <w:szCs w:val="24"/>
        </w:rPr>
        <w:t>where</w:t>
      </w:r>
      <w:r w:rsidRPr="00451A34">
        <w:rPr>
          <w:sz w:val="24"/>
          <w:szCs w:val="24"/>
        </w:rPr>
        <w:t xml:space="preserve"> the offender expressed the intention to plead guilty and the contextual circumstances surrounding the indication.</w:t>
      </w:r>
      <w:r>
        <w:rPr>
          <w:sz w:val="24"/>
          <w:szCs w:val="24"/>
        </w:rPr>
        <w:t xml:space="preserve"> </w:t>
      </w:r>
      <w:r w:rsidRPr="00451A34">
        <w:rPr>
          <w:sz w:val="24"/>
          <w:szCs w:val="24"/>
        </w:rPr>
        <w:t xml:space="preserve">Remorse </w:t>
      </w:r>
      <w:r>
        <w:rPr>
          <w:sz w:val="24"/>
          <w:szCs w:val="24"/>
        </w:rPr>
        <w:t>is</w:t>
      </w:r>
      <w:r w:rsidRPr="00451A34">
        <w:rPr>
          <w:sz w:val="24"/>
          <w:szCs w:val="24"/>
        </w:rPr>
        <w:t xml:space="preserve"> another salient mitigating factor, where the court must ascertain the sincerity of the offender's </w:t>
      </w:r>
      <w:r>
        <w:rPr>
          <w:sz w:val="24"/>
          <w:szCs w:val="24"/>
        </w:rPr>
        <w:t>remorse</w:t>
      </w:r>
      <w:r w:rsidRPr="00451A34">
        <w:rPr>
          <w:sz w:val="24"/>
          <w:szCs w:val="24"/>
        </w:rPr>
        <w:t xml:space="preserve"> for the transgressive </w:t>
      </w:r>
      <w:r>
        <w:rPr>
          <w:sz w:val="24"/>
          <w:szCs w:val="24"/>
        </w:rPr>
        <w:t>behaviour</w:t>
      </w:r>
      <w:r w:rsidRPr="00451A34">
        <w:rPr>
          <w:sz w:val="24"/>
          <w:szCs w:val="24"/>
        </w:rPr>
        <w:t xml:space="preserve">. It is imperative to note that this consideration holds independently of any previous </w:t>
      </w:r>
      <w:r>
        <w:rPr>
          <w:sz w:val="24"/>
          <w:szCs w:val="24"/>
        </w:rPr>
        <w:t xml:space="preserve">acknowledgement of guilt, emphasising the significance of genuine remorse in influencing </w:t>
      </w:r>
      <w:r w:rsidRPr="00451A34">
        <w:rPr>
          <w:sz w:val="24"/>
          <w:szCs w:val="24"/>
        </w:rPr>
        <w:t>sentence reduction</w:t>
      </w:r>
      <w:r>
        <w:rPr>
          <w:sz w:val="24"/>
          <w:szCs w:val="24"/>
        </w:rPr>
        <w:t xml:space="preserve"> as established in Assault Occasioning Actual Bodily Harm</w:t>
      </w:r>
      <w:r w:rsidR="007B6106">
        <w:rPr>
          <w:sz w:val="24"/>
          <w:szCs w:val="24"/>
        </w:rPr>
        <w:t xml:space="preserve">, </w:t>
      </w:r>
      <w:r>
        <w:rPr>
          <w:sz w:val="24"/>
          <w:szCs w:val="24"/>
        </w:rPr>
        <w:t>Magistrates Court (Sentencing Council 2024)</w:t>
      </w:r>
      <w:r w:rsidRPr="00451A34">
        <w:rPr>
          <w:sz w:val="24"/>
          <w:szCs w:val="24"/>
        </w:rPr>
        <w:t>.</w:t>
      </w:r>
      <w:r>
        <w:rPr>
          <w:sz w:val="24"/>
          <w:szCs w:val="24"/>
        </w:rPr>
        <w:t xml:space="preserve"> </w:t>
      </w:r>
      <w:r w:rsidRPr="00383E9B">
        <w:rPr>
          <w:sz w:val="24"/>
          <w:szCs w:val="24"/>
        </w:rPr>
        <w:t xml:space="preserve">Kim has informed us of her intention to enter a plea of Not Guilty, a factor that warrants due consideration in </w:t>
      </w:r>
      <w:r>
        <w:rPr>
          <w:sz w:val="24"/>
          <w:szCs w:val="24"/>
        </w:rPr>
        <w:t>establishing</w:t>
      </w:r>
      <w:r w:rsidRPr="00383E9B">
        <w:rPr>
          <w:sz w:val="24"/>
          <w:szCs w:val="24"/>
        </w:rPr>
        <w:t xml:space="preserve"> her case.</w:t>
      </w:r>
    </w:p>
    <w:p w14:paraId="084C665B" w14:textId="77777777" w:rsidR="00351F82" w:rsidRDefault="00351F82" w:rsidP="00351F82">
      <w:pPr>
        <w:spacing w:after="160" w:line="278" w:lineRule="auto"/>
        <w:rPr>
          <w:sz w:val="24"/>
          <w:szCs w:val="24"/>
        </w:rPr>
      </w:pPr>
    </w:p>
    <w:p w14:paraId="75FF734B" w14:textId="77777777" w:rsidR="00351F82" w:rsidRDefault="00351F82" w:rsidP="00351F82">
      <w:pPr>
        <w:rPr>
          <w:sz w:val="24"/>
          <w:szCs w:val="24"/>
          <w:u w:val="single"/>
        </w:rPr>
      </w:pPr>
      <w:r w:rsidRPr="002368B1">
        <w:rPr>
          <w:sz w:val="24"/>
          <w:szCs w:val="24"/>
          <w:u w:val="single"/>
        </w:rPr>
        <w:t xml:space="preserve">Procedure for Allocation and </w:t>
      </w:r>
      <w:r>
        <w:rPr>
          <w:sz w:val="24"/>
          <w:szCs w:val="24"/>
          <w:u w:val="single"/>
        </w:rPr>
        <w:t>Options</w:t>
      </w:r>
      <w:r w:rsidRPr="002368B1">
        <w:rPr>
          <w:sz w:val="24"/>
          <w:szCs w:val="24"/>
          <w:u w:val="single"/>
        </w:rPr>
        <w:t xml:space="preserve"> for Kim</w:t>
      </w:r>
    </w:p>
    <w:p w14:paraId="63F6F3F6" w14:textId="77777777" w:rsidR="00351F82" w:rsidRPr="00383E9B" w:rsidRDefault="00351F82" w:rsidP="00351F82">
      <w:pPr>
        <w:spacing w:after="160" w:line="278" w:lineRule="auto"/>
        <w:rPr>
          <w:sz w:val="24"/>
          <w:szCs w:val="24"/>
        </w:rPr>
      </w:pPr>
    </w:p>
    <w:p w14:paraId="13FA1DFB" w14:textId="77777777" w:rsidR="00351F82" w:rsidRDefault="00351F82" w:rsidP="00351F82">
      <w:pPr>
        <w:spacing w:after="160" w:line="278" w:lineRule="auto"/>
        <w:rPr>
          <w:sz w:val="24"/>
          <w:szCs w:val="24"/>
        </w:rPr>
      </w:pPr>
      <w:r w:rsidRPr="003F63A0">
        <w:rPr>
          <w:sz w:val="24"/>
          <w:szCs w:val="24"/>
        </w:rPr>
        <w:t xml:space="preserve">Kim's </w:t>
      </w:r>
      <w:r>
        <w:rPr>
          <w:sz w:val="24"/>
          <w:szCs w:val="24"/>
        </w:rPr>
        <w:t>offence</w:t>
      </w:r>
      <w:r w:rsidRPr="003F63A0">
        <w:rPr>
          <w:sz w:val="24"/>
          <w:szCs w:val="24"/>
        </w:rPr>
        <w:t xml:space="preserve"> falls within the category of being triable either way and is technically indictable</w:t>
      </w:r>
      <w:r w:rsidRPr="00D72496">
        <w:rPr>
          <w:sz w:val="24"/>
          <w:szCs w:val="24"/>
        </w:rPr>
        <w:t>. According to McPeake et al. (2020, pp. 66-67), there</w:t>
      </w:r>
      <w:r w:rsidRPr="003F63A0">
        <w:rPr>
          <w:sz w:val="24"/>
          <w:szCs w:val="24"/>
        </w:rPr>
        <w:t xml:space="preserve"> exists the possibility for her case to be heard in a magistrate's court if an agreement is reached between both magistrates and the defendant. The procedural framework governing the determination of the trial venue for an </w:t>
      </w:r>
      <w:r>
        <w:rPr>
          <w:sz w:val="24"/>
          <w:szCs w:val="24"/>
        </w:rPr>
        <w:t>offence</w:t>
      </w:r>
      <w:r w:rsidRPr="003F63A0">
        <w:rPr>
          <w:sz w:val="24"/>
          <w:szCs w:val="24"/>
        </w:rPr>
        <w:t xml:space="preserve"> classified as triable either way is stipulated in The Magistrates' Court Act </w:t>
      </w:r>
      <w:r>
        <w:rPr>
          <w:sz w:val="24"/>
          <w:szCs w:val="24"/>
        </w:rPr>
        <w:t>(</w:t>
      </w:r>
      <w:r w:rsidRPr="003F63A0">
        <w:rPr>
          <w:sz w:val="24"/>
          <w:szCs w:val="24"/>
        </w:rPr>
        <w:t>1980</w:t>
      </w:r>
      <w:r>
        <w:rPr>
          <w:sz w:val="24"/>
          <w:szCs w:val="24"/>
        </w:rPr>
        <w:t>)</w:t>
      </w:r>
      <w:r w:rsidRPr="003F63A0">
        <w:rPr>
          <w:sz w:val="24"/>
          <w:szCs w:val="24"/>
        </w:rPr>
        <w:t>.</w:t>
      </w:r>
      <w:r>
        <w:rPr>
          <w:sz w:val="24"/>
          <w:szCs w:val="24"/>
        </w:rPr>
        <w:t xml:space="preserve"> </w:t>
      </w:r>
      <w:r w:rsidRPr="003F63A0">
        <w:rPr>
          <w:sz w:val="24"/>
          <w:szCs w:val="24"/>
        </w:rPr>
        <w:t xml:space="preserve">This process unfolds in two stages. The initial stage focuses on ascertaining the defendant's anticipated plea, commonly </w:t>
      </w:r>
      <w:r>
        <w:rPr>
          <w:sz w:val="24"/>
          <w:szCs w:val="24"/>
        </w:rPr>
        <w:t>called</w:t>
      </w:r>
      <w:r w:rsidRPr="003F63A0">
        <w:rPr>
          <w:sz w:val="24"/>
          <w:szCs w:val="24"/>
        </w:rPr>
        <w:t xml:space="preserve"> the plea before venue. Should the defendant enter a </w:t>
      </w:r>
      <w:r>
        <w:rPr>
          <w:sz w:val="24"/>
          <w:szCs w:val="24"/>
        </w:rPr>
        <w:t>guilty plea</w:t>
      </w:r>
      <w:r w:rsidRPr="003F63A0">
        <w:rPr>
          <w:sz w:val="24"/>
          <w:szCs w:val="24"/>
        </w:rPr>
        <w:t>, the court proceeds to the sentencing stage. In the event of a not guilty plea, the second stage ensues</w:t>
      </w:r>
      <w:r>
        <w:rPr>
          <w:sz w:val="24"/>
          <w:szCs w:val="24"/>
        </w:rPr>
        <w:t>, which is</w:t>
      </w:r>
      <w:r w:rsidRPr="003F63A0">
        <w:rPr>
          <w:sz w:val="24"/>
          <w:szCs w:val="24"/>
        </w:rPr>
        <w:t xml:space="preserve"> to deliberate on the </w:t>
      </w:r>
      <w:r>
        <w:rPr>
          <w:sz w:val="24"/>
          <w:szCs w:val="24"/>
        </w:rPr>
        <w:t>trial court</w:t>
      </w:r>
      <w:r w:rsidRPr="003F63A0">
        <w:rPr>
          <w:sz w:val="24"/>
          <w:szCs w:val="24"/>
        </w:rPr>
        <w:t xml:space="preserve">. It is noteworthy that Kim reserves the option to elect </w:t>
      </w:r>
      <w:r>
        <w:rPr>
          <w:sz w:val="24"/>
          <w:szCs w:val="24"/>
        </w:rPr>
        <w:t xml:space="preserve">a trial by jury in the crown court if she </w:t>
      </w:r>
      <w:r w:rsidRPr="003F63A0">
        <w:rPr>
          <w:sz w:val="24"/>
          <w:szCs w:val="24"/>
        </w:rPr>
        <w:t>desires.</w:t>
      </w:r>
    </w:p>
    <w:p w14:paraId="7D5CD217" w14:textId="77777777" w:rsidR="00351F82" w:rsidRDefault="00351F82" w:rsidP="00351F82">
      <w:pPr>
        <w:spacing w:after="160" w:line="278" w:lineRule="auto"/>
        <w:rPr>
          <w:sz w:val="24"/>
          <w:szCs w:val="24"/>
        </w:rPr>
      </w:pPr>
    </w:p>
    <w:p w14:paraId="6CF4A720" w14:textId="77777777" w:rsidR="00351F82" w:rsidRDefault="00351F82" w:rsidP="00351F82">
      <w:pPr>
        <w:spacing w:after="160" w:line="278" w:lineRule="auto"/>
        <w:rPr>
          <w:sz w:val="24"/>
          <w:szCs w:val="24"/>
        </w:rPr>
      </w:pPr>
      <w:r w:rsidRPr="00DF775E">
        <w:rPr>
          <w:sz w:val="24"/>
          <w:szCs w:val="24"/>
        </w:rPr>
        <w:lastRenderedPageBreak/>
        <w:t xml:space="preserve">The advantages of Kim being tried in a Magistrates' Court are multifaceted. Firstly, this forum typically exhibits a less formal and intimidating atmosphere compared to higher courts, thus potentially alleviating any apprehension experienced by the defendant. </w:t>
      </w:r>
      <w:r>
        <w:rPr>
          <w:sz w:val="24"/>
          <w:szCs w:val="24"/>
        </w:rPr>
        <w:t xml:space="preserve">Often perceived as more approachable figures within the legal system, Magistrates </w:t>
      </w:r>
      <w:r w:rsidRPr="00DF775E">
        <w:rPr>
          <w:sz w:val="24"/>
          <w:szCs w:val="24"/>
        </w:rPr>
        <w:t>contribute to this amicable environment. Additionally, Magistrates' Courts possess fewer sentencing powers, potentially resulting in</w:t>
      </w:r>
      <w:r>
        <w:rPr>
          <w:sz w:val="24"/>
          <w:szCs w:val="24"/>
        </w:rPr>
        <w:t xml:space="preserve"> a more l</w:t>
      </w:r>
      <w:r w:rsidRPr="00DF775E">
        <w:rPr>
          <w:sz w:val="24"/>
          <w:szCs w:val="24"/>
        </w:rPr>
        <w:t xml:space="preserve">enient outcome for </w:t>
      </w:r>
      <w:r>
        <w:rPr>
          <w:sz w:val="24"/>
          <w:szCs w:val="24"/>
        </w:rPr>
        <w:t>Kim</w:t>
      </w:r>
      <w:r w:rsidRPr="00DF775E">
        <w:rPr>
          <w:sz w:val="24"/>
          <w:szCs w:val="24"/>
        </w:rPr>
        <w:t>.</w:t>
      </w:r>
      <w:r>
        <w:rPr>
          <w:sz w:val="24"/>
          <w:szCs w:val="24"/>
        </w:rPr>
        <w:t xml:space="preserve"> </w:t>
      </w:r>
      <w:r w:rsidRPr="00DF775E">
        <w:rPr>
          <w:sz w:val="24"/>
          <w:szCs w:val="24"/>
        </w:rPr>
        <w:t xml:space="preserve">Conversely, the disadvantages of Kim being tried in a Magistrates' Court are notable. As these courts typically do not provide the option of trial by jury, Kim may find herself bereft of this safeguard, potentially impacting the perceived fairness of the proceedings. Moreover, representation by a solicitor rather than a barrister is common in Magistrates' Courts, </w:t>
      </w:r>
      <w:r>
        <w:rPr>
          <w:sz w:val="24"/>
          <w:szCs w:val="24"/>
        </w:rPr>
        <w:t>potentially limiting</w:t>
      </w:r>
      <w:r w:rsidRPr="00DF775E">
        <w:rPr>
          <w:sz w:val="24"/>
          <w:szCs w:val="24"/>
        </w:rPr>
        <w:t xml:space="preserve"> the depth of legal advocacy available to Kim.</w:t>
      </w:r>
      <w:r>
        <w:rPr>
          <w:sz w:val="24"/>
          <w:szCs w:val="24"/>
        </w:rPr>
        <w:t xml:space="preserve"> </w:t>
      </w:r>
      <w:r w:rsidRPr="00DF775E">
        <w:rPr>
          <w:sz w:val="24"/>
          <w:szCs w:val="24"/>
        </w:rPr>
        <w:t xml:space="preserve">On the other hand, </w:t>
      </w:r>
      <w:r>
        <w:rPr>
          <w:sz w:val="24"/>
          <w:szCs w:val="24"/>
        </w:rPr>
        <w:t xml:space="preserve">if Kim opts for trial in the Crown Court, several disadvantages will </w:t>
      </w:r>
      <w:r w:rsidRPr="00DF775E">
        <w:rPr>
          <w:sz w:val="24"/>
          <w:szCs w:val="24"/>
        </w:rPr>
        <w:t xml:space="preserve">emerge. Firstly, the Crown Court possesses </w:t>
      </w:r>
      <w:r>
        <w:rPr>
          <w:sz w:val="24"/>
          <w:szCs w:val="24"/>
        </w:rPr>
        <w:t>more extraordinary</w:t>
      </w:r>
      <w:r w:rsidRPr="00DF775E">
        <w:rPr>
          <w:sz w:val="24"/>
          <w:szCs w:val="24"/>
        </w:rPr>
        <w:t xml:space="preserve"> sentencing powers, which could lead to more severe penalties if Kim is found guilty. Furthermore, the heightened expense associated with Crown Court proceedings</w:t>
      </w:r>
      <w:r>
        <w:rPr>
          <w:sz w:val="24"/>
          <w:szCs w:val="24"/>
        </w:rPr>
        <w:t xml:space="preserve"> and the potential for increased media attention and resultant public scrutiny</w:t>
      </w:r>
      <w:r w:rsidRPr="00DF775E">
        <w:rPr>
          <w:sz w:val="24"/>
          <w:szCs w:val="24"/>
        </w:rPr>
        <w:t xml:space="preserve"> </w:t>
      </w:r>
      <w:r>
        <w:rPr>
          <w:sz w:val="24"/>
          <w:szCs w:val="24"/>
        </w:rPr>
        <w:t>presents</w:t>
      </w:r>
      <w:r w:rsidRPr="00DF775E">
        <w:rPr>
          <w:sz w:val="24"/>
          <w:szCs w:val="24"/>
        </w:rPr>
        <w:t xml:space="preserve"> significant drawbacks. This media exposure could not only exacerbate the stress experienced by Kim but also compromise her privacy and reputation.</w:t>
      </w:r>
      <w:r>
        <w:rPr>
          <w:sz w:val="24"/>
          <w:szCs w:val="24"/>
        </w:rPr>
        <w:t xml:space="preserve"> </w:t>
      </w:r>
      <w:r w:rsidRPr="00DF775E">
        <w:rPr>
          <w:sz w:val="24"/>
          <w:szCs w:val="24"/>
        </w:rPr>
        <w:t xml:space="preserve">In sum, the choice between Magistrates' Court and Crown Court proceedings entails </w:t>
      </w:r>
      <w:r>
        <w:rPr>
          <w:sz w:val="24"/>
          <w:szCs w:val="24"/>
        </w:rPr>
        <w:t>carefully considering the advantages and disadvantages of each forum and</w:t>
      </w:r>
      <w:r w:rsidRPr="00DF775E">
        <w:rPr>
          <w:sz w:val="24"/>
          <w:szCs w:val="24"/>
        </w:rPr>
        <w:t xml:space="preserve"> the circumstances surrounding the case at hand.</w:t>
      </w:r>
      <w:r>
        <w:rPr>
          <w:sz w:val="24"/>
          <w:szCs w:val="24"/>
        </w:rPr>
        <w:t xml:space="preserve"> (SMQ Legal Services, 2021). </w:t>
      </w:r>
    </w:p>
    <w:p w14:paraId="00BC70B0" w14:textId="77777777" w:rsidR="00351F82" w:rsidRDefault="00351F82" w:rsidP="00351F82">
      <w:pPr>
        <w:spacing w:after="160" w:line="278" w:lineRule="auto"/>
        <w:rPr>
          <w:sz w:val="24"/>
          <w:szCs w:val="24"/>
          <w:u w:val="single"/>
        </w:rPr>
      </w:pPr>
      <w:r w:rsidRPr="00086A8F">
        <w:rPr>
          <w:sz w:val="24"/>
          <w:szCs w:val="24"/>
          <w:u w:val="single"/>
        </w:rPr>
        <w:t>Legal Aid</w:t>
      </w:r>
    </w:p>
    <w:p w14:paraId="583BBF5E" w14:textId="77777777" w:rsidR="00351F82" w:rsidRPr="006E5696" w:rsidRDefault="00351F82" w:rsidP="00351F82">
      <w:pPr>
        <w:spacing w:after="160" w:line="278" w:lineRule="auto"/>
        <w:rPr>
          <w:sz w:val="24"/>
          <w:szCs w:val="24"/>
        </w:rPr>
      </w:pPr>
      <w:r w:rsidRPr="006E5696">
        <w:rPr>
          <w:sz w:val="24"/>
          <w:szCs w:val="24"/>
        </w:rPr>
        <w:t xml:space="preserve">Kim, who has recently experienced redundancy and is currently unemployed, presents a potential candidate for legal aid eligibility under </w:t>
      </w:r>
      <w:r w:rsidRPr="00A85C68">
        <w:rPr>
          <w:sz w:val="24"/>
          <w:szCs w:val="24"/>
        </w:rPr>
        <w:t>sections 11-15 of the Legal Aid, Sentencing and Punishment of Offenders Act (2012). This legislation outlines provisions for individuals</w:t>
      </w:r>
      <w:r w:rsidRPr="006E5696">
        <w:rPr>
          <w:sz w:val="24"/>
          <w:szCs w:val="24"/>
        </w:rPr>
        <w:t xml:space="preserve"> with limited financial means to access legal assistance. </w:t>
      </w:r>
      <w:r>
        <w:rPr>
          <w:sz w:val="24"/>
          <w:szCs w:val="24"/>
        </w:rPr>
        <w:t>Given her unemployment status and reliance on benefits, Kim's circumstances align with the criteria delineated in the sections</w:t>
      </w:r>
      <w:r w:rsidRPr="006E5696">
        <w:rPr>
          <w:sz w:val="24"/>
          <w:szCs w:val="24"/>
        </w:rPr>
        <w:t>.</w:t>
      </w:r>
    </w:p>
    <w:p w14:paraId="0729522B" w14:textId="46F75BFB" w:rsidR="00351F82" w:rsidRPr="006E5696" w:rsidRDefault="00351F82" w:rsidP="00351F82">
      <w:pPr>
        <w:spacing w:after="160" w:line="278" w:lineRule="auto"/>
        <w:rPr>
          <w:sz w:val="24"/>
          <w:szCs w:val="24"/>
        </w:rPr>
      </w:pPr>
      <w:r w:rsidRPr="006E5696">
        <w:rPr>
          <w:sz w:val="24"/>
          <w:szCs w:val="24"/>
        </w:rPr>
        <w:t xml:space="preserve">Moreover, Kim </w:t>
      </w:r>
      <w:r>
        <w:rPr>
          <w:sz w:val="24"/>
          <w:szCs w:val="24"/>
        </w:rPr>
        <w:t xml:space="preserve">has </w:t>
      </w:r>
      <w:r w:rsidRPr="006E5696">
        <w:rPr>
          <w:sz w:val="24"/>
          <w:szCs w:val="24"/>
        </w:rPr>
        <w:t>raise</w:t>
      </w:r>
      <w:r>
        <w:rPr>
          <w:sz w:val="24"/>
          <w:szCs w:val="24"/>
        </w:rPr>
        <w:t>d</w:t>
      </w:r>
      <w:r w:rsidRPr="006E5696">
        <w:rPr>
          <w:sz w:val="24"/>
          <w:szCs w:val="24"/>
        </w:rPr>
        <w:t xml:space="preserve"> concerns regarding her treatment following </w:t>
      </w:r>
      <w:r>
        <w:rPr>
          <w:sz w:val="24"/>
          <w:szCs w:val="24"/>
        </w:rPr>
        <w:t xml:space="preserve">her </w:t>
      </w:r>
      <w:r w:rsidRPr="006E5696">
        <w:rPr>
          <w:sz w:val="24"/>
          <w:szCs w:val="24"/>
        </w:rPr>
        <w:t xml:space="preserve">arrest, particularly regarding her access to legal representation. Her assertion that she was not informed of her right to consult with a solicitor </w:t>
      </w:r>
      <w:r>
        <w:rPr>
          <w:sz w:val="24"/>
          <w:szCs w:val="24"/>
        </w:rPr>
        <w:t>while</w:t>
      </w:r>
      <w:r w:rsidRPr="006E5696">
        <w:rPr>
          <w:sz w:val="24"/>
          <w:szCs w:val="24"/>
        </w:rPr>
        <w:t xml:space="preserve"> at the police station warrants scrutiny</w:t>
      </w:r>
      <w:r>
        <w:rPr>
          <w:sz w:val="24"/>
          <w:szCs w:val="24"/>
        </w:rPr>
        <w:t>,</w:t>
      </w:r>
      <w:r w:rsidRPr="006E5696">
        <w:rPr>
          <w:sz w:val="24"/>
          <w:szCs w:val="24"/>
        </w:rPr>
        <w:t xml:space="preserve"> considering statutory obligations outlined by governmental sources. According to the official guidance provided </w:t>
      </w:r>
      <w:r>
        <w:rPr>
          <w:sz w:val="24"/>
          <w:szCs w:val="24"/>
        </w:rPr>
        <w:t xml:space="preserve">by </w:t>
      </w:r>
      <w:r w:rsidRPr="00C210B8">
        <w:rPr>
          <w:sz w:val="24"/>
          <w:szCs w:val="24"/>
        </w:rPr>
        <w:t>the GOV.UK (</w:t>
      </w:r>
      <w:r w:rsidR="00E209B4">
        <w:rPr>
          <w:sz w:val="24"/>
          <w:szCs w:val="24"/>
        </w:rPr>
        <w:t>2019</w:t>
      </w:r>
      <w:r w:rsidRPr="00C210B8">
        <w:rPr>
          <w:sz w:val="24"/>
          <w:szCs w:val="24"/>
        </w:rPr>
        <w:t>) and</w:t>
      </w:r>
      <w:r w:rsidRPr="006E5696">
        <w:rPr>
          <w:sz w:val="24"/>
          <w:szCs w:val="24"/>
        </w:rPr>
        <w:t xml:space="preserve"> stipulations within </w:t>
      </w:r>
      <w:r w:rsidRPr="00A000C9">
        <w:rPr>
          <w:sz w:val="24"/>
          <w:szCs w:val="24"/>
        </w:rPr>
        <w:t xml:space="preserve">the Police and Criminal Evidence Act 1984 (PACE) Code C Section </w:t>
      </w:r>
      <w:r w:rsidR="006D197C">
        <w:rPr>
          <w:sz w:val="24"/>
          <w:szCs w:val="24"/>
        </w:rPr>
        <w:t>58</w:t>
      </w:r>
      <w:r w:rsidR="00467FC1">
        <w:rPr>
          <w:sz w:val="24"/>
          <w:szCs w:val="24"/>
        </w:rPr>
        <w:t xml:space="preserve"> Access to legal advice</w:t>
      </w:r>
      <w:r w:rsidRPr="00A000C9">
        <w:rPr>
          <w:sz w:val="24"/>
          <w:szCs w:val="24"/>
        </w:rPr>
        <w:t xml:space="preserve"> (</w:t>
      </w:r>
      <w:r w:rsidR="00E209B4">
        <w:rPr>
          <w:sz w:val="24"/>
          <w:szCs w:val="24"/>
        </w:rPr>
        <w:t>1984</w:t>
      </w:r>
      <w:r w:rsidRPr="00A000C9">
        <w:rPr>
          <w:sz w:val="24"/>
          <w:szCs w:val="24"/>
        </w:rPr>
        <w:t>), detainees are entitled to be informed of their right to seek free legal advice after arrest and before any interrogation. This statutory</w:t>
      </w:r>
      <w:r w:rsidRPr="006E5696">
        <w:rPr>
          <w:sz w:val="24"/>
          <w:szCs w:val="24"/>
        </w:rPr>
        <w:t xml:space="preserve"> requirement mandates that detainees be apprised of their entitlement to consult with a solicitor privately, either in person, in writing, or via telephone, </w:t>
      </w:r>
      <w:r>
        <w:rPr>
          <w:sz w:val="24"/>
          <w:szCs w:val="24"/>
        </w:rPr>
        <w:t>emphasising</w:t>
      </w:r>
      <w:r w:rsidRPr="006E5696">
        <w:rPr>
          <w:sz w:val="24"/>
          <w:szCs w:val="24"/>
        </w:rPr>
        <w:t xml:space="preserve"> the availability of independent legal advice at no cost.</w:t>
      </w:r>
    </w:p>
    <w:p w14:paraId="5741F278" w14:textId="64EC4750" w:rsidR="00351F82" w:rsidRPr="0071209D" w:rsidRDefault="00351F82" w:rsidP="00351F82">
      <w:pPr>
        <w:spacing w:after="160" w:line="278" w:lineRule="auto"/>
        <w:rPr>
          <w:sz w:val="24"/>
          <w:szCs w:val="24"/>
        </w:rPr>
      </w:pPr>
      <w:r w:rsidRPr="006E5696">
        <w:rPr>
          <w:sz w:val="24"/>
          <w:szCs w:val="24"/>
        </w:rPr>
        <w:t xml:space="preserve">Kim's disclosure underscores potential discrepancies between prescribed legal protocols and the treatment she experienced. Such discrepancies may implicate procedural irregularities and warrant further investigation to ensure adherence to statutory obligations. </w:t>
      </w:r>
      <w:r w:rsidRPr="0071209D">
        <w:rPr>
          <w:sz w:val="24"/>
          <w:szCs w:val="24"/>
        </w:rPr>
        <w:t xml:space="preserve">An additional concern that has been brought to light pertains to Kim's assertion that she declined to undergo fingerprinting while in custody yet was compelled by a police officer to submit to the process </w:t>
      </w:r>
      <w:r w:rsidRPr="0071209D">
        <w:rPr>
          <w:sz w:val="24"/>
          <w:szCs w:val="24"/>
        </w:rPr>
        <w:lastRenderedPageBreak/>
        <w:t xml:space="preserve">against her will. Reference to the Police and Criminal Evidence Act (PACE) Code </w:t>
      </w:r>
      <w:r w:rsidR="009120C4">
        <w:rPr>
          <w:sz w:val="24"/>
          <w:szCs w:val="24"/>
        </w:rPr>
        <w:t>C</w:t>
      </w:r>
      <w:r w:rsidR="00894C64">
        <w:rPr>
          <w:sz w:val="24"/>
          <w:szCs w:val="24"/>
        </w:rPr>
        <w:t xml:space="preserve"> Section 61</w:t>
      </w:r>
      <w:r w:rsidRPr="0071209D">
        <w:rPr>
          <w:sz w:val="24"/>
          <w:szCs w:val="24"/>
        </w:rPr>
        <w:t xml:space="preserve"> </w:t>
      </w:r>
      <w:r w:rsidR="00F862FC">
        <w:rPr>
          <w:sz w:val="24"/>
          <w:szCs w:val="24"/>
        </w:rPr>
        <w:t>(3)(a) and (4)(a)</w:t>
      </w:r>
      <w:r w:rsidRPr="0071209D">
        <w:rPr>
          <w:sz w:val="24"/>
          <w:szCs w:val="24"/>
        </w:rPr>
        <w:t xml:space="preserve"> elucidates the provisions </w:t>
      </w:r>
      <w:r w:rsidR="00BC7680">
        <w:rPr>
          <w:sz w:val="24"/>
          <w:szCs w:val="24"/>
        </w:rPr>
        <w:t>authorising</w:t>
      </w:r>
      <w:r w:rsidRPr="0071209D">
        <w:rPr>
          <w:sz w:val="24"/>
          <w:szCs w:val="24"/>
        </w:rPr>
        <w:t xml:space="preserve"> the acquisition of fingerprints without explicit consent from individuals aged ten or above under certain circumstances. These circumstances include being detained at a police station consequent to arrest for a recordable offen</w:t>
      </w:r>
      <w:r>
        <w:rPr>
          <w:sz w:val="24"/>
          <w:szCs w:val="24"/>
        </w:rPr>
        <w:t>c</w:t>
      </w:r>
      <w:r w:rsidRPr="0071209D">
        <w:rPr>
          <w:sz w:val="24"/>
          <w:szCs w:val="24"/>
        </w:rPr>
        <w:t xml:space="preserve">e or being detained and charged with a recordable </w:t>
      </w:r>
      <w:r w:rsidR="00BC7680">
        <w:rPr>
          <w:sz w:val="24"/>
          <w:szCs w:val="24"/>
        </w:rPr>
        <w:t>offence</w:t>
      </w:r>
      <w:r w:rsidRPr="0071209D">
        <w:rPr>
          <w:sz w:val="24"/>
          <w:szCs w:val="24"/>
        </w:rPr>
        <w:t xml:space="preserve"> (PACE, 2023).</w:t>
      </w:r>
    </w:p>
    <w:p w14:paraId="17FFBDF0" w14:textId="77777777" w:rsidR="00351F82" w:rsidRPr="00383E9B" w:rsidRDefault="00351F82" w:rsidP="00351F82">
      <w:pPr>
        <w:spacing w:after="160" w:line="278" w:lineRule="auto"/>
        <w:rPr>
          <w:sz w:val="24"/>
          <w:szCs w:val="24"/>
        </w:rPr>
      </w:pPr>
      <w:r w:rsidRPr="0071209D">
        <w:rPr>
          <w:sz w:val="24"/>
          <w:szCs w:val="24"/>
        </w:rPr>
        <w:t>Considering these legal provisions, it appears that Kim's refusal to consent to fingerprinting does not constitute a sufficient basis for contestation.</w:t>
      </w:r>
    </w:p>
    <w:p w14:paraId="49265995" w14:textId="77777777" w:rsidR="00351F82" w:rsidRPr="00383E9B" w:rsidRDefault="00351F82" w:rsidP="00351F82">
      <w:pPr>
        <w:spacing w:after="160" w:line="278" w:lineRule="auto"/>
        <w:rPr>
          <w:sz w:val="24"/>
          <w:szCs w:val="24"/>
        </w:rPr>
      </w:pPr>
    </w:p>
    <w:p w14:paraId="0D6B29AC" w14:textId="77777777" w:rsidR="00140F2E" w:rsidRDefault="00140F2E" w:rsidP="00351F82">
      <w:pPr>
        <w:spacing w:after="160" w:line="278" w:lineRule="auto"/>
        <w:rPr>
          <w:sz w:val="24"/>
          <w:szCs w:val="24"/>
        </w:rPr>
      </w:pPr>
    </w:p>
    <w:p w14:paraId="69C3A978" w14:textId="77777777" w:rsidR="00140F2E" w:rsidRDefault="00140F2E" w:rsidP="00351F82">
      <w:pPr>
        <w:spacing w:after="160" w:line="278" w:lineRule="auto"/>
        <w:rPr>
          <w:sz w:val="24"/>
          <w:szCs w:val="24"/>
        </w:rPr>
      </w:pPr>
    </w:p>
    <w:p w14:paraId="23D9C65F" w14:textId="77777777" w:rsidR="00140F2E" w:rsidRDefault="00140F2E" w:rsidP="00351F82">
      <w:pPr>
        <w:spacing w:after="160" w:line="278" w:lineRule="auto"/>
        <w:rPr>
          <w:sz w:val="24"/>
          <w:szCs w:val="24"/>
        </w:rPr>
      </w:pPr>
    </w:p>
    <w:p w14:paraId="1B693B88" w14:textId="77777777" w:rsidR="00140F2E" w:rsidRDefault="00140F2E" w:rsidP="00351F82">
      <w:pPr>
        <w:spacing w:after="160" w:line="278" w:lineRule="auto"/>
        <w:rPr>
          <w:sz w:val="24"/>
          <w:szCs w:val="24"/>
        </w:rPr>
      </w:pPr>
    </w:p>
    <w:p w14:paraId="7626C528" w14:textId="77777777" w:rsidR="00140F2E" w:rsidRDefault="00140F2E" w:rsidP="00351F82">
      <w:pPr>
        <w:spacing w:after="160" w:line="278" w:lineRule="auto"/>
        <w:rPr>
          <w:sz w:val="24"/>
          <w:szCs w:val="24"/>
          <w:u w:val="single"/>
        </w:rPr>
      </w:pPr>
      <w:r w:rsidRPr="00140F2E">
        <w:rPr>
          <w:sz w:val="24"/>
          <w:szCs w:val="24"/>
          <w:u w:val="single"/>
        </w:rPr>
        <w:t>References</w:t>
      </w:r>
    </w:p>
    <w:p w14:paraId="2029821E" w14:textId="77777777" w:rsidR="00140F2E" w:rsidRDefault="00140F2E" w:rsidP="00351F82">
      <w:pPr>
        <w:spacing w:after="160" w:line="278" w:lineRule="auto"/>
        <w:rPr>
          <w:sz w:val="24"/>
          <w:szCs w:val="24"/>
          <w:u w:val="single"/>
        </w:rPr>
      </w:pPr>
    </w:p>
    <w:p w14:paraId="7880DDB5" w14:textId="25CF7837" w:rsidR="00351F82" w:rsidRPr="00B74BE1" w:rsidRDefault="00244FC1" w:rsidP="002C278B">
      <w:pPr>
        <w:spacing w:after="160" w:line="278" w:lineRule="auto"/>
        <w:rPr>
          <w:sz w:val="24"/>
          <w:szCs w:val="24"/>
        </w:rPr>
      </w:pPr>
      <w:r w:rsidRPr="00B74BE1">
        <w:rPr>
          <w:sz w:val="24"/>
          <w:szCs w:val="24"/>
        </w:rPr>
        <w:t xml:space="preserve">Crown Prosecution Service </w:t>
      </w:r>
      <w:r w:rsidR="00EF4FE5" w:rsidRPr="00B74BE1">
        <w:rPr>
          <w:sz w:val="24"/>
          <w:szCs w:val="24"/>
        </w:rPr>
        <w:t xml:space="preserve">(2022) </w:t>
      </w:r>
      <w:r w:rsidR="00EF4FE5" w:rsidRPr="00B74BE1">
        <w:rPr>
          <w:i/>
          <w:iCs/>
          <w:sz w:val="24"/>
          <w:szCs w:val="24"/>
        </w:rPr>
        <w:t>Offences against the person</w:t>
      </w:r>
      <w:r w:rsidR="000637AE" w:rsidRPr="00B74BE1">
        <w:rPr>
          <w:i/>
          <w:iCs/>
          <w:sz w:val="24"/>
          <w:szCs w:val="24"/>
        </w:rPr>
        <w:t>, incorporating the charging standard. Available</w:t>
      </w:r>
      <w:r w:rsidR="000637AE" w:rsidRPr="00B74BE1">
        <w:rPr>
          <w:sz w:val="24"/>
          <w:szCs w:val="24"/>
        </w:rPr>
        <w:t xml:space="preserve"> at:</w:t>
      </w:r>
      <w:r w:rsidR="002C278B" w:rsidRPr="00B74BE1">
        <w:rPr>
          <w:sz w:val="24"/>
          <w:szCs w:val="24"/>
        </w:rPr>
        <w:t xml:space="preserve"> </w:t>
      </w:r>
      <w:hyperlink r:id="rId4" w:history="1">
        <w:r w:rsidR="00AB0E59" w:rsidRPr="00B74BE1">
          <w:rPr>
            <w:rStyle w:val="Hyperlink"/>
            <w:sz w:val="24"/>
            <w:szCs w:val="24"/>
          </w:rPr>
          <w:t>https://www.cps.gov.uk/legal-guidance/offences-against-person-incorporating-charging-standard</w:t>
        </w:r>
      </w:hyperlink>
      <w:r w:rsidR="00AB0E59" w:rsidRPr="00B74BE1">
        <w:rPr>
          <w:sz w:val="24"/>
          <w:szCs w:val="24"/>
        </w:rPr>
        <w:t xml:space="preserve"> (Accessed: 7 March 2024).</w:t>
      </w:r>
    </w:p>
    <w:p w14:paraId="3E71E788" w14:textId="40A6B760" w:rsidR="00B74BE1" w:rsidRPr="00B74BE1" w:rsidRDefault="00B74BE1" w:rsidP="00B74BE1">
      <w:pPr>
        <w:rPr>
          <w:rFonts w:cs="Segoe UI"/>
          <w:color w:val="000000"/>
          <w:sz w:val="24"/>
          <w:szCs w:val="24"/>
        </w:rPr>
      </w:pPr>
      <w:r w:rsidRPr="00B74BE1">
        <w:rPr>
          <w:rFonts w:cs="Segoe UI"/>
          <w:i/>
          <w:iCs/>
          <w:color w:val="000000"/>
          <w:sz w:val="24"/>
          <w:szCs w:val="24"/>
        </w:rPr>
        <w:t xml:space="preserve">Offences against the Person Act 1861, c. </w:t>
      </w:r>
      <w:r w:rsidR="003B0258" w:rsidRPr="00B74BE1">
        <w:rPr>
          <w:rFonts w:cs="Segoe UI"/>
          <w:i/>
          <w:iCs/>
          <w:color w:val="000000"/>
          <w:sz w:val="24"/>
          <w:szCs w:val="24"/>
        </w:rPr>
        <w:t>100.</w:t>
      </w:r>
      <w:r w:rsidRPr="00B74BE1">
        <w:rPr>
          <w:rFonts w:cs="Segoe UI"/>
          <w:i/>
          <w:iCs/>
          <w:color w:val="000000"/>
          <w:sz w:val="24"/>
          <w:szCs w:val="24"/>
        </w:rPr>
        <w:t xml:space="preserve"> </w:t>
      </w:r>
      <w:r w:rsidRPr="00B74BE1">
        <w:rPr>
          <w:rFonts w:cs="Segoe UI"/>
          <w:color w:val="000000"/>
          <w:sz w:val="24"/>
          <w:szCs w:val="24"/>
        </w:rPr>
        <w:t>Available at:</w:t>
      </w:r>
      <w:r w:rsidRPr="00B74BE1">
        <w:rPr>
          <w:rFonts w:cs="Segoe UI"/>
          <w:i/>
          <w:iCs/>
          <w:color w:val="000000"/>
          <w:sz w:val="24"/>
          <w:szCs w:val="24"/>
        </w:rPr>
        <w:t xml:space="preserve"> </w:t>
      </w:r>
      <w:hyperlink r:id="rId5" w:history="1">
        <w:r w:rsidRPr="00B74BE1">
          <w:rPr>
            <w:rStyle w:val="Hyperlink"/>
            <w:rFonts w:cs="Segoe UI"/>
            <w:sz w:val="24"/>
            <w:szCs w:val="24"/>
          </w:rPr>
          <w:t>https://www.legislation.gov.uk/ukpga/Vict/24-25/100/contents</w:t>
        </w:r>
      </w:hyperlink>
      <w:r w:rsidRPr="00B74BE1">
        <w:rPr>
          <w:rFonts w:cs="Segoe UI"/>
          <w:color w:val="000000"/>
          <w:sz w:val="24"/>
          <w:szCs w:val="24"/>
        </w:rPr>
        <w:t xml:space="preserve"> (Accessed: </w:t>
      </w:r>
      <w:r w:rsidR="003B0258">
        <w:rPr>
          <w:rFonts w:cs="Segoe UI"/>
          <w:color w:val="000000"/>
          <w:sz w:val="24"/>
          <w:szCs w:val="24"/>
        </w:rPr>
        <w:t>6</w:t>
      </w:r>
      <w:r w:rsidRPr="00B74BE1">
        <w:rPr>
          <w:rFonts w:cs="Segoe UI"/>
          <w:color w:val="000000"/>
          <w:sz w:val="24"/>
          <w:szCs w:val="24"/>
        </w:rPr>
        <w:t xml:space="preserve"> </w:t>
      </w:r>
      <w:r w:rsidR="003B0258">
        <w:rPr>
          <w:rFonts w:cs="Segoe UI"/>
          <w:color w:val="000000"/>
          <w:sz w:val="24"/>
          <w:szCs w:val="24"/>
        </w:rPr>
        <w:t>March</w:t>
      </w:r>
      <w:r w:rsidRPr="00B74BE1">
        <w:rPr>
          <w:rFonts w:cs="Segoe UI"/>
          <w:color w:val="000000"/>
          <w:sz w:val="24"/>
          <w:szCs w:val="24"/>
        </w:rPr>
        <w:t xml:space="preserve"> 2024).</w:t>
      </w:r>
    </w:p>
    <w:p w14:paraId="2902BD7E" w14:textId="77777777" w:rsidR="007E7C02" w:rsidRDefault="007E7C02" w:rsidP="00AB3397">
      <w:pPr>
        <w:shd w:val="clear" w:color="auto" w:fill="FFFFFF"/>
        <w:rPr>
          <w:sz w:val="24"/>
          <w:szCs w:val="24"/>
        </w:rPr>
      </w:pPr>
    </w:p>
    <w:p w14:paraId="348F0776" w14:textId="47BFED63" w:rsidR="00AB3397" w:rsidRDefault="00EF181B" w:rsidP="00AB3397">
      <w:pPr>
        <w:shd w:val="clear" w:color="auto" w:fill="FFFFFF"/>
        <w:rPr>
          <w:rFonts w:ascii="Georgia" w:hAnsi="Georgia"/>
          <w:color w:val="000000"/>
          <w:sz w:val="27"/>
          <w:szCs w:val="27"/>
        </w:rPr>
      </w:pPr>
      <w:r>
        <w:rPr>
          <w:sz w:val="24"/>
          <w:szCs w:val="24"/>
        </w:rPr>
        <w:t>Jonas, L. (2021</w:t>
      </w:r>
      <w:r w:rsidRPr="00397446">
        <w:rPr>
          <w:i/>
          <w:iCs/>
          <w:sz w:val="24"/>
          <w:szCs w:val="24"/>
        </w:rPr>
        <w:t>)</w:t>
      </w:r>
      <w:r w:rsidR="006E34D8" w:rsidRPr="00397446">
        <w:rPr>
          <w:i/>
          <w:iCs/>
          <w:sz w:val="24"/>
          <w:szCs w:val="24"/>
        </w:rPr>
        <w:t xml:space="preserve"> Individual Criminal Responsibility for the Financing of Entities involved in Core Crimes.</w:t>
      </w:r>
      <w:r w:rsidR="00AB3397">
        <w:rPr>
          <w:sz w:val="24"/>
          <w:szCs w:val="24"/>
        </w:rPr>
        <w:t xml:space="preserve"> Available at:</w:t>
      </w:r>
      <w:r w:rsidR="00397446">
        <w:rPr>
          <w:sz w:val="24"/>
          <w:szCs w:val="24"/>
        </w:rPr>
        <w:t xml:space="preserve"> </w:t>
      </w:r>
      <w:hyperlink r:id="rId6" w:history="1">
        <w:r w:rsidR="00397446" w:rsidRPr="00324804">
          <w:rPr>
            <w:rStyle w:val="Hyperlink"/>
            <w:rFonts w:ascii="Georgia" w:eastAsiaTheme="majorEastAsia" w:hAnsi="Georgia"/>
            <w:sz w:val="27"/>
            <w:szCs w:val="27"/>
          </w:rPr>
          <w:t>https://doi-org.ezproxy.uwtsd.ac.uk/10.1163/9789004470934_004</w:t>
        </w:r>
      </w:hyperlink>
    </w:p>
    <w:p w14:paraId="5208AD0A" w14:textId="77777777" w:rsidR="007E7C02" w:rsidRDefault="007E7C02" w:rsidP="002C278B">
      <w:pPr>
        <w:spacing w:after="160" w:line="278" w:lineRule="auto"/>
        <w:rPr>
          <w:sz w:val="24"/>
          <w:szCs w:val="24"/>
        </w:rPr>
      </w:pPr>
    </w:p>
    <w:p w14:paraId="4B225741" w14:textId="7619ACD7" w:rsidR="00AF2C14" w:rsidRDefault="00AF2C14" w:rsidP="002C278B">
      <w:pPr>
        <w:spacing w:after="160" w:line="278" w:lineRule="auto"/>
        <w:rPr>
          <w:sz w:val="24"/>
          <w:szCs w:val="24"/>
        </w:rPr>
      </w:pPr>
      <w:r>
        <w:rPr>
          <w:sz w:val="24"/>
          <w:szCs w:val="24"/>
        </w:rPr>
        <w:t>Turner, A. (2015)</w:t>
      </w:r>
      <w:r w:rsidR="00E777FA">
        <w:rPr>
          <w:sz w:val="24"/>
          <w:szCs w:val="24"/>
        </w:rPr>
        <w:t xml:space="preserve"> </w:t>
      </w:r>
      <w:r w:rsidR="00E777FA" w:rsidRPr="00E777FA">
        <w:rPr>
          <w:i/>
          <w:iCs/>
          <w:sz w:val="24"/>
          <w:szCs w:val="24"/>
        </w:rPr>
        <w:t>Anthony &amp; Berryman’s Magistrates’ Court Guide 2015</w:t>
      </w:r>
      <w:r w:rsidR="00E777FA">
        <w:rPr>
          <w:sz w:val="24"/>
          <w:szCs w:val="24"/>
        </w:rPr>
        <w:t>. Croydon: LexisNexis.</w:t>
      </w:r>
    </w:p>
    <w:p w14:paraId="49EE45B3" w14:textId="0697315F" w:rsidR="00CD1839" w:rsidRDefault="00CD1839" w:rsidP="002C278B">
      <w:pPr>
        <w:spacing w:after="160" w:line="278" w:lineRule="auto"/>
        <w:rPr>
          <w:sz w:val="24"/>
          <w:szCs w:val="24"/>
        </w:rPr>
      </w:pPr>
      <w:r>
        <w:rPr>
          <w:sz w:val="24"/>
          <w:szCs w:val="24"/>
        </w:rPr>
        <w:t xml:space="preserve">Sentencing Council (2024) </w:t>
      </w:r>
      <w:r w:rsidRPr="007E7C02">
        <w:rPr>
          <w:i/>
          <w:iCs/>
          <w:sz w:val="24"/>
          <w:szCs w:val="24"/>
        </w:rPr>
        <w:t xml:space="preserve">Assault </w:t>
      </w:r>
      <w:r w:rsidR="00A443B3" w:rsidRPr="007E7C02">
        <w:rPr>
          <w:i/>
          <w:iCs/>
          <w:sz w:val="24"/>
          <w:szCs w:val="24"/>
        </w:rPr>
        <w:t>o</w:t>
      </w:r>
      <w:r w:rsidRPr="007E7C02">
        <w:rPr>
          <w:i/>
          <w:iCs/>
          <w:sz w:val="24"/>
          <w:szCs w:val="24"/>
        </w:rPr>
        <w:t xml:space="preserve">ccasioning </w:t>
      </w:r>
      <w:r w:rsidR="00A443B3" w:rsidRPr="007E7C02">
        <w:rPr>
          <w:i/>
          <w:iCs/>
          <w:sz w:val="24"/>
          <w:szCs w:val="24"/>
        </w:rPr>
        <w:t>a</w:t>
      </w:r>
      <w:r w:rsidRPr="007E7C02">
        <w:rPr>
          <w:i/>
          <w:iCs/>
          <w:sz w:val="24"/>
          <w:szCs w:val="24"/>
        </w:rPr>
        <w:t xml:space="preserve">ctual </w:t>
      </w:r>
      <w:r w:rsidR="00A443B3" w:rsidRPr="007E7C02">
        <w:rPr>
          <w:i/>
          <w:iCs/>
          <w:sz w:val="24"/>
          <w:szCs w:val="24"/>
        </w:rPr>
        <w:t>bodily harm/racially or reli</w:t>
      </w:r>
      <w:r w:rsidR="005F1FE1" w:rsidRPr="007E7C02">
        <w:rPr>
          <w:i/>
          <w:iCs/>
          <w:sz w:val="24"/>
          <w:szCs w:val="24"/>
        </w:rPr>
        <w:t>giously aggravated ABH.</w:t>
      </w:r>
      <w:r w:rsidR="005F1FE1">
        <w:rPr>
          <w:sz w:val="24"/>
          <w:szCs w:val="24"/>
        </w:rPr>
        <w:t xml:space="preserve"> Available at: </w:t>
      </w:r>
      <w:hyperlink r:id="rId7" w:history="1">
        <w:r w:rsidR="007E7C02" w:rsidRPr="00324804">
          <w:rPr>
            <w:rStyle w:val="Hyperlink"/>
            <w:sz w:val="24"/>
            <w:szCs w:val="24"/>
          </w:rPr>
          <w:t>https://www.sentencingcouncil.org.uk/offences/magistrates-court/item/assault-occasioning-actual-bodily-harm-racially-or-religiously-aggravated-abh/</w:t>
        </w:r>
      </w:hyperlink>
      <w:r w:rsidR="007E7C02">
        <w:rPr>
          <w:sz w:val="24"/>
          <w:szCs w:val="24"/>
        </w:rPr>
        <w:t xml:space="preserve"> (Accessed: 5 March 2024).</w:t>
      </w:r>
    </w:p>
    <w:p w14:paraId="0F942ACE" w14:textId="31325BBD" w:rsidR="00942A72" w:rsidRDefault="00942A72" w:rsidP="002C278B">
      <w:pPr>
        <w:spacing w:after="160" w:line="278" w:lineRule="auto"/>
        <w:rPr>
          <w:sz w:val="24"/>
          <w:szCs w:val="24"/>
        </w:rPr>
      </w:pPr>
      <w:r>
        <w:rPr>
          <w:sz w:val="24"/>
          <w:szCs w:val="24"/>
        </w:rPr>
        <w:t>The Sentencing Act 2020</w:t>
      </w:r>
      <w:r w:rsidR="004B2215">
        <w:rPr>
          <w:sz w:val="24"/>
          <w:szCs w:val="24"/>
        </w:rPr>
        <w:t>, c. 17. Available at:</w:t>
      </w:r>
      <w:r w:rsidR="00DF1F91">
        <w:rPr>
          <w:sz w:val="24"/>
          <w:szCs w:val="24"/>
        </w:rPr>
        <w:t xml:space="preserve"> </w:t>
      </w:r>
      <w:hyperlink r:id="rId8" w:history="1">
        <w:r w:rsidR="00DF1F91" w:rsidRPr="00324804">
          <w:rPr>
            <w:rStyle w:val="Hyperlink"/>
            <w:sz w:val="24"/>
            <w:szCs w:val="24"/>
          </w:rPr>
          <w:t>https://www.legislation.gov.uk/ukpga/2020/17/contents/enacted</w:t>
        </w:r>
      </w:hyperlink>
      <w:r w:rsidR="00DF1F91">
        <w:rPr>
          <w:sz w:val="24"/>
          <w:szCs w:val="24"/>
        </w:rPr>
        <w:t xml:space="preserve"> (Accessed: 11 March 2024). </w:t>
      </w:r>
    </w:p>
    <w:p w14:paraId="2095EC98" w14:textId="77777777" w:rsidR="002A10B2" w:rsidRPr="002A10B2" w:rsidRDefault="002A10B2" w:rsidP="002A10B2">
      <w:pPr>
        <w:rPr>
          <w:sz w:val="24"/>
          <w:szCs w:val="24"/>
        </w:rPr>
      </w:pPr>
    </w:p>
    <w:p w14:paraId="32A251D2" w14:textId="037A92C5" w:rsidR="002A10B2" w:rsidRPr="002A10B2" w:rsidRDefault="002A10B2" w:rsidP="002A10B2">
      <w:pPr>
        <w:rPr>
          <w:sz w:val="24"/>
          <w:szCs w:val="24"/>
        </w:rPr>
      </w:pPr>
      <w:r w:rsidRPr="002A10B2">
        <w:rPr>
          <w:sz w:val="24"/>
          <w:szCs w:val="24"/>
        </w:rPr>
        <w:t>McPeake, R</w:t>
      </w:r>
      <w:r w:rsidRPr="002A10B2">
        <w:rPr>
          <w:i/>
          <w:iCs/>
          <w:sz w:val="24"/>
          <w:szCs w:val="24"/>
        </w:rPr>
        <w:t>. et a</w:t>
      </w:r>
      <w:r w:rsidRPr="002A10B2">
        <w:rPr>
          <w:sz w:val="24"/>
          <w:szCs w:val="24"/>
        </w:rPr>
        <w:t xml:space="preserve">l (2020) </w:t>
      </w:r>
      <w:r w:rsidRPr="002A10B2">
        <w:rPr>
          <w:i/>
          <w:iCs/>
          <w:sz w:val="24"/>
          <w:szCs w:val="24"/>
        </w:rPr>
        <w:t>Criminal Litigation and Sentencing</w:t>
      </w:r>
      <w:r w:rsidRPr="002A10B2">
        <w:rPr>
          <w:sz w:val="24"/>
          <w:szCs w:val="24"/>
        </w:rPr>
        <w:t>. Oxford: Oxford University Press</w:t>
      </w:r>
      <w:r w:rsidR="0038453D">
        <w:rPr>
          <w:sz w:val="24"/>
          <w:szCs w:val="24"/>
        </w:rPr>
        <w:t>.</w:t>
      </w:r>
    </w:p>
    <w:p w14:paraId="6B1F087F" w14:textId="77777777" w:rsidR="002A10B2" w:rsidRDefault="002A10B2" w:rsidP="002C278B">
      <w:pPr>
        <w:spacing w:after="160" w:line="278" w:lineRule="auto"/>
        <w:rPr>
          <w:sz w:val="24"/>
          <w:szCs w:val="24"/>
        </w:rPr>
      </w:pPr>
    </w:p>
    <w:p w14:paraId="58CF9202" w14:textId="04B117B4" w:rsidR="006547FD" w:rsidRDefault="006547FD" w:rsidP="002C278B">
      <w:pPr>
        <w:spacing w:after="160" w:line="278" w:lineRule="auto"/>
        <w:rPr>
          <w:sz w:val="24"/>
          <w:szCs w:val="24"/>
        </w:rPr>
      </w:pPr>
      <w:r>
        <w:rPr>
          <w:sz w:val="24"/>
          <w:szCs w:val="24"/>
        </w:rPr>
        <w:lastRenderedPageBreak/>
        <w:t>Magistrates’ Court Act 1980</w:t>
      </w:r>
      <w:r w:rsidR="003B6922">
        <w:rPr>
          <w:sz w:val="24"/>
          <w:szCs w:val="24"/>
        </w:rPr>
        <w:t xml:space="preserve">, c. 43. Available at: </w:t>
      </w:r>
      <w:hyperlink r:id="rId9" w:history="1">
        <w:r w:rsidR="003B6922" w:rsidRPr="00324804">
          <w:rPr>
            <w:rStyle w:val="Hyperlink"/>
            <w:sz w:val="24"/>
            <w:szCs w:val="24"/>
          </w:rPr>
          <w:t>https://www.legislation.gov.uk/ukpga/1980/43/contents</w:t>
        </w:r>
      </w:hyperlink>
      <w:r w:rsidR="003B6922">
        <w:rPr>
          <w:sz w:val="24"/>
          <w:szCs w:val="24"/>
        </w:rPr>
        <w:t xml:space="preserve"> (Ac</w:t>
      </w:r>
      <w:r w:rsidR="00522FCD">
        <w:rPr>
          <w:sz w:val="24"/>
          <w:szCs w:val="24"/>
        </w:rPr>
        <w:t xml:space="preserve">cessed: 12 March 2024). </w:t>
      </w:r>
    </w:p>
    <w:p w14:paraId="390C340D" w14:textId="736F2B24" w:rsidR="006D356E" w:rsidRDefault="006D356E" w:rsidP="002C278B">
      <w:pPr>
        <w:spacing w:after="160" w:line="278" w:lineRule="auto"/>
        <w:rPr>
          <w:sz w:val="24"/>
          <w:szCs w:val="24"/>
        </w:rPr>
      </w:pPr>
      <w:r>
        <w:rPr>
          <w:sz w:val="24"/>
          <w:szCs w:val="24"/>
        </w:rPr>
        <w:t xml:space="preserve">SMQ Legal (2023) </w:t>
      </w:r>
      <w:r w:rsidRPr="00065A99">
        <w:rPr>
          <w:i/>
          <w:iCs/>
          <w:sz w:val="24"/>
          <w:szCs w:val="24"/>
        </w:rPr>
        <w:t xml:space="preserve">Either </w:t>
      </w:r>
      <w:r w:rsidR="00065A99" w:rsidRPr="00065A99">
        <w:rPr>
          <w:i/>
          <w:iCs/>
          <w:sz w:val="24"/>
          <w:szCs w:val="24"/>
        </w:rPr>
        <w:t>way offences: What are they &amp; how are they decided</w:t>
      </w:r>
      <w:r w:rsidR="00065A99">
        <w:rPr>
          <w:sz w:val="24"/>
          <w:szCs w:val="24"/>
        </w:rPr>
        <w:t>? Available at:</w:t>
      </w:r>
      <w:r w:rsidR="008B0527">
        <w:rPr>
          <w:sz w:val="24"/>
          <w:szCs w:val="24"/>
        </w:rPr>
        <w:t xml:space="preserve"> h</w:t>
      </w:r>
      <w:r w:rsidR="008B0527" w:rsidRPr="008B0527">
        <w:rPr>
          <w:sz w:val="24"/>
          <w:szCs w:val="24"/>
        </w:rPr>
        <w:t>ttps://smqlegal.co.uk/the-choice-of-court-either-way-offences</w:t>
      </w:r>
      <w:r w:rsidR="00065A99">
        <w:rPr>
          <w:sz w:val="24"/>
          <w:szCs w:val="24"/>
        </w:rPr>
        <w:t xml:space="preserve"> </w:t>
      </w:r>
      <w:r w:rsidR="008B0527">
        <w:rPr>
          <w:sz w:val="24"/>
          <w:szCs w:val="24"/>
        </w:rPr>
        <w:t>(Accessed: 14 March 2024)</w:t>
      </w:r>
      <w:r w:rsidR="00904F53">
        <w:rPr>
          <w:sz w:val="24"/>
          <w:szCs w:val="24"/>
        </w:rPr>
        <w:t>.</w:t>
      </w:r>
    </w:p>
    <w:p w14:paraId="1B126C99" w14:textId="2AD33A30" w:rsidR="009A2E61" w:rsidRDefault="00D8562C" w:rsidP="002C278B">
      <w:pPr>
        <w:spacing w:after="160" w:line="278" w:lineRule="auto"/>
        <w:rPr>
          <w:sz w:val="24"/>
          <w:szCs w:val="24"/>
        </w:rPr>
      </w:pPr>
      <w:r>
        <w:rPr>
          <w:sz w:val="24"/>
          <w:szCs w:val="24"/>
        </w:rPr>
        <w:t>Legal</w:t>
      </w:r>
      <w:r w:rsidR="00205F20">
        <w:rPr>
          <w:sz w:val="24"/>
          <w:szCs w:val="24"/>
        </w:rPr>
        <w:t xml:space="preserve"> Aid, Sentencing and Punishment of Offenders Act 2012, c. 10.</w:t>
      </w:r>
      <w:r w:rsidR="00A85C68">
        <w:rPr>
          <w:sz w:val="24"/>
          <w:szCs w:val="24"/>
        </w:rPr>
        <w:t xml:space="preserve"> Available at: </w:t>
      </w:r>
      <w:hyperlink r:id="rId10" w:history="1">
        <w:r w:rsidR="00A85C68" w:rsidRPr="00324804">
          <w:rPr>
            <w:rStyle w:val="Hyperlink"/>
            <w:sz w:val="24"/>
            <w:szCs w:val="24"/>
          </w:rPr>
          <w:t>https://www.legislation.gov.uk/ukpga/2012/10/contents/enacted</w:t>
        </w:r>
      </w:hyperlink>
      <w:r w:rsidR="00A85C68">
        <w:rPr>
          <w:sz w:val="24"/>
          <w:szCs w:val="24"/>
        </w:rPr>
        <w:t xml:space="preserve"> (Accessed: 14 March 2024).</w:t>
      </w:r>
    </w:p>
    <w:p w14:paraId="652696E6" w14:textId="3A900645" w:rsidR="002C0C3A" w:rsidRDefault="002C0C3A" w:rsidP="002C278B">
      <w:pPr>
        <w:spacing w:after="160" w:line="278" w:lineRule="auto"/>
        <w:rPr>
          <w:sz w:val="24"/>
          <w:szCs w:val="24"/>
        </w:rPr>
      </w:pPr>
      <w:r>
        <w:rPr>
          <w:sz w:val="24"/>
          <w:szCs w:val="24"/>
        </w:rPr>
        <w:t>GOV.UK</w:t>
      </w:r>
      <w:r w:rsidR="00C210B8">
        <w:rPr>
          <w:sz w:val="24"/>
          <w:szCs w:val="24"/>
        </w:rPr>
        <w:t xml:space="preserve"> (2024) </w:t>
      </w:r>
      <w:r w:rsidR="00C210B8" w:rsidRPr="00A26550">
        <w:rPr>
          <w:i/>
          <w:iCs/>
          <w:sz w:val="24"/>
          <w:szCs w:val="24"/>
        </w:rPr>
        <w:t>Being arrested: Your rights</w:t>
      </w:r>
      <w:r w:rsidR="00C210B8">
        <w:rPr>
          <w:sz w:val="24"/>
          <w:szCs w:val="24"/>
        </w:rPr>
        <w:t xml:space="preserve">. Available at: </w:t>
      </w:r>
      <w:hyperlink r:id="rId11" w:history="1">
        <w:r w:rsidR="00C210B8" w:rsidRPr="00324804">
          <w:rPr>
            <w:rStyle w:val="Hyperlink"/>
            <w:sz w:val="24"/>
            <w:szCs w:val="24"/>
          </w:rPr>
          <w:t>https://www.gov.uk/arrested-your-rights/legal-advice-at-the-police-station</w:t>
        </w:r>
      </w:hyperlink>
      <w:r w:rsidR="00C210B8">
        <w:rPr>
          <w:sz w:val="24"/>
          <w:szCs w:val="24"/>
        </w:rPr>
        <w:t xml:space="preserve"> (Accessed: 13 March 2024). </w:t>
      </w:r>
    </w:p>
    <w:p w14:paraId="7DC954DE" w14:textId="302AD93E" w:rsidR="00FE5D15" w:rsidRDefault="00FE5D15" w:rsidP="002C278B">
      <w:pPr>
        <w:spacing w:after="160" w:line="278" w:lineRule="auto"/>
        <w:rPr>
          <w:sz w:val="24"/>
          <w:szCs w:val="24"/>
        </w:rPr>
      </w:pPr>
      <w:r>
        <w:rPr>
          <w:sz w:val="24"/>
          <w:szCs w:val="24"/>
        </w:rPr>
        <w:t xml:space="preserve">Police and Criminal Evidence Act 1984, c. 60. </w:t>
      </w:r>
      <w:r w:rsidR="00A000C9">
        <w:rPr>
          <w:sz w:val="24"/>
          <w:szCs w:val="24"/>
        </w:rPr>
        <w:t xml:space="preserve">Available at: </w:t>
      </w:r>
      <w:hyperlink r:id="rId12" w:history="1">
        <w:r w:rsidR="00A000C9" w:rsidRPr="00324804">
          <w:rPr>
            <w:rStyle w:val="Hyperlink"/>
            <w:sz w:val="24"/>
            <w:szCs w:val="24"/>
          </w:rPr>
          <w:t>https://www.legislation.gov.uk/ukpga/1984/60/contents</w:t>
        </w:r>
      </w:hyperlink>
      <w:r w:rsidR="00A000C9">
        <w:rPr>
          <w:sz w:val="24"/>
          <w:szCs w:val="24"/>
        </w:rPr>
        <w:t xml:space="preserve"> (Accessed: 14 March 2024).</w:t>
      </w:r>
    </w:p>
    <w:p w14:paraId="6F3FE5CB" w14:textId="048024B4" w:rsidR="003F772E" w:rsidRDefault="00467B47" w:rsidP="002C278B">
      <w:pPr>
        <w:spacing w:after="160" w:line="278" w:lineRule="auto"/>
        <w:rPr>
          <w:sz w:val="24"/>
          <w:szCs w:val="24"/>
        </w:rPr>
      </w:pPr>
      <w:r>
        <w:rPr>
          <w:sz w:val="24"/>
          <w:szCs w:val="24"/>
        </w:rPr>
        <w:t xml:space="preserve">GOV.UK (2023) </w:t>
      </w:r>
      <w:r w:rsidR="00A26550" w:rsidRPr="00A26550">
        <w:rPr>
          <w:i/>
          <w:iCs/>
          <w:sz w:val="24"/>
          <w:szCs w:val="24"/>
        </w:rPr>
        <w:t>Statutory</w:t>
      </w:r>
      <w:r w:rsidRPr="00A26550">
        <w:rPr>
          <w:i/>
          <w:iCs/>
          <w:sz w:val="24"/>
          <w:szCs w:val="24"/>
        </w:rPr>
        <w:t xml:space="preserve"> Guidance PACE Code C 2019</w:t>
      </w:r>
      <w:r w:rsidR="00A26550" w:rsidRPr="00A26550">
        <w:rPr>
          <w:i/>
          <w:iCs/>
          <w:sz w:val="24"/>
          <w:szCs w:val="24"/>
        </w:rPr>
        <w:t xml:space="preserve"> (accessible)</w:t>
      </w:r>
      <w:r w:rsidR="00A26550">
        <w:rPr>
          <w:sz w:val="24"/>
          <w:szCs w:val="24"/>
        </w:rPr>
        <w:t xml:space="preserve">. Available at: </w:t>
      </w:r>
      <w:hyperlink r:id="rId13" w:history="1">
        <w:r w:rsidR="00A26550" w:rsidRPr="00324804">
          <w:rPr>
            <w:rStyle w:val="Hyperlink"/>
            <w:sz w:val="24"/>
            <w:szCs w:val="24"/>
          </w:rPr>
          <w:t>https://www.gov.uk/government/publications/pace-code-c-2019/pace-code-c-2019-accessible</w:t>
        </w:r>
      </w:hyperlink>
      <w:r w:rsidR="00A26550">
        <w:rPr>
          <w:sz w:val="24"/>
          <w:szCs w:val="24"/>
        </w:rPr>
        <w:t xml:space="preserve"> (Accessed: 14 March 2024).</w:t>
      </w:r>
    </w:p>
    <w:p w14:paraId="5DA5BB6B" w14:textId="0779712C" w:rsidR="00A26550" w:rsidRDefault="00A26550" w:rsidP="002C278B">
      <w:pPr>
        <w:spacing w:after="160" w:line="278" w:lineRule="auto"/>
        <w:rPr>
          <w:sz w:val="24"/>
          <w:szCs w:val="24"/>
          <w:u w:val="single"/>
        </w:rPr>
      </w:pPr>
      <w:r w:rsidRPr="00A26550">
        <w:rPr>
          <w:sz w:val="24"/>
          <w:szCs w:val="24"/>
          <w:u w:val="single"/>
        </w:rPr>
        <w:t>Cases</w:t>
      </w:r>
    </w:p>
    <w:p w14:paraId="65363032" w14:textId="3A0038A8" w:rsidR="00CD1EDD" w:rsidRPr="00CD1EDD" w:rsidRDefault="00CD1EDD" w:rsidP="002C278B">
      <w:pPr>
        <w:spacing w:after="160" w:line="278" w:lineRule="auto"/>
        <w:rPr>
          <w:sz w:val="24"/>
          <w:szCs w:val="24"/>
        </w:rPr>
      </w:pPr>
      <w:r w:rsidRPr="00CD1EDD">
        <w:rPr>
          <w:sz w:val="24"/>
          <w:szCs w:val="24"/>
        </w:rPr>
        <w:t>R v Chan Fook [1994] 1 WLR 689</w:t>
      </w:r>
    </w:p>
    <w:p w14:paraId="2517AC62" w14:textId="77777777" w:rsidR="00A26550" w:rsidRPr="00A26550" w:rsidRDefault="00A26550" w:rsidP="002C278B">
      <w:pPr>
        <w:spacing w:after="160" w:line="278" w:lineRule="auto"/>
        <w:rPr>
          <w:sz w:val="24"/>
          <w:szCs w:val="24"/>
          <w:u w:val="single"/>
        </w:rPr>
      </w:pPr>
    </w:p>
    <w:p w14:paraId="12C23FB7" w14:textId="77777777" w:rsidR="00A000C9" w:rsidRDefault="00A000C9" w:rsidP="002C278B">
      <w:pPr>
        <w:spacing w:after="160" w:line="278" w:lineRule="auto"/>
        <w:rPr>
          <w:sz w:val="24"/>
          <w:szCs w:val="24"/>
        </w:rPr>
      </w:pPr>
    </w:p>
    <w:p w14:paraId="6A925D31" w14:textId="77777777" w:rsidR="00C210B8" w:rsidRDefault="00C210B8" w:rsidP="002C278B">
      <w:pPr>
        <w:spacing w:after="160" w:line="278" w:lineRule="auto"/>
        <w:rPr>
          <w:sz w:val="24"/>
          <w:szCs w:val="24"/>
        </w:rPr>
      </w:pPr>
    </w:p>
    <w:p w14:paraId="156E1107" w14:textId="77777777" w:rsidR="00C210B8" w:rsidRDefault="00C210B8" w:rsidP="002C278B">
      <w:pPr>
        <w:spacing w:after="160" w:line="278" w:lineRule="auto"/>
        <w:rPr>
          <w:sz w:val="24"/>
          <w:szCs w:val="24"/>
        </w:rPr>
      </w:pPr>
    </w:p>
    <w:p w14:paraId="40087CDB" w14:textId="77777777" w:rsidR="00A85C68" w:rsidRDefault="00A85C68" w:rsidP="002C278B">
      <w:pPr>
        <w:spacing w:after="160" w:line="278" w:lineRule="auto"/>
        <w:rPr>
          <w:sz w:val="24"/>
          <w:szCs w:val="24"/>
        </w:rPr>
      </w:pPr>
    </w:p>
    <w:p w14:paraId="51A0A656" w14:textId="77777777" w:rsidR="00A85C68" w:rsidRPr="002A10B2" w:rsidRDefault="00A85C68" w:rsidP="002C278B">
      <w:pPr>
        <w:spacing w:after="160" w:line="278" w:lineRule="auto"/>
        <w:rPr>
          <w:sz w:val="24"/>
          <w:szCs w:val="24"/>
        </w:rPr>
      </w:pPr>
    </w:p>
    <w:sectPr w:rsidR="00A85C68" w:rsidRPr="002A10B2" w:rsidSect="009C19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F82"/>
    <w:rsid w:val="000637AE"/>
    <w:rsid w:val="00065A99"/>
    <w:rsid w:val="000F1443"/>
    <w:rsid w:val="00140F2E"/>
    <w:rsid w:val="00171812"/>
    <w:rsid w:val="00205F20"/>
    <w:rsid w:val="00244FC1"/>
    <w:rsid w:val="002A10B2"/>
    <w:rsid w:val="002C0C3A"/>
    <w:rsid w:val="002C278B"/>
    <w:rsid w:val="002E0629"/>
    <w:rsid w:val="002F38E7"/>
    <w:rsid w:val="00351F82"/>
    <w:rsid w:val="0038453D"/>
    <w:rsid w:val="00397446"/>
    <w:rsid w:val="003A12B8"/>
    <w:rsid w:val="003B0258"/>
    <w:rsid w:val="003B6922"/>
    <w:rsid w:val="003F772E"/>
    <w:rsid w:val="00467B47"/>
    <w:rsid w:val="00467FC1"/>
    <w:rsid w:val="004B2215"/>
    <w:rsid w:val="00522FCD"/>
    <w:rsid w:val="00563095"/>
    <w:rsid w:val="005C3496"/>
    <w:rsid w:val="005F1FE1"/>
    <w:rsid w:val="006547FD"/>
    <w:rsid w:val="00692CAC"/>
    <w:rsid w:val="006A2B28"/>
    <w:rsid w:val="006D197C"/>
    <w:rsid w:val="006D356E"/>
    <w:rsid w:val="006E34D8"/>
    <w:rsid w:val="0076633A"/>
    <w:rsid w:val="007B6106"/>
    <w:rsid w:val="007E7C02"/>
    <w:rsid w:val="008346D1"/>
    <w:rsid w:val="00894C64"/>
    <w:rsid w:val="008B0527"/>
    <w:rsid w:val="008F15DC"/>
    <w:rsid w:val="00904F53"/>
    <w:rsid w:val="009120C4"/>
    <w:rsid w:val="00942A72"/>
    <w:rsid w:val="00944515"/>
    <w:rsid w:val="0096493C"/>
    <w:rsid w:val="00975B02"/>
    <w:rsid w:val="009A2E61"/>
    <w:rsid w:val="009C19F2"/>
    <w:rsid w:val="009C2544"/>
    <w:rsid w:val="00A000C9"/>
    <w:rsid w:val="00A26550"/>
    <w:rsid w:val="00A443B3"/>
    <w:rsid w:val="00A66A0B"/>
    <w:rsid w:val="00A85C68"/>
    <w:rsid w:val="00AB0E59"/>
    <w:rsid w:val="00AB3397"/>
    <w:rsid w:val="00AF2C14"/>
    <w:rsid w:val="00B74BE1"/>
    <w:rsid w:val="00BC7680"/>
    <w:rsid w:val="00C210B8"/>
    <w:rsid w:val="00CD1839"/>
    <w:rsid w:val="00CD1EDD"/>
    <w:rsid w:val="00D11A30"/>
    <w:rsid w:val="00D67404"/>
    <w:rsid w:val="00D72496"/>
    <w:rsid w:val="00D8562C"/>
    <w:rsid w:val="00DF1F91"/>
    <w:rsid w:val="00E209B4"/>
    <w:rsid w:val="00E777FA"/>
    <w:rsid w:val="00EB4AD7"/>
    <w:rsid w:val="00EF181B"/>
    <w:rsid w:val="00EF4FE5"/>
    <w:rsid w:val="00F76D0F"/>
    <w:rsid w:val="00F862FC"/>
    <w:rsid w:val="00FC2C26"/>
    <w:rsid w:val="00FE5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24FD89"/>
  <w15:chartTrackingRefBased/>
  <w15:docId w15:val="{CE05E9DD-CDC8-4BE2-8873-7AD00558E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F8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51F8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51F8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51F8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51F82"/>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351F82"/>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351F82"/>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351F82"/>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351F82"/>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351F82"/>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F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F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F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F82"/>
    <w:rPr>
      <w:rFonts w:eastAsiaTheme="majorEastAsia" w:cstheme="majorBidi"/>
      <w:color w:val="272727" w:themeColor="text1" w:themeTint="D8"/>
    </w:rPr>
  </w:style>
  <w:style w:type="paragraph" w:styleId="Title">
    <w:name w:val="Title"/>
    <w:basedOn w:val="Normal"/>
    <w:next w:val="Normal"/>
    <w:link w:val="TitleChar"/>
    <w:uiPriority w:val="10"/>
    <w:qFormat/>
    <w:rsid w:val="00351F8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51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F8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51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F82"/>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351F82"/>
    <w:rPr>
      <w:i/>
      <w:iCs/>
      <w:color w:val="404040" w:themeColor="text1" w:themeTint="BF"/>
    </w:rPr>
  </w:style>
  <w:style w:type="paragraph" w:styleId="ListParagraph">
    <w:name w:val="List Paragraph"/>
    <w:basedOn w:val="Normal"/>
    <w:uiPriority w:val="34"/>
    <w:qFormat/>
    <w:rsid w:val="00351F82"/>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351F82"/>
    <w:rPr>
      <w:i/>
      <w:iCs/>
      <w:color w:val="0F4761" w:themeColor="accent1" w:themeShade="BF"/>
    </w:rPr>
  </w:style>
  <w:style w:type="paragraph" w:styleId="IntenseQuote">
    <w:name w:val="Intense Quote"/>
    <w:basedOn w:val="Normal"/>
    <w:next w:val="Normal"/>
    <w:link w:val="IntenseQuoteChar"/>
    <w:uiPriority w:val="30"/>
    <w:qFormat/>
    <w:rsid w:val="00351F8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351F82"/>
    <w:rPr>
      <w:i/>
      <w:iCs/>
      <w:color w:val="0F4761" w:themeColor="accent1" w:themeShade="BF"/>
    </w:rPr>
  </w:style>
  <w:style w:type="character" w:styleId="IntenseReference">
    <w:name w:val="Intense Reference"/>
    <w:basedOn w:val="DefaultParagraphFont"/>
    <w:uiPriority w:val="32"/>
    <w:qFormat/>
    <w:rsid w:val="00351F82"/>
    <w:rPr>
      <w:b/>
      <w:bCs/>
      <w:smallCaps/>
      <w:color w:val="0F4761" w:themeColor="accent1" w:themeShade="BF"/>
      <w:spacing w:val="5"/>
    </w:rPr>
  </w:style>
  <w:style w:type="paragraph" w:styleId="NoSpacing">
    <w:name w:val="No Spacing"/>
    <w:link w:val="NoSpacingChar"/>
    <w:uiPriority w:val="1"/>
    <w:qFormat/>
    <w:rsid w:val="00975B0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5B02"/>
    <w:rPr>
      <w:rFonts w:eastAsiaTheme="minorEastAsia"/>
      <w:kern w:val="0"/>
      <w:sz w:val="22"/>
      <w:szCs w:val="22"/>
      <w:lang w:val="en-US"/>
      <w14:ligatures w14:val="none"/>
    </w:rPr>
  </w:style>
  <w:style w:type="character" w:styleId="Hyperlink">
    <w:name w:val="Hyperlink"/>
    <w:basedOn w:val="DefaultParagraphFont"/>
    <w:uiPriority w:val="99"/>
    <w:unhideWhenUsed/>
    <w:rsid w:val="00AB0E59"/>
    <w:rPr>
      <w:color w:val="467886" w:themeColor="hyperlink"/>
      <w:u w:val="single"/>
    </w:rPr>
  </w:style>
  <w:style w:type="character" w:styleId="UnresolvedMention">
    <w:name w:val="Unresolved Mention"/>
    <w:basedOn w:val="DefaultParagraphFont"/>
    <w:uiPriority w:val="99"/>
    <w:semiHidden/>
    <w:unhideWhenUsed/>
    <w:rsid w:val="00AB0E59"/>
    <w:rPr>
      <w:color w:val="605E5C"/>
      <w:shd w:val="clear" w:color="auto" w:fill="E1DFDD"/>
    </w:rPr>
  </w:style>
  <w:style w:type="character" w:customStyle="1" w:styleId="typography-body">
    <w:name w:val="typography-body"/>
    <w:basedOn w:val="DefaultParagraphFont"/>
    <w:rsid w:val="00AB33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96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0/17/contents/enacted" TargetMode="External"/><Relationship Id="rId13" Type="http://schemas.openxmlformats.org/officeDocument/2006/relationships/hyperlink" Target="https://www.gov.uk/government/publications/pace-code-c-2019/pace-code-c-2019-accessible" TargetMode="External"/><Relationship Id="rId3" Type="http://schemas.openxmlformats.org/officeDocument/2006/relationships/webSettings" Target="webSettings.xml"/><Relationship Id="rId7" Type="http://schemas.openxmlformats.org/officeDocument/2006/relationships/hyperlink" Target="https://www.sentencingcouncil.org.uk/offences/magistrates-court/item/assault-occasioning-actual-bodily-harm-racially-or-religiously-aggravated-abh/" TargetMode="External"/><Relationship Id="rId12" Type="http://schemas.openxmlformats.org/officeDocument/2006/relationships/hyperlink" Target="https://www.legislation.gov.uk/ukpga/1984/60/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163/9789004470934_004" TargetMode="External"/><Relationship Id="rId11" Type="http://schemas.openxmlformats.org/officeDocument/2006/relationships/hyperlink" Target="https://www.gov.uk/arrested-your-rights/legal-advice-at-the-police-station" TargetMode="External"/><Relationship Id="rId5" Type="http://schemas.openxmlformats.org/officeDocument/2006/relationships/hyperlink" Target="https://www.legislation.gov.uk/ukpga/Vict/24-25/100/contents" TargetMode="External"/><Relationship Id="rId15" Type="http://schemas.openxmlformats.org/officeDocument/2006/relationships/theme" Target="theme/theme1.xml"/><Relationship Id="rId10" Type="http://schemas.openxmlformats.org/officeDocument/2006/relationships/hyperlink" Target="https://www.legislation.gov.uk/ukpga/2012/10/contents/enacted" TargetMode="External"/><Relationship Id="rId4" Type="http://schemas.openxmlformats.org/officeDocument/2006/relationships/hyperlink" Target="https://www.cps.gov.uk/legal-guidance/offences-against-person-incorporating-charging-standard" TargetMode="External"/><Relationship Id="rId9" Type="http://schemas.openxmlformats.org/officeDocument/2006/relationships/hyperlink" Target="https://www.legislation.gov.uk/ukpga/1980/43/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1870</Words>
  <Characters>11407</Characters>
  <Application>Microsoft Office Word</Application>
  <DocSecurity>0</DocSecurity>
  <Lines>207</Lines>
  <Paragraphs>47</Paragraphs>
  <ScaleCrop>false</ScaleCrop>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- 2319007</dc:title>
  <dc:subject>Internal Memorandum</dc:subject>
  <dc:creator>jade brown</dc:creator>
  <cp:keywords/>
  <dc:description/>
  <cp:lastModifiedBy>jade brown</cp:lastModifiedBy>
  <cp:revision>2</cp:revision>
  <dcterms:created xsi:type="dcterms:W3CDTF">2024-03-15T02:39:00Z</dcterms:created>
  <dcterms:modified xsi:type="dcterms:W3CDTF">2024-03-15T02:39:00Z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907eb578-e130-43d5-98d2-53cdfa709fe3</vt:lpwstr>
  </property>
</Properties>
</file>