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eastAsia="en-US"/>
        </w:rPr>
        <w:id w:val="97447525"/>
        <w:docPartObj>
          <w:docPartGallery w:val="Cover Pages"/>
          <w:docPartUnique/>
        </w:docPartObj>
      </w:sdtPr>
      <w:sdtEndPr>
        <w:rPr>
          <w:rFonts w:ascii="Times New Roman" w:eastAsia="Times New Roman" w:hAnsi="Times New Roman" w:cs="Times New Roman"/>
          <w:sz w:val="24"/>
          <w14:ligatures w14:val="none"/>
        </w:rPr>
      </w:sdtEndPr>
      <w:sdtContent>
        <w:p w14:paraId="5FE8EF39" w14:textId="3475D2E3" w:rsidR="00741B16" w:rsidRDefault="00223FA1">
          <w:pPr>
            <w:pStyle w:val="NoSpacing"/>
            <w:rPr>
              <w:sz w:val="2"/>
            </w:rPr>
          </w:pPr>
          <w:r>
            <w:rPr>
              <w:rFonts w:ascii="Times New Roman" w:eastAsia="Times New Roman" w:hAnsi="Times New Roman" w:cs="Times New Roman"/>
              <w:noProof/>
              <w14:ligatures w14:val="none"/>
            </w:rPr>
            <w:drawing>
              <wp:anchor distT="0" distB="0" distL="114300" distR="114300" simplePos="0" relativeHeight="251653632" behindDoc="0" locked="0" layoutInCell="1" allowOverlap="1" wp14:anchorId="0964CA52" wp14:editId="6DA061D0">
                <wp:simplePos x="0" y="0"/>
                <wp:positionH relativeFrom="column">
                  <wp:posOffset>3078480</wp:posOffset>
                </wp:positionH>
                <wp:positionV relativeFrom="paragraph">
                  <wp:posOffset>-213360</wp:posOffset>
                </wp:positionV>
                <wp:extent cx="3416300" cy="1318260"/>
                <wp:effectExtent l="0" t="0" r="0" b="0"/>
                <wp:wrapTopAndBottom/>
                <wp:docPr id="1496804319" name="Picture 1"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04319" name="Picture 1" descr="A logo with text and a shield&#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6300" cy="1318260"/>
                        </a:xfrm>
                        <a:prstGeom prst="rect">
                          <a:avLst/>
                        </a:prstGeom>
                        <a:noFill/>
                      </pic:spPr>
                    </pic:pic>
                  </a:graphicData>
                </a:graphic>
                <wp14:sizeRelH relativeFrom="margin">
                  <wp14:pctWidth>0</wp14:pctWidth>
                </wp14:sizeRelH>
                <wp14:sizeRelV relativeFrom="margin">
                  <wp14:pctHeight>0</wp14:pctHeight>
                </wp14:sizeRelV>
              </wp:anchor>
            </w:drawing>
          </w:r>
        </w:p>
        <w:p w14:paraId="062E4DCE" w14:textId="5326DA3E" w:rsidR="00741B16" w:rsidRDefault="00577491">
          <w:r>
            <w:rPr>
              <w:noProof/>
            </w:rPr>
            <w:pict w14:anchorId="36D5D501">
              <v:group id="Group 2" o:spid="_x0000_s1027" style="position:absolute;margin-left:0;margin-top:0;width:432.65pt;height:448.55pt;z-index:-25165568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8"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9"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30"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1"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2"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p>
        <w:p w14:paraId="01B5E05D" w14:textId="148F6CB2" w:rsidR="00741B16" w:rsidRDefault="006D60A5">
          <w:pPr>
            <w:rPr>
              <w:rFonts w:ascii="Times New Roman" w:eastAsia="Times New Roman" w:hAnsi="Times New Roman" w:cs="Times New Roman"/>
              <w:kern w:val="0"/>
              <w:lang w:eastAsia="en-GB"/>
              <w14:ligatures w14:val="none"/>
            </w:rPr>
          </w:pPr>
          <w:r>
            <w:rPr>
              <w:noProof/>
            </w:rPr>
            <w:drawing>
              <wp:anchor distT="0" distB="0" distL="114300" distR="114300" simplePos="0" relativeHeight="251652608" behindDoc="0" locked="0" layoutInCell="1" allowOverlap="1" wp14:anchorId="41C7CE2B" wp14:editId="13ADC354">
                <wp:simplePos x="0" y="0"/>
                <wp:positionH relativeFrom="column">
                  <wp:posOffset>-495300</wp:posOffset>
                </wp:positionH>
                <wp:positionV relativeFrom="paragraph">
                  <wp:posOffset>375920</wp:posOffset>
                </wp:positionV>
                <wp:extent cx="2857500" cy="2834640"/>
                <wp:effectExtent l="0" t="0" r="0" b="0"/>
                <wp:wrapTopAndBottom/>
                <wp:docPr id="1015981338"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81338" name="Picture 1" descr="A group of people holding hand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857500" cy="2834640"/>
                        </a:xfrm>
                        <a:prstGeom prst="rect">
                          <a:avLst/>
                        </a:prstGeom>
                        <a:noFill/>
                      </pic:spPr>
                    </pic:pic>
                  </a:graphicData>
                </a:graphic>
                <wp14:sizeRelH relativeFrom="margin">
                  <wp14:pctWidth>0</wp14:pctWidth>
                </wp14:sizeRelH>
                <wp14:sizeRelV relativeFrom="margin">
                  <wp14:pctHeight>0</wp14:pctHeight>
                </wp14:sizeRelV>
              </wp:anchor>
            </w:drawing>
          </w:r>
          <w:r w:rsidR="00577491">
            <w:rPr>
              <w:noProof/>
              <w:sz w:val="22"/>
            </w:rPr>
            <w:pict w14:anchorId="48BC0ED7">
              <v:shapetype id="_x0000_t202" coordsize="21600,21600" o:spt="202" path="m,l,21600r21600,l21600,xe">
                <v:stroke joinstyle="miter"/>
                <v:path gradientshapeok="t" o:connecttype="rect"/>
              </v:shapetype>
              <v:shape id="Text Box 15" o:spid="_x0000_s1033" type="#_x0000_t202" style="position:absolute;margin-left:188pt;margin-top:316.85pt;width:374.4pt;height:62.95pt;z-index:251661824;visibility:visible;mso-wrap-distance-left:9pt;mso-wrap-distance-top:0;mso-wrap-distance-right:9pt;mso-wrap-distance-bottom:0;mso-position-horizontal-relative:page;mso-position-vertical-relative:margin;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next-textbox:#Text Box 15">
                  <w:txbxContent>
                    <w:sdt>
                      <w:sdtPr>
                        <w:rPr>
                          <w:rFonts w:ascii="Arial" w:eastAsia="Times New Roman" w:hAnsi="Arial" w:cs="Arial"/>
                          <w:b/>
                          <w:bCs/>
                          <w:kern w:val="36"/>
                          <w:sz w:val="44"/>
                          <w:szCs w:val="44"/>
                          <w14:ligatures w14:val="no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A0AFAC8" w14:textId="53ED74B9" w:rsidR="00741B16" w:rsidRPr="00223FA1" w:rsidRDefault="00BE1B6D" w:rsidP="00BE1B6D">
                          <w:pPr>
                            <w:pStyle w:val="NoSpacing"/>
                            <w:jc w:val="center"/>
                            <w:rPr>
                              <w:color w:val="156082" w:themeColor="accent1"/>
                              <w:sz w:val="44"/>
                              <w:szCs w:val="44"/>
                            </w:rPr>
                          </w:pPr>
                          <w:r w:rsidRPr="00223FA1">
                            <w:rPr>
                              <w:rFonts w:ascii="Arial" w:eastAsia="Times New Roman" w:hAnsi="Arial" w:cs="Arial"/>
                              <w:b/>
                              <w:bCs/>
                              <w:kern w:val="36"/>
                              <w:sz w:val="44"/>
                              <w:szCs w:val="44"/>
                              <w14:ligatures w14:val="none"/>
                            </w:rPr>
                            <w:t>STAKEHOLDER ENGAGEMENT PORTFOLIO</w:t>
                          </w:r>
                        </w:p>
                      </w:sdtContent>
                    </w:sdt>
                    <w:p w14:paraId="324387F3" w14:textId="77777777" w:rsidR="00741B16" w:rsidRDefault="00741B16"/>
                  </w:txbxContent>
                </v:textbox>
                <w10:wrap anchorx="page" anchory="margin"/>
              </v:shape>
            </w:pict>
          </w:r>
          <w:r w:rsidR="00577491">
            <w:rPr>
              <w:noProof/>
            </w:rPr>
            <w:pict w14:anchorId="0CEF2C4F">
              <v:shape id="Text Box 2" o:spid="_x0000_s1036" type="#_x0000_t202" style="position:absolute;margin-left:3.75pt;margin-top:357.8pt;width:435.9pt;height:60.95pt;z-index:251662848;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next-textbox:#Text Box 2;mso-fit-shape-to-text:t">
                  <w:txbxContent>
                    <w:p w14:paraId="5630FB45" w14:textId="632F86A8" w:rsidR="00E118E6" w:rsidRDefault="00E118E6" w:rsidP="00E118E6">
                      <w:pPr>
                        <w:jc w:val="center"/>
                        <w:rPr>
                          <w:rStyle w:val="Strong"/>
                          <w:rFonts w:ascii="Segoe UI" w:hAnsi="Segoe UI" w:cs="Segoe UI"/>
                          <w:color w:val="1D2125"/>
                          <w:shd w:val="clear" w:color="auto" w:fill="FFFFFF"/>
                        </w:rPr>
                      </w:pPr>
                      <w:r>
                        <w:rPr>
                          <w:rStyle w:val="Strong"/>
                          <w:rFonts w:ascii="Segoe UI" w:hAnsi="Segoe UI" w:cs="Segoe UI"/>
                          <w:color w:val="1D2125"/>
                          <w:shd w:val="clear" w:color="auto" w:fill="FFFFFF"/>
                        </w:rPr>
                        <w:t>Module Leader:</w:t>
                      </w:r>
                    </w:p>
                    <w:p w14:paraId="08C9651D" w14:textId="4E9C1DD3" w:rsidR="00E118E6" w:rsidRDefault="00E118E6" w:rsidP="00E118E6">
                      <w:pPr>
                        <w:jc w:val="center"/>
                      </w:pPr>
                      <w:r>
                        <w:rPr>
                          <w:rStyle w:val="Strong"/>
                          <w:rFonts w:ascii="Segoe UI" w:hAnsi="Segoe UI" w:cs="Segoe UI"/>
                          <w:color w:val="1D2125"/>
                          <w:shd w:val="clear" w:color="auto" w:fill="FFFFFF"/>
                        </w:rPr>
                        <w:t>Ivan Rodriguez Hernandez</w:t>
                      </w:r>
                    </w:p>
                  </w:txbxContent>
                </v:textbox>
                <w10:wrap type="square"/>
              </v:shape>
            </w:pict>
          </w:r>
          <w:r w:rsidR="00577491">
            <w:rPr>
              <w:noProof/>
            </w:rPr>
            <w:pict w14:anchorId="1EBEA5D2">
              <v:shape id="Text Box 16" o:spid="_x0000_s1026" type="#_x0000_t202" style="position:absolute;margin-left:55.75pt;margin-top:536.3pt;width:483.4pt;height:184.65pt;z-index:251659776;visibility:visible;mso-wrap-distance-left:9pt;mso-wrap-distance-top:0;mso-wrap-distance-right:9pt;mso-wrap-distance-bottom:0;mso-position-horizontal-relative:page;mso-position-vertical-relative:margin;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next-textbox:#Text Box 16" inset="0,0,0,0">
                  <w:txbxContent>
                    <w:p w14:paraId="5457DF3F" w14:textId="63C36FEB" w:rsidR="00741B16" w:rsidRDefault="00577491" w:rsidP="00D35637">
                      <w:pPr>
                        <w:pStyle w:val="NoSpacing"/>
                        <w:rPr>
                          <w:color w:val="156082" w:themeColor="accent1"/>
                          <w:sz w:val="36"/>
                          <w:szCs w:val="36"/>
                        </w:rPr>
                      </w:pPr>
                      <w:sdt>
                        <w:sdtPr>
                          <w:rPr>
                            <w:rFonts w:ascii="Times New Roman" w:eastAsia="Times New Roman" w:hAnsi="Times New Roman" w:cs="Times New Roman"/>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118E6" w:rsidRPr="0018456B">
                            <w:rPr>
                              <w:rFonts w:ascii="Times New Roman" w:eastAsia="Times New Roman" w:hAnsi="Times New Roman" w:cs="Times New Roman"/>
                            </w:rPr>
                            <w:t xml:space="preserve">Programme: </w:t>
                          </w:r>
                          <w:r w:rsidR="00E118E6">
                            <w:rPr>
                              <w:rFonts w:ascii="Times New Roman" w:eastAsia="Times New Roman" w:hAnsi="Times New Roman" w:cs="Times New Roman"/>
                            </w:rPr>
                            <w:t>B</w:t>
                          </w:r>
                          <w:r w:rsidR="00E118E6" w:rsidRPr="0018456B">
                            <w:rPr>
                              <w:rFonts w:ascii="Times New Roman" w:eastAsia="Times New Roman" w:hAnsi="Times New Roman" w:cs="Times New Roman"/>
                            </w:rPr>
                            <w:t xml:space="preserve">A (Hons) Business </w:t>
                          </w:r>
                          <w:r w:rsidR="00E118E6">
                            <w:rPr>
                              <w:rFonts w:ascii="Times New Roman" w:eastAsia="Times New Roman" w:hAnsi="Times New Roman" w:cs="Times New Roman"/>
                            </w:rPr>
                            <w:t xml:space="preserve">Management                                                                                                </w:t>
                          </w:r>
                          <w:r w:rsidR="00E118E6" w:rsidRPr="0018456B">
                            <w:rPr>
                              <w:rFonts w:ascii="Times New Roman" w:eastAsia="Times New Roman" w:hAnsi="Times New Roman" w:cs="Times New Roman"/>
                            </w:rPr>
                            <w:t>Module:</w:t>
                          </w:r>
                          <w:r w:rsidR="00E118E6">
                            <w:rPr>
                              <w:rFonts w:ascii="Times New Roman" w:eastAsia="Times New Roman" w:hAnsi="Times New Roman" w:cs="Times New Roman"/>
                            </w:rPr>
                            <w:t xml:space="preserve"> </w:t>
                          </w:r>
                          <w:r w:rsidR="00E118E6" w:rsidRPr="0018456B">
                            <w:rPr>
                              <w:rFonts w:ascii="Times New Roman" w:eastAsia="Times New Roman" w:hAnsi="Times New Roman" w:cs="Times New Roman"/>
                            </w:rPr>
                            <w:t xml:space="preserve">LCBB4013 – Stakeholder Engagement Assignment </w:t>
                          </w:r>
                          <w:r w:rsidR="00E118E6">
                            <w:rPr>
                              <w:rFonts w:ascii="Times New Roman" w:eastAsia="Times New Roman" w:hAnsi="Times New Roman" w:cs="Times New Roman"/>
                            </w:rPr>
                            <w:t xml:space="preserve">                                                                           </w:t>
                          </w:r>
                          <w:r w:rsidR="00E118E6" w:rsidRPr="0018456B">
                            <w:rPr>
                              <w:rFonts w:ascii="Times New Roman" w:eastAsia="Times New Roman" w:hAnsi="Times New Roman" w:cs="Times New Roman"/>
                            </w:rPr>
                            <w:t>Title: Portfolio – Coursework (Component 1)</w:t>
                          </w:r>
                        </w:sdtContent>
                      </w:sdt>
                    </w:p>
                    <w:sdt>
                      <w:sdtPr>
                        <w:rPr>
                          <w:rFonts w:ascii="Times New Roman" w:eastAsia="Times New Roman" w:hAnsi="Times New Roman" w:cs="Times New Roman"/>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A1C4CD4" w14:textId="6E915703" w:rsidR="00741B16" w:rsidRDefault="00D35637" w:rsidP="00D35637">
                          <w:pPr>
                            <w:pStyle w:val="NoSpacing"/>
                            <w:rPr>
                              <w:color w:val="156082" w:themeColor="accent1"/>
                              <w:sz w:val="36"/>
                              <w:szCs w:val="36"/>
                            </w:rPr>
                          </w:pPr>
                          <w:r w:rsidRPr="00D35637">
                            <w:rPr>
                              <w:rFonts w:ascii="Times New Roman" w:eastAsia="Times New Roman" w:hAnsi="Times New Roman" w:cs="Times New Roman"/>
                            </w:rPr>
                            <w:t>Your Full Name</w:t>
                          </w:r>
                          <w:r>
                            <w:rPr>
                              <w:rFonts w:ascii="Times New Roman" w:eastAsia="Times New Roman" w:hAnsi="Times New Roman" w:cs="Times New Roman"/>
                            </w:rPr>
                            <w:t xml:space="preserve"> </w:t>
                          </w:r>
                          <w:r w:rsidRPr="00D35637">
                            <w:rPr>
                              <w:rFonts w:ascii="Times New Roman" w:eastAsia="Times New Roman" w:hAnsi="Times New Roman" w:cs="Times New Roman"/>
                            </w:rPr>
                            <w:t>Ateeq Ur Rehman</w:t>
                          </w:r>
                          <w:r>
                            <w:rPr>
                              <w:rFonts w:ascii="Times New Roman" w:eastAsia="Times New Roman" w:hAnsi="Times New Roman" w:cs="Times New Roman"/>
                            </w:rPr>
                            <w:t xml:space="preserve">                                                                                                                                  </w:t>
                          </w:r>
                          <w:r w:rsidRPr="00D35637">
                            <w:rPr>
                              <w:rFonts w:ascii="Times New Roman" w:eastAsia="Times New Roman" w:hAnsi="Times New Roman" w:cs="Times New Roman"/>
                            </w:rPr>
                            <w:t>Student ID: 2322964</w:t>
                          </w:r>
                          <w:r>
                            <w:rPr>
                              <w:rFonts w:ascii="Times New Roman" w:eastAsia="Times New Roman" w:hAnsi="Times New Roman" w:cs="Times New Roman"/>
                            </w:rPr>
                            <w:t xml:space="preserve">                                                                                                                                                      </w:t>
                          </w:r>
                          <w:r w:rsidRPr="00D35637">
                            <w:rPr>
                              <w:rFonts w:ascii="Times New Roman" w:eastAsia="Times New Roman" w:hAnsi="Times New Roman" w:cs="Times New Roman"/>
                            </w:rPr>
                            <w:t>Submission Date:21st November 2025</w:t>
                          </w:r>
                        </w:p>
                      </w:sdtContent>
                    </w:sdt>
                  </w:txbxContent>
                </v:textbox>
                <w10:wrap anchorx="page" anchory="margin"/>
              </v:shape>
            </w:pict>
          </w:r>
          <w:r w:rsidR="00741B16">
            <w:rPr>
              <w:rFonts w:ascii="Times New Roman" w:eastAsia="Times New Roman" w:hAnsi="Times New Roman" w:cs="Times New Roman"/>
              <w:kern w:val="0"/>
              <w:lang w:eastAsia="en-GB"/>
              <w14:ligatures w14:val="none"/>
            </w:rPr>
            <w:br w:type="page"/>
          </w:r>
        </w:p>
      </w:sdtContent>
    </w:sdt>
    <w:p w14:paraId="361956C1" w14:textId="77777777" w:rsidR="00E11E8C" w:rsidRDefault="00E11E8C" w:rsidP="00BE1B6D">
      <w:pPr>
        <w:spacing w:before="100" w:beforeAutospacing="1" w:after="100" w:afterAutospacing="1" w:line="360" w:lineRule="auto"/>
        <w:jc w:val="both"/>
        <w:rPr>
          <w:rFonts w:ascii="Arial" w:eastAsia="Times New Roman" w:hAnsi="Arial" w:cs="Arial"/>
          <w:b/>
          <w:bCs/>
          <w:kern w:val="0"/>
          <w:lang w:eastAsia="en-GB"/>
          <w14:ligatures w14:val="none"/>
        </w:rPr>
      </w:pPr>
    </w:p>
    <w:p w14:paraId="7E726779" w14:textId="68907116" w:rsidR="00E11E8C" w:rsidRPr="00912D86" w:rsidRDefault="00E11E8C" w:rsidP="00912D86">
      <w:pPr>
        <w:rPr>
          <w:rFonts w:ascii="Arial" w:eastAsia="Times New Roman" w:hAnsi="Arial" w:cs="Arial"/>
          <w:b/>
          <w:bCs/>
          <w:kern w:val="0"/>
          <w:lang w:eastAsia="en-GB"/>
          <w14:ligatures w14:val="none"/>
        </w:rPr>
      </w:pPr>
    </w:p>
    <w:sdt>
      <w:sdtPr>
        <w:rPr>
          <w:rFonts w:asciiTheme="majorHAnsi" w:eastAsiaTheme="majorEastAsia" w:hAnsiTheme="majorHAnsi" w:cstheme="majorBidi"/>
          <w:color w:val="0F4761" w:themeColor="accent1" w:themeShade="BF"/>
          <w:kern w:val="0"/>
          <w:sz w:val="32"/>
          <w:szCs w:val="32"/>
          <w:lang w:eastAsia="en-GB"/>
        </w:rPr>
        <w:id w:val="1415432360"/>
        <w:docPartObj>
          <w:docPartGallery w:val="Table of Contents"/>
          <w:docPartUnique/>
        </w:docPartObj>
      </w:sdtPr>
      <w:sdtEndPr>
        <w:rPr>
          <w:rFonts w:asciiTheme="minorHAnsi" w:eastAsiaTheme="minorHAnsi" w:hAnsiTheme="minorHAnsi" w:cstheme="minorBidi"/>
          <w:b/>
          <w:bCs/>
          <w:color w:val="auto"/>
          <w:kern w:val="2"/>
          <w:sz w:val="24"/>
          <w:szCs w:val="24"/>
          <w:lang w:eastAsia="en-US"/>
        </w:rPr>
      </w:sdtEndPr>
      <w:sdtContent>
        <w:p w14:paraId="06A4A4DC" w14:textId="77777777" w:rsidR="00912D86" w:rsidRPr="00912D86" w:rsidRDefault="00912D86" w:rsidP="00912D86">
          <w:pPr>
            <w:keepNext/>
            <w:keepLines/>
            <w:spacing w:before="240" w:after="0" w:line="259" w:lineRule="auto"/>
            <w:rPr>
              <w:rFonts w:asciiTheme="majorHAnsi" w:eastAsiaTheme="majorEastAsia" w:hAnsiTheme="majorHAnsi" w:cstheme="majorBidi"/>
              <w:color w:val="0F4761" w:themeColor="accent1" w:themeShade="BF"/>
              <w:kern w:val="0"/>
              <w:sz w:val="32"/>
              <w:szCs w:val="32"/>
              <w:lang w:eastAsia="en-GB"/>
            </w:rPr>
          </w:pPr>
          <w:r w:rsidRPr="00912D86">
            <w:rPr>
              <w:rFonts w:asciiTheme="majorHAnsi" w:eastAsiaTheme="majorEastAsia" w:hAnsiTheme="majorHAnsi" w:cstheme="majorBidi"/>
              <w:color w:val="0F4761" w:themeColor="accent1" w:themeShade="BF"/>
              <w:kern w:val="0"/>
              <w:sz w:val="32"/>
              <w:szCs w:val="32"/>
              <w:lang w:eastAsia="en-GB"/>
            </w:rPr>
            <w:t>Table of Contents</w:t>
          </w:r>
        </w:p>
        <w:p w14:paraId="75554C35" w14:textId="77777777" w:rsidR="00912D86" w:rsidRPr="00912D86" w:rsidRDefault="00912D86" w:rsidP="00912D86">
          <w:pPr>
            <w:tabs>
              <w:tab w:val="right" w:leader="dot" w:pos="9016"/>
            </w:tabs>
            <w:spacing w:after="100"/>
            <w:ind w:left="240"/>
            <w:rPr>
              <w:rFonts w:eastAsiaTheme="minorEastAsia"/>
              <w:noProof/>
              <w:lang w:eastAsia="en-GB"/>
            </w:rPr>
          </w:pPr>
          <w:r w:rsidRPr="00912D86">
            <w:fldChar w:fldCharType="begin"/>
          </w:r>
          <w:r w:rsidRPr="00912D86">
            <w:instrText xml:space="preserve"> TOC \o "1-3" \h \z \u </w:instrText>
          </w:r>
          <w:r w:rsidRPr="00912D86">
            <w:fldChar w:fldCharType="separate"/>
          </w:r>
          <w:hyperlink w:anchor="_Toc214400055" w:history="1">
            <w:r w:rsidRPr="00912D86">
              <w:rPr>
                <w:rFonts w:ascii="Arial" w:eastAsia="Times New Roman" w:hAnsi="Arial" w:cs="Arial"/>
                <w:b/>
                <w:bCs/>
                <w:noProof/>
                <w:color w:val="0000FF"/>
                <w:kern w:val="0"/>
                <w:u w:val="single"/>
                <w:lang w:eastAsia="en-GB"/>
                <w14:ligatures w14:val="none"/>
              </w:rPr>
              <w:t>Canley Housing Redevelopment Project, Coventry (2025)</w:t>
            </w:r>
            <w:r w:rsidRPr="00912D86">
              <w:rPr>
                <w:noProof/>
                <w:webHidden/>
              </w:rPr>
              <w:tab/>
            </w:r>
            <w:r w:rsidRPr="00912D86">
              <w:rPr>
                <w:noProof/>
                <w:webHidden/>
              </w:rPr>
              <w:fldChar w:fldCharType="begin"/>
            </w:r>
            <w:r w:rsidRPr="00912D86">
              <w:rPr>
                <w:noProof/>
                <w:webHidden/>
              </w:rPr>
              <w:instrText xml:space="preserve"> PAGEREF _Toc214400055 \h </w:instrText>
            </w:r>
            <w:r w:rsidRPr="00912D86">
              <w:rPr>
                <w:noProof/>
                <w:webHidden/>
              </w:rPr>
            </w:r>
            <w:r w:rsidRPr="00912D86">
              <w:rPr>
                <w:noProof/>
                <w:webHidden/>
              </w:rPr>
              <w:fldChar w:fldCharType="separate"/>
            </w:r>
            <w:r w:rsidRPr="00912D86">
              <w:rPr>
                <w:noProof/>
                <w:webHidden/>
              </w:rPr>
              <w:t>3</w:t>
            </w:r>
            <w:r w:rsidRPr="00912D86">
              <w:rPr>
                <w:noProof/>
                <w:webHidden/>
              </w:rPr>
              <w:fldChar w:fldCharType="end"/>
            </w:r>
          </w:hyperlink>
        </w:p>
        <w:p w14:paraId="6459879C"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56" w:history="1">
            <w:r w:rsidR="00912D86" w:rsidRPr="00912D86">
              <w:rPr>
                <w:rFonts w:ascii="Arial" w:eastAsia="Times New Roman" w:hAnsi="Arial" w:cs="Arial"/>
                <w:b/>
                <w:bCs/>
                <w:noProof/>
                <w:color w:val="0000FF"/>
                <w:kern w:val="0"/>
                <w:u w:val="single"/>
                <w:lang w:eastAsia="en-GB"/>
                <w14:ligatures w14:val="none"/>
              </w:rPr>
              <w:t>Introduction</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_Toc214400056 \h </w:instrText>
            </w:r>
            <w:r w:rsidR="00912D86" w:rsidRPr="00912D86">
              <w:rPr>
                <w:noProof/>
                <w:webHidden/>
              </w:rPr>
            </w:r>
            <w:r w:rsidR="00912D86" w:rsidRPr="00912D86">
              <w:rPr>
                <w:noProof/>
                <w:webHidden/>
              </w:rPr>
              <w:fldChar w:fldCharType="separate"/>
            </w:r>
            <w:r w:rsidR="00912D86" w:rsidRPr="00912D86">
              <w:rPr>
                <w:noProof/>
                <w:webHidden/>
              </w:rPr>
              <w:t>3</w:t>
            </w:r>
            <w:r w:rsidR="00912D86" w:rsidRPr="00912D86">
              <w:rPr>
                <w:noProof/>
                <w:webHidden/>
              </w:rPr>
              <w:fldChar w:fldCharType="end"/>
            </w:r>
          </w:hyperlink>
        </w:p>
        <w:p w14:paraId="59B45D56"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57" w:history="1">
            <w:r w:rsidR="00912D86" w:rsidRPr="00912D86">
              <w:rPr>
                <w:rFonts w:ascii="Arial" w:eastAsia="Times New Roman" w:hAnsi="Arial" w:cs="Arial"/>
                <w:b/>
                <w:bCs/>
                <w:noProof/>
                <w:color w:val="0000FF"/>
                <w:kern w:val="0"/>
                <w:u w:val="single"/>
                <w:lang w:eastAsia="en-GB"/>
                <w14:ligatures w14:val="none"/>
              </w:rPr>
              <w:t>Key Stakeholders and Their Benefits</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_Toc214400057 \h </w:instrText>
            </w:r>
            <w:r w:rsidR="00912D86" w:rsidRPr="00912D86">
              <w:rPr>
                <w:noProof/>
                <w:webHidden/>
              </w:rPr>
            </w:r>
            <w:r w:rsidR="00912D86" w:rsidRPr="00912D86">
              <w:rPr>
                <w:noProof/>
                <w:webHidden/>
              </w:rPr>
              <w:fldChar w:fldCharType="separate"/>
            </w:r>
            <w:r w:rsidR="00912D86" w:rsidRPr="00912D86">
              <w:rPr>
                <w:noProof/>
                <w:webHidden/>
              </w:rPr>
              <w:t>6</w:t>
            </w:r>
            <w:r w:rsidR="00912D86" w:rsidRPr="00912D86">
              <w:rPr>
                <w:noProof/>
                <w:webHidden/>
              </w:rPr>
              <w:fldChar w:fldCharType="end"/>
            </w:r>
          </w:hyperlink>
        </w:p>
        <w:p w14:paraId="776D9B22"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58" w:history="1">
            <w:r w:rsidR="00912D86" w:rsidRPr="00912D86">
              <w:rPr>
                <w:rFonts w:ascii="Arial" w:eastAsia="Times New Roman" w:hAnsi="Arial" w:cs="Arial"/>
                <w:b/>
                <w:bCs/>
                <w:noProof/>
                <w:color w:val="0000FF"/>
                <w:kern w:val="0"/>
                <w:u w:val="single"/>
                <w:lang w:eastAsia="en-GB"/>
                <w14:ligatures w14:val="none"/>
              </w:rPr>
              <w:t>Importance of Engagement</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_Toc214400058 \h </w:instrText>
            </w:r>
            <w:r w:rsidR="00912D86" w:rsidRPr="00912D86">
              <w:rPr>
                <w:noProof/>
                <w:webHidden/>
              </w:rPr>
            </w:r>
            <w:r w:rsidR="00912D86" w:rsidRPr="00912D86">
              <w:rPr>
                <w:noProof/>
                <w:webHidden/>
              </w:rPr>
              <w:fldChar w:fldCharType="separate"/>
            </w:r>
            <w:r w:rsidR="00912D86" w:rsidRPr="00912D86">
              <w:rPr>
                <w:noProof/>
                <w:webHidden/>
              </w:rPr>
              <w:t>9</w:t>
            </w:r>
            <w:r w:rsidR="00912D86" w:rsidRPr="00912D86">
              <w:rPr>
                <w:noProof/>
                <w:webHidden/>
              </w:rPr>
              <w:fldChar w:fldCharType="end"/>
            </w:r>
          </w:hyperlink>
        </w:p>
        <w:p w14:paraId="42E560F6" w14:textId="77777777" w:rsidR="00912D86" w:rsidRPr="00912D86" w:rsidRDefault="00577491" w:rsidP="00912D86">
          <w:pPr>
            <w:tabs>
              <w:tab w:val="right" w:leader="dot" w:pos="9016"/>
            </w:tabs>
            <w:spacing w:after="100"/>
            <w:ind w:left="240"/>
            <w:rPr>
              <w:rFonts w:eastAsiaTheme="minorEastAsia"/>
              <w:noProof/>
              <w:lang w:eastAsia="en-GB"/>
            </w:rPr>
          </w:pPr>
          <w:hyperlink w:anchor="_Toc214400059" w:history="1">
            <w:r w:rsidR="00912D86" w:rsidRPr="00912D86">
              <w:rPr>
                <w:rFonts w:ascii="Arial" w:eastAsia="Times New Roman" w:hAnsi="Arial" w:cs="Arial"/>
                <w:b/>
                <w:bCs/>
                <w:noProof/>
                <w:color w:val="0000FF"/>
                <w:kern w:val="0"/>
                <w:u w:val="single"/>
                <w:lang w:eastAsia="en-GB"/>
                <w14:ligatures w14:val="none"/>
              </w:rPr>
              <w:t>Application and Stakeholder Engagement Strategies</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_Toc214400059 \h </w:instrText>
            </w:r>
            <w:r w:rsidR="00912D86" w:rsidRPr="00912D86">
              <w:rPr>
                <w:noProof/>
                <w:webHidden/>
              </w:rPr>
            </w:r>
            <w:r w:rsidR="00912D86" w:rsidRPr="00912D86">
              <w:rPr>
                <w:noProof/>
                <w:webHidden/>
              </w:rPr>
              <w:fldChar w:fldCharType="separate"/>
            </w:r>
            <w:r w:rsidR="00912D86" w:rsidRPr="00912D86">
              <w:rPr>
                <w:noProof/>
                <w:webHidden/>
              </w:rPr>
              <w:t>9</w:t>
            </w:r>
            <w:r w:rsidR="00912D86" w:rsidRPr="00912D86">
              <w:rPr>
                <w:noProof/>
                <w:webHidden/>
              </w:rPr>
              <w:fldChar w:fldCharType="end"/>
            </w:r>
          </w:hyperlink>
        </w:p>
        <w:p w14:paraId="74C58FB6"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60" w:history="1">
            <w:r w:rsidR="00912D86" w:rsidRPr="00912D86">
              <w:rPr>
                <w:rFonts w:ascii="Arial" w:eastAsia="Times New Roman" w:hAnsi="Arial" w:cs="Arial"/>
                <w:b/>
                <w:bCs/>
                <w:noProof/>
                <w:color w:val="0000FF"/>
                <w:kern w:val="0"/>
                <w:u w:val="single"/>
                <w:lang w:eastAsia="en-GB"/>
                <w14:ligatures w14:val="none"/>
              </w:rPr>
              <w:t>Power, Influence, and Interest Analysis</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_Toc214400060 \h </w:instrText>
            </w:r>
            <w:r w:rsidR="00912D86" w:rsidRPr="00912D86">
              <w:rPr>
                <w:noProof/>
                <w:webHidden/>
              </w:rPr>
            </w:r>
            <w:r w:rsidR="00912D86" w:rsidRPr="00912D86">
              <w:rPr>
                <w:noProof/>
                <w:webHidden/>
              </w:rPr>
              <w:fldChar w:fldCharType="separate"/>
            </w:r>
            <w:r w:rsidR="00912D86" w:rsidRPr="00912D86">
              <w:rPr>
                <w:noProof/>
                <w:webHidden/>
              </w:rPr>
              <w:t>9</w:t>
            </w:r>
            <w:r w:rsidR="00912D86" w:rsidRPr="00912D86">
              <w:rPr>
                <w:noProof/>
                <w:webHidden/>
              </w:rPr>
              <w:fldChar w:fldCharType="end"/>
            </w:r>
          </w:hyperlink>
        </w:p>
        <w:p w14:paraId="5A272ADB"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61" w:history="1">
            <w:r w:rsidR="00912D86" w:rsidRPr="00912D86">
              <w:rPr>
                <w:rFonts w:ascii="Arial" w:eastAsia="Times New Roman" w:hAnsi="Arial" w:cs="Arial"/>
                <w:b/>
                <w:bCs/>
                <w:noProof/>
                <w:color w:val="0000FF"/>
                <w:kern w:val="0"/>
                <w:u w:val="single"/>
                <w:lang w:eastAsia="en-GB"/>
                <w14:ligatures w14:val="none"/>
              </w:rPr>
              <w:t>Stakeholder Power–Influence–Interest Table</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_Toc214400061 \h </w:instrText>
            </w:r>
            <w:r w:rsidR="00912D86" w:rsidRPr="00912D86">
              <w:rPr>
                <w:noProof/>
                <w:webHidden/>
              </w:rPr>
            </w:r>
            <w:r w:rsidR="00912D86" w:rsidRPr="00912D86">
              <w:rPr>
                <w:noProof/>
                <w:webHidden/>
              </w:rPr>
              <w:fldChar w:fldCharType="separate"/>
            </w:r>
            <w:r w:rsidR="00912D86" w:rsidRPr="00912D86">
              <w:rPr>
                <w:noProof/>
                <w:webHidden/>
              </w:rPr>
              <w:t>10</w:t>
            </w:r>
            <w:r w:rsidR="00912D86" w:rsidRPr="00912D86">
              <w:rPr>
                <w:noProof/>
                <w:webHidden/>
              </w:rPr>
              <w:fldChar w:fldCharType="end"/>
            </w:r>
          </w:hyperlink>
        </w:p>
        <w:p w14:paraId="2BA40992"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62" w:history="1">
            <w:r w:rsidR="00912D86" w:rsidRPr="00912D86">
              <w:rPr>
                <w:rFonts w:ascii="Arial" w:eastAsia="Times New Roman" w:hAnsi="Arial" w:cs="Arial"/>
                <w:b/>
                <w:bCs/>
                <w:noProof/>
                <w:color w:val="0000FF"/>
                <w:kern w:val="0"/>
                <w:u w:val="single"/>
                <w:lang w:eastAsia="en-GB"/>
                <w14:ligatures w14:val="none"/>
              </w:rPr>
              <w:t>Practical Example</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_Toc214400062 \h </w:instrText>
            </w:r>
            <w:r w:rsidR="00912D86" w:rsidRPr="00912D86">
              <w:rPr>
                <w:noProof/>
                <w:webHidden/>
              </w:rPr>
            </w:r>
            <w:r w:rsidR="00912D86" w:rsidRPr="00912D86">
              <w:rPr>
                <w:noProof/>
                <w:webHidden/>
              </w:rPr>
              <w:fldChar w:fldCharType="separate"/>
            </w:r>
            <w:r w:rsidR="00912D86" w:rsidRPr="00912D86">
              <w:rPr>
                <w:noProof/>
                <w:webHidden/>
              </w:rPr>
              <w:t>11</w:t>
            </w:r>
            <w:r w:rsidR="00912D86" w:rsidRPr="00912D86">
              <w:rPr>
                <w:noProof/>
                <w:webHidden/>
              </w:rPr>
              <w:fldChar w:fldCharType="end"/>
            </w:r>
          </w:hyperlink>
        </w:p>
        <w:p w14:paraId="4F100319"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63" w:history="1">
            <w:r w:rsidR="00912D86" w:rsidRPr="00912D86">
              <w:rPr>
                <w:rFonts w:ascii="Arial" w:eastAsia="Times New Roman" w:hAnsi="Arial" w:cs="Arial"/>
                <w:b/>
                <w:bCs/>
                <w:noProof/>
                <w:color w:val="0000FF"/>
                <w:kern w:val="0"/>
                <w:u w:val="single"/>
                <w:lang w:eastAsia="en-GB"/>
                <w14:ligatures w14:val="none"/>
              </w:rPr>
              <w:t>Stakeholder Map (Power–Interest Grid)</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_Toc214400063 \h </w:instrText>
            </w:r>
            <w:r w:rsidR="00912D86" w:rsidRPr="00912D86">
              <w:rPr>
                <w:noProof/>
                <w:webHidden/>
              </w:rPr>
            </w:r>
            <w:r w:rsidR="00912D86" w:rsidRPr="00912D86">
              <w:rPr>
                <w:noProof/>
                <w:webHidden/>
              </w:rPr>
              <w:fldChar w:fldCharType="separate"/>
            </w:r>
            <w:r w:rsidR="00912D86" w:rsidRPr="00912D86">
              <w:rPr>
                <w:noProof/>
                <w:webHidden/>
              </w:rPr>
              <w:t>11</w:t>
            </w:r>
            <w:r w:rsidR="00912D86" w:rsidRPr="00912D86">
              <w:rPr>
                <w:noProof/>
                <w:webHidden/>
              </w:rPr>
              <w:fldChar w:fldCharType="end"/>
            </w:r>
          </w:hyperlink>
        </w:p>
        <w:p w14:paraId="3453C6DA"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65" w:history="1">
            <w:r w:rsidR="00912D86" w:rsidRPr="00912D86">
              <w:rPr>
                <w:rFonts w:ascii="Arial" w:eastAsia="Times New Roman" w:hAnsi="Arial" w:cs="Arial"/>
                <w:b/>
                <w:bCs/>
                <w:noProof/>
                <w:color w:val="0000FF"/>
                <w:kern w:val="0"/>
                <w:u w:val="single"/>
                <w:lang w:eastAsia="en-GB"/>
                <w14:ligatures w14:val="none"/>
              </w:rPr>
              <w:t>Stakeholder Categories</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_Toc214400065 \h </w:instrText>
            </w:r>
            <w:r w:rsidR="00912D86" w:rsidRPr="00912D86">
              <w:rPr>
                <w:noProof/>
                <w:webHidden/>
              </w:rPr>
            </w:r>
            <w:r w:rsidR="00912D86" w:rsidRPr="00912D86">
              <w:rPr>
                <w:noProof/>
                <w:webHidden/>
              </w:rPr>
              <w:fldChar w:fldCharType="separate"/>
            </w:r>
            <w:r w:rsidR="00912D86" w:rsidRPr="00912D86">
              <w:rPr>
                <w:noProof/>
                <w:webHidden/>
              </w:rPr>
              <w:t>12</w:t>
            </w:r>
            <w:r w:rsidR="00912D86" w:rsidRPr="00912D86">
              <w:rPr>
                <w:noProof/>
                <w:webHidden/>
              </w:rPr>
              <w:fldChar w:fldCharType="end"/>
            </w:r>
          </w:hyperlink>
        </w:p>
        <w:p w14:paraId="0D005AD6"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66" w:history="1">
            <w:r w:rsidR="00912D86" w:rsidRPr="00912D86">
              <w:rPr>
                <w:rFonts w:ascii="Arial" w:eastAsia="Times New Roman" w:hAnsi="Arial" w:cs="Arial"/>
                <w:b/>
                <w:bCs/>
                <w:noProof/>
                <w:color w:val="0000FF"/>
                <w:kern w:val="0"/>
                <w:u w:val="single"/>
                <w:lang w:eastAsia="en-GB"/>
                <w14:ligatures w14:val="none"/>
              </w:rPr>
              <w:t>High Power / High Interest</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_Toc214400066 \h </w:instrText>
            </w:r>
            <w:r w:rsidR="00912D86" w:rsidRPr="00912D86">
              <w:rPr>
                <w:noProof/>
                <w:webHidden/>
              </w:rPr>
            </w:r>
            <w:r w:rsidR="00912D86" w:rsidRPr="00912D86">
              <w:rPr>
                <w:noProof/>
                <w:webHidden/>
              </w:rPr>
              <w:fldChar w:fldCharType="separate"/>
            </w:r>
            <w:r w:rsidR="00912D86" w:rsidRPr="00912D86">
              <w:rPr>
                <w:noProof/>
                <w:webHidden/>
              </w:rPr>
              <w:t>12</w:t>
            </w:r>
            <w:r w:rsidR="00912D86" w:rsidRPr="00912D86">
              <w:rPr>
                <w:noProof/>
                <w:webHidden/>
              </w:rPr>
              <w:fldChar w:fldCharType="end"/>
            </w:r>
          </w:hyperlink>
        </w:p>
        <w:p w14:paraId="61A97BB6"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69" w:history="1">
            <w:r w:rsidR="00912D86" w:rsidRPr="00912D86">
              <w:rPr>
                <w:rFonts w:ascii="Arial" w:eastAsia="Times New Roman" w:hAnsi="Arial" w:cs="Arial"/>
                <w:b/>
                <w:bCs/>
                <w:noProof/>
                <w:color w:val="0000FF"/>
                <w:kern w:val="0"/>
                <w:u w:val="single"/>
                <w:lang w:eastAsia="en-GB"/>
                <w14:ligatures w14:val="none"/>
              </w:rPr>
              <w:t>High Power / Low Interest</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_Toc214400069 \h </w:instrText>
            </w:r>
            <w:r w:rsidR="00912D86" w:rsidRPr="00912D86">
              <w:rPr>
                <w:noProof/>
                <w:webHidden/>
              </w:rPr>
            </w:r>
            <w:r w:rsidR="00912D86" w:rsidRPr="00912D86">
              <w:rPr>
                <w:noProof/>
                <w:webHidden/>
              </w:rPr>
              <w:fldChar w:fldCharType="separate"/>
            </w:r>
            <w:r w:rsidR="00912D86" w:rsidRPr="00912D86">
              <w:rPr>
                <w:noProof/>
                <w:webHidden/>
              </w:rPr>
              <w:t>12</w:t>
            </w:r>
            <w:r w:rsidR="00912D86" w:rsidRPr="00912D86">
              <w:rPr>
                <w:noProof/>
                <w:webHidden/>
              </w:rPr>
              <w:fldChar w:fldCharType="end"/>
            </w:r>
          </w:hyperlink>
        </w:p>
        <w:p w14:paraId="3DFBE942"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72" w:history="1">
            <w:r w:rsidR="00912D86" w:rsidRPr="00912D86">
              <w:rPr>
                <w:rFonts w:ascii="Arial" w:eastAsia="Times New Roman" w:hAnsi="Arial" w:cs="Arial"/>
                <w:b/>
                <w:bCs/>
                <w:noProof/>
                <w:color w:val="0000FF"/>
                <w:kern w:val="0"/>
                <w:u w:val="single"/>
                <w:lang w:eastAsia="en-GB"/>
                <w14:ligatures w14:val="none"/>
              </w:rPr>
              <w:t>Low Power / High Interest</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_Toc214400072 \h </w:instrText>
            </w:r>
            <w:r w:rsidR="00912D86" w:rsidRPr="00912D86">
              <w:rPr>
                <w:noProof/>
                <w:webHidden/>
              </w:rPr>
            </w:r>
            <w:r w:rsidR="00912D86" w:rsidRPr="00912D86">
              <w:rPr>
                <w:noProof/>
                <w:webHidden/>
              </w:rPr>
              <w:fldChar w:fldCharType="separate"/>
            </w:r>
            <w:r w:rsidR="00912D86" w:rsidRPr="00912D86">
              <w:rPr>
                <w:noProof/>
                <w:webHidden/>
              </w:rPr>
              <w:t>12</w:t>
            </w:r>
            <w:r w:rsidR="00912D86" w:rsidRPr="00912D86">
              <w:rPr>
                <w:noProof/>
                <w:webHidden/>
              </w:rPr>
              <w:fldChar w:fldCharType="end"/>
            </w:r>
          </w:hyperlink>
        </w:p>
        <w:p w14:paraId="04305149"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75" w:history="1">
            <w:r w:rsidR="00912D86" w:rsidRPr="00912D86">
              <w:rPr>
                <w:rFonts w:ascii="Arial" w:eastAsia="Times New Roman" w:hAnsi="Arial" w:cs="Arial"/>
                <w:b/>
                <w:bCs/>
                <w:noProof/>
                <w:color w:val="0000FF"/>
                <w:kern w:val="0"/>
                <w:u w:val="single"/>
                <w:lang w:eastAsia="en-GB"/>
                <w14:ligatures w14:val="none"/>
              </w:rPr>
              <w:t>Low Power / Low Interest</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_Toc214400075 \h </w:instrText>
            </w:r>
            <w:r w:rsidR="00912D86" w:rsidRPr="00912D86">
              <w:rPr>
                <w:noProof/>
                <w:webHidden/>
              </w:rPr>
            </w:r>
            <w:r w:rsidR="00912D86" w:rsidRPr="00912D86">
              <w:rPr>
                <w:noProof/>
                <w:webHidden/>
              </w:rPr>
              <w:fldChar w:fldCharType="separate"/>
            </w:r>
            <w:r w:rsidR="00912D86" w:rsidRPr="00912D86">
              <w:rPr>
                <w:noProof/>
                <w:webHidden/>
              </w:rPr>
              <w:t>12</w:t>
            </w:r>
            <w:r w:rsidR="00912D86" w:rsidRPr="00912D86">
              <w:rPr>
                <w:noProof/>
                <w:webHidden/>
              </w:rPr>
              <w:fldChar w:fldCharType="end"/>
            </w:r>
          </w:hyperlink>
        </w:p>
        <w:p w14:paraId="4CAB1BDC"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79" w:history="1">
            <w:r w:rsidR="00912D86" w:rsidRPr="00912D86">
              <w:rPr>
                <w:rFonts w:ascii="Arial" w:eastAsia="Times New Roman" w:hAnsi="Arial" w:cs="Arial"/>
                <w:b/>
                <w:bCs/>
                <w:noProof/>
                <w:color w:val="0000FF"/>
                <w:kern w:val="0"/>
                <w:u w:val="single"/>
                <w:lang w:eastAsia="en-GB"/>
                <w14:ligatures w14:val="none"/>
              </w:rPr>
              <w:t>Why Mapping Matters for Canley</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_Toc214400079 \h </w:instrText>
            </w:r>
            <w:r w:rsidR="00912D86" w:rsidRPr="00912D86">
              <w:rPr>
                <w:noProof/>
                <w:webHidden/>
              </w:rPr>
            </w:r>
            <w:r w:rsidR="00912D86" w:rsidRPr="00912D86">
              <w:rPr>
                <w:noProof/>
                <w:webHidden/>
              </w:rPr>
              <w:fldChar w:fldCharType="separate"/>
            </w:r>
            <w:r w:rsidR="00912D86" w:rsidRPr="00912D86">
              <w:rPr>
                <w:noProof/>
                <w:webHidden/>
              </w:rPr>
              <w:t>13</w:t>
            </w:r>
            <w:r w:rsidR="00912D86" w:rsidRPr="00912D86">
              <w:rPr>
                <w:noProof/>
                <w:webHidden/>
              </w:rPr>
              <w:fldChar w:fldCharType="end"/>
            </w:r>
          </w:hyperlink>
        </w:p>
        <w:p w14:paraId="5B58A58E" w14:textId="77777777" w:rsidR="00912D86" w:rsidRPr="00912D86" w:rsidRDefault="00577491" w:rsidP="00912D86">
          <w:pPr>
            <w:tabs>
              <w:tab w:val="right" w:leader="dot" w:pos="9016"/>
            </w:tabs>
            <w:spacing w:after="100"/>
            <w:ind w:left="240"/>
            <w:rPr>
              <w:rFonts w:eastAsiaTheme="minorEastAsia"/>
              <w:noProof/>
              <w:lang w:eastAsia="en-GB"/>
            </w:rPr>
          </w:pPr>
          <w:hyperlink w:anchor="_Toc214400080" w:history="1">
            <w:r w:rsidR="00912D86" w:rsidRPr="00912D86">
              <w:rPr>
                <w:rFonts w:ascii="Arial" w:eastAsia="Times New Roman" w:hAnsi="Arial" w:cs="Arial"/>
                <w:b/>
                <w:bCs/>
                <w:noProof/>
                <w:color w:val="0000FF"/>
                <w:kern w:val="0"/>
                <w:u w:val="single"/>
                <w:lang w:eastAsia="en-GB"/>
                <w14:ligatures w14:val="none"/>
              </w:rPr>
              <w:t>Communication Plan</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_Toc214400080 \h </w:instrText>
            </w:r>
            <w:r w:rsidR="00912D86" w:rsidRPr="00912D86">
              <w:rPr>
                <w:noProof/>
                <w:webHidden/>
              </w:rPr>
            </w:r>
            <w:r w:rsidR="00912D86" w:rsidRPr="00912D86">
              <w:rPr>
                <w:noProof/>
                <w:webHidden/>
              </w:rPr>
              <w:fldChar w:fldCharType="separate"/>
            </w:r>
            <w:r w:rsidR="00912D86" w:rsidRPr="00912D86">
              <w:rPr>
                <w:noProof/>
                <w:webHidden/>
              </w:rPr>
              <w:t>14</w:t>
            </w:r>
            <w:r w:rsidR="00912D86" w:rsidRPr="00912D86">
              <w:rPr>
                <w:noProof/>
                <w:webHidden/>
              </w:rPr>
              <w:fldChar w:fldCharType="end"/>
            </w:r>
          </w:hyperlink>
        </w:p>
        <w:p w14:paraId="72D4223B" w14:textId="77777777" w:rsidR="00912D86" w:rsidRPr="00912D86" w:rsidRDefault="00577491" w:rsidP="00912D86">
          <w:pPr>
            <w:tabs>
              <w:tab w:val="right" w:leader="dot" w:pos="9016"/>
            </w:tabs>
            <w:spacing w:after="100"/>
            <w:ind w:left="240"/>
            <w:rPr>
              <w:rFonts w:eastAsiaTheme="minorEastAsia"/>
              <w:noProof/>
              <w:lang w:eastAsia="en-GB"/>
            </w:rPr>
          </w:pPr>
          <w:hyperlink w:anchor="_Toc214400085" w:history="1">
            <w:r w:rsidR="00912D86" w:rsidRPr="00912D86">
              <w:rPr>
                <w:rFonts w:ascii="Arial" w:eastAsia="Times New Roman" w:hAnsi="Arial" w:cs="Arial"/>
                <w:b/>
                <w:bCs/>
                <w:noProof/>
                <w:color w:val="0000FF"/>
                <w:kern w:val="0"/>
                <w:u w:val="single"/>
                <w:lang w:eastAsia="en-GB"/>
                <w14:ligatures w14:val="none"/>
              </w:rPr>
              <w:t>Consultation Strategy</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_Toc214400085 \h </w:instrText>
            </w:r>
            <w:r w:rsidR="00912D86" w:rsidRPr="00912D86">
              <w:rPr>
                <w:noProof/>
                <w:webHidden/>
              </w:rPr>
            </w:r>
            <w:r w:rsidR="00912D86" w:rsidRPr="00912D86">
              <w:rPr>
                <w:noProof/>
                <w:webHidden/>
              </w:rPr>
              <w:fldChar w:fldCharType="separate"/>
            </w:r>
            <w:r w:rsidR="00912D86" w:rsidRPr="00912D86">
              <w:rPr>
                <w:noProof/>
                <w:webHidden/>
              </w:rPr>
              <w:t>15</w:t>
            </w:r>
            <w:r w:rsidR="00912D86" w:rsidRPr="00912D86">
              <w:rPr>
                <w:noProof/>
                <w:webHidden/>
              </w:rPr>
              <w:fldChar w:fldCharType="end"/>
            </w:r>
          </w:hyperlink>
        </w:p>
        <w:p w14:paraId="4F3235FB" w14:textId="77777777" w:rsidR="00912D86" w:rsidRPr="00912D86" w:rsidRDefault="00577491" w:rsidP="00912D86">
          <w:pPr>
            <w:tabs>
              <w:tab w:val="right" w:leader="dot" w:pos="9016"/>
            </w:tabs>
            <w:spacing w:after="100"/>
            <w:ind w:left="240"/>
            <w:rPr>
              <w:rFonts w:eastAsiaTheme="minorEastAsia"/>
              <w:noProof/>
              <w:lang w:eastAsia="en-GB"/>
            </w:rPr>
          </w:pPr>
          <w:hyperlink w:anchor="_Toc214400089" w:history="1">
            <w:r w:rsidR="00912D86" w:rsidRPr="00912D86">
              <w:rPr>
                <w:rFonts w:ascii="Arial" w:eastAsia="Times New Roman" w:hAnsi="Arial" w:cs="Arial"/>
                <w:b/>
                <w:bCs/>
                <w:noProof/>
                <w:color w:val="0000FF"/>
                <w:kern w:val="0"/>
                <w:u w:val="single"/>
                <w:lang w:eastAsia="en-GB"/>
                <w14:ligatures w14:val="none"/>
              </w:rPr>
              <w:t>Ethical Considerations</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_Toc214400089 \h </w:instrText>
            </w:r>
            <w:r w:rsidR="00912D86" w:rsidRPr="00912D86">
              <w:rPr>
                <w:noProof/>
                <w:webHidden/>
              </w:rPr>
            </w:r>
            <w:r w:rsidR="00912D86" w:rsidRPr="00912D86">
              <w:rPr>
                <w:noProof/>
                <w:webHidden/>
              </w:rPr>
              <w:fldChar w:fldCharType="separate"/>
            </w:r>
            <w:r w:rsidR="00912D86" w:rsidRPr="00912D86">
              <w:rPr>
                <w:noProof/>
                <w:webHidden/>
              </w:rPr>
              <w:t>17</w:t>
            </w:r>
            <w:r w:rsidR="00912D86" w:rsidRPr="00912D86">
              <w:rPr>
                <w:noProof/>
                <w:webHidden/>
              </w:rPr>
              <w:fldChar w:fldCharType="end"/>
            </w:r>
          </w:hyperlink>
        </w:p>
        <w:p w14:paraId="544DC476" w14:textId="77777777" w:rsidR="00912D86" w:rsidRPr="00912D86" w:rsidRDefault="00577491" w:rsidP="00912D86">
          <w:pPr>
            <w:tabs>
              <w:tab w:val="right" w:leader="dot" w:pos="9016"/>
            </w:tabs>
            <w:spacing w:after="100"/>
            <w:ind w:left="240"/>
            <w:rPr>
              <w:rFonts w:eastAsiaTheme="minorEastAsia"/>
              <w:noProof/>
              <w:lang w:eastAsia="en-GB"/>
            </w:rPr>
          </w:pPr>
          <w:hyperlink w:anchor="_Toc214400097" w:history="1">
            <w:r w:rsidR="00912D86" w:rsidRPr="00912D86">
              <w:rPr>
                <w:rFonts w:ascii="Arial" w:eastAsia="Times New Roman" w:hAnsi="Arial" w:cs="Arial"/>
                <w:b/>
                <w:bCs/>
                <w:noProof/>
                <w:color w:val="0000FF"/>
                <w:kern w:val="0"/>
                <w:u w:val="single"/>
                <w:lang w:eastAsia="en-GB"/>
                <w14:ligatures w14:val="none"/>
              </w:rPr>
              <w:t>Conclusion and Reflection</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_Toc214400097 \h </w:instrText>
            </w:r>
            <w:r w:rsidR="00912D86" w:rsidRPr="00912D86">
              <w:rPr>
                <w:noProof/>
                <w:webHidden/>
              </w:rPr>
            </w:r>
            <w:r w:rsidR="00912D86" w:rsidRPr="00912D86">
              <w:rPr>
                <w:noProof/>
                <w:webHidden/>
              </w:rPr>
              <w:fldChar w:fldCharType="separate"/>
            </w:r>
            <w:r w:rsidR="00912D86" w:rsidRPr="00912D86">
              <w:rPr>
                <w:noProof/>
                <w:webHidden/>
              </w:rPr>
              <w:t>20</w:t>
            </w:r>
            <w:r w:rsidR="00912D86" w:rsidRPr="00912D86">
              <w:rPr>
                <w:noProof/>
                <w:webHidden/>
              </w:rPr>
              <w:fldChar w:fldCharType="end"/>
            </w:r>
          </w:hyperlink>
        </w:p>
        <w:p w14:paraId="4676BA62"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98" w:history="1">
            <w:r w:rsidR="00912D86" w:rsidRPr="00912D86">
              <w:rPr>
                <w:rFonts w:ascii="Arial" w:eastAsia="Times New Roman" w:hAnsi="Arial" w:cs="Arial"/>
                <w:b/>
                <w:bCs/>
                <w:noProof/>
                <w:color w:val="0000FF"/>
                <w:kern w:val="0"/>
                <w:u w:val="single"/>
                <w:lang w:eastAsia="en-GB"/>
                <w14:ligatures w14:val="none"/>
              </w:rPr>
              <w:t>Conclusion</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_Toc214400098 \h </w:instrText>
            </w:r>
            <w:r w:rsidR="00912D86" w:rsidRPr="00912D86">
              <w:rPr>
                <w:noProof/>
                <w:webHidden/>
              </w:rPr>
            </w:r>
            <w:r w:rsidR="00912D86" w:rsidRPr="00912D86">
              <w:rPr>
                <w:noProof/>
                <w:webHidden/>
              </w:rPr>
              <w:fldChar w:fldCharType="separate"/>
            </w:r>
            <w:r w:rsidR="00912D86" w:rsidRPr="00912D86">
              <w:rPr>
                <w:noProof/>
                <w:webHidden/>
              </w:rPr>
              <w:t>20</w:t>
            </w:r>
            <w:r w:rsidR="00912D86" w:rsidRPr="00912D86">
              <w:rPr>
                <w:noProof/>
                <w:webHidden/>
              </w:rPr>
              <w:fldChar w:fldCharType="end"/>
            </w:r>
          </w:hyperlink>
        </w:p>
        <w:p w14:paraId="53D9216F"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099" w:history="1">
            <w:r w:rsidR="00912D86" w:rsidRPr="00912D86">
              <w:rPr>
                <w:rFonts w:ascii="Arial" w:eastAsia="Times New Roman" w:hAnsi="Arial" w:cs="Arial"/>
                <w:b/>
                <w:bCs/>
                <w:noProof/>
                <w:color w:val="0000FF"/>
                <w:kern w:val="0"/>
                <w:u w:val="single"/>
                <w:lang w:eastAsia="en-GB"/>
                <w14:ligatures w14:val="none"/>
              </w:rPr>
              <w:t>Reflection Using Gibbs’ Reflective Cycle (Gibbs, 1988)</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_Toc214400099 \h </w:instrText>
            </w:r>
            <w:r w:rsidR="00912D86" w:rsidRPr="00912D86">
              <w:rPr>
                <w:noProof/>
                <w:webHidden/>
              </w:rPr>
            </w:r>
            <w:r w:rsidR="00912D86" w:rsidRPr="00912D86">
              <w:rPr>
                <w:noProof/>
                <w:webHidden/>
              </w:rPr>
              <w:fldChar w:fldCharType="separate"/>
            </w:r>
            <w:r w:rsidR="00912D86" w:rsidRPr="00912D86">
              <w:rPr>
                <w:noProof/>
                <w:webHidden/>
              </w:rPr>
              <w:t>22</w:t>
            </w:r>
            <w:r w:rsidR="00912D86" w:rsidRPr="00912D86">
              <w:rPr>
                <w:noProof/>
                <w:webHidden/>
              </w:rPr>
              <w:fldChar w:fldCharType="end"/>
            </w:r>
          </w:hyperlink>
        </w:p>
        <w:p w14:paraId="4BE48560" w14:textId="77777777" w:rsidR="00912D86" w:rsidRPr="00912D86" w:rsidRDefault="00577491" w:rsidP="00912D86">
          <w:pPr>
            <w:tabs>
              <w:tab w:val="right" w:leader="dot" w:pos="9016"/>
            </w:tabs>
            <w:spacing w:after="100"/>
            <w:ind w:left="480"/>
            <w:rPr>
              <w:rFonts w:eastAsiaTheme="minorEastAsia"/>
              <w:noProof/>
              <w:lang w:eastAsia="en-GB"/>
            </w:rPr>
          </w:pPr>
          <w:hyperlink w:anchor="_Toc214400100" w:history="1">
            <w:r w:rsidR="00912D86" w:rsidRPr="00912D86">
              <w:rPr>
                <w:rFonts w:ascii="Arial" w:eastAsia="Times New Roman" w:hAnsi="Arial" w:cs="Arial"/>
                <w:b/>
                <w:bCs/>
                <w:noProof/>
                <w:color w:val="0000FF"/>
                <w:kern w:val="0"/>
                <w:u w:val="single"/>
                <w:lang w:eastAsia="en-GB"/>
                <w14:ligatures w14:val="none"/>
              </w:rPr>
              <w:t>Reference List</w:t>
            </w:r>
            <w:r w:rsidR="00912D86" w:rsidRPr="00912D86">
              <w:rPr>
                <w:noProof/>
                <w:webHidden/>
              </w:rPr>
              <w:tab/>
            </w:r>
            <w:r w:rsidR="00912D86" w:rsidRPr="00912D86">
              <w:rPr>
                <w:noProof/>
                <w:webHidden/>
              </w:rPr>
              <w:fldChar w:fldCharType="begin"/>
            </w:r>
            <w:r w:rsidR="00912D86" w:rsidRPr="00912D86">
              <w:rPr>
                <w:noProof/>
                <w:webHidden/>
              </w:rPr>
              <w:instrText xml:space="preserve"> PAGEREF _Toc214400100 \h </w:instrText>
            </w:r>
            <w:r w:rsidR="00912D86" w:rsidRPr="00912D86">
              <w:rPr>
                <w:noProof/>
                <w:webHidden/>
              </w:rPr>
            </w:r>
            <w:r w:rsidR="00912D86" w:rsidRPr="00912D86">
              <w:rPr>
                <w:noProof/>
                <w:webHidden/>
              </w:rPr>
              <w:fldChar w:fldCharType="separate"/>
            </w:r>
            <w:r w:rsidR="00912D86" w:rsidRPr="00912D86">
              <w:rPr>
                <w:noProof/>
                <w:webHidden/>
              </w:rPr>
              <w:t>25</w:t>
            </w:r>
            <w:r w:rsidR="00912D86" w:rsidRPr="00912D86">
              <w:rPr>
                <w:noProof/>
                <w:webHidden/>
              </w:rPr>
              <w:fldChar w:fldCharType="end"/>
            </w:r>
          </w:hyperlink>
        </w:p>
        <w:p w14:paraId="18DD9CDA" w14:textId="77777777" w:rsidR="00912D86" w:rsidRPr="00912D86" w:rsidRDefault="00912D86" w:rsidP="00912D86">
          <w:pPr>
            <w:rPr>
              <w:b/>
              <w:bCs/>
            </w:rPr>
          </w:pPr>
          <w:r w:rsidRPr="00912D86">
            <w:rPr>
              <w:b/>
              <w:bCs/>
            </w:rPr>
            <w:fldChar w:fldCharType="end"/>
          </w:r>
        </w:p>
      </w:sdtContent>
    </w:sdt>
    <w:p w14:paraId="08D71D08" w14:textId="77777777" w:rsidR="00912D86" w:rsidRPr="00912D86" w:rsidRDefault="00912D86" w:rsidP="00912D86">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F817A79" w14:textId="77777777" w:rsidR="00912D86" w:rsidRPr="00912D86" w:rsidRDefault="00912D86" w:rsidP="00912D86">
      <w:pPr>
        <w:rPr>
          <w:rFonts w:ascii="Arial" w:eastAsia="Times New Roman" w:hAnsi="Arial" w:cs="Arial"/>
          <w:b/>
          <w:bCs/>
          <w:kern w:val="0"/>
          <w:lang w:eastAsia="en-GB"/>
          <w14:ligatures w14:val="none"/>
        </w:rPr>
      </w:pPr>
      <w:bookmarkStart w:id="0" w:name="_Toc214400055"/>
    </w:p>
    <w:p w14:paraId="65444122" w14:textId="77777777" w:rsidR="00912D86" w:rsidRPr="00912D86" w:rsidRDefault="00912D86" w:rsidP="00912D86">
      <w:pPr>
        <w:rPr>
          <w:rFonts w:ascii="Arial" w:eastAsia="Times New Roman" w:hAnsi="Arial" w:cs="Arial"/>
          <w:b/>
          <w:bCs/>
          <w:kern w:val="0"/>
          <w:lang w:eastAsia="en-GB"/>
          <w14:ligatures w14:val="none"/>
        </w:rPr>
      </w:pPr>
    </w:p>
    <w:p w14:paraId="068392A4" w14:textId="77777777" w:rsidR="00912D86" w:rsidRPr="00912D86" w:rsidRDefault="00912D86" w:rsidP="00912D86">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009D5687" w14:textId="77777777" w:rsidR="00912D86" w:rsidRPr="00912D86" w:rsidRDefault="00912D86" w:rsidP="00912D86">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2F0D2E51" w14:textId="77777777" w:rsidR="00912D86" w:rsidRPr="003C725E" w:rsidRDefault="00912D86"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Canley Housing Redevelopment Project, Coventry (2025)</w:t>
      </w:r>
      <w:bookmarkEnd w:id="0"/>
    </w:p>
    <w:p w14:paraId="27B6B8E3"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 w:name="_Toc214400056"/>
      <w:r w:rsidRPr="003C725E">
        <w:rPr>
          <w:rFonts w:ascii="Arial" w:eastAsia="Times New Roman" w:hAnsi="Arial" w:cs="Arial"/>
          <w:b/>
          <w:bCs/>
          <w:kern w:val="0"/>
          <w:lang w:eastAsia="en-GB"/>
          <w14:ligatures w14:val="none"/>
        </w:rPr>
        <w:t>Introduction</w:t>
      </w:r>
      <w:r w:rsidRPr="003C725E">
        <w:rPr>
          <w:rFonts w:ascii="Arial" w:eastAsia="Times New Roman" w:hAnsi="Arial" w:cs="Arial"/>
          <w:b/>
          <w:bCs/>
          <w:noProof/>
          <w:kern w:val="0"/>
          <w:lang w:eastAsia="en-GB"/>
          <w14:ligatures w14:val="none"/>
        </w:rPr>
        <w:drawing>
          <wp:inline distT="0" distB="0" distL="0" distR="0" wp14:anchorId="50304F09" wp14:editId="6854E296">
            <wp:extent cx="5608955" cy="2304415"/>
            <wp:effectExtent l="0" t="0" r="0" b="0"/>
            <wp:docPr id="84826040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60402" name="Picture 1" descr="A map of a c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955" cy="2304415"/>
                    </a:xfrm>
                    <a:prstGeom prst="rect">
                      <a:avLst/>
                    </a:prstGeom>
                    <a:noFill/>
                  </pic:spPr>
                </pic:pic>
              </a:graphicData>
            </a:graphic>
          </wp:inline>
        </w:drawing>
      </w:r>
      <w:bookmarkEnd w:id="1"/>
    </w:p>
    <w:p w14:paraId="3D0C4A1B" w14:textId="71B67872" w:rsidR="00864B00" w:rsidRPr="003C725E" w:rsidRDefault="00864B00"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Figure1: </w:t>
      </w:r>
      <w:hyperlink r:id="rId10" w:history="1">
        <w:r w:rsidR="00B2012A" w:rsidRPr="003C725E">
          <w:rPr>
            <w:rStyle w:val="Hyperlink"/>
            <w:rFonts w:ascii="Arial" w:eastAsia="Times New Roman" w:hAnsi="Arial" w:cs="Arial"/>
            <w:kern w:val="0"/>
            <w:lang w:eastAsia="en-GB"/>
            <w14:ligatures w14:val="none"/>
          </w:rPr>
          <w:t>https://www.google.com/maps/place/Canley,+Coventry</w:t>
        </w:r>
      </w:hyperlink>
    </w:p>
    <w:p w14:paraId="27DFAB2E"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The transformation of Canley, a neighbourhood located in the southwest of Coventry, marks a major initiative by Coventry City Council aimed at comprehensive urban renewal. This project intends to raise the quality of life in an area known for its economic and social diversity, as well as its varied architectural character. Canley features a blend of post-war housing, student residences, social housing units, and green spaces. However, much of the existing infrastructure is outdated, with issues such as inadequate insulation, inefficient heating systems, and poor accessibility still prevalent. For instance, homes along Prior </w:t>
      </w:r>
      <w:proofErr w:type="spellStart"/>
      <w:r w:rsidRPr="003C725E">
        <w:rPr>
          <w:rFonts w:ascii="Arial" w:eastAsia="Times New Roman" w:hAnsi="Arial" w:cs="Arial"/>
          <w:kern w:val="0"/>
          <w:lang w:eastAsia="en-GB"/>
          <w14:ligatures w14:val="none"/>
        </w:rPr>
        <w:t>Deram</w:t>
      </w:r>
      <w:proofErr w:type="spellEnd"/>
      <w:r w:rsidRPr="003C725E">
        <w:rPr>
          <w:rFonts w:ascii="Arial" w:eastAsia="Times New Roman" w:hAnsi="Arial" w:cs="Arial"/>
          <w:kern w:val="0"/>
          <w:lang w:eastAsia="en-GB"/>
          <w14:ligatures w14:val="none"/>
        </w:rPr>
        <w:t xml:space="preserve"> Walk often depend on outdated boilers, which contribute to high energy costs — a particular concern for low-income households.</w:t>
      </w:r>
    </w:p>
    <w:p w14:paraId="4AB6C33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p>
    <w:p w14:paraId="606BD95A" w14:textId="77777777" w:rsidR="00912D86" w:rsidRPr="003C725E" w:rsidRDefault="00912D86" w:rsidP="003C725E">
      <w:pPr>
        <w:spacing w:before="100" w:beforeAutospacing="1" w:after="100" w:afterAutospacing="1" w:line="360" w:lineRule="auto"/>
        <w:jc w:val="both"/>
        <w:rPr>
          <w:rFonts w:ascii="Arial" w:eastAsia="Times New Roman" w:hAnsi="Arial" w:cs="Arial"/>
          <w:b/>
          <w:bCs/>
          <w:noProof/>
          <w:kern w:val="0"/>
          <w:lang w:eastAsia="en-GB"/>
          <w14:ligatures w14:val="none"/>
        </w:rPr>
      </w:pPr>
      <w:r w:rsidRPr="003C725E">
        <w:rPr>
          <w:rFonts w:ascii="Arial" w:eastAsia="Times New Roman" w:hAnsi="Arial" w:cs="Arial"/>
          <w:kern w:val="0"/>
          <w:lang w:eastAsia="en-GB"/>
          <w14:ligatures w14:val="none"/>
        </w:rPr>
        <w:t xml:space="preserve">The redevelopment zone mainly includes areas like Prior </w:t>
      </w:r>
      <w:proofErr w:type="spellStart"/>
      <w:r w:rsidRPr="003C725E">
        <w:rPr>
          <w:rFonts w:ascii="Arial" w:eastAsia="Times New Roman" w:hAnsi="Arial" w:cs="Arial"/>
          <w:kern w:val="0"/>
          <w:lang w:eastAsia="en-GB"/>
          <w14:ligatures w14:val="none"/>
        </w:rPr>
        <w:t>Deram</w:t>
      </w:r>
      <w:proofErr w:type="spellEnd"/>
      <w:r w:rsidRPr="003C725E">
        <w:rPr>
          <w:rFonts w:ascii="Arial" w:eastAsia="Times New Roman" w:hAnsi="Arial" w:cs="Arial"/>
          <w:kern w:val="0"/>
          <w:lang w:eastAsia="en-GB"/>
          <w14:ligatures w14:val="none"/>
        </w:rPr>
        <w:t xml:space="preserve"> Walk, Charter Avenue, and nearby residential streets within the CV4 8FU postcode and surrounding locations.</w:t>
      </w:r>
    </w:p>
    <w:p w14:paraId="247E350D"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noProof/>
          <w:kern w:val="0"/>
          <w:lang w:eastAsia="en-GB"/>
          <w14:ligatures w14:val="none"/>
        </w:rPr>
        <w:lastRenderedPageBreak/>
        <w:drawing>
          <wp:inline distT="0" distB="0" distL="0" distR="0" wp14:anchorId="1B8577ED" wp14:editId="6A5673FF">
            <wp:extent cx="2981931" cy="1983105"/>
            <wp:effectExtent l="0" t="0" r="0" b="0"/>
            <wp:docPr id="840754000" name="Picture 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754000" name="Picture 2" descr="A map of a c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7031" cy="1993147"/>
                    </a:xfrm>
                    <a:prstGeom prst="rect">
                      <a:avLst/>
                    </a:prstGeom>
                    <a:noFill/>
                  </pic:spPr>
                </pic:pic>
              </a:graphicData>
            </a:graphic>
          </wp:inline>
        </w:drawing>
      </w:r>
    </w:p>
    <w:p w14:paraId="18C60805"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Figure2:</w:t>
      </w:r>
      <w:hyperlink r:id="rId12" w:history="1">
        <w:r w:rsidRPr="003C725E">
          <w:rPr>
            <w:rFonts w:ascii="Arial" w:hAnsi="Arial" w:cs="Arial"/>
            <w:color w:val="0000FF"/>
            <w:u w:val="single"/>
          </w:rPr>
          <w:t>https://i2prod.derbytelegraph.co.uk/article6805291.ece/ALTERNATES/s615/0_150322BYPASS.jpg</w:t>
        </w:r>
      </w:hyperlink>
    </w:p>
    <w:p w14:paraId="002E688F"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drawing>
          <wp:inline distT="0" distB="0" distL="0" distR="0" wp14:anchorId="11ACE09F" wp14:editId="3031E537">
            <wp:extent cx="3032760" cy="2388851"/>
            <wp:effectExtent l="0" t="0" r="0" b="0"/>
            <wp:docPr id="1131380097" name="Picture 4"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80097" name="Picture 4" descr="A map of a city&#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9702" cy="2394319"/>
                    </a:xfrm>
                    <a:prstGeom prst="rect">
                      <a:avLst/>
                    </a:prstGeom>
                    <a:noFill/>
                  </pic:spPr>
                </pic:pic>
              </a:graphicData>
            </a:graphic>
          </wp:inline>
        </w:drawing>
      </w:r>
    </w:p>
    <w:p w14:paraId="0F6DE708" w14:textId="77777777" w:rsidR="00912D86" w:rsidRPr="003C725E" w:rsidRDefault="00912D86" w:rsidP="003C725E">
      <w:pPr>
        <w:spacing w:before="100" w:beforeAutospacing="1" w:after="100" w:afterAutospacing="1" w:line="360" w:lineRule="auto"/>
        <w:jc w:val="both"/>
        <w:rPr>
          <w:rFonts w:ascii="Arial" w:hAnsi="Arial" w:cs="Arial"/>
        </w:rPr>
      </w:pPr>
      <w:r w:rsidRPr="003C725E">
        <w:rPr>
          <w:rFonts w:ascii="Arial" w:eastAsia="Times New Roman" w:hAnsi="Arial" w:cs="Arial"/>
          <w:kern w:val="0"/>
          <w:lang w:eastAsia="en-GB"/>
          <w14:ligatures w14:val="none"/>
        </w:rPr>
        <w:t xml:space="preserve">Figure3: </w:t>
      </w:r>
      <w:hyperlink r:id="rId14" w:history="1">
        <w:r w:rsidRPr="003C725E">
          <w:rPr>
            <w:rFonts w:ascii="Arial" w:hAnsi="Arial" w:cs="Arial"/>
            <w:color w:val="0000FF"/>
            <w:u w:val="single"/>
          </w:rPr>
          <w:t>https://cdn.pacer.cc/osm/park/753576232/thumb_2403.png</w:t>
        </w:r>
      </w:hyperlink>
    </w:p>
    <w:p w14:paraId="0644D06A" w14:textId="77777777" w:rsidR="00912D86" w:rsidRPr="003C725E" w:rsidRDefault="00912D86" w:rsidP="003C725E">
      <w:pPr>
        <w:spacing w:before="100" w:beforeAutospacing="1" w:after="100" w:afterAutospacing="1" w:line="360" w:lineRule="auto"/>
        <w:jc w:val="both"/>
        <w:rPr>
          <w:rFonts w:ascii="Arial" w:hAnsi="Arial" w:cs="Arial"/>
        </w:rPr>
      </w:pPr>
    </w:p>
    <w:p w14:paraId="18FC1E53"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lastRenderedPageBreak/>
        <w:drawing>
          <wp:inline distT="0" distB="0" distL="0" distR="0" wp14:anchorId="05334454" wp14:editId="1AD0F9B9">
            <wp:extent cx="3070225" cy="2418362"/>
            <wp:effectExtent l="0" t="0" r="0" b="0"/>
            <wp:docPr id="530878151" name="Picture 5"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78151" name="Picture 5" descr="A map of a city&#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7848" cy="2432244"/>
                    </a:xfrm>
                    <a:prstGeom prst="rect">
                      <a:avLst/>
                    </a:prstGeom>
                    <a:noFill/>
                  </pic:spPr>
                </pic:pic>
              </a:graphicData>
            </a:graphic>
          </wp:inline>
        </w:drawing>
      </w:r>
    </w:p>
    <w:p w14:paraId="1B241B72"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Figure4: </w:t>
      </w:r>
      <w:hyperlink r:id="rId16" w:history="1">
        <w:r w:rsidRPr="003C725E">
          <w:rPr>
            <w:rFonts w:ascii="Arial" w:eastAsia="Times New Roman" w:hAnsi="Arial" w:cs="Arial"/>
            <w:color w:val="0000FF"/>
            <w:kern w:val="0"/>
            <w:u w:val="single"/>
            <w:lang w:eastAsia="en-GB"/>
            <w14:ligatures w14:val="none"/>
          </w:rPr>
          <w:t>https://cdn.pacer.cc/osm/park/753576232/thumb_2403.png</w:t>
        </w:r>
      </w:hyperlink>
    </w:p>
    <w:p w14:paraId="533DA069"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drawing>
          <wp:inline distT="0" distB="0" distL="0" distR="0" wp14:anchorId="5E08F251" wp14:editId="1844EB8A">
            <wp:extent cx="3909060" cy="1759077"/>
            <wp:effectExtent l="0" t="0" r="0" b="0"/>
            <wp:docPr id="483469367" name="Picture 6"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469367" name="Picture 6" descr="A map of a neighborhood&#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30517" cy="1768733"/>
                    </a:xfrm>
                    <a:prstGeom prst="rect">
                      <a:avLst/>
                    </a:prstGeom>
                    <a:noFill/>
                  </pic:spPr>
                </pic:pic>
              </a:graphicData>
            </a:graphic>
          </wp:inline>
        </w:drawing>
      </w:r>
    </w:p>
    <w:p w14:paraId="7E3FD0CE"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Figure 5: </w:t>
      </w:r>
      <w:hyperlink r:id="rId18" w:history="1">
        <w:r w:rsidRPr="003C725E">
          <w:rPr>
            <w:rFonts w:ascii="Arial" w:eastAsia="Times New Roman" w:hAnsi="Arial" w:cs="Arial"/>
            <w:color w:val="0000FF"/>
            <w:kern w:val="0"/>
            <w:u w:val="single"/>
            <w:lang w:eastAsia="en-GB"/>
            <w14:ligatures w14:val="none"/>
          </w:rPr>
          <w:t>https://cdn.pacer.cc/osm/park/685561334/large_2403.png</w:t>
        </w:r>
      </w:hyperlink>
    </w:p>
    <w:p w14:paraId="713A67EB"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p>
    <w:p w14:paraId="68B19097"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Figures 2 through 5 illustrate key parts of the Canley area, including affected community facilities and streets that are central to the regeneration plans.</w:t>
      </w:r>
    </w:p>
    <w:p w14:paraId="7F04D22F"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p>
    <w:p w14:paraId="7700536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In line with Coventry City Council’s 2022 Housing and Regeneration Strategy, Canley has been designated a priority area due to long-standing challenges in health, income, and housing conditions. The proposed redevelopment aims to tackle these issues through the delivery of modern, energy-efficient homes, upgrades to walking infrastructure, enhancements to public spaces, and improvements to local amenities. These goals support wider national objectives promoting sustainable, </w:t>
      </w:r>
      <w:r w:rsidRPr="003C725E">
        <w:rPr>
          <w:rFonts w:ascii="Arial" w:eastAsia="Times New Roman" w:hAnsi="Arial" w:cs="Arial"/>
          <w:kern w:val="0"/>
          <w:lang w:eastAsia="en-GB"/>
          <w14:ligatures w14:val="none"/>
        </w:rPr>
        <w:lastRenderedPageBreak/>
        <w:t>inclusive, and resilient urban development (MHCLG, 2020). Research indicates that poor housing conditions are closely linked to negative outcomes such as respiratory diseases, mental health problems, academic underachievement, and social exclusion (Public Health England, 2019).</w:t>
      </w:r>
    </w:p>
    <w:p w14:paraId="628C79D9"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p>
    <w:p w14:paraId="422B552B"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For example, children living in homes with damp or mould may face aggravated asthma symptoms, leading to more school absences and reduced learning opportunities.</w:t>
      </w:r>
    </w:p>
    <w:p w14:paraId="136F3C93"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p>
    <w:p w14:paraId="2D7380BC"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This redevelopment also aligns with Coventry’s broader strategy to promote equity and economic inclusion (West Midlands Combined Authority, 2022). Groups such as older adults, people with disabilities, and low-income residents are expected to benefit significantly from improved insulation, better-designed homes, and safer, more accessible environments. Additionally, the transition to modern heating systems supports the UK’s net-zero goals (Homes England, 2020).</w:t>
      </w:r>
    </w:p>
    <w:p w14:paraId="431E8204"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drawing>
          <wp:anchor distT="0" distB="0" distL="114300" distR="114300" simplePos="0" relativeHeight="251648000" behindDoc="0" locked="0" layoutInCell="1" allowOverlap="1" wp14:anchorId="270CC601" wp14:editId="3014E909">
            <wp:simplePos x="0" y="0"/>
            <wp:positionH relativeFrom="column">
              <wp:posOffset>0</wp:posOffset>
            </wp:positionH>
            <wp:positionV relativeFrom="paragraph">
              <wp:posOffset>456565</wp:posOffset>
            </wp:positionV>
            <wp:extent cx="4846320" cy="2719070"/>
            <wp:effectExtent l="0" t="0" r="0" b="0"/>
            <wp:wrapTopAndBottom/>
            <wp:docPr id="592905723" name="Picture 8" descr="A building with a red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05723" name="Picture 8" descr="A building with a red sig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46320" cy="2719070"/>
                    </a:xfrm>
                    <a:prstGeom prst="rect">
                      <a:avLst/>
                    </a:prstGeom>
                    <a:noFill/>
                  </pic:spPr>
                </pic:pic>
              </a:graphicData>
            </a:graphic>
            <wp14:sizeRelH relativeFrom="margin">
              <wp14:pctWidth>0</wp14:pctWidth>
            </wp14:sizeRelH>
            <wp14:sizeRelV relativeFrom="margin">
              <wp14:pctHeight>0</wp14:pctHeight>
            </wp14:sizeRelV>
          </wp:anchor>
        </w:drawing>
      </w:r>
      <w:r w:rsidRPr="003C725E">
        <w:rPr>
          <w:rFonts w:ascii="Arial" w:eastAsia="Times New Roman" w:hAnsi="Arial" w:cs="Arial"/>
          <w:kern w:val="0"/>
          <w:lang w:eastAsia="en-GB"/>
          <w14:ligatures w14:val="none"/>
        </w:rPr>
        <w:t>..</w:t>
      </w:r>
    </w:p>
    <w:p w14:paraId="046EA58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p>
    <w:p w14:paraId="23CFF55F"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Figure 7:</w:t>
      </w:r>
      <w:r w:rsidRPr="003C725E">
        <w:rPr>
          <w:rFonts w:ascii="Arial" w:hAnsi="Arial" w:cs="Arial"/>
        </w:rPr>
        <w:t xml:space="preserve"> </w:t>
      </w:r>
      <w:hyperlink r:id="rId20" w:history="1">
        <w:r w:rsidRPr="003C725E">
          <w:rPr>
            <w:rFonts w:ascii="Arial" w:hAnsi="Arial" w:cs="Arial"/>
            <w:color w:val="0000FF"/>
            <w:u w:val="single"/>
          </w:rPr>
          <w:t>Find Us – Canley Community Church</w:t>
        </w:r>
      </w:hyperlink>
    </w:p>
    <w:p w14:paraId="7C04F72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p>
    <w:p w14:paraId="6589A0FA"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drawing>
          <wp:inline distT="0" distB="0" distL="0" distR="0" wp14:anchorId="2D3CBB7D" wp14:editId="0DF16D40">
            <wp:extent cx="4993277" cy="3177540"/>
            <wp:effectExtent l="0" t="0" r="0" b="0"/>
            <wp:docPr id="2416458" name="Picture 7" descr="A building with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458" name="Picture 7" descr="A building with cars parked in front of i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98179" cy="3180660"/>
                    </a:xfrm>
                    <a:prstGeom prst="rect">
                      <a:avLst/>
                    </a:prstGeom>
                    <a:noFill/>
                  </pic:spPr>
                </pic:pic>
              </a:graphicData>
            </a:graphic>
          </wp:inline>
        </w:drawing>
      </w:r>
    </w:p>
    <w:p w14:paraId="6BF1778D" w14:textId="77777777" w:rsidR="00912D86" w:rsidRPr="003C725E" w:rsidRDefault="00912D86" w:rsidP="003C725E">
      <w:pPr>
        <w:spacing w:before="100" w:beforeAutospacing="1" w:after="100" w:afterAutospacing="1" w:line="360" w:lineRule="auto"/>
        <w:jc w:val="both"/>
        <w:rPr>
          <w:rFonts w:ascii="Arial" w:hAnsi="Arial" w:cs="Arial"/>
          <w:color w:val="0000FF"/>
          <w:u w:val="single"/>
        </w:rPr>
      </w:pPr>
      <w:r w:rsidRPr="003C725E">
        <w:rPr>
          <w:rFonts w:ascii="Arial" w:eastAsia="Times New Roman" w:hAnsi="Arial" w:cs="Arial"/>
          <w:kern w:val="0"/>
          <w:lang w:eastAsia="en-GB"/>
          <w14:ligatures w14:val="none"/>
        </w:rPr>
        <w:t>Figure 8:</w:t>
      </w:r>
      <w:r w:rsidRPr="003C725E">
        <w:rPr>
          <w:rFonts w:ascii="Arial" w:hAnsi="Arial" w:cs="Arial"/>
        </w:rPr>
        <w:t xml:space="preserve"> </w:t>
      </w:r>
      <w:hyperlink r:id="rId22" w:history="1">
        <w:r w:rsidRPr="003C725E">
          <w:rPr>
            <w:rFonts w:ascii="Arial" w:hAnsi="Arial" w:cs="Arial"/>
            <w:color w:val="0000FF"/>
            <w:u w:val="single"/>
          </w:rPr>
          <w:t>Warwick Islamic Society Masjid - Coventry, England, United Kingdom - Prayers Connect</w:t>
        </w:r>
      </w:hyperlink>
    </w:p>
    <w:p w14:paraId="1BA8E8A7" w14:textId="1D212278" w:rsidR="007F35D3" w:rsidRPr="003C725E" w:rsidRDefault="007F35D3"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Local institutions such as Canley Community Centre (see Figure 7) and faith-based organisations, including churches and the Warwick Islamic Society (Figure 8), can serve as vital partners in spreading information and engaging with residents from diverse backgrounds. Additionally, the Canley cremation graveyard </w:t>
      </w:r>
      <w:proofErr w:type="gramStart"/>
      <w:r w:rsidR="005157D3" w:rsidRPr="003C725E">
        <w:rPr>
          <w:rFonts w:ascii="Arial" w:eastAsia="Times New Roman" w:hAnsi="Arial" w:cs="Arial"/>
          <w:kern w:val="0"/>
          <w:lang w:eastAsia="en-GB"/>
          <w14:ligatures w14:val="none"/>
        </w:rPr>
        <w:t>( see</w:t>
      </w:r>
      <w:proofErr w:type="gramEnd"/>
      <w:r w:rsidR="005157D3" w:rsidRPr="003C725E">
        <w:rPr>
          <w:rFonts w:ascii="Arial" w:eastAsia="Times New Roman" w:hAnsi="Arial" w:cs="Arial"/>
          <w:kern w:val="0"/>
          <w:lang w:eastAsia="en-GB"/>
          <w14:ligatures w14:val="none"/>
        </w:rPr>
        <w:t xml:space="preserve"> Figure 9)</w:t>
      </w:r>
      <w:r w:rsidR="00D27E26" w:rsidRPr="003C725E">
        <w:rPr>
          <w:rFonts w:ascii="Arial" w:eastAsia="Times New Roman" w:hAnsi="Arial" w:cs="Arial"/>
          <w:kern w:val="0"/>
          <w:lang w:eastAsia="en-GB"/>
          <w14:ligatures w14:val="none"/>
        </w:rPr>
        <w:t xml:space="preserve"> </w:t>
      </w:r>
      <w:r w:rsidRPr="003C725E">
        <w:rPr>
          <w:rFonts w:ascii="Arial" w:eastAsia="Times New Roman" w:hAnsi="Arial" w:cs="Arial"/>
          <w:kern w:val="0"/>
          <w:lang w:eastAsia="en-GB"/>
          <w14:ligatures w14:val="none"/>
        </w:rPr>
        <w:t>represents an important site of local memory and cultural significance, offering a place of reflection for bereaved families. Moreover, specialist services like Change Grow Live, which offers substance misuse support, play an essential role in reaching</w:t>
      </w:r>
      <w:r w:rsidR="00D27E26" w:rsidRPr="003C725E">
        <w:rPr>
          <w:rFonts w:ascii="Arial" w:eastAsia="Times New Roman" w:hAnsi="Arial" w:cs="Arial"/>
          <w:kern w:val="0"/>
          <w:lang w:eastAsia="en-GB"/>
          <w14:ligatures w14:val="none"/>
        </w:rPr>
        <w:t xml:space="preserve"> </w:t>
      </w:r>
      <w:r w:rsidRPr="003C725E">
        <w:rPr>
          <w:rFonts w:ascii="Arial" w:eastAsia="Times New Roman" w:hAnsi="Arial" w:cs="Arial"/>
          <w:kern w:val="0"/>
          <w:lang w:eastAsia="en-GB"/>
          <w14:ligatures w14:val="none"/>
        </w:rPr>
        <w:lastRenderedPageBreak/>
        <w:t>residents impacted by addiction or social marginalisation.</w:t>
      </w:r>
      <w:r w:rsidR="006B35B7" w:rsidRPr="003C725E">
        <w:rPr>
          <w:rFonts w:ascii="Arial" w:eastAsia="Times New Roman" w:hAnsi="Arial" w:cs="Arial"/>
          <w:noProof/>
          <w:kern w:val="0"/>
          <w:lang w:eastAsia="en-GB"/>
          <w14:ligatures w14:val="none"/>
        </w:rPr>
        <w:drawing>
          <wp:inline distT="0" distB="0" distL="0" distR="0" wp14:anchorId="0809709D" wp14:editId="3DEB9F46">
            <wp:extent cx="3169920" cy="2377440"/>
            <wp:effectExtent l="0" t="0" r="0" b="0"/>
            <wp:docPr id="123850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69920" cy="2377440"/>
                    </a:xfrm>
                    <a:prstGeom prst="rect">
                      <a:avLst/>
                    </a:prstGeom>
                    <a:noFill/>
                  </pic:spPr>
                </pic:pic>
              </a:graphicData>
            </a:graphic>
          </wp:inline>
        </w:drawing>
      </w:r>
    </w:p>
    <w:p w14:paraId="3B15521E" w14:textId="37317620" w:rsidR="00D27E26" w:rsidRPr="003C725E" w:rsidRDefault="00D27E2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Figure 9: </w:t>
      </w:r>
      <w:hyperlink r:id="rId24" w:history="1">
        <w:r w:rsidR="00E2655C" w:rsidRPr="003C725E">
          <w:rPr>
            <w:rFonts w:ascii="Arial" w:hAnsi="Arial" w:cs="Arial"/>
            <w:color w:val="0000FF"/>
            <w:u w:val="single"/>
          </w:rPr>
          <w:t>Canley Garden Cemetery and Crematorium in Canley, West Midlands - Find a Grave Cemetery</w:t>
        </w:r>
      </w:hyperlink>
    </w:p>
    <w:p w14:paraId="433F4C05" w14:textId="051F450E" w:rsidR="009A4CEA" w:rsidRPr="003C725E" w:rsidRDefault="009A4CEA" w:rsidP="003C725E">
      <w:pPr>
        <w:spacing w:before="100" w:beforeAutospacing="1" w:after="100" w:afterAutospacing="1"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Funding Overview</w:t>
      </w:r>
    </w:p>
    <w:p w14:paraId="0F58DF2D" w14:textId="6E542312" w:rsidR="009A4CEA" w:rsidRPr="003C725E" w:rsidRDefault="009A4CE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The Canley Housing Redevelopment Project is funded through a combination of local and national sources. Coventry City Council has allocated capital from its regeneration budget, supported by regional funding from the West Midlands Combined Authority (WMCA). Additional support is expected through </w:t>
      </w:r>
      <w:proofErr w:type="gramStart"/>
      <w:r w:rsidRPr="003C725E">
        <w:rPr>
          <w:rFonts w:ascii="Arial" w:eastAsia="Times New Roman" w:hAnsi="Arial" w:cs="Arial"/>
          <w:kern w:val="0"/>
          <w:lang w:eastAsia="en-GB"/>
          <w14:ligatures w14:val="none"/>
        </w:rPr>
        <w:t>Homes</w:t>
      </w:r>
      <w:proofErr w:type="gramEnd"/>
      <w:r w:rsidRPr="003C725E">
        <w:rPr>
          <w:rFonts w:ascii="Arial" w:eastAsia="Times New Roman" w:hAnsi="Arial" w:cs="Arial"/>
          <w:kern w:val="0"/>
          <w:lang w:eastAsia="en-GB"/>
          <w14:ligatures w14:val="none"/>
        </w:rPr>
        <w:t xml:space="preserve"> England grants, aimed at delivering affordable, energy-efficient housing. Contributions from developers via Section 106 agreements may also fund improvements to public spaces and community facilities (Coventry City Council, 2022; WMCA, 2022; Homes England, 2020; MHCLG, 2020).</w:t>
      </w:r>
    </w:p>
    <w:p w14:paraId="52F7D4A8"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2" w:name="_Toc214400057"/>
      <w:r w:rsidRPr="003C725E">
        <w:rPr>
          <w:rFonts w:ascii="Arial" w:eastAsia="Times New Roman" w:hAnsi="Arial" w:cs="Arial"/>
          <w:b/>
          <w:bCs/>
          <w:kern w:val="0"/>
          <w:lang w:eastAsia="en-GB"/>
          <w14:ligatures w14:val="none"/>
        </w:rPr>
        <w:t>Key Stakeholders and Their Benefits</w:t>
      </w:r>
      <w:bookmarkEnd w:id="2"/>
    </w:p>
    <w:p w14:paraId="3A3169E5" w14:textId="77777777" w:rsidR="009540BA" w:rsidRPr="003C725E" w:rsidRDefault="009540B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The Canley redevelopment will benefit a wide range of stakeholders, both directly and indirectly.</w:t>
      </w:r>
    </w:p>
    <w:p w14:paraId="14B83775" w14:textId="77777777" w:rsidR="009540BA" w:rsidRPr="003C725E" w:rsidRDefault="009540B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Local residents</w:t>
      </w:r>
      <w:r w:rsidRPr="003C725E">
        <w:rPr>
          <w:rFonts w:ascii="Arial" w:eastAsia="Times New Roman" w:hAnsi="Arial" w:cs="Arial"/>
          <w:kern w:val="0"/>
          <w:lang w:eastAsia="en-GB"/>
          <w14:ligatures w14:val="none"/>
        </w:rPr>
        <w:t xml:space="preserve"> will gain from improved housing, reduced energy bills, safer public spaces, and enhanced local amenities. These improvements are especially impactful for low-income households facing fuel poverty and health risks (Joseph Rowntree Foundation, 2019).</w:t>
      </w:r>
    </w:p>
    <w:p w14:paraId="7A343EFE" w14:textId="77777777" w:rsidR="009540BA" w:rsidRPr="003C725E" w:rsidRDefault="009540B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lastRenderedPageBreak/>
        <w:t>Coventry City Council</w:t>
      </w:r>
      <w:r w:rsidRPr="003C725E">
        <w:rPr>
          <w:rFonts w:ascii="Arial" w:eastAsia="Times New Roman" w:hAnsi="Arial" w:cs="Arial"/>
          <w:kern w:val="0"/>
          <w:lang w:eastAsia="en-GB"/>
          <w14:ligatures w14:val="none"/>
        </w:rPr>
        <w:t xml:space="preserve"> will meet regeneration targets while reducing long-term maintenance costs and enhancing social outcomes.</w:t>
      </w:r>
    </w:p>
    <w:p w14:paraId="41619F05" w14:textId="77777777" w:rsidR="009540BA" w:rsidRPr="003C725E" w:rsidRDefault="009540B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Housing associations</w:t>
      </w:r>
      <w:r w:rsidRPr="003C725E">
        <w:rPr>
          <w:rFonts w:ascii="Arial" w:eastAsia="Times New Roman" w:hAnsi="Arial" w:cs="Arial"/>
          <w:kern w:val="0"/>
          <w:lang w:eastAsia="en-GB"/>
          <w14:ligatures w14:val="none"/>
        </w:rPr>
        <w:t xml:space="preserve"> such as Citizen Housing benefit through better-quality housing stock, improved tenant satisfaction, and regulatory compliance (Citizen Housing, 2022).</w:t>
      </w:r>
    </w:p>
    <w:p w14:paraId="591E4953" w14:textId="77777777" w:rsidR="009540BA" w:rsidRPr="003C725E" w:rsidRDefault="009540B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Local businesses</w:t>
      </w:r>
      <w:r w:rsidRPr="003C725E">
        <w:rPr>
          <w:rFonts w:ascii="Arial" w:eastAsia="Times New Roman" w:hAnsi="Arial" w:cs="Arial"/>
          <w:kern w:val="0"/>
          <w:lang w:eastAsia="en-GB"/>
          <w14:ligatures w14:val="none"/>
        </w:rPr>
        <w:t xml:space="preserve"> may see increased footfall and customer activity as the area becomes more attractive post-regeneration.</w:t>
      </w:r>
    </w:p>
    <w:p w14:paraId="79EFCC11" w14:textId="77777777" w:rsidR="009540BA" w:rsidRPr="003C725E" w:rsidRDefault="009540B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Community organisations</w:t>
      </w:r>
      <w:r w:rsidRPr="003C725E">
        <w:rPr>
          <w:rFonts w:ascii="Arial" w:eastAsia="Times New Roman" w:hAnsi="Arial" w:cs="Arial"/>
          <w:kern w:val="0"/>
          <w:lang w:eastAsia="en-GB"/>
          <w14:ligatures w14:val="none"/>
        </w:rPr>
        <w:t xml:space="preserve"> like Canley Community Centre gain improved spaces for delivering social activities, advice services, and support to marginalised groups.</w:t>
      </w:r>
    </w:p>
    <w:p w14:paraId="7F749CFC" w14:textId="77777777" w:rsidR="009540BA" w:rsidRPr="003C725E" w:rsidRDefault="009540BA"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Faith-based groups</w:t>
      </w:r>
      <w:r w:rsidRPr="003C725E">
        <w:rPr>
          <w:rFonts w:ascii="Arial" w:eastAsia="Times New Roman" w:hAnsi="Arial" w:cs="Arial"/>
          <w:kern w:val="0"/>
          <w:lang w:eastAsia="en-GB"/>
          <w14:ligatures w14:val="none"/>
        </w:rPr>
        <w:t>, including churches and the Warwick Islamic Society, benefit from safer, more accessible environments and can serve as trusted venues for resident engagement and consultations.</w:t>
      </w:r>
    </w:p>
    <w:p w14:paraId="27BA7A41" w14:textId="77777777" w:rsidR="00912D86" w:rsidRPr="003C725E" w:rsidRDefault="00912D86" w:rsidP="003C725E">
      <w:pPr>
        <w:spacing w:before="100" w:beforeAutospacing="1" w:after="100" w:afterAutospacing="1"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Rehab and Support Services</w:t>
      </w:r>
    </w:p>
    <w:p w14:paraId="37F0C9D5"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drawing>
          <wp:inline distT="0" distB="0" distL="0" distR="0" wp14:anchorId="01F8E4A1" wp14:editId="4467A6B1">
            <wp:extent cx="3040380" cy="2280285"/>
            <wp:effectExtent l="0" t="0" r="0" b="0"/>
            <wp:docPr id="1517139204" name="Picture 9" descr="A building with a sign in the fr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39204" name="Picture 9" descr="A building with a sign in the fron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40380" cy="2280285"/>
                    </a:xfrm>
                    <a:prstGeom prst="rect">
                      <a:avLst/>
                    </a:prstGeom>
                    <a:noFill/>
                  </pic:spPr>
                </pic:pic>
              </a:graphicData>
            </a:graphic>
          </wp:inline>
        </w:drawing>
      </w:r>
    </w:p>
    <w:p w14:paraId="2B7BCF64" w14:textId="34210653" w:rsidR="00912D86" w:rsidRPr="003C725E" w:rsidRDefault="00912D86" w:rsidP="003C725E">
      <w:pPr>
        <w:spacing w:before="100" w:beforeAutospacing="1" w:after="100" w:afterAutospacing="1" w:line="360" w:lineRule="auto"/>
        <w:jc w:val="both"/>
        <w:rPr>
          <w:rFonts w:ascii="Arial" w:hAnsi="Arial" w:cs="Arial"/>
        </w:rPr>
      </w:pPr>
      <w:r w:rsidRPr="003C725E">
        <w:rPr>
          <w:rFonts w:ascii="Arial" w:eastAsia="Times New Roman" w:hAnsi="Arial" w:cs="Arial"/>
          <w:kern w:val="0"/>
          <w:lang w:eastAsia="en-GB"/>
          <w14:ligatures w14:val="none"/>
        </w:rPr>
        <w:t xml:space="preserve">Figure </w:t>
      </w:r>
      <w:r w:rsidR="00F21BE4" w:rsidRPr="003C725E">
        <w:rPr>
          <w:rFonts w:ascii="Arial" w:eastAsia="Times New Roman" w:hAnsi="Arial" w:cs="Arial"/>
          <w:kern w:val="0"/>
          <w:lang w:eastAsia="en-GB"/>
          <w14:ligatures w14:val="none"/>
        </w:rPr>
        <w:t>10</w:t>
      </w:r>
      <w:r w:rsidRPr="003C725E">
        <w:rPr>
          <w:rFonts w:ascii="Arial" w:eastAsia="Times New Roman" w:hAnsi="Arial" w:cs="Arial"/>
          <w:kern w:val="0"/>
          <w:lang w:eastAsia="en-GB"/>
          <w14:ligatures w14:val="none"/>
        </w:rPr>
        <w:t xml:space="preserve">: </w:t>
      </w:r>
      <w:hyperlink r:id="rId26" w:history="1">
        <w:r w:rsidRPr="003C725E">
          <w:rPr>
            <w:rFonts w:ascii="Arial" w:hAnsi="Arial" w:cs="Arial"/>
            <w:color w:val="0000FF"/>
            <w:u w:val="single"/>
          </w:rPr>
          <w:t>Our Locations - MD Support Centre</w:t>
        </w:r>
      </w:hyperlink>
    </w:p>
    <w:p w14:paraId="0F14354D" w14:textId="573EFD81" w:rsidR="00912D86" w:rsidRPr="003C725E" w:rsidRDefault="006F0168"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Support services such as Change Grow Live will operate more effectively in upgraded, safer community settings, improving access to recovery and wellbeing services.</w:t>
      </w:r>
    </w:p>
    <w:p w14:paraId="154D8CB0"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Example: Figure 9 could illustrate the type of local support facility that may become more accessible post-redevelopment.</w:t>
      </w:r>
    </w:p>
    <w:p w14:paraId="5B1AFAE0" w14:textId="77777777" w:rsidR="00912D86" w:rsidRPr="003C725E" w:rsidRDefault="00912D86" w:rsidP="003C725E">
      <w:pPr>
        <w:spacing w:before="100" w:beforeAutospacing="1" w:after="100" w:afterAutospacing="1"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University of Warwick</w:t>
      </w:r>
    </w:p>
    <w:p w14:paraId="35175365"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drawing>
          <wp:inline distT="0" distB="0" distL="0" distR="0" wp14:anchorId="5772A29A" wp14:editId="63D4D7AB">
            <wp:extent cx="3076575" cy="2228850"/>
            <wp:effectExtent l="0" t="0" r="0" b="0"/>
            <wp:docPr id="997779220" name="Picture 10" descr="A building with a curve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79220" name="Picture 10" descr="A building with a curved roof&#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76575" cy="2228850"/>
                    </a:xfrm>
                    <a:prstGeom prst="rect">
                      <a:avLst/>
                    </a:prstGeom>
                    <a:noFill/>
                  </pic:spPr>
                </pic:pic>
              </a:graphicData>
            </a:graphic>
          </wp:inline>
        </w:drawing>
      </w:r>
    </w:p>
    <w:p w14:paraId="5AE7125F" w14:textId="7A21A4A5"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Figure1</w:t>
      </w:r>
      <w:r w:rsidR="00F21BE4" w:rsidRPr="003C725E">
        <w:rPr>
          <w:rFonts w:ascii="Arial" w:eastAsia="Times New Roman" w:hAnsi="Arial" w:cs="Arial"/>
          <w:kern w:val="0"/>
          <w:lang w:eastAsia="en-GB"/>
          <w14:ligatures w14:val="none"/>
        </w:rPr>
        <w:t>1</w:t>
      </w:r>
      <w:r w:rsidRPr="003C725E">
        <w:rPr>
          <w:rFonts w:ascii="Arial" w:eastAsia="Times New Roman" w:hAnsi="Arial" w:cs="Arial"/>
          <w:kern w:val="0"/>
          <w:lang w:eastAsia="en-GB"/>
          <w14:ligatures w14:val="none"/>
        </w:rPr>
        <w:t xml:space="preserve">: </w:t>
      </w:r>
      <w:hyperlink r:id="rId28" w:history="1">
        <w:r w:rsidRPr="003C725E">
          <w:rPr>
            <w:rFonts w:ascii="Arial" w:hAnsi="Arial" w:cs="Arial"/>
            <w:color w:val="0000FF"/>
            <w:u w:val="single"/>
          </w:rPr>
          <w:t xml:space="preserve">The University Of Warwick - British Academic </w:t>
        </w:r>
        <w:proofErr w:type="spellStart"/>
        <w:r w:rsidRPr="003C725E">
          <w:rPr>
            <w:rFonts w:ascii="Arial" w:hAnsi="Arial" w:cs="Arial"/>
            <w:color w:val="0000FF"/>
            <w:u w:val="single"/>
          </w:rPr>
          <w:t>Center</w:t>
        </w:r>
        <w:proofErr w:type="spellEnd"/>
      </w:hyperlink>
      <w:r w:rsidRPr="003C725E">
        <w:rPr>
          <w:rFonts w:ascii="Arial" w:eastAsia="Times New Roman" w:hAnsi="Arial" w:cs="Arial"/>
          <w:kern w:val="0"/>
          <w:lang w:eastAsia="en-GB"/>
          <w14:ligatures w14:val="none"/>
        </w:rPr>
        <w:br/>
      </w:r>
      <w:r w:rsidR="00FC5E58" w:rsidRPr="003C725E">
        <w:rPr>
          <w:rFonts w:ascii="Arial" w:eastAsia="Times New Roman" w:hAnsi="Arial" w:cs="Arial"/>
          <w:kern w:val="0"/>
          <w:lang w:eastAsia="en-GB"/>
          <w14:ligatures w14:val="none"/>
        </w:rPr>
        <w:t xml:space="preserve">The University of Warwick, though indirectly involved, benefits from a safer local </w:t>
      </w:r>
      <w:r w:rsidR="005A66A0" w:rsidRPr="003C725E">
        <w:rPr>
          <w:rFonts w:ascii="Arial" w:eastAsia="Times New Roman" w:hAnsi="Arial" w:cs="Arial"/>
          <w:kern w:val="0"/>
          <w:lang w:eastAsia="en-GB"/>
          <w14:ligatures w14:val="none"/>
        </w:rPr>
        <w:t>area</w:t>
      </w:r>
      <w:r w:rsidR="00FC5E58" w:rsidRPr="003C725E">
        <w:rPr>
          <w:rFonts w:ascii="Arial" w:eastAsia="Times New Roman" w:hAnsi="Arial" w:cs="Arial"/>
          <w:kern w:val="0"/>
          <w:lang w:eastAsia="en-GB"/>
          <w14:ligatures w14:val="none"/>
        </w:rPr>
        <w:t xml:space="preserve"> and better accommodation options for off-campus students.</w:t>
      </w:r>
      <w:r w:rsidRPr="003C725E">
        <w:rPr>
          <w:rFonts w:ascii="Arial" w:eastAsia="Times New Roman" w:hAnsi="Arial" w:cs="Arial"/>
          <w:kern w:val="0"/>
          <w:lang w:eastAsia="en-GB"/>
          <w14:ligatures w14:val="none"/>
        </w:rPr>
        <w:t xml:space="preserve"> (Figure 10).</w:t>
      </w:r>
    </w:p>
    <w:p w14:paraId="6DB8A7B1"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 w:name="_Toc214400058"/>
      <w:r w:rsidRPr="003C725E">
        <w:rPr>
          <w:rFonts w:ascii="Arial" w:eastAsia="Times New Roman" w:hAnsi="Arial" w:cs="Arial"/>
          <w:b/>
          <w:bCs/>
          <w:kern w:val="0"/>
          <w:lang w:eastAsia="en-GB"/>
          <w14:ligatures w14:val="none"/>
        </w:rPr>
        <w:t>Importance of Engagement</w:t>
      </w:r>
      <w:bookmarkEnd w:id="3"/>
    </w:p>
    <w:p w14:paraId="600621B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Regeneration affects people’s homes, routines, public spaces, and sense of identity. Therefore, effective engagement is essential to ensure the redevelopment reflects community needs and builds trust. Research shows that inclusive engagement increases legitimacy, reduces conflict, and leads to more sustainable outcomes (Bowen et al., 2010).</w:t>
      </w:r>
    </w:p>
    <w:p w14:paraId="66476ED2"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 When residents are informed early about demolition dates, they can prepare and avoid unnecessary stress.</w:t>
      </w:r>
    </w:p>
    <w:p w14:paraId="5D73613A"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This introduction establishes the foundation for the stakeholder analysis, communication plan, consultation strategy and ethical considerations explored in the next sections.</w:t>
      </w:r>
    </w:p>
    <w:p w14:paraId="2E65E056"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p>
    <w:p w14:paraId="73655F7D" w14:textId="77777777" w:rsidR="007C6EDE" w:rsidRPr="003C725E" w:rsidRDefault="00912D86"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4" w:name="_Toc214400059"/>
      <w:r w:rsidRPr="003C725E">
        <w:rPr>
          <w:rFonts w:ascii="Arial" w:eastAsia="Times New Roman" w:hAnsi="Arial" w:cs="Arial"/>
          <w:b/>
          <w:bCs/>
          <w:kern w:val="0"/>
          <w:lang w:eastAsia="en-GB"/>
          <w14:ligatures w14:val="none"/>
        </w:rPr>
        <w:t>Application and Stakeholder Engagement Strategies</w:t>
      </w:r>
      <w:bookmarkStart w:id="5" w:name="_Toc214400060"/>
      <w:bookmarkEnd w:id="4"/>
    </w:p>
    <w:p w14:paraId="0C4373C4" w14:textId="1E5512FF" w:rsidR="007C6EDE" w:rsidRPr="003C725E" w:rsidRDefault="007C6EDE"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725E">
        <w:rPr>
          <w:rFonts w:ascii="Arial" w:eastAsia="Times New Roman" w:hAnsi="Arial" w:cs="Arial"/>
          <w:kern w:val="0"/>
          <w:lang w:eastAsia="en-GB"/>
          <w14:ligatures w14:val="none"/>
        </w:rPr>
        <w:lastRenderedPageBreak/>
        <w:t>The operations of the Canley Housing Redevelopment Project include the planning and delivery of inclusive engagement strategies, coordination of stakeholder consultations, and the development of communication tools. These activities are supported by collaboration with local partners such as Canley Community Centre, faith institutions, and public service organisations. The operational framework ensures that the project's implementation is ethical, inclusive, and transparent.</w:t>
      </w:r>
    </w:p>
    <w:p w14:paraId="09D7602D" w14:textId="322338B6"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Power, Influence, and Interest Analysis</w:t>
      </w:r>
      <w:bookmarkEnd w:id="5"/>
    </w:p>
    <w:p w14:paraId="26914D4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Understanding stakeholder power, influence, and interest helps teams decide who needs close collaboration, updates, or targeted support (Freeman, 1984; Mitchell, Agle, and Wood, 1997). In Canley, the diverse mix of institutional actors, residents, and community organisations makes structured analysis critical for ethical and effective engagement.</w:t>
      </w:r>
    </w:p>
    <w:p w14:paraId="2F4D8537"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This framework distinguishes between:</w:t>
      </w:r>
    </w:p>
    <w:p w14:paraId="4BFC573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 </w:t>
      </w:r>
      <w:r w:rsidRPr="003C725E">
        <w:rPr>
          <w:rFonts w:ascii="Arial" w:eastAsia="Times New Roman" w:hAnsi="Arial" w:cs="Arial"/>
          <w:b/>
          <w:bCs/>
          <w:kern w:val="0"/>
          <w:lang w:eastAsia="en-GB"/>
          <w14:ligatures w14:val="none"/>
        </w:rPr>
        <w:t>Power</w:t>
      </w:r>
      <w:r w:rsidRPr="003C725E">
        <w:rPr>
          <w:rFonts w:ascii="Arial" w:eastAsia="Times New Roman" w:hAnsi="Arial" w:cs="Arial"/>
          <w:kern w:val="0"/>
          <w:lang w:eastAsia="en-GB"/>
          <w14:ligatures w14:val="none"/>
        </w:rPr>
        <w:t xml:space="preserve"> – the ability to control or make decisions.</w:t>
      </w:r>
      <w:r w:rsidRPr="003C725E">
        <w:rPr>
          <w:rFonts w:ascii="Arial" w:eastAsia="Times New Roman" w:hAnsi="Arial" w:cs="Arial"/>
          <w:kern w:val="0"/>
          <w:lang w:eastAsia="en-GB"/>
          <w14:ligatures w14:val="none"/>
        </w:rPr>
        <w:br/>
        <w:t xml:space="preserve">• </w:t>
      </w:r>
      <w:r w:rsidRPr="003C725E">
        <w:rPr>
          <w:rFonts w:ascii="Arial" w:eastAsia="Times New Roman" w:hAnsi="Arial" w:cs="Arial"/>
          <w:b/>
          <w:bCs/>
          <w:kern w:val="0"/>
          <w:lang w:eastAsia="en-GB"/>
          <w14:ligatures w14:val="none"/>
        </w:rPr>
        <w:t>Influence</w:t>
      </w:r>
      <w:r w:rsidRPr="003C725E">
        <w:rPr>
          <w:rFonts w:ascii="Arial" w:eastAsia="Times New Roman" w:hAnsi="Arial" w:cs="Arial"/>
          <w:kern w:val="0"/>
          <w:lang w:eastAsia="en-GB"/>
          <w14:ligatures w14:val="none"/>
        </w:rPr>
        <w:t xml:space="preserve"> – the ability to shape opinions or outcomes indirectly.</w:t>
      </w:r>
      <w:r w:rsidRPr="003C725E">
        <w:rPr>
          <w:rFonts w:ascii="Arial" w:eastAsia="Times New Roman" w:hAnsi="Arial" w:cs="Arial"/>
          <w:kern w:val="0"/>
          <w:lang w:eastAsia="en-GB"/>
          <w14:ligatures w14:val="none"/>
        </w:rPr>
        <w:br/>
        <w:t>•</w:t>
      </w:r>
      <w:r w:rsidRPr="003C725E">
        <w:rPr>
          <w:rFonts w:ascii="Arial" w:eastAsia="Times New Roman" w:hAnsi="Arial" w:cs="Arial"/>
          <w:b/>
          <w:bCs/>
          <w:kern w:val="0"/>
          <w:lang w:eastAsia="en-GB"/>
          <w14:ligatures w14:val="none"/>
        </w:rPr>
        <w:t xml:space="preserve"> Interest</w:t>
      </w:r>
      <w:r w:rsidRPr="003C725E">
        <w:rPr>
          <w:rFonts w:ascii="Arial" w:eastAsia="Times New Roman" w:hAnsi="Arial" w:cs="Arial"/>
          <w:kern w:val="0"/>
          <w:lang w:eastAsia="en-GB"/>
          <w14:ligatures w14:val="none"/>
        </w:rPr>
        <w:t xml:space="preserve"> – the degree to which the stakeholder is affected by the project.</w:t>
      </w:r>
    </w:p>
    <w:p w14:paraId="2AAA905B"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Understanding these dimensions helps identify which stakeholders require intensive involvement and which may need regular updates or targeted outreach.</w:t>
      </w:r>
    </w:p>
    <w:p w14:paraId="6C70AF73"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p>
    <w:p w14:paraId="3A07B80D"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6" w:name="_Toc214400061"/>
      <w:r w:rsidRPr="003C725E">
        <w:rPr>
          <w:rFonts w:ascii="Arial" w:eastAsia="Times New Roman" w:hAnsi="Arial" w:cs="Arial"/>
          <w:b/>
          <w:bCs/>
          <w:kern w:val="0"/>
          <w:lang w:eastAsia="en-GB"/>
          <w14:ligatures w14:val="none"/>
        </w:rPr>
        <w:t>Stakeholder Power–Influence–Interest Table</w:t>
      </w:r>
      <w:bookmarkEnd w:id="6"/>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2"/>
        <w:gridCol w:w="934"/>
        <w:gridCol w:w="1134"/>
        <w:gridCol w:w="947"/>
        <w:gridCol w:w="4099"/>
      </w:tblGrid>
      <w:tr w:rsidR="00912D86" w:rsidRPr="003C725E" w14:paraId="64C78224" w14:textId="77777777" w:rsidTr="00317C25">
        <w:trPr>
          <w:tblHeader/>
          <w:tblCellSpacing w:w="15" w:type="dxa"/>
        </w:trPr>
        <w:tc>
          <w:tcPr>
            <w:tcW w:w="0" w:type="auto"/>
            <w:shd w:val="clear" w:color="auto" w:fill="DAE9F7" w:themeFill="text2" w:themeFillTint="1A"/>
            <w:vAlign w:val="center"/>
            <w:hideMark/>
          </w:tcPr>
          <w:p w14:paraId="552CAC81"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Stakeholder</w:t>
            </w:r>
          </w:p>
        </w:tc>
        <w:tc>
          <w:tcPr>
            <w:tcW w:w="0" w:type="auto"/>
            <w:shd w:val="clear" w:color="auto" w:fill="BF4E14" w:themeFill="accent2" w:themeFillShade="BF"/>
            <w:vAlign w:val="center"/>
            <w:hideMark/>
          </w:tcPr>
          <w:p w14:paraId="2DE2AC47"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Power</w:t>
            </w:r>
          </w:p>
        </w:tc>
        <w:tc>
          <w:tcPr>
            <w:tcW w:w="0" w:type="auto"/>
            <w:shd w:val="clear" w:color="auto" w:fill="A5C9EB" w:themeFill="text2" w:themeFillTint="40"/>
            <w:vAlign w:val="center"/>
            <w:hideMark/>
          </w:tcPr>
          <w:p w14:paraId="6BF7EA58"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Influence</w:t>
            </w:r>
          </w:p>
        </w:tc>
        <w:tc>
          <w:tcPr>
            <w:tcW w:w="0" w:type="auto"/>
            <w:shd w:val="clear" w:color="auto" w:fill="F6C5AC" w:themeFill="accent2" w:themeFillTint="66"/>
            <w:vAlign w:val="center"/>
            <w:hideMark/>
          </w:tcPr>
          <w:p w14:paraId="20E627E8"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Interest</w:t>
            </w:r>
          </w:p>
        </w:tc>
        <w:tc>
          <w:tcPr>
            <w:tcW w:w="0" w:type="auto"/>
            <w:shd w:val="clear" w:color="auto" w:fill="C1F0C7" w:themeFill="accent3" w:themeFillTint="33"/>
            <w:vAlign w:val="center"/>
            <w:hideMark/>
          </w:tcPr>
          <w:p w14:paraId="3895C586"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Justification</w:t>
            </w:r>
          </w:p>
        </w:tc>
      </w:tr>
      <w:tr w:rsidR="00912D86" w:rsidRPr="003C725E" w14:paraId="2ADF9162" w14:textId="77777777" w:rsidTr="00317C25">
        <w:trPr>
          <w:tblCellSpacing w:w="15" w:type="dxa"/>
        </w:trPr>
        <w:tc>
          <w:tcPr>
            <w:tcW w:w="0" w:type="auto"/>
            <w:shd w:val="clear" w:color="auto" w:fill="DAE9F7" w:themeFill="text2" w:themeFillTint="1A"/>
            <w:vAlign w:val="center"/>
            <w:hideMark/>
          </w:tcPr>
          <w:p w14:paraId="54D87E76"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Coventry City Council</w:t>
            </w:r>
          </w:p>
        </w:tc>
        <w:tc>
          <w:tcPr>
            <w:tcW w:w="0" w:type="auto"/>
            <w:shd w:val="clear" w:color="auto" w:fill="BF4E14" w:themeFill="accent2" w:themeFillShade="BF"/>
            <w:vAlign w:val="center"/>
            <w:hideMark/>
          </w:tcPr>
          <w:p w14:paraId="1078577A"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A5C9EB" w:themeFill="text2" w:themeFillTint="40"/>
            <w:vAlign w:val="center"/>
            <w:hideMark/>
          </w:tcPr>
          <w:p w14:paraId="73C0984B"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F6C5AC" w:themeFill="accent2" w:themeFillTint="66"/>
            <w:vAlign w:val="center"/>
            <w:hideMark/>
          </w:tcPr>
          <w:p w14:paraId="3E9F5F32"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C1F0C7" w:themeFill="accent3" w:themeFillTint="33"/>
            <w:vAlign w:val="center"/>
            <w:hideMark/>
          </w:tcPr>
          <w:p w14:paraId="0313D503"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Leads the project, controls planning and funding, and ensures policy compliance</w:t>
            </w:r>
          </w:p>
        </w:tc>
      </w:tr>
      <w:tr w:rsidR="00912D86" w:rsidRPr="003C725E" w14:paraId="3F2F83B4" w14:textId="77777777" w:rsidTr="00317C25">
        <w:trPr>
          <w:tblCellSpacing w:w="15" w:type="dxa"/>
        </w:trPr>
        <w:tc>
          <w:tcPr>
            <w:tcW w:w="0" w:type="auto"/>
            <w:shd w:val="clear" w:color="auto" w:fill="DAE9F7" w:themeFill="text2" w:themeFillTint="1A"/>
            <w:vAlign w:val="center"/>
            <w:hideMark/>
          </w:tcPr>
          <w:p w14:paraId="5DD92668"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Developers / Contractors</w:t>
            </w:r>
          </w:p>
        </w:tc>
        <w:tc>
          <w:tcPr>
            <w:tcW w:w="0" w:type="auto"/>
            <w:shd w:val="clear" w:color="auto" w:fill="BF4E14" w:themeFill="accent2" w:themeFillShade="BF"/>
            <w:vAlign w:val="center"/>
            <w:hideMark/>
          </w:tcPr>
          <w:p w14:paraId="6EA35166"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A5C9EB" w:themeFill="text2" w:themeFillTint="40"/>
            <w:vAlign w:val="center"/>
            <w:hideMark/>
          </w:tcPr>
          <w:p w14:paraId="0A76AC4C"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F6C5AC" w:themeFill="accent2" w:themeFillTint="66"/>
            <w:vAlign w:val="center"/>
            <w:hideMark/>
          </w:tcPr>
          <w:p w14:paraId="05BC850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C1F0C7" w:themeFill="accent3" w:themeFillTint="33"/>
            <w:vAlign w:val="center"/>
            <w:hideMark/>
          </w:tcPr>
          <w:p w14:paraId="2C471CFB"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Responsible for delivering the physical redevelopment and managing site risk</w:t>
            </w:r>
          </w:p>
        </w:tc>
      </w:tr>
      <w:tr w:rsidR="00912D86" w:rsidRPr="003C725E" w14:paraId="0E2B1346" w14:textId="77777777" w:rsidTr="00317C25">
        <w:trPr>
          <w:tblCellSpacing w:w="15" w:type="dxa"/>
        </w:trPr>
        <w:tc>
          <w:tcPr>
            <w:tcW w:w="0" w:type="auto"/>
            <w:shd w:val="clear" w:color="auto" w:fill="DAE9F7" w:themeFill="text2" w:themeFillTint="1A"/>
            <w:vAlign w:val="center"/>
            <w:hideMark/>
          </w:tcPr>
          <w:p w14:paraId="1CDC64EA"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Local Residents</w:t>
            </w:r>
          </w:p>
        </w:tc>
        <w:tc>
          <w:tcPr>
            <w:tcW w:w="0" w:type="auto"/>
            <w:shd w:val="clear" w:color="auto" w:fill="BF4E14" w:themeFill="accent2" w:themeFillShade="BF"/>
            <w:vAlign w:val="center"/>
            <w:hideMark/>
          </w:tcPr>
          <w:p w14:paraId="4E181449"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A5C9EB" w:themeFill="text2" w:themeFillTint="40"/>
            <w:vAlign w:val="center"/>
            <w:hideMark/>
          </w:tcPr>
          <w:p w14:paraId="0CCF25F7"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F6C5AC" w:themeFill="accent2" w:themeFillTint="66"/>
            <w:vAlign w:val="center"/>
            <w:hideMark/>
          </w:tcPr>
          <w:p w14:paraId="01F0285C"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C1F0C7" w:themeFill="accent3" w:themeFillTint="33"/>
            <w:vAlign w:val="center"/>
            <w:hideMark/>
          </w:tcPr>
          <w:p w14:paraId="75490AAA"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Directly impacted by changes; shape local legitimacy and social outcomes</w:t>
            </w:r>
          </w:p>
        </w:tc>
      </w:tr>
      <w:tr w:rsidR="00912D86" w:rsidRPr="003C725E" w14:paraId="1F103786" w14:textId="77777777" w:rsidTr="00317C25">
        <w:trPr>
          <w:tblCellSpacing w:w="15" w:type="dxa"/>
        </w:trPr>
        <w:tc>
          <w:tcPr>
            <w:tcW w:w="0" w:type="auto"/>
            <w:shd w:val="clear" w:color="auto" w:fill="DAE9F7" w:themeFill="text2" w:themeFillTint="1A"/>
            <w:vAlign w:val="center"/>
            <w:hideMark/>
          </w:tcPr>
          <w:p w14:paraId="258F240C"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Housing Associations</w:t>
            </w:r>
          </w:p>
        </w:tc>
        <w:tc>
          <w:tcPr>
            <w:tcW w:w="0" w:type="auto"/>
            <w:shd w:val="clear" w:color="auto" w:fill="BF4E14" w:themeFill="accent2" w:themeFillShade="BF"/>
            <w:vAlign w:val="center"/>
            <w:hideMark/>
          </w:tcPr>
          <w:p w14:paraId="7F669C00"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A5C9EB" w:themeFill="text2" w:themeFillTint="40"/>
            <w:vAlign w:val="center"/>
            <w:hideMark/>
          </w:tcPr>
          <w:p w14:paraId="1E7B9C52"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F6C5AC" w:themeFill="accent2" w:themeFillTint="66"/>
            <w:vAlign w:val="center"/>
            <w:hideMark/>
          </w:tcPr>
          <w:p w14:paraId="0728B40F"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C1F0C7" w:themeFill="accent3" w:themeFillTint="33"/>
            <w:vAlign w:val="center"/>
            <w:hideMark/>
          </w:tcPr>
          <w:p w14:paraId="3F9054C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Responsible for tenant wellbeing and managing long-term housing stock</w:t>
            </w:r>
          </w:p>
        </w:tc>
      </w:tr>
      <w:tr w:rsidR="00912D86" w:rsidRPr="003C725E" w14:paraId="0653DB15" w14:textId="77777777" w:rsidTr="00317C25">
        <w:trPr>
          <w:tblCellSpacing w:w="15" w:type="dxa"/>
        </w:trPr>
        <w:tc>
          <w:tcPr>
            <w:tcW w:w="0" w:type="auto"/>
            <w:shd w:val="clear" w:color="auto" w:fill="DAE9F7" w:themeFill="text2" w:themeFillTint="1A"/>
            <w:vAlign w:val="center"/>
            <w:hideMark/>
          </w:tcPr>
          <w:p w14:paraId="4C2EC720"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Community Organisations</w:t>
            </w:r>
          </w:p>
        </w:tc>
        <w:tc>
          <w:tcPr>
            <w:tcW w:w="0" w:type="auto"/>
            <w:shd w:val="clear" w:color="auto" w:fill="BF4E14" w:themeFill="accent2" w:themeFillShade="BF"/>
            <w:vAlign w:val="center"/>
            <w:hideMark/>
          </w:tcPr>
          <w:p w14:paraId="399A0059"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Low</w:t>
            </w:r>
          </w:p>
        </w:tc>
        <w:tc>
          <w:tcPr>
            <w:tcW w:w="0" w:type="auto"/>
            <w:shd w:val="clear" w:color="auto" w:fill="A5C9EB" w:themeFill="text2" w:themeFillTint="40"/>
            <w:vAlign w:val="center"/>
            <w:hideMark/>
          </w:tcPr>
          <w:p w14:paraId="640C3B7C"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F6C5AC" w:themeFill="accent2" w:themeFillTint="66"/>
            <w:vAlign w:val="center"/>
            <w:hideMark/>
          </w:tcPr>
          <w:p w14:paraId="4452E62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High</w:t>
            </w:r>
          </w:p>
        </w:tc>
        <w:tc>
          <w:tcPr>
            <w:tcW w:w="0" w:type="auto"/>
            <w:shd w:val="clear" w:color="auto" w:fill="C1F0C7" w:themeFill="accent3" w:themeFillTint="33"/>
            <w:vAlign w:val="center"/>
            <w:hideMark/>
          </w:tcPr>
          <w:p w14:paraId="3B5350E9"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Represent marginalised voices and build trust through advocacy</w:t>
            </w:r>
          </w:p>
        </w:tc>
      </w:tr>
      <w:tr w:rsidR="00912D86" w:rsidRPr="003C725E" w14:paraId="6A3595F2" w14:textId="77777777" w:rsidTr="00317C25">
        <w:trPr>
          <w:tblCellSpacing w:w="15" w:type="dxa"/>
        </w:trPr>
        <w:tc>
          <w:tcPr>
            <w:tcW w:w="0" w:type="auto"/>
            <w:shd w:val="clear" w:color="auto" w:fill="DAE9F7" w:themeFill="text2" w:themeFillTint="1A"/>
            <w:vAlign w:val="center"/>
            <w:hideMark/>
          </w:tcPr>
          <w:p w14:paraId="5A085F56"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Local Businesses</w:t>
            </w:r>
          </w:p>
        </w:tc>
        <w:tc>
          <w:tcPr>
            <w:tcW w:w="0" w:type="auto"/>
            <w:shd w:val="clear" w:color="auto" w:fill="BF4E14" w:themeFill="accent2" w:themeFillShade="BF"/>
            <w:vAlign w:val="center"/>
            <w:hideMark/>
          </w:tcPr>
          <w:p w14:paraId="0E3E549D"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Low</w:t>
            </w:r>
          </w:p>
        </w:tc>
        <w:tc>
          <w:tcPr>
            <w:tcW w:w="0" w:type="auto"/>
            <w:shd w:val="clear" w:color="auto" w:fill="A5C9EB" w:themeFill="text2" w:themeFillTint="40"/>
            <w:vAlign w:val="center"/>
            <w:hideMark/>
          </w:tcPr>
          <w:p w14:paraId="0840D3DF"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F6C5AC" w:themeFill="accent2" w:themeFillTint="66"/>
            <w:vAlign w:val="center"/>
            <w:hideMark/>
          </w:tcPr>
          <w:p w14:paraId="3A0CB468"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C1F0C7" w:themeFill="accent3" w:themeFillTint="33"/>
            <w:vAlign w:val="center"/>
            <w:hideMark/>
          </w:tcPr>
          <w:p w14:paraId="1471BB92"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Affected by disruption during construction and potential future footfall</w:t>
            </w:r>
          </w:p>
        </w:tc>
      </w:tr>
      <w:tr w:rsidR="00912D86" w:rsidRPr="003C725E" w14:paraId="4F6FA601" w14:textId="77777777" w:rsidTr="00317C25">
        <w:trPr>
          <w:tblCellSpacing w:w="15" w:type="dxa"/>
        </w:trPr>
        <w:tc>
          <w:tcPr>
            <w:tcW w:w="0" w:type="auto"/>
            <w:shd w:val="clear" w:color="auto" w:fill="DAE9F7" w:themeFill="text2" w:themeFillTint="1A"/>
            <w:vAlign w:val="center"/>
            <w:hideMark/>
          </w:tcPr>
          <w:p w14:paraId="24C650D0"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University of Warwick</w:t>
            </w:r>
          </w:p>
        </w:tc>
        <w:tc>
          <w:tcPr>
            <w:tcW w:w="0" w:type="auto"/>
            <w:shd w:val="clear" w:color="auto" w:fill="BF4E14" w:themeFill="accent2" w:themeFillShade="BF"/>
            <w:vAlign w:val="center"/>
            <w:hideMark/>
          </w:tcPr>
          <w:p w14:paraId="6717049E"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Low</w:t>
            </w:r>
          </w:p>
        </w:tc>
        <w:tc>
          <w:tcPr>
            <w:tcW w:w="0" w:type="auto"/>
            <w:shd w:val="clear" w:color="auto" w:fill="A5C9EB" w:themeFill="text2" w:themeFillTint="40"/>
            <w:vAlign w:val="center"/>
            <w:hideMark/>
          </w:tcPr>
          <w:p w14:paraId="7918FF0E"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Low</w:t>
            </w:r>
          </w:p>
        </w:tc>
        <w:tc>
          <w:tcPr>
            <w:tcW w:w="0" w:type="auto"/>
            <w:shd w:val="clear" w:color="auto" w:fill="F6C5AC" w:themeFill="accent2" w:themeFillTint="66"/>
            <w:vAlign w:val="center"/>
            <w:hideMark/>
          </w:tcPr>
          <w:p w14:paraId="4EFDBE3C"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Medium</w:t>
            </w:r>
          </w:p>
        </w:tc>
        <w:tc>
          <w:tcPr>
            <w:tcW w:w="0" w:type="auto"/>
            <w:shd w:val="clear" w:color="auto" w:fill="C1F0C7" w:themeFill="accent3" w:themeFillTint="33"/>
            <w:vAlign w:val="center"/>
            <w:hideMark/>
          </w:tcPr>
          <w:p w14:paraId="7777F144"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Indirectly affected via student housing demand and safety perceptions</w:t>
            </w:r>
          </w:p>
        </w:tc>
      </w:tr>
    </w:tbl>
    <w:p w14:paraId="0940483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noProof/>
          <w:kern w:val="0"/>
          <w:lang w:eastAsia="en-GB"/>
          <w14:ligatures w14:val="none"/>
        </w:rPr>
        <w:drawing>
          <wp:anchor distT="0" distB="0" distL="114300" distR="114300" simplePos="0" relativeHeight="251672576" behindDoc="0" locked="0" layoutInCell="1" allowOverlap="1" wp14:anchorId="7762A045" wp14:editId="1DAB7F83">
            <wp:simplePos x="0" y="0"/>
            <wp:positionH relativeFrom="column">
              <wp:posOffset>662940</wp:posOffset>
            </wp:positionH>
            <wp:positionV relativeFrom="paragraph">
              <wp:posOffset>1560195</wp:posOffset>
            </wp:positionV>
            <wp:extent cx="3863340" cy="1980565"/>
            <wp:effectExtent l="0" t="0" r="0" b="0"/>
            <wp:wrapTopAndBottom/>
            <wp:docPr id="485282613" name="Picture 4" descr="A pie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82613" name="Picture 4" descr="A pie chart with different colored bar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63340" cy="1980565"/>
                    </a:xfrm>
                    <a:prstGeom prst="rect">
                      <a:avLst/>
                    </a:prstGeom>
                    <a:noFill/>
                  </pic:spPr>
                </pic:pic>
              </a:graphicData>
            </a:graphic>
            <wp14:sizeRelH relativeFrom="margin">
              <wp14:pctWidth>0</wp14:pctWidth>
            </wp14:sizeRelH>
            <wp14:sizeRelV relativeFrom="margin">
              <wp14:pctHeight>0</wp14:pctHeight>
            </wp14:sizeRelV>
          </wp:anchor>
        </w:drawing>
      </w:r>
      <w:r w:rsidRPr="003C725E">
        <w:rPr>
          <w:rFonts w:ascii="Arial" w:eastAsia="Times New Roman" w:hAnsi="Arial" w:cs="Arial"/>
          <w:kern w:val="0"/>
          <w:lang w:eastAsia="en-GB"/>
          <w14:ligatures w14:val="none"/>
        </w:rPr>
        <w:t>In addition to the stakeholder table, the following chart illustrates the proportional focus of stakeholder engagement in the Canley Redevelopment Project. It highlights the importance of prioritising local residents, who represent the highest-interest group, despite having limited institutional power (Involve, 2019).</w:t>
      </w:r>
    </w:p>
    <w:p w14:paraId="65BEF49D" w14:textId="77777777" w:rsidR="00912D86" w:rsidRPr="003C725E" w:rsidRDefault="00912D86" w:rsidP="003C725E">
      <w:pPr>
        <w:spacing w:line="360" w:lineRule="auto"/>
        <w:jc w:val="both"/>
        <w:rPr>
          <w:rFonts w:ascii="Arial" w:eastAsia="Times New Roman" w:hAnsi="Arial" w:cs="Arial"/>
          <w:kern w:val="0"/>
          <w:lang w:eastAsia="en-GB"/>
          <w14:ligatures w14:val="none"/>
        </w:rPr>
      </w:pPr>
    </w:p>
    <w:p w14:paraId="4740D0D7" w14:textId="2192BBC3" w:rsidR="00912D86" w:rsidRPr="003C725E" w:rsidRDefault="00912D86" w:rsidP="003C725E">
      <w:pPr>
        <w:spacing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Figure 1</w:t>
      </w:r>
      <w:r w:rsidR="00F21BE4" w:rsidRPr="003C725E">
        <w:rPr>
          <w:rFonts w:ascii="Arial" w:eastAsia="Times New Roman" w:hAnsi="Arial" w:cs="Arial"/>
          <w:kern w:val="0"/>
          <w:lang w:eastAsia="en-GB"/>
          <w14:ligatures w14:val="none"/>
        </w:rPr>
        <w:t>2:</w:t>
      </w:r>
      <w:r w:rsidRPr="003C725E">
        <w:rPr>
          <w:rFonts w:ascii="Arial" w:eastAsia="Times New Roman" w:hAnsi="Arial" w:cs="Arial"/>
          <w:kern w:val="0"/>
          <w:lang w:eastAsia="en-GB"/>
          <w14:ligatures w14:val="none"/>
        </w:rPr>
        <w:t xml:space="preserve"> </w:t>
      </w:r>
      <w:proofErr w:type="gramStart"/>
      <w:r w:rsidR="00F21BE4" w:rsidRPr="003C725E">
        <w:rPr>
          <w:rFonts w:ascii="Arial" w:eastAsia="Times New Roman" w:hAnsi="Arial" w:cs="Arial"/>
          <w:kern w:val="0"/>
          <w:lang w:eastAsia="en-GB"/>
          <w14:ligatures w14:val="none"/>
        </w:rPr>
        <w:t>Rehman(</w:t>
      </w:r>
      <w:proofErr w:type="gramEnd"/>
      <w:r w:rsidR="00F21BE4" w:rsidRPr="003C725E">
        <w:rPr>
          <w:rFonts w:ascii="Arial" w:eastAsia="Times New Roman" w:hAnsi="Arial" w:cs="Arial"/>
          <w:kern w:val="0"/>
          <w:lang w:eastAsia="en-GB"/>
          <w14:ligatures w14:val="none"/>
        </w:rPr>
        <w:t>2025)</w:t>
      </w:r>
      <w:r w:rsidR="00A142B7" w:rsidRPr="003C725E">
        <w:rPr>
          <w:rFonts w:ascii="Arial" w:eastAsia="Times New Roman" w:hAnsi="Arial" w:cs="Arial"/>
          <w:kern w:val="0"/>
          <w:lang w:eastAsia="en-GB"/>
          <w14:ligatures w14:val="none"/>
        </w:rPr>
        <w:t>.</w:t>
      </w:r>
    </w:p>
    <w:p w14:paraId="021EFCEA" w14:textId="69BB0878" w:rsidR="00912D86" w:rsidRPr="003C725E" w:rsidRDefault="00912D86" w:rsidP="003C725E">
      <w:pPr>
        <w:spacing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Proportional Stakeholder Engagement Focus – Canley Redevelopment Project</w:t>
      </w:r>
    </w:p>
    <w:p w14:paraId="79D94072"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p>
    <w:p w14:paraId="1E8A5266"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7" w:name="_Toc214400062"/>
      <w:r w:rsidRPr="003C725E">
        <w:rPr>
          <w:rFonts w:ascii="Arial" w:eastAsia="Times New Roman" w:hAnsi="Arial" w:cs="Arial"/>
          <w:b/>
          <w:bCs/>
          <w:kern w:val="0"/>
          <w:lang w:eastAsia="en-GB"/>
          <w14:ligatures w14:val="none"/>
        </w:rPr>
        <w:lastRenderedPageBreak/>
        <w:t>Practical Example</w:t>
      </w:r>
      <w:bookmarkEnd w:id="7"/>
    </w:p>
    <w:p w14:paraId="3B87DCB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For instance, although local residents lack statutory power, they hold high interest and influence. Their collective voice can shape public discourse, influence council decisions, and impact project timelines. In previous Coventry consultations, public opposition led to revisions in housing design and improved transparency in communication (Coventry City Council, 2022; Coventry Telegraph, 2023). Local partners such as Canley Community Centre and Warwick Mosque can help collect views from residents who might not otherwise attend council-run meetings.</w:t>
      </w:r>
    </w:p>
    <w:p w14:paraId="662AFACC"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8" w:name="_Toc214400063"/>
      <w:r w:rsidRPr="003C725E">
        <w:rPr>
          <w:rFonts w:ascii="Arial" w:eastAsia="Times New Roman" w:hAnsi="Arial" w:cs="Arial"/>
          <w:b/>
          <w:bCs/>
          <w:kern w:val="0"/>
          <w:lang w:eastAsia="en-GB"/>
          <w14:ligatures w14:val="none"/>
        </w:rPr>
        <w:t>Stakeholder Map (Power–Interest Grid)</w:t>
      </w:r>
      <w:bookmarkEnd w:id="8"/>
    </w:p>
    <w:p w14:paraId="19E4454B"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9" w:name="_Toc214400064"/>
      <w:r w:rsidRPr="003C725E">
        <w:rPr>
          <w:rFonts w:ascii="Arial" w:eastAsia="Times New Roman" w:hAnsi="Arial" w:cs="Arial"/>
          <w:kern w:val="0"/>
          <w:lang w:eastAsia="en-GB"/>
          <w14:ligatures w14:val="none"/>
        </w:rPr>
        <w:t>The stakeholder map categorises participants into four groups based on their level of power and interest in the Canley redevelopment project. This tool helps guide how communication and engagement efforts should be tailored to ensure inclusivity and prevent the exclusion of less powerful voices.</w:t>
      </w:r>
      <w:bookmarkEnd w:id="9"/>
    </w:p>
    <w:p w14:paraId="65431846"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5A0720F3"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0" w:name="_Toc214400065"/>
      <w:r w:rsidRPr="003C725E">
        <w:rPr>
          <w:rFonts w:ascii="Arial" w:eastAsia="Times New Roman" w:hAnsi="Arial" w:cs="Arial"/>
          <w:b/>
          <w:bCs/>
          <w:kern w:val="0"/>
          <w:lang w:eastAsia="en-GB"/>
          <w14:ligatures w14:val="none"/>
        </w:rPr>
        <w:t>Stakeholder Categories</w:t>
      </w:r>
      <w:bookmarkEnd w:id="10"/>
    </w:p>
    <w:p w14:paraId="5E87FD37"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220A1940"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1" w:name="_Toc214400066"/>
      <w:r w:rsidRPr="003C725E">
        <w:rPr>
          <w:rFonts w:ascii="Arial" w:eastAsia="Times New Roman" w:hAnsi="Arial" w:cs="Arial"/>
          <w:b/>
          <w:bCs/>
          <w:kern w:val="0"/>
          <w:lang w:eastAsia="en-GB"/>
          <w14:ligatures w14:val="none"/>
        </w:rPr>
        <w:t>High Power / High Interest</w:t>
      </w:r>
      <w:bookmarkEnd w:id="11"/>
    </w:p>
    <w:p w14:paraId="78775FCC"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12" w:name="_Toc214400067"/>
      <w:r w:rsidRPr="003C725E">
        <w:rPr>
          <w:rFonts w:ascii="Arial" w:eastAsia="Times New Roman" w:hAnsi="Arial" w:cs="Arial"/>
          <w:kern w:val="0"/>
          <w:lang w:eastAsia="en-GB"/>
          <w14:ligatures w14:val="none"/>
        </w:rPr>
        <w:t>Examples: Coventry City Council, Developers / Contractors</w:t>
      </w:r>
      <w:bookmarkEnd w:id="12"/>
    </w:p>
    <w:p w14:paraId="16A3141E"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13" w:name="_Toc214400068"/>
      <w:r w:rsidRPr="003C725E">
        <w:rPr>
          <w:rFonts w:ascii="Arial" w:eastAsia="Times New Roman" w:hAnsi="Arial" w:cs="Arial"/>
          <w:kern w:val="0"/>
          <w:lang w:eastAsia="en-GB"/>
          <w14:ligatures w14:val="none"/>
        </w:rPr>
        <w:t>These stakeholders play a central role in decision-making and implementation. They require regular engagement, strategic dialogue, and active collaboration.</w:t>
      </w:r>
      <w:bookmarkEnd w:id="13"/>
    </w:p>
    <w:p w14:paraId="094771E2"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4" w:name="_Toc214400069"/>
      <w:r w:rsidRPr="003C725E">
        <w:rPr>
          <w:rFonts w:ascii="Arial" w:eastAsia="Times New Roman" w:hAnsi="Arial" w:cs="Arial"/>
          <w:b/>
          <w:bCs/>
          <w:kern w:val="0"/>
          <w:lang w:eastAsia="en-GB"/>
          <w14:ligatures w14:val="none"/>
        </w:rPr>
        <w:t>High Power / Low Interest</w:t>
      </w:r>
      <w:bookmarkEnd w:id="14"/>
    </w:p>
    <w:p w14:paraId="14E89A4F"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15" w:name="_Toc214400070"/>
      <w:r w:rsidRPr="003C725E">
        <w:rPr>
          <w:rFonts w:ascii="Arial" w:eastAsia="Times New Roman" w:hAnsi="Arial" w:cs="Arial"/>
          <w:kern w:val="0"/>
          <w:lang w:eastAsia="en-GB"/>
          <w14:ligatures w14:val="none"/>
        </w:rPr>
        <w:t>Examples: Central government departments, national funding agencies</w:t>
      </w:r>
      <w:bookmarkEnd w:id="15"/>
    </w:p>
    <w:p w14:paraId="3A748CCF"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16" w:name="_Toc214400071"/>
      <w:r w:rsidRPr="003C725E">
        <w:rPr>
          <w:rFonts w:ascii="Arial" w:eastAsia="Times New Roman" w:hAnsi="Arial" w:cs="Arial"/>
          <w:kern w:val="0"/>
          <w:lang w:eastAsia="en-GB"/>
          <w14:ligatures w14:val="none"/>
        </w:rPr>
        <w:t>These actors need to be kept informed, mainly through compliance updates and progress reports, but are unlikely to engage deeply unless policy priorities shift.</w:t>
      </w:r>
      <w:bookmarkEnd w:id="16"/>
    </w:p>
    <w:p w14:paraId="244ABF50"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7" w:name="_Toc214400072"/>
      <w:r w:rsidRPr="003C725E">
        <w:rPr>
          <w:rFonts w:ascii="Arial" w:eastAsia="Times New Roman" w:hAnsi="Arial" w:cs="Arial"/>
          <w:b/>
          <w:bCs/>
          <w:kern w:val="0"/>
          <w:lang w:eastAsia="en-GB"/>
          <w14:ligatures w14:val="none"/>
        </w:rPr>
        <w:t>Low Power / High Interest</w:t>
      </w:r>
      <w:bookmarkEnd w:id="17"/>
    </w:p>
    <w:p w14:paraId="629A18EE"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18" w:name="_Toc214400073"/>
      <w:r w:rsidRPr="003C725E">
        <w:rPr>
          <w:rFonts w:ascii="Arial" w:eastAsia="Times New Roman" w:hAnsi="Arial" w:cs="Arial"/>
          <w:kern w:val="0"/>
          <w:lang w:eastAsia="en-GB"/>
          <w14:ligatures w14:val="none"/>
        </w:rPr>
        <w:lastRenderedPageBreak/>
        <w:t>Examples: Local residents, housing providers, community groups, faith organisations, and support services like Change Grow Live</w:t>
      </w:r>
      <w:bookmarkEnd w:id="18"/>
    </w:p>
    <w:p w14:paraId="4CBB5D7E"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19" w:name="_Toc214400074"/>
      <w:r w:rsidRPr="003C725E">
        <w:rPr>
          <w:rFonts w:ascii="Arial" w:eastAsia="Times New Roman" w:hAnsi="Arial" w:cs="Arial"/>
          <w:kern w:val="0"/>
          <w:lang w:eastAsia="en-GB"/>
          <w14:ligatures w14:val="none"/>
        </w:rPr>
        <w:t>These stakeholders are highly affected by the project but lack formal authority. It is essential to empower them using accessible engagement methods and consistent communication.</w:t>
      </w:r>
      <w:bookmarkEnd w:id="19"/>
    </w:p>
    <w:p w14:paraId="4AFE8E5A"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20" w:name="_Toc214400075"/>
      <w:r w:rsidRPr="003C725E">
        <w:rPr>
          <w:rFonts w:ascii="Arial" w:eastAsia="Times New Roman" w:hAnsi="Arial" w:cs="Arial"/>
          <w:b/>
          <w:bCs/>
          <w:kern w:val="0"/>
          <w:lang w:eastAsia="en-GB"/>
          <w14:ligatures w14:val="none"/>
        </w:rPr>
        <w:t>Low Power / Low Interest</w:t>
      </w:r>
      <w:bookmarkEnd w:id="20"/>
    </w:p>
    <w:p w14:paraId="22A7FBE6"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21" w:name="_Toc214400076"/>
      <w:r w:rsidRPr="003C725E">
        <w:rPr>
          <w:rFonts w:ascii="Arial" w:eastAsia="Times New Roman" w:hAnsi="Arial" w:cs="Arial"/>
          <w:kern w:val="0"/>
          <w:lang w:eastAsia="en-GB"/>
          <w14:ligatures w14:val="none"/>
        </w:rPr>
        <w:t>Examples: Residents outside the immediate project zone, University of Warwick</w:t>
      </w:r>
      <w:bookmarkEnd w:id="21"/>
    </w:p>
    <w:p w14:paraId="21775AEF"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22" w:name="_Toc214400077"/>
      <w:r w:rsidRPr="003C725E">
        <w:rPr>
          <w:rFonts w:ascii="Arial" w:eastAsia="Times New Roman" w:hAnsi="Arial" w:cs="Arial"/>
          <w:kern w:val="0"/>
          <w:lang w:eastAsia="en-GB"/>
          <w14:ligatures w14:val="none"/>
        </w:rPr>
        <w:t>These groups may not be directly involved, but maintaining basic transparency helps sustain broader community trust.</w:t>
      </w:r>
      <w:bookmarkEnd w:id="22"/>
    </w:p>
    <w:p w14:paraId="7AE83506"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p>
    <w:p w14:paraId="39471BD8" w14:textId="03A3E08D" w:rsidR="00912D86" w:rsidRPr="003C725E" w:rsidRDefault="00912D86"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bookmarkStart w:id="23" w:name="_Toc214400078"/>
      <w:r w:rsidRPr="003C725E">
        <w:rPr>
          <w:rFonts w:ascii="Arial" w:eastAsia="Times New Roman" w:hAnsi="Arial" w:cs="Arial"/>
          <w:kern w:val="0"/>
          <w:lang w:eastAsia="en-GB"/>
          <w14:ligatures w14:val="none"/>
        </w:rPr>
        <w:t>The following map presents a visual framework for this classification and supports more nuanced decision-making around engagement strategies, ensuring efforts are inclusive and ethically grounded (Mitchell et al., 1997).</w:t>
      </w:r>
      <w:bookmarkEnd w:id="23"/>
    </w:p>
    <w:p w14:paraId="2876923A" w14:textId="77777777" w:rsidR="00CB0C84" w:rsidRPr="00CB0C84" w:rsidRDefault="00CB0C84" w:rsidP="00114738">
      <w:pPr>
        <w:spacing w:before="100" w:beforeAutospacing="1" w:after="100" w:afterAutospacing="1" w:line="360" w:lineRule="auto"/>
        <w:jc w:val="both"/>
        <w:rPr>
          <w:rFonts w:ascii="Arial" w:eastAsia="Times New Roman" w:hAnsi="Arial" w:cs="Arial"/>
          <w:kern w:val="0"/>
          <w:lang w:eastAsia="en-GB"/>
          <w14:ligatures w14:val="none"/>
        </w:rPr>
      </w:pPr>
      <w:bookmarkStart w:id="24" w:name="_Toc214400079"/>
      <w:r w:rsidRPr="00CB0C84">
        <w:rPr>
          <w:rFonts w:ascii="Arial" w:eastAsia="Times New Roman" w:hAnsi="Arial" w:cs="Arial"/>
          <w:b/>
          <w:bCs/>
          <w:kern w:val="0"/>
          <w:lang w:eastAsia="en-GB"/>
          <w14:ligatures w14:val="none"/>
        </w:rPr>
        <w:t>Figure 13: Stakeholder Power–Interest Grid for the Canley Redevelopment Project</w:t>
      </w:r>
      <w:r w:rsidRPr="00CB0C84">
        <w:rPr>
          <w:rFonts w:ascii="Arial" w:eastAsia="Times New Roman" w:hAnsi="Arial" w:cs="Arial"/>
          <w:kern w:val="0"/>
          <w:lang w:eastAsia="en-GB"/>
          <w14:ligatures w14:val="none"/>
        </w:rPr>
        <w:br/>
      </w:r>
      <w:r w:rsidRPr="00CB0C84">
        <w:rPr>
          <w:rFonts w:ascii="Arial" w:eastAsia="Times New Roman" w:hAnsi="Arial" w:cs="Arial"/>
          <w:i/>
          <w:iCs/>
          <w:kern w:val="0"/>
          <w:lang w:eastAsia="en-GB"/>
          <w14:ligatures w14:val="none"/>
        </w:rPr>
        <w:t>A visual framework categorising stakeholders by their level of power and interest, used to guide inclusive engagement strategies (Mitchell et al., 1997).</w:t>
      </w:r>
    </w:p>
    <w:tbl>
      <w:tblPr>
        <w:tblW w:w="9724" w:type="dxa"/>
        <w:tblCellSpacing w:w="15" w:type="dxa"/>
        <w:tblBorders>
          <w:top w:val="single" w:sz="4" w:space="0" w:color="auto"/>
          <w:left w:val="single" w:sz="4" w:space="0" w:color="auto"/>
          <w:bottom w:val="single" w:sz="4" w:space="0" w:color="auto"/>
          <w:right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5"/>
        <w:gridCol w:w="4361"/>
        <w:gridCol w:w="3478"/>
      </w:tblGrid>
      <w:tr w:rsidR="00114738" w:rsidRPr="00CB0C84" w14:paraId="11DC1BEF" w14:textId="77777777" w:rsidTr="00CB0C84">
        <w:trPr>
          <w:trHeight w:val="584"/>
          <w:tblHeader/>
          <w:tblCellSpacing w:w="15" w:type="dxa"/>
        </w:trPr>
        <w:tc>
          <w:tcPr>
            <w:tcW w:w="0" w:type="auto"/>
            <w:vAlign w:val="center"/>
            <w:hideMark/>
          </w:tcPr>
          <w:p w14:paraId="67D48EEA" w14:textId="77777777" w:rsidR="00CB0C84" w:rsidRPr="00CB0C84" w:rsidRDefault="00CB0C84" w:rsidP="00114738">
            <w:pPr>
              <w:spacing w:after="0" w:line="240" w:lineRule="auto"/>
              <w:rPr>
                <w:rFonts w:ascii="Arial" w:eastAsia="Times New Roman" w:hAnsi="Arial" w:cs="Arial"/>
                <w:b/>
                <w:bCs/>
                <w:kern w:val="0"/>
                <w:lang w:eastAsia="en-GB"/>
                <w14:ligatures w14:val="none"/>
              </w:rPr>
            </w:pPr>
            <w:r w:rsidRPr="00CB0C84">
              <w:rPr>
                <w:rFonts w:ascii="Arial" w:eastAsia="Times New Roman" w:hAnsi="Arial" w:cs="Arial"/>
                <w:b/>
                <w:bCs/>
                <w:kern w:val="0"/>
                <w:lang w:eastAsia="en-GB"/>
                <w14:ligatures w14:val="none"/>
              </w:rPr>
              <w:t>Power / Interest Level</w:t>
            </w:r>
          </w:p>
        </w:tc>
        <w:tc>
          <w:tcPr>
            <w:tcW w:w="0" w:type="auto"/>
            <w:vAlign w:val="center"/>
            <w:hideMark/>
          </w:tcPr>
          <w:p w14:paraId="607B8AA9" w14:textId="77777777" w:rsidR="00CB0C84" w:rsidRPr="00CB0C84" w:rsidRDefault="00CB0C84" w:rsidP="00114738">
            <w:pPr>
              <w:spacing w:after="0" w:line="240" w:lineRule="auto"/>
              <w:rPr>
                <w:rFonts w:ascii="Arial" w:eastAsia="Times New Roman" w:hAnsi="Arial" w:cs="Arial"/>
                <w:b/>
                <w:bCs/>
                <w:kern w:val="0"/>
                <w:lang w:eastAsia="en-GB"/>
                <w14:ligatures w14:val="none"/>
              </w:rPr>
            </w:pPr>
            <w:r w:rsidRPr="00CB0C84">
              <w:rPr>
                <w:rFonts w:ascii="Arial" w:eastAsia="Times New Roman" w:hAnsi="Arial" w:cs="Arial"/>
                <w:b/>
                <w:bCs/>
                <w:kern w:val="0"/>
                <w:lang w:eastAsia="en-GB"/>
                <w14:ligatures w14:val="none"/>
              </w:rPr>
              <w:t>High Interest</w:t>
            </w:r>
          </w:p>
        </w:tc>
        <w:tc>
          <w:tcPr>
            <w:tcW w:w="0" w:type="auto"/>
            <w:vAlign w:val="center"/>
            <w:hideMark/>
          </w:tcPr>
          <w:p w14:paraId="7E83658F" w14:textId="77777777" w:rsidR="00CB0C84" w:rsidRPr="00CB0C84" w:rsidRDefault="00CB0C84" w:rsidP="00114738">
            <w:pPr>
              <w:spacing w:after="0" w:line="240" w:lineRule="auto"/>
              <w:rPr>
                <w:rFonts w:ascii="Arial" w:eastAsia="Times New Roman" w:hAnsi="Arial" w:cs="Arial"/>
                <w:b/>
                <w:bCs/>
                <w:kern w:val="0"/>
                <w:lang w:eastAsia="en-GB"/>
                <w14:ligatures w14:val="none"/>
              </w:rPr>
            </w:pPr>
            <w:r w:rsidRPr="00CB0C84">
              <w:rPr>
                <w:rFonts w:ascii="Arial" w:eastAsia="Times New Roman" w:hAnsi="Arial" w:cs="Arial"/>
                <w:b/>
                <w:bCs/>
                <w:kern w:val="0"/>
                <w:lang w:eastAsia="en-GB"/>
                <w14:ligatures w14:val="none"/>
              </w:rPr>
              <w:t>Low Interest</w:t>
            </w:r>
          </w:p>
        </w:tc>
      </w:tr>
      <w:tr w:rsidR="00114738" w:rsidRPr="00CB0C84" w14:paraId="48EE41AC" w14:textId="77777777" w:rsidTr="00CB0C84">
        <w:trPr>
          <w:trHeight w:val="1168"/>
          <w:tblCellSpacing w:w="15" w:type="dxa"/>
        </w:trPr>
        <w:tc>
          <w:tcPr>
            <w:tcW w:w="0" w:type="auto"/>
            <w:vAlign w:val="center"/>
            <w:hideMark/>
          </w:tcPr>
          <w:p w14:paraId="44285267" w14:textId="77777777" w:rsidR="00CB0C84" w:rsidRPr="00CB0C84" w:rsidRDefault="00CB0C84" w:rsidP="00114738">
            <w:pPr>
              <w:spacing w:after="0" w:line="240" w:lineRule="auto"/>
              <w:rPr>
                <w:rFonts w:ascii="Arial" w:eastAsia="Times New Roman" w:hAnsi="Arial" w:cs="Arial"/>
                <w:kern w:val="0"/>
                <w:lang w:eastAsia="en-GB"/>
                <w14:ligatures w14:val="none"/>
              </w:rPr>
            </w:pPr>
            <w:r w:rsidRPr="00CB0C84">
              <w:rPr>
                <w:rFonts w:ascii="Arial" w:eastAsia="Times New Roman" w:hAnsi="Arial" w:cs="Arial"/>
                <w:b/>
                <w:bCs/>
                <w:kern w:val="0"/>
                <w:lang w:eastAsia="en-GB"/>
                <w14:ligatures w14:val="none"/>
              </w:rPr>
              <w:t>High Power</w:t>
            </w:r>
          </w:p>
        </w:tc>
        <w:tc>
          <w:tcPr>
            <w:tcW w:w="0" w:type="auto"/>
            <w:vAlign w:val="center"/>
            <w:hideMark/>
          </w:tcPr>
          <w:p w14:paraId="59EE0432" w14:textId="478652A3" w:rsidR="00CB0C84" w:rsidRPr="00CB0C84" w:rsidRDefault="00CB0C84" w:rsidP="00114738">
            <w:pPr>
              <w:spacing w:after="0" w:line="240" w:lineRule="auto"/>
              <w:rPr>
                <w:rFonts w:ascii="Arial" w:eastAsia="Times New Roman" w:hAnsi="Arial" w:cs="Arial"/>
                <w:kern w:val="0"/>
                <w:lang w:eastAsia="en-GB"/>
                <w14:ligatures w14:val="none"/>
              </w:rPr>
            </w:pPr>
            <w:r w:rsidRPr="00CB0C84">
              <w:rPr>
                <w:rFonts w:ascii="Arial" w:eastAsia="Times New Roman" w:hAnsi="Arial" w:cs="Arial"/>
                <w:kern w:val="0"/>
                <w:lang w:eastAsia="en-GB"/>
                <w14:ligatures w14:val="none"/>
              </w:rPr>
              <w:t xml:space="preserve">Coventry City Council </w:t>
            </w:r>
            <w:r w:rsidRPr="00CB0C84">
              <w:rPr>
                <w:rFonts w:ascii="Arial" w:eastAsia="Times New Roman" w:hAnsi="Arial" w:cs="Arial"/>
                <w:kern w:val="0"/>
                <w:lang w:eastAsia="en-GB"/>
                <w14:ligatures w14:val="none"/>
              </w:rPr>
              <w:br/>
              <w:t>Developers / Contractors</w:t>
            </w:r>
          </w:p>
        </w:tc>
        <w:tc>
          <w:tcPr>
            <w:tcW w:w="0" w:type="auto"/>
            <w:vAlign w:val="center"/>
            <w:hideMark/>
          </w:tcPr>
          <w:p w14:paraId="1B23D6A5" w14:textId="5D04D8BB" w:rsidR="00CB0C84" w:rsidRPr="00CB0C84" w:rsidRDefault="00CB0C84" w:rsidP="00114738">
            <w:pPr>
              <w:spacing w:after="0" w:line="240" w:lineRule="auto"/>
              <w:rPr>
                <w:rFonts w:ascii="Arial" w:eastAsia="Times New Roman" w:hAnsi="Arial" w:cs="Arial"/>
                <w:kern w:val="0"/>
                <w:lang w:eastAsia="en-GB"/>
                <w14:ligatures w14:val="none"/>
              </w:rPr>
            </w:pPr>
            <w:r w:rsidRPr="00CB0C84">
              <w:rPr>
                <w:rFonts w:ascii="Arial" w:eastAsia="Times New Roman" w:hAnsi="Arial" w:cs="Arial"/>
                <w:kern w:val="0"/>
                <w:lang w:eastAsia="en-GB"/>
                <w14:ligatures w14:val="none"/>
              </w:rPr>
              <w:t xml:space="preserve"> WMCA (West Midlands Combined Authority) </w:t>
            </w:r>
            <w:r w:rsidRPr="00CB0C84">
              <w:rPr>
                <w:rFonts w:ascii="Arial" w:eastAsia="Times New Roman" w:hAnsi="Arial" w:cs="Arial"/>
                <w:kern w:val="0"/>
                <w:lang w:eastAsia="en-GB"/>
                <w14:ligatures w14:val="none"/>
              </w:rPr>
              <w:br/>
              <w:t>Central Government Departments</w:t>
            </w:r>
          </w:p>
        </w:tc>
      </w:tr>
      <w:tr w:rsidR="00114738" w:rsidRPr="00CB0C84" w14:paraId="59BD6A63" w14:textId="77777777" w:rsidTr="00CB0C84">
        <w:trPr>
          <w:trHeight w:val="2050"/>
          <w:tblCellSpacing w:w="15" w:type="dxa"/>
        </w:trPr>
        <w:tc>
          <w:tcPr>
            <w:tcW w:w="0" w:type="auto"/>
            <w:vAlign w:val="center"/>
            <w:hideMark/>
          </w:tcPr>
          <w:p w14:paraId="775A3321" w14:textId="77777777" w:rsidR="00CB0C84" w:rsidRPr="00CB0C84" w:rsidRDefault="00CB0C84" w:rsidP="00114738">
            <w:pPr>
              <w:spacing w:after="0" w:line="240" w:lineRule="auto"/>
              <w:rPr>
                <w:rFonts w:ascii="Arial" w:eastAsia="Times New Roman" w:hAnsi="Arial" w:cs="Arial"/>
                <w:kern w:val="0"/>
                <w:lang w:eastAsia="en-GB"/>
                <w14:ligatures w14:val="none"/>
              </w:rPr>
            </w:pPr>
            <w:r w:rsidRPr="00CB0C84">
              <w:rPr>
                <w:rFonts w:ascii="Arial" w:eastAsia="Times New Roman" w:hAnsi="Arial" w:cs="Arial"/>
                <w:b/>
                <w:bCs/>
                <w:kern w:val="0"/>
                <w:lang w:eastAsia="en-GB"/>
                <w14:ligatures w14:val="none"/>
              </w:rPr>
              <w:t>Low Power</w:t>
            </w:r>
          </w:p>
        </w:tc>
        <w:tc>
          <w:tcPr>
            <w:tcW w:w="0" w:type="auto"/>
            <w:vAlign w:val="center"/>
            <w:hideMark/>
          </w:tcPr>
          <w:p w14:paraId="5A687C69" w14:textId="5F73F6E7" w:rsidR="00CB0C84" w:rsidRPr="00CB0C84" w:rsidRDefault="00CB0C84" w:rsidP="00114738">
            <w:pPr>
              <w:spacing w:after="0" w:line="240" w:lineRule="auto"/>
              <w:rPr>
                <w:rFonts w:ascii="Arial" w:eastAsia="Times New Roman" w:hAnsi="Arial" w:cs="Arial"/>
                <w:kern w:val="0"/>
                <w:lang w:eastAsia="en-GB"/>
                <w14:ligatures w14:val="none"/>
              </w:rPr>
            </w:pPr>
            <w:r w:rsidRPr="00CB0C84">
              <w:rPr>
                <w:rFonts w:ascii="Arial" w:eastAsia="Times New Roman" w:hAnsi="Arial" w:cs="Arial"/>
                <w:kern w:val="0"/>
                <w:lang w:eastAsia="en-GB"/>
                <w14:ligatures w14:val="none"/>
              </w:rPr>
              <w:t xml:space="preserve">Local Residents </w:t>
            </w:r>
            <w:r w:rsidRPr="00CB0C84">
              <w:rPr>
                <w:rFonts w:ascii="Arial" w:eastAsia="Times New Roman" w:hAnsi="Arial" w:cs="Arial"/>
                <w:kern w:val="0"/>
                <w:lang w:eastAsia="en-GB"/>
                <w14:ligatures w14:val="none"/>
              </w:rPr>
              <w:br/>
              <w:t xml:space="preserve">Community Organisations (e.g., Canley Community Centre) </w:t>
            </w:r>
            <w:r w:rsidRPr="00CB0C84">
              <w:rPr>
                <w:rFonts w:ascii="Arial" w:eastAsia="Times New Roman" w:hAnsi="Arial" w:cs="Arial"/>
                <w:kern w:val="0"/>
                <w:lang w:eastAsia="en-GB"/>
                <w14:ligatures w14:val="none"/>
              </w:rPr>
              <w:br/>
              <w:t xml:space="preserve">Faith Groups (e.g., Warwick Islamic Society) </w:t>
            </w:r>
            <w:r w:rsidRPr="00CB0C84">
              <w:rPr>
                <w:rFonts w:ascii="Arial" w:eastAsia="Times New Roman" w:hAnsi="Arial" w:cs="Arial"/>
                <w:kern w:val="0"/>
                <w:lang w:eastAsia="en-GB"/>
                <w14:ligatures w14:val="none"/>
              </w:rPr>
              <w:br/>
              <w:t>Support Services (e.g., Change Grow Live)</w:t>
            </w:r>
          </w:p>
        </w:tc>
        <w:tc>
          <w:tcPr>
            <w:tcW w:w="0" w:type="auto"/>
            <w:vAlign w:val="center"/>
            <w:hideMark/>
          </w:tcPr>
          <w:p w14:paraId="7579B90F" w14:textId="1DFB743F" w:rsidR="00CB0C84" w:rsidRPr="00CB0C84" w:rsidRDefault="00CB0C84" w:rsidP="00114738">
            <w:pPr>
              <w:spacing w:after="0" w:line="240" w:lineRule="auto"/>
              <w:rPr>
                <w:rFonts w:ascii="Arial" w:eastAsia="Times New Roman" w:hAnsi="Arial" w:cs="Arial"/>
                <w:kern w:val="0"/>
                <w:lang w:eastAsia="en-GB"/>
                <w14:ligatures w14:val="none"/>
              </w:rPr>
            </w:pPr>
            <w:r w:rsidRPr="00CB0C84">
              <w:rPr>
                <w:rFonts w:ascii="Arial" w:eastAsia="Times New Roman" w:hAnsi="Arial" w:cs="Arial"/>
                <w:kern w:val="0"/>
                <w:lang w:eastAsia="en-GB"/>
                <w14:ligatures w14:val="none"/>
              </w:rPr>
              <w:t xml:space="preserve">University of Warwick </w:t>
            </w:r>
            <w:r w:rsidRPr="00CB0C84">
              <w:rPr>
                <w:rFonts w:ascii="Arial" w:eastAsia="Times New Roman" w:hAnsi="Arial" w:cs="Arial"/>
                <w:kern w:val="0"/>
                <w:lang w:eastAsia="en-GB"/>
                <w14:ligatures w14:val="none"/>
              </w:rPr>
              <w:br/>
              <w:t>Residents outside the immediate project zone</w:t>
            </w:r>
          </w:p>
        </w:tc>
      </w:tr>
    </w:tbl>
    <w:p w14:paraId="0D49374A" w14:textId="77FD0E73" w:rsidR="00114738" w:rsidRPr="00577491" w:rsidRDefault="00114738" w:rsidP="003C725E">
      <w:pPr>
        <w:spacing w:before="100" w:beforeAutospacing="1" w:after="100" w:afterAutospacing="1" w:line="360" w:lineRule="auto"/>
        <w:jc w:val="both"/>
        <w:outlineLvl w:val="2"/>
        <w:rPr>
          <w:rFonts w:ascii="Arial" w:eastAsia="Times New Roman" w:hAnsi="Arial" w:cs="Arial"/>
          <w:kern w:val="0"/>
          <w:lang w:eastAsia="en-GB"/>
          <w14:ligatures w14:val="none"/>
        </w:rPr>
      </w:pPr>
      <w:r w:rsidRPr="00577491">
        <w:rPr>
          <w:rFonts w:ascii="Arial" w:eastAsia="Times New Roman" w:hAnsi="Arial" w:cs="Arial"/>
          <w:kern w:val="0"/>
          <w:lang w:eastAsia="en-GB"/>
          <w14:ligatures w14:val="none"/>
        </w:rPr>
        <w:t>Figure 13</w:t>
      </w:r>
    </w:p>
    <w:p w14:paraId="4C8AFF87" w14:textId="04D57DD6"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lastRenderedPageBreak/>
        <w:t>Why Mapping Matters for Canley</w:t>
      </w:r>
      <w:bookmarkEnd w:id="24"/>
    </w:p>
    <w:p w14:paraId="558FFBF7" w14:textId="77777777" w:rsidR="00373655" w:rsidRPr="003C725E" w:rsidRDefault="00373655" w:rsidP="003C725E">
      <w:pPr>
        <w:spacing w:before="100" w:beforeAutospacing="1" w:after="100" w:afterAutospacing="1" w:line="360" w:lineRule="auto"/>
        <w:jc w:val="both"/>
        <w:outlineLvl w:val="1"/>
        <w:rPr>
          <w:rFonts w:ascii="Arial" w:eastAsia="Times New Roman" w:hAnsi="Arial" w:cs="Arial"/>
          <w:kern w:val="0"/>
          <w:lang w:eastAsia="en-GB"/>
          <w14:ligatures w14:val="none"/>
        </w:rPr>
      </w:pPr>
      <w:bookmarkStart w:id="25" w:name="_Toc214400080"/>
      <w:r w:rsidRPr="003C725E">
        <w:rPr>
          <w:rFonts w:ascii="Arial" w:eastAsia="Times New Roman" w:hAnsi="Arial" w:cs="Arial"/>
          <w:kern w:val="0"/>
          <w:lang w:eastAsia="en-GB"/>
          <w14:ligatures w14:val="none"/>
        </w:rPr>
        <w:t>Understanding the diverse population in Canley — including families, students, and culturally varied communities — is essential for inclusive regeneration. Stakeholder mapping helps ensure that underrepresented voices, such as low-income or non-English-speaking residents, are not overlooked.</w:t>
      </w:r>
    </w:p>
    <w:p w14:paraId="0FC218DC" w14:textId="77777777" w:rsidR="00373655" w:rsidRPr="003C725E" w:rsidRDefault="00373655" w:rsidP="003C725E">
      <w:pPr>
        <w:spacing w:before="100" w:beforeAutospacing="1" w:after="100" w:afterAutospacing="1" w:line="360" w:lineRule="auto"/>
        <w:jc w:val="both"/>
        <w:outlineLvl w:val="1"/>
        <w:rPr>
          <w:rFonts w:ascii="Arial" w:eastAsia="Times New Roman" w:hAnsi="Arial" w:cs="Arial"/>
          <w:kern w:val="0"/>
          <w:lang w:eastAsia="en-GB"/>
          <w14:ligatures w14:val="none"/>
        </w:rPr>
      </w:pPr>
    </w:p>
    <w:p w14:paraId="24407981" w14:textId="77777777" w:rsidR="00373655" w:rsidRPr="003C725E" w:rsidRDefault="00373655" w:rsidP="003C725E">
      <w:pPr>
        <w:spacing w:before="100" w:beforeAutospacing="1" w:after="100" w:afterAutospacing="1" w:line="360" w:lineRule="auto"/>
        <w:jc w:val="both"/>
        <w:outlineLvl w:val="1"/>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It also supports ethical engagement by identifying which groups require targeted outreach and communication. By anticipating potential resistance and addressing community needs early, project teams can improve trust, reduce conflict, and create fairer outcomes (Public Health England, 2019).</w:t>
      </w:r>
    </w:p>
    <w:p w14:paraId="58820B93" w14:textId="77777777" w:rsidR="00373655" w:rsidRPr="003C725E" w:rsidRDefault="00373655" w:rsidP="003C725E">
      <w:pPr>
        <w:spacing w:before="100" w:beforeAutospacing="1" w:after="100" w:afterAutospacing="1" w:line="360" w:lineRule="auto"/>
        <w:jc w:val="both"/>
        <w:outlineLvl w:val="1"/>
        <w:rPr>
          <w:rFonts w:ascii="Arial" w:eastAsia="Times New Roman" w:hAnsi="Arial" w:cs="Arial"/>
          <w:kern w:val="0"/>
          <w:lang w:eastAsia="en-GB"/>
          <w14:ligatures w14:val="none"/>
        </w:rPr>
      </w:pPr>
    </w:p>
    <w:p w14:paraId="37FF66F2" w14:textId="77777777" w:rsidR="00373655" w:rsidRPr="003C725E" w:rsidRDefault="00373655" w:rsidP="003C725E">
      <w:pPr>
        <w:spacing w:before="100" w:beforeAutospacing="1" w:after="100" w:afterAutospacing="1" w:line="360" w:lineRule="auto"/>
        <w:jc w:val="both"/>
        <w:outlineLvl w:val="1"/>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Instead of focusing only on efficiency, stakeholder mapping promotes equity and ensures no group is excluded based on power or access to formal consultation.</w:t>
      </w:r>
    </w:p>
    <w:p w14:paraId="727306F9" w14:textId="2C7793D6" w:rsidR="00912D86" w:rsidRPr="003C725E" w:rsidRDefault="00912D86"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Communication Plan</w:t>
      </w:r>
      <w:bookmarkEnd w:id="25"/>
    </w:p>
    <w:p w14:paraId="41DF6AE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Effective communication is vital to ensuring transparency, trust, and community support throughout the Canley Redevelopment Project. Ineffective communication in regeneration projects can result in misunderstandings, reduced public trust, and greater resistance from the community (ATSDR, 2020).</w:t>
      </w:r>
    </w:p>
    <w:p w14:paraId="33140D49"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26" w:name="_Toc214400081"/>
      <w:r w:rsidRPr="003C725E">
        <w:rPr>
          <w:rFonts w:ascii="Arial" w:eastAsia="Times New Roman" w:hAnsi="Arial" w:cs="Arial"/>
          <w:b/>
          <w:bCs/>
          <w:kern w:val="0"/>
          <w:lang w:eastAsia="en-GB"/>
          <w14:ligatures w14:val="none"/>
        </w:rPr>
        <w:t>Key Audiences</w:t>
      </w:r>
      <w:bookmarkEnd w:id="26"/>
    </w:p>
    <w:p w14:paraId="234E714E"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Local residents (including tenants, students, and families)</w:t>
      </w:r>
      <w:r w:rsidRPr="003C725E">
        <w:rPr>
          <w:rFonts w:ascii="Arial" w:eastAsia="Times New Roman" w:hAnsi="Arial" w:cs="Arial"/>
          <w:kern w:val="0"/>
          <w:lang w:eastAsia="en-GB"/>
          <w14:ligatures w14:val="none"/>
        </w:rPr>
        <w:br/>
        <w:t>• Coventry City Council and developers</w:t>
      </w:r>
      <w:r w:rsidRPr="003C725E">
        <w:rPr>
          <w:rFonts w:ascii="Arial" w:eastAsia="Times New Roman" w:hAnsi="Arial" w:cs="Arial"/>
          <w:kern w:val="0"/>
          <w:lang w:eastAsia="en-GB"/>
          <w14:ligatures w14:val="none"/>
        </w:rPr>
        <w:br/>
        <w:t>• Housing associations (e.g. Citizen Housing)</w:t>
      </w:r>
      <w:r w:rsidRPr="003C725E">
        <w:rPr>
          <w:rFonts w:ascii="Arial" w:eastAsia="Times New Roman" w:hAnsi="Arial" w:cs="Arial"/>
          <w:kern w:val="0"/>
          <w:lang w:eastAsia="en-GB"/>
          <w14:ligatures w14:val="none"/>
        </w:rPr>
        <w:br/>
        <w:t>• Community groups, local businesses, schools, and media</w:t>
      </w:r>
      <w:r w:rsidRPr="003C725E">
        <w:rPr>
          <w:rFonts w:ascii="Arial" w:eastAsia="Times New Roman" w:hAnsi="Arial" w:cs="Arial"/>
          <w:kern w:val="0"/>
          <w:lang w:eastAsia="en-GB"/>
          <w14:ligatures w14:val="none"/>
        </w:rPr>
        <w:br/>
        <w:t>• Faith groups such as local churches and Warwick Islamic Society (Figure 7)</w:t>
      </w:r>
      <w:r w:rsidRPr="003C725E">
        <w:rPr>
          <w:rFonts w:ascii="Arial" w:eastAsia="Times New Roman" w:hAnsi="Arial" w:cs="Arial"/>
          <w:kern w:val="0"/>
          <w:lang w:eastAsia="en-GB"/>
          <w14:ligatures w14:val="none"/>
        </w:rPr>
        <w:br/>
        <w:t>• Local support hubs such as Canley Community Centre and drug and alcohol services like Change Grow Live (Figure 8)</w:t>
      </w:r>
    </w:p>
    <w:p w14:paraId="135D7144"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27" w:name="_Toc214400082"/>
      <w:r w:rsidRPr="003C725E">
        <w:rPr>
          <w:rFonts w:ascii="Arial" w:eastAsia="Times New Roman" w:hAnsi="Arial" w:cs="Arial"/>
          <w:b/>
          <w:bCs/>
          <w:kern w:val="0"/>
          <w:lang w:eastAsia="en-GB"/>
          <w14:ligatures w14:val="none"/>
        </w:rPr>
        <w:t>What Will Be Communicated</w:t>
      </w:r>
      <w:bookmarkEnd w:id="27"/>
    </w:p>
    <w:p w14:paraId="02CEEC7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•Project purpose and benefits</w:t>
      </w:r>
      <w:r w:rsidRPr="003C725E">
        <w:rPr>
          <w:rFonts w:ascii="Arial" w:eastAsia="Times New Roman" w:hAnsi="Arial" w:cs="Arial"/>
          <w:kern w:val="0"/>
          <w:lang w:eastAsia="en-GB"/>
          <w14:ligatures w14:val="none"/>
        </w:rPr>
        <w:br/>
        <w:t>•Timelines, phases, and key dates</w:t>
      </w:r>
      <w:r w:rsidRPr="003C725E">
        <w:rPr>
          <w:rFonts w:ascii="Arial" w:eastAsia="Times New Roman" w:hAnsi="Arial" w:cs="Arial"/>
          <w:kern w:val="0"/>
          <w:lang w:eastAsia="en-GB"/>
          <w14:ligatures w14:val="none"/>
        </w:rPr>
        <w:br/>
        <w:t>•Disruption impacts (e.g. traffic, noise, safety)</w:t>
      </w:r>
      <w:r w:rsidRPr="003C725E">
        <w:rPr>
          <w:rFonts w:ascii="Arial" w:eastAsia="Times New Roman" w:hAnsi="Arial" w:cs="Arial"/>
          <w:kern w:val="0"/>
          <w:lang w:eastAsia="en-GB"/>
          <w14:ligatures w14:val="none"/>
        </w:rPr>
        <w:br/>
        <w:t>•Feedback opportunities and consultation outcomes</w:t>
      </w:r>
      <w:r w:rsidRPr="003C725E">
        <w:rPr>
          <w:rFonts w:ascii="Arial" w:eastAsia="Times New Roman" w:hAnsi="Arial" w:cs="Arial"/>
          <w:kern w:val="0"/>
          <w:lang w:eastAsia="en-GB"/>
          <w14:ligatures w14:val="none"/>
        </w:rPr>
        <w:br/>
        <w:t>• Who to contact with questions or concerns</w:t>
      </w:r>
    </w:p>
    <w:p w14:paraId="57522B87"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28" w:name="_Toc214400083"/>
      <w:r w:rsidRPr="003C725E">
        <w:rPr>
          <w:rFonts w:ascii="Arial" w:eastAsia="Times New Roman" w:hAnsi="Arial" w:cs="Arial"/>
          <w:b/>
          <w:bCs/>
          <w:kern w:val="0"/>
          <w:lang w:eastAsia="en-GB"/>
          <w14:ligatures w14:val="none"/>
        </w:rPr>
        <w:t>Communication Timeline</w:t>
      </w:r>
      <w:bookmarkEnd w:id="2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5"/>
        <w:gridCol w:w="3869"/>
        <w:gridCol w:w="3502"/>
      </w:tblGrid>
      <w:tr w:rsidR="00912D86" w:rsidRPr="003C725E" w14:paraId="789989EA" w14:textId="77777777" w:rsidTr="00317C25">
        <w:trPr>
          <w:tblHeader/>
          <w:tblCellSpacing w:w="15" w:type="dxa"/>
        </w:trPr>
        <w:tc>
          <w:tcPr>
            <w:tcW w:w="0" w:type="auto"/>
            <w:shd w:val="clear" w:color="auto" w:fill="C1F0C7" w:themeFill="accent3" w:themeFillTint="33"/>
            <w:vAlign w:val="center"/>
            <w:hideMark/>
          </w:tcPr>
          <w:p w14:paraId="065CD0E3"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Stage</w:t>
            </w:r>
          </w:p>
        </w:tc>
        <w:tc>
          <w:tcPr>
            <w:tcW w:w="0" w:type="auto"/>
            <w:shd w:val="clear" w:color="auto" w:fill="F6C5AC" w:themeFill="accent2" w:themeFillTint="66"/>
            <w:vAlign w:val="center"/>
            <w:hideMark/>
          </w:tcPr>
          <w:p w14:paraId="31C63BBA"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Activities</w:t>
            </w:r>
          </w:p>
        </w:tc>
        <w:tc>
          <w:tcPr>
            <w:tcW w:w="0" w:type="auto"/>
            <w:shd w:val="clear" w:color="auto" w:fill="D9F2D0" w:themeFill="accent6" w:themeFillTint="33"/>
            <w:vAlign w:val="center"/>
            <w:hideMark/>
          </w:tcPr>
          <w:p w14:paraId="1CEE2F4E"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Purpose</w:t>
            </w:r>
          </w:p>
        </w:tc>
      </w:tr>
      <w:tr w:rsidR="00912D86" w:rsidRPr="003C725E" w14:paraId="1EE8EF7F" w14:textId="77777777" w:rsidTr="00317C25">
        <w:trPr>
          <w:tblCellSpacing w:w="15" w:type="dxa"/>
        </w:trPr>
        <w:tc>
          <w:tcPr>
            <w:tcW w:w="0" w:type="auto"/>
            <w:shd w:val="clear" w:color="auto" w:fill="C1F0C7" w:themeFill="accent3" w:themeFillTint="33"/>
            <w:vAlign w:val="center"/>
            <w:hideMark/>
          </w:tcPr>
          <w:p w14:paraId="354CDA42"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Pre-Planning</w:t>
            </w:r>
          </w:p>
        </w:tc>
        <w:tc>
          <w:tcPr>
            <w:tcW w:w="0" w:type="auto"/>
            <w:shd w:val="clear" w:color="auto" w:fill="F6C5AC" w:themeFill="accent2" w:themeFillTint="66"/>
            <w:vAlign w:val="center"/>
            <w:hideMark/>
          </w:tcPr>
          <w:p w14:paraId="605DE06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Awareness campaigns, needs surveys</w:t>
            </w:r>
          </w:p>
        </w:tc>
        <w:tc>
          <w:tcPr>
            <w:tcW w:w="0" w:type="auto"/>
            <w:shd w:val="clear" w:color="auto" w:fill="D9F2D0" w:themeFill="accent6" w:themeFillTint="33"/>
            <w:vAlign w:val="center"/>
            <w:hideMark/>
          </w:tcPr>
          <w:p w14:paraId="0C75D13E"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Understand local priorities</w:t>
            </w:r>
          </w:p>
        </w:tc>
      </w:tr>
      <w:tr w:rsidR="00912D86" w:rsidRPr="003C725E" w14:paraId="00BBA3D7" w14:textId="77777777" w:rsidTr="00317C25">
        <w:trPr>
          <w:tblCellSpacing w:w="15" w:type="dxa"/>
        </w:trPr>
        <w:tc>
          <w:tcPr>
            <w:tcW w:w="0" w:type="auto"/>
            <w:shd w:val="clear" w:color="auto" w:fill="C1F0C7" w:themeFill="accent3" w:themeFillTint="33"/>
            <w:vAlign w:val="center"/>
            <w:hideMark/>
          </w:tcPr>
          <w:p w14:paraId="6938A8E9"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Planning</w:t>
            </w:r>
          </w:p>
        </w:tc>
        <w:tc>
          <w:tcPr>
            <w:tcW w:w="0" w:type="auto"/>
            <w:shd w:val="clear" w:color="auto" w:fill="F6C5AC" w:themeFill="accent2" w:themeFillTint="66"/>
            <w:vAlign w:val="center"/>
            <w:hideMark/>
          </w:tcPr>
          <w:p w14:paraId="3DB4E150"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Exhibitions, feedback surveys, consultations</w:t>
            </w:r>
          </w:p>
        </w:tc>
        <w:tc>
          <w:tcPr>
            <w:tcW w:w="0" w:type="auto"/>
            <w:shd w:val="clear" w:color="auto" w:fill="D9F2D0" w:themeFill="accent6" w:themeFillTint="33"/>
            <w:vAlign w:val="center"/>
            <w:hideMark/>
          </w:tcPr>
          <w:p w14:paraId="5F349EC4"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Shape proposals through input</w:t>
            </w:r>
          </w:p>
        </w:tc>
      </w:tr>
      <w:tr w:rsidR="00912D86" w:rsidRPr="003C725E" w14:paraId="4F4C3782" w14:textId="77777777" w:rsidTr="00317C25">
        <w:trPr>
          <w:tblCellSpacing w:w="15" w:type="dxa"/>
        </w:trPr>
        <w:tc>
          <w:tcPr>
            <w:tcW w:w="0" w:type="auto"/>
            <w:shd w:val="clear" w:color="auto" w:fill="C1F0C7" w:themeFill="accent3" w:themeFillTint="33"/>
            <w:vAlign w:val="center"/>
            <w:hideMark/>
          </w:tcPr>
          <w:p w14:paraId="39893264"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Pre-Construction</w:t>
            </w:r>
          </w:p>
        </w:tc>
        <w:tc>
          <w:tcPr>
            <w:tcW w:w="0" w:type="auto"/>
            <w:shd w:val="clear" w:color="auto" w:fill="F6C5AC" w:themeFill="accent2" w:themeFillTint="66"/>
            <w:vAlign w:val="center"/>
            <w:hideMark/>
          </w:tcPr>
          <w:p w14:paraId="5F5F0483"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Traffic notices, safety updates</w:t>
            </w:r>
          </w:p>
        </w:tc>
        <w:tc>
          <w:tcPr>
            <w:tcW w:w="0" w:type="auto"/>
            <w:shd w:val="clear" w:color="auto" w:fill="D9F2D0" w:themeFill="accent6" w:themeFillTint="33"/>
            <w:vAlign w:val="center"/>
            <w:hideMark/>
          </w:tcPr>
          <w:p w14:paraId="5B3D074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Prepare stakeholders for disruption</w:t>
            </w:r>
          </w:p>
        </w:tc>
      </w:tr>
      <w:tr w:rsidR="00912D86" w:rsidRPr="003C725E" w14:paraId="2E658217" w14:textId="77777777" w:rsidTr="00317C25">
        <w:trPr>
          <w:tblCellSpacing w:w="15" w:type="dxa"/>
        </w:trPr>
        <w:tc>
          <w:tcPr>
            <w:tcW w:w="0" w:type="auto"/>
            <w:shd w:val="clear" w:color="auto" w:fill="C1F0C7" w:themeFill="accent3" w:themeFillTint="33"/>
            <w:vAlign w:val="center"/>
            <w:hideMark/>
          </w:tcPr>
          <w:p w14:paraId="39FA4979"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Construction</w:t>
            </w:r>
          </w:p>
        </w:tc>
        <w:tc>
          <w:tcPr>
            <w:tcW w:w="0" w:type="auto"/>
            <w:shd w:val="clear" w:color="auto" w:fill="F6C5AC" w:themeFill="accent2" w:themeFillTint="66"/>
            <w:vAlign w:val="center"/>
            <w:hideMark/>
          </w:tcPr>
          <w:p w14:paraId="51E1793A"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Newsletters, drop-in Q&amp;As, social media</w:t>
            </w:r>
          </w:p>
        </w:tc>
        <w:tc>
          <w:tcPr>
            <w:tcW w:w="0" w:type="auto"/>
            <w:shd w:val="clear" w:color="auto" w:fill="D9F2D0" w:themeFill="accent6" w:themeFillTint="33"/>
            <w:vAlign w:val="center"/>
            <w:hideMark/>
          </w:tcPr>
          <w:p w14:paraId="51F490D8"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Maintain engagement and transparency</w:t>
            </w:r>
          </w:p>
        </w:tc>
      </w:tr>
      <w:tr w:rsidR="00912D86" w:rsidRPr="003C725E" w14:paraId="4E4A8C91" w14:textId="77777777" w:rsidTr="00317C25">
        <w:trPr>
          <w:tblCellSpacing w:w="15" w:type="dxa"/>
        </w:trPr>
        <w:tc>
          <w:tcPr>
            <w:tcW w:w="0" w:type="auto"/>
            <w:shd w:val="clear" w:color="auto" w:fill="C1F0C7" w:themeFill="accent3" w:themeFillTint="33"/>
            <w:vAlign w:val="center"/>
            <w:hideMark/>
          </w:tcPr>
          <w:p w14:paraId="073C7B1C"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Post-Completion</w:t>
            </w:r>
          </w:p>
        </w:tc>
        <w:tc>
          <w:tcPr>
            <w:tcW w:w="0" w:type="auto"/>
            <w:shd w:val="clear" w:color="auto" w:fill="F6C5AC" w:themeFill="accent2" w:themeFillTint="66"/>
            <w:vAlign w:val="center"/>
            <w:hideMark/>
          </w:tcPr>
          <w:p w14:paraId="364B90FA"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Handover info, impact reports, final feedback</w:t>
            </w:r>
          </w:p>
        </w:tc>
        <w:tc>
          <w:tcPr>
            <w:tcW w:w="0" w:type="auto"/>
            <w:shd w:val="clear" w:color="auto" w:fill="D9F2D0" w:themeFill="accent6" w:themeFillTint="33"/>
            <w:vAlign w:val="center"/>
            <w:hideMark/>
          </w:tcPr>
          <w:p w14:paraId="0C059C5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Review outcomes and close project</w:t>
            </w:r>
          </w:p>
        </w:tc>
      </w:tr>
    </w:tbl>
    <w:p w14:paraId="1CFF78E9"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29" w:name="_Toc214400084"/>
      <w:r w:rsidRPr="003C725E">
        <w:rPr>
          <w:rFonts w:ascii="Arial" w:eastAsia="Times New Roman" w:hAnsi="Arial" w:cs="Arial"/>
          <w:b/>
          <w:bCs/>
          <w:kern w:val="0"/>
          <w:lang w:eastAsia="en-GB"/>
          <w14:ligatures w14:val="none"/>
        </w:rPr>
        <w:t>Channels and Tools</w:t>
      </w:r>
      <w:bookmarkEnd w:id="29"/>
    </w:p>
    <w:p w14:paraId="0FCE3B25"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Project website and email updates</w:t>
      </w:r>
      <w:r w:rsidRPr="003C725E">
        <w:rPr>
          <w:rFonts w:ascii="Arial" w:eastAsia="Times New Roman" w:hAnsi="Arial" w:cs="Arial"/>
          <w:kern w:val="0"/>
          <w:lang w:eastAsia="en-GB"/>
          <w14:ligatures w14:val="none"/>
        </w:rPr>
        <w:br/>
        <w:t>• Printed newsletters and local newspapers</w:t>
      </w:r>
      <w:r w:rsidRPr="003C725E">
        <w:rPr>
          <w:rFonts w:ascii="Arial" w:eastAsia="Times New Roman" w:hAnsi="Arial" w:cs="Arial"/>
          <w:kern w:val="0"/>
          <w:lang w:eastAsia="en-GB"/>
          <w14:ligatures w14:val="none"/>
        </w:rPr>
        <w:br/>
        <w:t>• social media, public meetings, pop-up stalls</w:t>
      </w:r>
      <w:r w:rsidRPr="003C725E">
        <w:rPr>
          <w:rFonts w:ascii="Arial" w:eastAsia="Times New Roman" w:hAnsi="Arial" w:cs="Arial"/>
          <w:kern w:val="0"/>
          <w:lang w:eastAsia="en-GB"/>
          <w14:ligatures w14:val="none"/>
        </w:rPr>
        <w:br/>
        <w:t>• Multilingual leaflets and noticeboards</w:t>
      </w:r>
      <w:r w:rsidRPr="003C725E">
        <w:rPr>
          <w:rFonts w:ascii="Arial" w:eastAsia="Times New Roman" w:hAnsi="Arial" w:cs="Arial"/>
          <w:kern w:val="0"/>
          <w:lang w:eastAsia="en-GB"/>
          <w14:ligatures w14:val="none"/>
        </w:rPr>
        <w:br/>
        <w:t>• Posters and information boards at churches, Warwick Mosque and Canley Community Centre</w:t>
      </w:r>
    </w:p>
    <w:p w14:paraId="75BFAC44"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This multi-channel approach ensures communication is accessible, inclusive, and responsive to the needs of a diverse community (NSCE, 2016; LGA, 2019).</w:t>
      </w:r>
    </w:p>
    <w:p w14:paraId="5540A4E3" w14:textId="77777777" w:rsidR="00912D86" w:rsidRPr="003C725E" w:rsidRDefault="00912D86"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2C027FCB" w14:textId="77777777" w:rsidR="00912D86" w:rsidRPr="003C725E" w:rsidRDefault="00912D86"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30" w:name="_Toc214400085"/>
      <w:r w:rsidRPr="003C725E">
        <w:rPr>
          <w:rFonts w:ascii="Arial" w:eastAsia="Times New Roman" w:hAnsi="Arial" w:cs="Arial"/>
          <w:b/>
          <w:bCs/>
          <w:kern w:val="0"/>
          <w:lang w:eastAsia="en-GB"/>
          <w14:ligatures w14:val="none"/>
        </w:rPr>
        <w:t>Consultation Strategy</w:t>
      </w:r>
      <w:bookmarkEnd w:id="30"/>
    </w:p>
    <w:p w14:paraId="76ED54BA"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A robust consultation process gives stakeholders meaningful opportunities to shape outcomes. In Canley’s diverse context, this means using inclusive, flexible methods that reduce barriers to participation (Involve, 2019; LGA, 2019).</w:t>
      </w:r>
    </w:p>
    <w:p w14:paraId="09D85670"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1" w:name="_Toc214400086"/>
      <w:r w:rsidRPr="003C725E">
        <w:rPr>
          <w:rFonts w:ascii="Arial" w:eastAsia="Times New Roman" w:hAnsi="Arial" w:cs="Arial"/>
          <w:b/>
          <w:bCs/>
          <w:kern w:val="0"/>
          <w:lang w:eastAsia="en-GB"/>
          <w14:ligatures w14:val="none"/>
        </w:rPr>
        <w:t>Principles of Good Consultation</w:t>
      </w:r>
      <w:bookmarkEnd w:id="31"/>
    </w:p>
    <w:p w14:paraId="4B78CBB2"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Inclusivity: Engage all groups regardless of age, language, or digital access</w:t>
      </w:r>
      <w:r w:rsidRPr="003C725E">
        <w:rPr>
          <w:rFonts w:ascii="Arial" w:eastAsia="Times New Roman" w:hAnsi="Arial" w:cs="Arial"/>
          <w:kern w:val="0"/>
          <w:lang w:eastAsia="en-GB"/>
          <w14:ligatures w14:val="none"/>
        </w:rPr>
        <w:br/>
        <w:t>• Transparency: Clearly explain the scope and limitations of the project</w:t>
      </w:r>
      <w:r w:rsidRPr="003C725E">
        <w:rPr>
          <w:rFonts w:ascii="Arial" w:eastAsia="Times New Roman" w:hAnsi="Arial" w:cs="Arial"/>
          <w:kern w:val="0"/>
          <w:lang w:eastAsia="en-GB"/>
          <w14:ligatures w14:val="none"/>
        </w:rPr>
        <w:br/>
        <w:t>• Respect: Value all contributions equally</w:t>
      </w:r>
      <w:r w:rsidRPr="003C725E">
        <w:rPr>
          <w:rFonts w:ascii="Arial" w:eastAsia="Times New Roman" w:hAnsi="Arial" w:cs="Arial"/>
          <w:kern w:val="0"/>
          <w:lang w:eastAsia="en-GB"/>
          <w14:ligatures w14:val="none"/>
        </w:rPr>
        <w:br/>
        <w:t>• Accessibility: Use varied methods suited to different needs</w:t>
      </w:r>
    </w:p>
    <w:p w14:paraId="742B50AA"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2" w:name="_Toc214400087"/>
      <w:r w:rsidRPr="003C725E">
        <w:rPr>
          <w:rFonts w:ascii="Arial" w:eastAsia="Times New Roman" w:hAnsi="Arial" w:cs="Arial"/>
          <w:b/>
          <w:bCs/>
          <w:kern w:val="0"/>
          <w:lang w:eastAsia="en-GB"/>
          <w14:ligatures w14:val="none"/>
        </w:rPr>
        <w:t>Consultation Methods</w:t>
      </w:r>
      <w:bookmarkEnd w:id="32"/>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6"/>
        <w:gridCol w:w="4712"/>
      </w:tblGrid>
      <w:tr w:rsidR="00912D86" w:rsidRPr="003C725E" w14:paraId="2A12ED34" w14:textId="77777777" w:rsidTr="00317C25">
        <w:trPr>
          <w:tblHeader/>
          <w:tblCellSpacing w:w="15" w:type="dxa"/>
        </w:trPr>
        <w:tc>
          <w:tcPr>
            <w:tcW w:w="0" w:type="auto"/>
            <w:shd w:val="clear" w:color="auto" w:fill="D9F2D0" w:themeFill="accent6" w:themeFillTint="33"/>
            <w:vAlign w:val="center"/>
            <w:hideMark/>
          </w:tcPr>
          <w:p w14:paraId="3CC28444"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Method</w:t>
            </w:r>
          </w:p>
        </w:tc>
        <w:tc>
          <w:tcPr>
            <w:tcW w:w="0" w:type="auto"/>
            <w:shd w:val="clear" w:color="auto" w:fill="A5C9EB" w:themeFill="text2" w:themeFillTint="40"/>
            <w:vAlign w:val="center"/>
            <w:hideMark/>
          </w:tcPr>
          <w:p w14:paraId="0D58FDF2" w14:textId="77777777" w:rsidR="00912D86" w:rsidRPr="003C725E" w:rsidRDefault="00912D86" w:rsidP="003C725E">
            <w:pPr>
              <w:spacing w:after="0" w:line="360" w:lineRule="auto"/>
              <w:jc w:val="both"/>
              <w:rPr>
                <w:rFonts w:ascii="Arial" w:eastAsia="Times New Roman" w:hAnsi="Arial" w:cs="Arial"/>
                <w:b/>
                <w:bCs/>
                <w:kern w:val="0"/>
                <w:lang w:eastAsia="en-GB"/>
                <w14:ligatures w14:val="none"/>
              </w:rPr>
            </w:pPr>
            <w:r w:rsidRPr="003C725E">
              <w:rPr>
                <w:rFonts w:ascii="Arial" w:eastAsia="Times New Roman" w:hAnsi="Arial" w:cs="Arial"/>
                <w:b/>
                <w:bCs/>
                <w:kern w:val="0"/>
                <w:lang w:eastAsia="en-GB"/>
                <w14:ligatures w14:val="none"/>
              </w:rPr>
              <w:t>Purpose</w:t>
            </w:r>
          </w:p>
        </w:tc>
      </w:tr>
      <w:tr w:rsidR="00912D86" w:rsidRPr="003C725E" w14:paraId="3E3F503A" w14:textId="77777777" w:rsidTr="00317C25">
        <w:trPr>
          <w:tblCellSpacing w:w="15" w:type="dxa"/>
        </w:trPr>
        <w:tc>
          <w:tcPr>
            <w:tcW w:w="0" w:type="auto"/>
            <w:shd w:val="clear" w:color="auto" w:fill="D9F2D0" w:themeFill="accent6" w:themeFillTint="33"/>
            <w:vAlign w:val="center"/>
            <w:hideMark/>
          </w:tcPr>
          <w:p w14:paraId="3322B7E3"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Public Meetings</w:t>
            </w:r>
          </w:p>
        </w:tc>
        <w:tc>
          <w:tcPr>
            <w:tcW w:w="0" w:type="auto"/>
            <w:shd w:val="clear" w:color="auto" w:fill="A5C9EB" w:themeFill="text2" w:themeFillTint="40"/>
            <w:vAlign w:val="center"/>
            <w:hideMark/>
          </w:tcPr>
          <w:p w14:paraId="55F54AB1"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General updates and shared concerns</w:t>
            </w:r>
          </w:p>
        </w:tc>
      </w:tr>
      <w:tr w:rsidR="00912D86" w:rsidRPr="003C725E" w14:paraId="18CC8C6D" w14:textId="77777777" w:rsidTr="00317C25">
        <w:trPr>
          <w:tblCellSpacing w:w="15" w:type="dxa"/>
        </w:trPr>
        <w:tc>
          <w:tcPr>
            <w:tcW w:w="0" w:type="auto"/>
            <w:shd w:val="clear" w:color="auto" w:fill="D9F2D0" w:themeFill="accent6" w:themeFillTint="33"/>
            <w:vAlign w:val="center"/>
            <w:hideMark/>
          </w:tcPr>
          <w:p w14:paraId="1DF59870"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Co-Design Workshops</w:t>
            </w:r>
          </w:p>
        </w:tc>
        <w:tc>
          <w:tcPr>
            <w:tcW w:w="0" w:type="auto"/>
            <w:shd w:val="clear" w:color="auto" w:fill="A5C9EB" w:themeFill="text2" w:themeFillTint="40"/>
            <w:vAlign w:val="center"/>
            <w:hideMark/>
          </w:tcPr>
          <w:p w14:paraId="71E5D295"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Collaborative planning with residents</w:t>
            </w:r>
          </w:p>
        </w:tc>
      </w:tr>
      <w:tr w:rsidR="00912D86" w:rsidRPr="003C725E" w14:paraId="15AEDAF4" w14:textId="77777777" w:rsidTr="00317C25">
        <w:trPr>
          <w:tblCellSpacing w:w="15" w:type="dxa"/>
        </w:trPr>
        <w:tc>
          <w:tcPr>
            <w:tcW w:w="0" w:type="auto"/>
            <w:shd w:val="clear" w:color="auto" w:fill="D9F2D0" w:themeFill="accent6" w:themeFillTint="33"/>
            <w:vAlign w:val="center"/>
            <w:hideMark/>
          </w:tcPr>
          <w:p w14:paraId="7A33F375"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Paper/Online Surveys</w:t>
            </w:r>
          </w:p>
        </w:tc>
        <w:tc>
          <w:tcPr>
            <w:tcW w:w="0" w:type="auto"/>
            <w:shd w:val="clear" w:color="auto" w:fill="A5C9EB" w:themeFill="text2" w:themeFillTint="40"/>
            <w:vAlign w:val="center"/>
            <w:hideMark/>
          </w:tcPr>
          <w:p w14:paraId="360FC2BF"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Broad, flexible feedback collection</w:t>
            </w:r>
          </w:p>
        </w:tc>
      </w:tr>
      <w:tr w:rsidR="00912D86" w:rsidRPr="003C725E" w14:paraId="74D5CA1C" w14:textId="77777777" w:rsidTr="00317C25">
        <w:trPr>
          <w:tblCellSpacing w:w="15" w:type="dxa"/>
        </w:trPr>
        <w:tc>
          <w:tcPr>
            <w:tcW w:w="0" w:type="auto"/>
            <w:shd w:val="clear" w:color="auto" w:fill="D9F2D0" w:themeFill="accent6" w:themeFillTint="33"/>
            <w:vAlign w:val="center"/>
            <w:hideMark/>
          </w:tcPr>
          <w:p w14:paraId="701273A4"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Pop-Up Stalls</w:t>
            </w:r>
          </w:p>
        </w:tc>
        <w:tc>
          <w:tcPr>
            <w:tcW w:w="0" w:type="auto"/>
            <w:shd w:val="clear" w:color="auto" w:fill="A5C9EB" w:themeFill="text2" w:themeFillTint="40"/>
            <w:vAlign w:val="center"/>
            <w:hideMark/>
          </w:tcPr>
          <w:p w14:paraId="0EEB52D7"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Casual engagement in public spaces</w:t>
            </w:r>
          </w:p>
        </w:tc>
      </w:tr>
      <w:tr w:rsidR="00912D86" w:rsidRPr="003C725E" w14:paraId="41B30712" w14:textId="77777777" w:rsidTr="00317C25">
        <w:trPr>
          <w:tblCellSpacing w:w="15" w:type="dxa"/>
        </w:trPr>
        <w:tc>
          <w:tcPr>
            <w:tcW w:w="0" w:type="auto"/>
            <w:shd w:val="clear" w:color="auto" w:fill="D9F2D0" w:themeFill="accent6" w:themeFillTint="33"/>
            <w:vAlign w:val="center"/>
            <w:hideMark/>
          </w:tcPr>
          <w:p w14:paraId="48B7835E"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Home Visits</w:t>
            </w:r>
          </w:p>
        </w:tc>
        <w:tc>
          <w:tcPr>
            <w:tcW w:w="0" w:type="auto"/>
            <w:shd w:val="clear" w:color="auto" w:fill="A5C9EB" w:themeFill="text2" w:themeFillTint="40"/>
            <w:vAlign w:val="center"/>
            <w:hideMark/>
          </w:tcPr>
          <w:p w14:paraId="433775E7"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Reaching residents unable to attend events</w:t>
            </w:r>
          </w:p>
        </w:tc>
      </w:tr>
      <w:tr w:rsidR="00912D86" w:rsidRPr="003C725E" w14:paraId="06D97E1F" w14:textId="77777777" w:rsidTr="00317C25">
        <w:trPr>
          <w:tblCellSpacing w:w="15" w:type="dxa"/>
        </w:trPr>
        <w:tc>
          <w:tcPr>
            <w:tcW w:w="0" w:type="auto"/>
            <w:shd w:val="clear" w:color="auto" w:fill="D9F2D0" w:themeFill="accent6" w:themeFillTint="33"/>
            <w:vAlign w:val="center"/>
            <w:hideMark/>
          </w:tcPr>
          <w:p w14:paraId="0C230373"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Focus Groups</w:t>
            </w:r>
          </w:p>
        </w:tc>
        <w:tc>
          <w:tcPr>
            <w:tcW w:w="0" w:type="auto"/>
            <w:shd w:val="clear" w:color="auto" w:fill="A5C9EB" w:themeFill="text2" w:themeFillTint="40"/>
            <w:vAlign w:val="center"/>
            <w:hideMark/>
          </w:tcPr>
          <w:p w14:paraId="36481850"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Detailed feedback from specific groups</w:t>
            </w:r>
          </w:p>
        </w:tc>
      </w:tr>
    </w:tbl>
    <w:p w14:paraId="60C8228F"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These methods help ensure that no group is excluded by language, time, mobility, or digital skills. Offering both digital and in-person formats increases reach and fairness (Neighbourhood Renewal Unit, 2019). Pop-up stalls and consultation boards at Canley Community Centre and Warwick Islamic Society (Figure 7 and 8) can help reach residents who may not attend formal council events.</w:t>
      </w:r>
    </w:p>
    <w:p w14:paraId="78E2A3BC"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 Pop-up stalls at Canley Centre on weekends allow working parents to participate without needing appointments.</w:t>
      </w:r>
    </w:p>
    <w:p w14:paraId="29B050B2"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3" w:name="_Toc214400088"/>
      <w:r w:rsidRPr="003C725E">
        <w:rPr>
          <w:rFonts w:ascii="Arial" w:eastAsia="Times New Roman" w:hAnsi="Arial" w:cs="Arial"/>
          <w:b/>
          <w:bCs/>
          <w:kern w:val="0"/>
          <w:lang w:eastAsia="en-GB"/>
          <w14:ligatures w14:val="none"/>
        </w:rPr>
        <w:t>Why multi-Method?</w:t>
      </w:r>
      <w:bookmarkEnd w:id="33"/>
    </w:p>
    <w:p w14:paraId="6C1477A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Using just one form of consultation, such as public meetings, may inadvertently marginalise individuals who are less confident in group settings or who lack digital </w:t>
      </w:r>
      <w:r w:rsidRPr="003C725E">
        <w:rPr>
          <w:rFonts w:ascii="Arial" w:eastAsia="Times New Roman" w:hAnsi="Arial" w:cs="Arial"/>
          <w:kern w:val="0"/>
          <w:lang w:eastAsia="en-GB"/>
          <w14:ligatures w14:val="none"/>
        </w:rPr>
        <w:lastRenderedPageBreak/>
        <w:t>literacy. A mixed-methods approach enables the inclusion of a broader range of perspectives and helps address potential inequalities in participation (Involve, 2019).</w:t>
      </w:r>
    </w:p>
    <w:p w14:paraId="683E59D1" w14:textId="277CB7D8"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 Some older residents may prefer paper surveys</w:t>
      </w:r>
      <w:r w:rsidR="00B1785D" w:rsidRPr="003C725E">
        <w:rPr>
          <w:rFonts w:ascii="Arial" w:eastAsia="Times New Roman" w:hAnsi="Arial" w:cs="Arial"/>
          <w:kern w:val="0"/>
          <w:lang w:eastAsia="en-GB"/>
          <w14:ligatures w14:val="none"/>
        </w:rPr>
        <w:t xml:space="preserve"> by post</w:t>
      </w:r>
      <w:r w:rsidRPr="003C725E">
        <w:rPr>
          <w:rFonts w:ascii="Arial" w:eastAsia="Times New Roman" w:hAnsi="Arial" w:cs="Arial"/>
          <w:kern w:val="0"/>
          <w:lang w:eastAsia="en-GB"/>
          <w14:ligatures w14:val="none"/>
        </w:rPr>
        <w:t>, while students may respond better to QR-coded online forms.</w:t>
      </w:r>
    </w:p>
    <w:p w14:paraId="3B088A5B" w14:textId="77777777" w:rsidR="00912D86" w:rsidRPr="003C725E" w:rsidRDefault="00912D86" w:rsidP="003C725E">
      <w:pPr>
        <w:spacing w:after="0" w:line="360" w:lineRule="auto"/>
        <w:jc w:val="both"/>
        <w:rPr>
          <w:rFonts w:ascii="Arial" w:eastAsia="Times New Roman" w:hAnsi="Arial" w:cs="Arial"/>
          <w:kern w:val="0"/>
          <w:lang w:eastAsia="en-GB"/>
          <w14:ligatures w14:val="none"/>
        </w:rPr>
      </w:pPr>
    </w:p>
    <w:p w14:paraId="51B0A052" w14:textId="77777777" w:rsidR="00912D86" w:rsidRPr="003C725E" w:rsidRDefault="00912D86"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34" w:name="_Toc214400089"/>
      <w:r w:rsidRPr="003C725E">
        <w:rPr>
          <w:rFonts w:ascii="Arial" w:eastAsia="Times New Roman" w:hAnsi="Arial" w:cs="Arial"/>
          <w:b/>
          <w:bCs/>
          <w:kern w:val="0"/>
          <w:lang w:eastAsia="en-GB"/>
          <w14:ligatures w14:val="none"/>
        </w:rPr>
        <w:t>Ethical Considerations</w:t>
      </w:r>
      <w:bookmarkEnd w:id="34"/>
    </w:p>
    <w:p w14:paraId="00034CC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Ethical stakeholder engagement is crucial in redevelopment projects, particularly where residents are likely to experience substantial changes. Upholding principles such as openness, voluntary participation, and inclusiveness helps safeguard community interests and fosters mutual trust between stakeholders and project leaders (ATSDR, 2020; LGA, 2019).</w:t>
      </w:r>
    </w:p>
    <w:p w14:paraId="19A4F963"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5" w:name="_Toc214400090"/>
      <w:r w:rsidRPr="003C725E">
        <w:rPr>
          <w:rFonts w:ascii="Arial" w:eastAsia="Times New Roman" w:hAnsi="Arial" w:cs="Arial"/>
          <w:b/>
          <w:bCs/>
          <w:kern w:val="0"/>
          <w:lang w:eastAsia="en-GB"/>
          <w14:ligatures w14:val="none"/>
        </w:rPr>
        <w:t>Informed Consent</w:t>
      </w:r>
      <w:bookmarkEnd w:id="35"/>
    </w:p>
    <w:p w14:paraId="68FFF9F2" w14:textId="747BD870"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It is essential that stakeholders clearly understand the goals of the consultation, the intended use of their input, and their right to choose whether or not to participate. In a community like Canley</w:t>
      </w:r>
      <w:r w:rsidR="00EF6447" w:rsidRPr="003C725E">
        <w:rPr>
          <w:rFonts w:ascii="Arial" w:eastAsia="Times New Roman" w:hAnsi="Arial" w:cs="Arial"/>
          <w:kern w:val="0"/>
          <w:lang w:eastAsia="en-GB"/>
          <w14:ligatures w14:val="none"/>
        </w:rPr>
        <w:t xml:space="preserve">, </w:t>
      </w:r>
      <w:r w:rsidRPr="003C725E">
        <w:rPr>
          <w:rFonts w:ascii="Arial" w:eastAsia="Times New Roman" w:hAnsi="Arial" w:cs="Arial"/>
          <w:kern w:val="0"/>
          <w:lang w:eastAsia="en-GB"/>
          <w14:ligatures w14:val="none"/>
        </w:rPr>
        <w:t>where language proficiency and literacy levels may vary</w:t>
      </w:r>
      <w:r w:rsidR="00EF6447" w:rsidRPr="003C725E">
        <w:rPr>
          <w:rFonts w:ascii="Arial" w:eastAsia="Times New Roman" w:hAnsi="Arial" w:cs="Arial"/>
          <w:kern w:val="0"/>
          <w:lang w:eastAsia="en-GB"/>
          <w14:ligatures w14:val="none"/>
        </w:rPr>
        <w:t xml:space="preserve">, </w:t>
      </w:r>
      <w:r w:rsidRPr="003C725E">
        <w:rPr>
          <w:rFonts w:ascii="Arial" w:eastAsia="Times New Roman" w:hAnsi="Arial" w:cs="Arial"/>
          <w:kern w:val="0"/>
          <w:lang w:eastAsia="en-GB"/>
          <w14:ligatures w14:val="none"/>
        </w:rPr>
        <w:t>communication materials must be accessible, using plain language and translations where appropriate. Working with local churches, Warwick Mosque and Canley Community Centre can support face to face explanations in familiar settings.</w:t>
      </w:r>
    </w:p>
    <w:p w14:paraId="3F249C4F"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 At pop-up events, staff can explain: “This survey helps shape local housing. It is anonymous and optional.”</w:t>
      </w:r>
    </w:p>
    <w:p w14:paraId="7A8D4755"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6" w:name="_Toc214400091"/>
      <w:r w:rsidRPr="003C725E">
        <w:rPr>
          <w:rFonts w:ascii="Arial" w:eastAsia="Times New Roman" w:hAnsi="Arial" w:cs="Arial"/>
          <w:b/>
          <w:bCs/>
          <w:kern w:val="0"/>
          <w:lang w:eastAsia="en-GB"/>
          <w14:ligatures w14:val="none"/>
        </w:rPr>
        <w:t>Transparency</w:t>
      </w:r>
      <w:bookmarkEnd w:id="36"/>
    </w:p>
    <w:p w14:paraId="18F67068"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Maintaining transparency throughout the redevelopment process strengthens credibility and mitigates community anxiety. Keeping stakeholders informed about project timelines, challenges, and realistic deliverables ensures honest communication. Making exaggerated claims or withholding critical information can damage trust and lead to resistance.</w:t>
      </w:r>
    </w:p>
    <w:p w14:paraId="4143083E"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Example: Residents should be told clearly if demolition or relocation is delayed, even if the update is unfavourable.</w:t>
      </w:r>
    </w:p>
    <w:p w14:paraId="43A010C9"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7" w:name="_Toc214400092"/>
      <w:r w:rsidRPr="003C725E">
        <w:rPr>
          <w:rFonts w:ascii="Arial" w:eastAsia="Times New Roman" w:hAnsi="Arial" w:cs="Arial"/>
          <w:b/>
          <w:bCs/>
          <w:kern w:val="0"/>
          <w:lang w:eastAsia="en-GB"/>
          <w14:ligatures w14:val="none"/>
        </w:rPr>
        <w:t>Avoiding Harm</w:t>
      </w:r>
      <w:bookmarkEnd w:id="37"/>
    </w:p>
    <w:p w14:paraId="6EB0B5D3"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Engagement must avoid emotional distress, especially for vulnerable or low-income residents. Regeneration may trigger fears about rent increases, gentrification, or forced relocation. These risks reflect findings from previous regeneration studies, which show that redevelopment can lead to community displacement if not managed ethically (Tunstall, 2015).</w:t>
      </w:r>
    </w:p>
    <w:p w14:paraId="0C3C5272"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Good practice includes:</w:t>
      </w:r>
    </w:p>
    <w:p w14:paraId="01339D62"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•Avoiding false promises</w:t>
      </w:r>
      <w:r w:rsidRPr="003C725E">
        <w:rPr>
          <w:rFonts w:ascii="Arial" w:eastAsia="Times New Roman" w:hAnsi="Arial" w:cs="Arial"/>
          <w:kern w:val="0"/>
          <w:lang w:eastAsia="en-GB"/>
          <w14:ligatures w14:val="none"/>
        </w:rPr>
        <w:br/>
        <w:t>•Providing reassurance</w:t>
      </w:r>
      <w:r w:rsidRPr="003C725E">
        <w:rPr>
          <w:rFonts w:ascii="Arial" w:eastAsia="Times New Roman" w:hAnsi="Arial" w:cs="Arial"/>
          <w:kern w:val="0"/>
          <w:lang w:eastAsia="en-GB"/>
          <w14:ligatures w14:val="none"/>
        </w:rPr>
        <w:br/>
        <w:t>•Offering emotional support if needed</w:t>
      </w:r>
      <w:r w:rsidRPr="003C725E">
        <w:rPr>
          <w:rFonts w:ascii="Arial" w:eastAsia="Times New Roman" w:hAnsi="Arial" w:cs="Arial"/>
          <w:kern w:val="0"/>
          <w:lang w:eastAsia="en-GB"/>
          <w14:ligatures w14:val="none"/>
        </w:rPr>
        <w:br/>
        <w:t>• Signposting residents to support services such as Change Grow Live for drug and alcohol issues, and other local wellbeing services (Figure7)</w:t>
      </w:r>
    </w:p>
    <w:p w14:paraId="34297465"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8" w:name="_Toc214400093"/>
      <w:r w:rsidRPr="003C725E">
        <w:rPr>
          <w:rFonts w:ascii="Arial" w:eastAsia="Times New Roman" w:hAnsi="Arial" w:cs="Arial"/>
          <w:b/>
          <w:bCs/>
          <w:kern w:val="0"/>
          <w:lang w:eastAsia="en-GB"/>
          <w14:ligatures w14:val="none"/>
        </w:rPr>
        <w:t>Data Protection</w:t>
      </w:r>
      <w:bookmarkEnd w:id="38"/>
    </w:p>
    <w:p w14:paraId="35631E9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Consultations must comply with GDPR. Personal data collected via surveys or interviews should be anonymised, stored securely, and used only for the intended purpose.</w:t>
      </w:r>
    </w:p>
    <w:p w14:paraId="369921F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 Paper surveys from community events should be locked securely and digitised anonymously.</w:t>
      </w:r>
    </w:p>
    <w:p w14:paraId="2BB7FA9C"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9" w:name="_Toc214400094"/>
      <w:r w:rsidRPr="003C725E">
        <w:rPr>
          <w:rFonts w:ascii="Arial" w:eastAsia="Times New Roman" w:hAnsi="Arial" w:cs="Arial"/>
          <w:b/>
          <w:bCs/>
          <w:kern w:val="0"/>
          <w:lang w:eastAsia="en-GB"/>
          <w14:ligatures w14:val="none"/>
        </w:rPr>
        <w:t>Managing Bias</w:t>
      </w:r>
      <w:bookmarkEnd w:id="39"/>
    </w:p>
    <w:p w14:paraId="4C160744"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Bias can emerge when certain voices dominate or when the methods exclude marginalised groups.</w:t>
      </w:r>
    </w:p>
    <w:p w14:paraId="04219852"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Mitigation strategies:</w:t>
      </w:r>
    </w:p>
    <w:p w14:paraId="17DD2263"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Offering translated and paper surveys</w:t>
      </w:r>
      <w:r w:rsidRPr="003C725E">
        <w:rPr>
          <w:rFonts w:ascii="Arial" w:eastAsia="Times New Roman" w:hAnsi="Arial" w:cs="Arial"/>
          <w:kern w:val="0"/>
          <w:lang w:eastAsia="en-GB"/>
          <w14:ligatures w14:val="none"/>
        </w:rPr>
        <w:br/>
        <w:t>• Hosting small focus groups instead of large meetings</w:t>
      </w:r>
      <w:r w:rsidRPr="003C725E">
        <w:rPr>
          <w:rFonts w:ascii="Arial" w:eastAsia="Times New Roman" w:hAnsi="Arial" w:cs="Arial"/>
          <w:kern w:val="0"/>
          <w:lang w:eastAsia="en-GB"/>
          <w14:ligatures w14:val="none"/>
        </w:rPr>
        <w:br/>
      </w:r>
      <w:r w:rsidRPr="003C725E">
        <w:rPr>
          <w:rFonts w:ascii="Arial" w:eastAsia="Times New Roman" w:hAnsi="Arial" w:cs="Arial"/>
          <w:kern w:val="0"/>
          <w:lang w:eastAsia="en-GB"/>
          <w14:ligatures w14:val="none"/>
        </w:rPr>
        <w:lastRenderedPageBreak/>
        <w:t>• Inviting underrepresented communities directly</w:t>
      </w:r>
      <w:r w:rsidRPr="003C725E">
        <w:rPr>
          <w:rFonts w:ascii="Arial" w:eastAsia="Times New Roman" w:hAnsi="Arial" w:cs="Arial"/>
          <w:kern w:val="0"/>
          <w:lang w:eastAsia="en-GB"/>
          <w14:ligatures w14:val="none"/>
        </w:rPr>
        <w:br/>
        <w:t>• Using trusted locations such as Canley Community Centre and Warwick Mosque to reach groups who may not engage with formal council venues</w:t>
      </w:r>
    </w:p>
    <w:p w14:paraId="197CE3F8"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 To include digitally excluded residents, consultation forms should be available at local libraries or shops.</w:t>
      </w:r>
    </w:p>
    <w:p w14:paraId="674256D1"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40" w:name="_Toc214400095"/>
      <w:r w:rsidRPr="003C725E">
        <w:rPr>
          <w:rFonts w:ascii="Arial" w:eastAsia="Times New Roman" w:hAnsi="Arial" w:cs="Arial"/>
          <w:b/>
          <w:bCs/>
          <w:noProof/>
          <w:kern w:val="0"/>
          <w:lang w:eastAsia="en-GB"/>
          <w14:ligatures w14:val="none"/>
        </w:rPr>
        <w:drawing>
          <wp:anchor distT="0" distB="0" distL="114300" distR="114300" simplePos="0" relativeHeight="251660288" behindDoc="0" locked="0" layoutInCell="1" allowOverlap="1" wp14:anchorId="42A45825" wp14:editId="35D64BE6">
            <wp:simplePos x="0" y="0"/>
            <wp:positionH relativeFrom="column">
              <wp:posOffset>0</wp:posOffset>
            </wp:positionH>
            <wp:positionV relativeFrom="paragraph">
              <wp:posOffset>516255</wp:posOffset>
            </wp:positionV>
            <wp:extent cx="2005965" cy="1402080"/>
            <wp:effectExtent l="0" t="0" r="0" b="0"/>
            <wp:wrapTopAndBottom/>
            <wp:docPr id="1076008556" name="Picture 2" descr="A diagram of different types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08556" name="Picture 2" descr="A diagram of different types of people&#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05965" cy="1402080"/>
                    </a:xfrm>
                    <a:prstGeom prst="rect">
                      <a:avLst/>
                    </a:prstGeom>
                    <a:noFill/>
                  </pic:spPr>
                </pic:pic>
              </a:graphicData>
            </a:graphic>
          </wp:anchor>
        </w:drawing>
      </w:r>
      <w:r w:rsidRPr="003C725E">
        <w:rPr>
          <w:rFonts w:ascii="Arial" w:eastAsia="Times New Roman" w:hAnsi="Arial" w:cs="Arial"/>
          <w:b/>
          <w:bCs/>
          <w:kern w:val="0"/>
          <w:lang w:eastAsia="en-GB"/>
          <w14:ligatures w14:val="none"/>
        </w:rPr>
        <w:t>Diversity, Equity, and Inclusion (DEI)</w:t>
      </w:r>
      <w:bookmarkEnd w:id="40"/>
    </w:p>
    <w:p w14:paraId="770972D4" w14:textId="4BEE9282" w:rsidR="00912D86" w:rsidRPr="003C725E" w:rsidRDefault="005F5E8F"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Figure 1</w:t>
      </w:r>
      <w:r w:rsidR="00DB790F" w:rsidRPr="003C725E">
        <w:rPr>
          <w:rFonts w:ascii="Arial" w:eastAsia="Times New Roman" w:hAnsi="Arial" w:cs="Arial"/>
          <w:kern w:val="0"/>
          <w:lang w:eastAsia="en-GB"/>
          <w14:ligatures w14:val="none"/>
        </w:rPr>
        <w:t xml:space="preserve">4: </w:t>
      </w:r>
      <w:hyperlink r:id="rId31" w:history="1">
        <w:r w:rsidR="008F72BF" w:rsidRPr="003C725E">
          <w:rPr>
            <w:rFonts w:ascii="Arial" w:hAnsi="Arial" w:cs="Arial"/>
            <w:color w:val="0000FF"/>
            <w:u w:val="single"/>
          </w:rPr>
          <w:t>2+ Thousand Diversity Equity Inclusion Dei Royalty-Free Images, Stock Photos &amp; Pictures | Shutterstock</w:t>
        </w:r>
      </w:hyperlink>
    </w:p>
    <w:p w14:paraId="4087263A"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Given the diverse demographic makeup of Canley—including variations in culture, age, and ability—identified in local housing and university assessments (Warwick University, 2022; Coventry JSNA, 2021), engagement strategies must be adaptable to these differences to ensure equity and avoid perpetuating systemic disadvantages.</w:t>
      </w:r>
    </w:p>
    <w:p w14:paraId="1BD2589D"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DEI Measures:</w:t>
      </w:r>
    </w:p>
    <w:p w14:paraId="6F9E34D5"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Wheelchair-accessible venues</w:t>
      </w:r>
      <w:r w:rsidRPr="003C725E">
        <w:rPr>
          <w:rFonts w:ascii="Arial" w:eastAsia="Times New Roman" w:hAnsi="Arial" w:cs="Arial"/>
          <w:kern w:val="0"/>
          <w:lang w:eastAsia="en-GB"/>
          <w14:ligatures w14:val="none"/>
        </w:rPr>
        <w:br/>
        <w:t>• Events at different times (weekday/weekend)</w:t>
      </w:r>
      <w:r w:rsidRPr="003C725E">
        <w:rPr>
          <w:rFonts w:ascii="Arial" w:eastAsia="Times New Roman" w:hAnsi="Arial" w:cs="Arial"/>
          <w:kern w:val="0"/>
          <w:lang w:eastAsia="en-GB"/>
          <w14:ligatures w14:val="none"/>
        </w:rPr>
        <w:br/>
        <w:t>• Childcare support</w:t>
      </w:r>
      <w:r w:rsidRPr="003C725E">
        <w:rPr>
          <w:rFonts w:ascii="Arial" w:eastAsia="Times New Roman" w:hAnsi="Arial" w:cs="Arial"/>
          <w:kern w:val="0"/>
          <w:lang w:eastAsia="en-GB"/>
          <w14:ligatures w14:val="none"/>
        </w:rPr>
        <w:br/>
        <w:t xml:space="preserve">• Collaborating with local cultural and faith groups, including churches and </w:t>
      </w:r>
      <w:r w:rsidRPr="003C725E">
        <w:rPr>
          <w:rFonts w:ascii="Arial" w:eastAsia="Times New Roman" w:hAnsi="Arial" w:cs="Arial"/>
          <w:b/>
          <w:bCs/>
          <w:kern w:val="0"/>
          <w:lang w:eastAsia="en-GB"/>
          <w14:ligatures w14:val="none"/>
        </w:rPr>
        <w:t xml:space="preserve">Warwick Islamic Society </w:t>
      </w:r>
      <w:r w:rsidRPr="003C725E">
        <w:rPr>
          <w:rFonts w:ascii="Arial" w:eastAsia="Times New Roman" w:hAnsi="Arial" w:cs="Arial"/>
          <w:kern w:val="0"/>
          <w:lang w:eastAsia="en-GB"/>
          <w14:ligatures w14:val="none"/>
        </w:rPr>
        <w:br/>
        <w:t xml:space="preserve">• Working with </w:t>
      </w:r>
      <w:r w:rsidRPr="003C725E">
        <w:rPr>
          <w:rFonts w:ascii="Arial" w:eastAsia="Times New Roman" w:hAnsi="Arial" w:cs="Arial"/>
          <w:b/>
          <w:bCs/>
          <w:kern w:val="0"/>
          <w:lang w:eastAsia="en-GB"/>
          <w14:ligatures w14:val="none"/>
        </w:rPr>
        <w:t>Canley Community Centre</w:t>
      </w:r>
      <w:r w:rsidRPr="003C725E">
        <w:rPr>
          <w:rFonts w:ascii="Arial" w:eastAsia="Times New Roman" w:hAnsi="Arial" w:cs="Arial"/>
          <w:kern w:val="0"/>
          <w:lang w:eastAsia="en-GB"/>
          <w14:ligatures w14:val="none"/>
        </w:rPr>
        <w:t xml:space="preserve"> to host inclusive events and reach isolated residents</w:t>
      </w:r>
      <w:r w:rsidRPr="003C725E">
        <w:rPr>
          <w:rFonts w:ascii="Arial" w:eastAsia="Times New Roman" w:hAnsi="Arial" w:cs="Arial"/>
          <w:kern w:val="0"/>
          <w:lang w:eastAsia="en-GB"/>
          <w14:ligatures w14:val="none"/>
        </w:rPr>
        <w:br/>
        <w:t xml:space="preserve">• Linking with </w:t>
      </w:r>
      <w:r w:rsidRPr="003C725E">
        <w:rPr>
          <w:rFonts w:ascii="Arial" w:eastAsia="Times New Roman" w:hAnsi="Arial" w:cs="Arial"/>
          <w:b/>
          <w:bCs/>
          <w:kern w:val="0"/>
          <w:lang w:eastAsia="en-GB"/>
          <w14:ligatures w14:val="none"/>
        </w:rPr>
        <w:t>Change Grow Live</w:t>
      </w:r>
      <w:r w:rsidRPr="003C725E">
        <w:rPr>
          <w:rFonts w:ascii="Arial" w:eastAsia="Times New Roman" w:hAnsi="Arial" w:cs="Arial"/>
          <w:kern w:val="0"/>
          <w:lang w:eastAsia="en-GB"/>
          <w14:ligatures w14:val="none"/>
        </w:rPr>
        <w:t xml:space="preserve"> and other support agencies to ensure that residents affected by drugs and alcohol are not left out of engagement activities</w:t>
      </w:r>
    </w:p>
    <w:p w14:paraId="235DB94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Example: Translating materials into the top three community languages increases participation.</w:t>
      </w:r>
    </w:p>
    <w:p w14:paraId="5D98BF6A" w14:textId="0953D5B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41" w:name="_Toc214400096"/>
      <w:r w:rsidRPr="003C725E">
        <w:rPr>
          <w:rFonts w:ascii="Arial" w:eastAsia="Times New Roman" w:hAnsi="Arial" w:cs="Arial"/>
          <w:b/>
          <w:bCs/>
          <w:kern w:val="0"/>
          <w:lang w:eastAsia="en-GB"/>
          <w14:ligatures w14:val="none"/>
        </w:rPr>
        <w:t>Feedback and Accountability</w:t>
      </w:r>
      <w:bookmarkEnd w:id="41"/>
    </w:p>
    <w:p w14:paraId="47F4265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Residents should see how their input shapes decisions. Without feedback loops, engagement feels tokenistic.</w:t>
      </w:r>
    </w:p>
    <w:p w14:paraId="7C6EBEF9"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Feedback Tools:</w:t>
      </w:r>
    </w:p>
    <w:p w14:paraId="3FA1569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“You Said, We Did” summaries.</w:t>
      </w:r>
      <w:r w:rsidRPr="003C725E">
        <w:rPr>
          <w:rFonts w:ascii="Arial" w:eastAsia="Times New Roman" w:hAnsi="Arial" w:cs="Arial"/>
          <w:kern w:val="0"/>
          <w:lang w:eastAsia="en-GB"/>
          <w14:ligatures w14:val="none"/>
        </w:rPr>
        <w:br/>
        <w:t>• Public reports on consultation outcomes.</w:t>
      </w:r>
      <w:r w:rsidRPr="003C725E">
        <w:rPr>
          <w:rFonts w:ascii="Arial" w:eastAsia="Times New Roman" w:hAnsi="Arial" w:cs="Arial"/>
          <w:kern w:val="0"/>
          <w:lang w:eastAsia="en-GB"/>
          <w14:ligatures w14:val="none"/>
        </w:rPr>
        <w:br/>
        <w:t>• Community noticeboards showing project updates at places like Canley Community Centre, churches, and Warwick Mosque.</w:t>
      </w:r>
    </w:p>
    <w:p w14:paraId="2B838359"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 If residents request better lighting, the council should confirm whether it is feasible or explain why not.</w:t>
      </w:r>
    </w:p>
    <w:p w14:paraId="6F52B26A" w14:textId="77777777" w:rsidR="00912D86" w:rsidRPr="003C725E" w:rsidRDefault="00912D86" w:rsidP="003C725E">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42" w:name="_Toc214400097"/>
      <w:r w:rsidRPr="003C725E">
        <w:rPr>
          <w:rFonts w:ascii="Arial" w:eastAsia="Times New Roman" w:hAnsi="Arial" w:cs="Arial"/>
          <w:b/>
          <w:bCs/>
          <w:kern w:val="0"/>
          <w:lang w:eastAsia="en-GB"/>
          <w14:ligatures w14:val="none"/>
        </w:rPr>
        <w:t>Conclusion and Reflection</w:t>
      </w:r>
      <w:bookmarkEnd w:id="42"/>
    </w:p>
    <w:p w14:paraId="39A13F4C" w14:textId="25D0A0AB" w:rsidR="00912D86" w:rsidRPr="003C725E" w:rsidRDefault="00CA5A63"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Ethical consultation is more than a procedural task—it requires a genuine commitment to transparency, fairness, and inclusive engagement (ATSDR, 2020; Involve, 2019). In a diverse community like Canley, applying these principles helps ensure that the views of underrepresented and vulnerable groups are meaningfully included. When power imbalances are recognised and addressed, and when feedback is respected and acted upon, trust is built, outcomes improve, and regeneration becomes truly community-led (Social Value UK, 2020; Bowen et al., 2010).</w:t>
      </w:r>
    </w:p>
    <w:p w14:paraId="0AFCD9D7" w14:textId="6C387BE0" w:rsidR="009B75C8" w:rsidRPr="003C725E" w:rsidRDefault="00B007C2"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Examples: Delays in demolition should be clearly communicated. Translating surveys and doing walk-</w:t>
      </w:r>
      <w:proofErr w:type="spellStart"/>
      <w:r w:rsidRPr="003C725E">
        <w:rPr>
          <w:rFonts w:ascii="Arial" w:eastAsia="Times New Roman" w:hAnsi="Arial" w:cs="Arial"/>
          <w:kern w:val="0"/>
          <w:lang w:eastAsia="en-GB"/>
          <w14:ligatures w14:val="none"/>
        </w:rPr>
        <w:t>alongs</w:t>
      </w:r>
      <w:proofErr w:type="spellEnd"/>
      <w:r w:rsidRPr="003C725E">
        <w:rPr>
          <w:rFonts w:ascii="Arial" w:eastAsia="Times New Roman" w:hAnsi="Arial" w:cs="Arial"/>
          <w:kern w:val="0"/>
          <w:lang w:eastAsia="en-GB"/>
          <w14:ligatures w14:val="none"/>
        </w:rPr>
        <w:t xml:space="preserve"> can improve access and uncover overlooked issues.</w:t>
      </w:r>
    </w:p>
    <w:p w14:paraId="4220678B" w14:textId="77777777" w:rsidR="00912D86" w:rsidRPr="003C725E" w:rsidRDefault="00912D86" w:rsidP="003C725E">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43" w:name="_Toc214400099"/>
      <w:r w:rsidRPr="003C725E">
        <w:rPr>
          <w:rFonts w:ascii="Arial" w:eastAsia="Times New Roman" w:hAnsi="Arial" w:cs="Arial"/>
          <w:b/>
          <w:bCs/>
          <w:noProof/>
          <w:kern w:val="0"/>
          <w:lang w:eastAsia="en-GB"/>
          <w14:ligatures w14:val="none"/>
        </w:rPr>
        <w:lastRenderedPageBreak/>
        <w:drawing>
          <wp:anchor distT="0" distB="0" distL="114300" distR="114300" simplePos="0" relativeHeight="251654144" behindDoc="0" locked="0" layoutInCell="1" allowOverlap="1" wp14:anchorId="792A82D4" wp14:editId="6EE9FBC5">
            <wp:simplePos x="0" y="0"/>
            <wp:positionH relativeFrom="column">
              <wp:posOffset>-53340</wp:posOffset>
            </wp:positionH>
            <wp:positionV relativeFrom="paragraph">
              <wp:posOffset>709930</wp:posOffset>
            </wp:positionV>
            <wp:extent cx="4121150" cy="2048510"/>
            <wp:effectExtent l="0" t="0" r="0" b="0"/>
            <wp:wrapTopAndBottom/>
            <wp:docPr id="487255857" name="Picture 1" descr="A diagram of a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255857" name="Picture 1" descr="A diagram of a process&#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21150" cy="2048510"/>
                    </a:xfrm>
                    <a:prstGeom prst="rect">
                      <a:avLst/>
                    </a:prstGeom>
                    <a:noFill/>
                  </pic:spPr>
                </pic:pic>
              </a:graphicData>
            </a:graphic>
          </wp:anchor>
        </w:drawing>
      </w:r>
      <w:r w:rsidRPr="003C725E">
        <w:rPr>
          <w:rFonts w:ascii="Arial" w:eastAsia="Times New Roman" w:hAnsi="Arial" w:cs="Arial"/>
          <w:b/>
          <w:bCs/>
          <w:kern w:val="0"/>
          <w:lang w:eastAsia="en-GB"/>
          <w14:ligatures w14:val="none"/>
        </w:rPr>
        <w:t>Reflection Using Gibbs’ Reflective Cycle (Gibbs, 1988)</w:t>
      </w:r>
      <w:bookmarkEnd w:id="43"/>
    </w:p>
    <w:p w14:paraId="70310DF2" w14:textId="7319233B" w:rsidR="00912D86" w:rsidRPr="003C725E" w:rsidRDefault="0078550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Figure1</w:t>
      </w:r>
      <w:r w:rsidR="00DB790F" w:rsidRPr="003C725E">
        <w:rPr>
          <w:rFonts w:ascii="Arial" w:eastAsia="Times New Roman" w:hAnsi="Arial" w:cs="Arial"/>
          <w:kern w:val="0"/>
          <w:lang w:eastAsia="en-GB"/>
          <w14:ligatures w14:val="none"/>
        </w:rPr>
        <w:t>5</w:t>
      </w:r>
      <w:r w:rsidRPr="003C725E">
        <w:rPr>
          <w:rFonts w:ascii="Arial" w:eastAsia="Times New Roman" w:hAnsi="Arial" w:cs="Arial"/>
          <w:kern w:val="0"/>
          <w:lang w:eastAsia="en-GB"/>
          <w14:ligatures w14:val="none"/>
        </w:rPr>
        <w:t xml:space="preserve">: </w:t>
      </w:r>
      <w:proofErr w:type="gramStart"/>
      <w:r w:rsidR="00457FA4" w:rsidRPr="003C725E">
        <w:rPr>
          <w:rFonts w:ascii="Arial" w:eastAsia="Times New Roman" w:hAnsi="Arial" w:cs="Arial"/>
          <w:kern w:val="0"/>
          <w:lang w:eastAsia="en-GB"/>
          <w14:ligatures w14:val="none"/>
        </w:rPr>
        <w:t>Rehman(</w:t>
      </w:r>
      <w:proofErr w:type="gramEnd"/>
      <w:r w:rsidR="00457FA4" w:rsidRPr="003C725E">
        <w:rPr>
          <w:rFonts w:ascii="Arial" w:eastAsia="Times New Roman" w:hAnsi="Arial" w:cs="Arial"/>
          <w:kern w:val="0"/>
          <w:lang w:eastAsia="en-GB"/>
          <w14:ligatures w14:val="none"/>
        </w:rPr>
        <w:t>2025)</w:t>
      </w:r>
    </w:p>
    <w:p w14:paraId="24F0DD93"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Gibbs’ Reflective Cycle offers a structured way to reflect on learning and practice across six stages: description, feelings, evaluation, analysis, conclusion, and action plan (Gibbs, 1988). Using this model, I reflected on how my understanding of stakeholder engagement developed while completing this portfolio.</w:t>
      </w:r>
    </w:p>
    <w:p w14:paraId="4771102B"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Description</w:t>
      </w:r>
      <w:r w:rsidRPr="003C725E">
        <w:rPr>
          <w:rFonts w:ascii="Arial" w:eastAsia="Times New Roman" w:hAnsi="Arial" w:cs="Arial"/>
          <w:kern w:val="0"/>
          <w:lang w:eastAsia="en-GB"/>
          <w14:ligatures w14:val="none"/>
        </w:rPr>
        <w:br/>
        <w:t>Throughout the module, I learned about stakeholder analysis, communication planning, consultation methods and ethical principles. I applied this knowledge to develop a realistic engagement strategy for the Canley redevelopment. This involved identifying key stakeholders, mapping their power and interest, designing communication tools, planning consultations, and exploring ethical issues, which reflects the application of stakeholder theory in practice (Freeman, 1984).</w:t>
      </w:r>
    </w:p>
    <w:p w14:paraId="57860B33"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Short example: When preparing the consultation plan, I realised how important it was to offer both online and paper survey options to reach all residents.</w:t>
      </w:r>
    </w:p>
    <w:p w14:paraId="4C688B9A" w14:textId="05B195CA"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Feelings</w:t>
      </w:r>
      <w:r w:rsidRPr="003C725E">
        <w:rPr>
          <w:rFonts w:ascii="Arial" w:eastAsia="Times New Roman" w:hAnsi="Arial" w:cs="Arial"/>
          <w:kern w:val="0"/>
          <w:lang w:eastAsia="en-GB"/>
          <w14:ligatures w14:val="none"/>
        </w:rPr>
        <w:br/>
      </w:r>
      <w:r w:rsidR="0091505D" w:rsidRPr="003C725E">
        <w:rPr>
          <w:rFonts w:ascii="Arial" w:eastAsia="Times New Roman" w:hAnsi="Arial" w:cs="Arial"/>
          <w:kern w:val="0"/>
          <w:lang w:eastAsia="en-GB"/>
          <w14:ligatures w14:val="none"/>
        </w:rPr>
        <w:t>Initially, I was unsure how to balance priorities and developers focused on cost and efficiency, while residents prioritised safety and community impact. I</w:t>
      </w:r>
      <w:r w:rsidR="00EF7622" w:rsidRPr="003C725E">
        <w:rPr>
          <w:rFonts w:ascii="Arial" w:eastAsia="Times New Roman" w:hAnsi="Arial" w:cs="Arial"/>
          <w:kern w:val="0"/>
          <w:lang w:eastAsia="en-GB"/>
          <w14:ligatures w14:val="none"/>
        </w:rPr>
        <w:t xml:space="preserve"> also felt unsure about designing engagement activities that would work for Canley’s diverse </w:t>
      </w:r>
      <w:r w:rsidR="001765A6" w:rsidRPr="003C725E">
        <w:rPr>
          <w:rFonts w:ascii="Arial" w:eastAsia="Times New Roman" w:hAnsi="Arial" w:cs="Arial"/>
          <w:kern w:val="0"/>
          <w:lang w:eastAsia="en-GB"/>
          <w14:ligatures w14:val="none"/>
        </w:rPr>
        <w:t>population.</w:t>
      </w:r>
      <w:r w:rsidR="00977CA0" w:rsidRPr="003C725E">
        <w:rPr>
          <w:rFonts w:ascii="Arial" w:hAnsi="Arial" w:cs="Arial"/>
        </w:rPr>
        <w:t xml:space="preserve"> </w:t>
      </w:r>
      <w:r w:rsidR="00977CA0" w:rsidRPr="003C725E">
        <w:rPr>
          <w:rFonts w:ascii="Arial" w:eastAsia="Times New Roman" w:hAnsi="Arial" w:cs="Arial"/>
          <w:kern w:val="0"/>
          <w:lang w:eastAsia="en-GB"/>
          <w14:ligatures w14:val="none"/>
        </w:rPr>
        <w:t xml:space="preserve">This emotional uncertainty is not uncommon in community projects, where the balance between power and vulnerability must be managed carefully </w:t>
      </w:r>
      <w:r w:rsidR="00977CA0" w:rsidRPr="003C725E">
        <w:rPr>
          <w:rFonts w:ascii="Arial" w:eastAsia="Times New Roman" w:hAnsi="Arial" w:cs="Arial"/>
          <w:kern w:val="0"/>
          <w:lang w:eastAsia="en-GB"/>
          <w14:ligatures w14:val="none"/>
        </w:rPr>
        <w:lastRenderedPageBreak/>
        <w:t>(Bowen et al., 2010). Ethical guidelines, such as those by the ATSDR (2020), emphasise emotional safety as a key part of respectful stakeholder interaction and reinforcing my early concerns about doing no harm during engagement.</w:t>
      </w:r>
    </w:p>
    <w:p w14:paraId="61C0783F"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As I progressed, I became more confident. Understanding DEI and ethical communication made me more aware of how to support vulnerable groups and avoid exclusion (Public Health England, 2019). I realised that community engagement is less about having a perfect plan and more about being transparent, flexible, and responsive.</w:t>
      </w:r>
    </w:p>
    <w:p w14:paraId="2FD1F8E8"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By the end of the portfolio, I felt more confident in my ability to design an ethical, inclusive, and evidence-based stakeholder engagement strategy.</w:t>
      </w:r>
    </w:p>
    <w:p w14:paraId="2546A4F7"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Evaluation</w:t>
      </w:r>
      <w:r w:rsidRPr="003C725E">
        <w:rPr>
          <w:rFonts w:ascii="Arial" w:eastAsia="Times New Roman" w:hAnsi="Arial" w:cs="Arial"/>
          <w:kern w:val="0"/>
          <w:lang w:eastAsia="en-GB"/>
          <w14:ligatures w14:val="none"/>
        </w:rPr>
        <w:br/>
        <w:t>There were clear strengths in my learning experience:</w:t>
      </w:r>
    </w:p>
    <w:p w14:paraId="2233528D"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The stakeholder mapping process helped me structure complex relationships in a clear way, reflecting models from stakeholder theory (Mitchell et al., 1997).</w:t>
      </w:r>
      <w:r w:rsidRPr="003C725E">
        <w:rPr>
          <w:rFonts w:ascii="Arial" w:eastAsia="Times New Roman" w:hAnsi="Arial" w:cs="Arial"/>
          <w:kern w:val="0"/>
          <w:lang w:eastAsia="en-GB"/>
          <w14:ligatures w14:val="none"/>
        </w:rPr>
        <w:br/>
        <w:t>• The communication plan made me think critically about accessibility and inclusion.</w:t>
      </w:r>
      <w:r w:rsidRPr="003C725E">
        <w:rPr>
          <w:rFonts w:ascii="Arial" w:eastAsia="Times New Roman" w:hAnsi="Arial" w:cs="Arial"/>
          <w:kern w:val="0"/>
          <w:lang w:eastAsia="en-GB"/>
          <w14:ligatures w14:val="none"/>
        </w:rPr>
        <w:br/>
        <w:t>• The DEI section highlighted the importance of designing processes that do not favour only confident or digitally literate residents.</w:t>
      </w:r>
      <w:r w:rsidRPr="003C725E">
        <w:rPr>
          <w:rFonts w:ascii="Arial" w:eastAsia="Times New Roman" w:hAnsi="Arial" w:cs="Arial"/>
          <w:kern w:val="0"/>
          <w:lang w:eastAsia="en-GB"/>
          <w14:ligatures w14:val="none"/>
        </w:rPr>
        <w:br/>
        <w:t>• The ethical analysis helped me see engagement as a responsibility grounded in fairness and social value (Social Value UK, 2020).</w:t>
      </w:r>
    </w:p>
    <w:p w14:paraId="25F2B54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However, I also faced challenges:</w:t>
      </w:r>
    </w:p>
    <w:p w14:paraId="6B2043C5"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Turning theory into realistic engagement actions was more difficult than learning concepts in isolation.</w:t>
      </w:r>
      <w:r w:rsidRPr="003C725E">
        <w:rPr>
          <w:rFonts w:ascii="Arial" w:eastAsia="Times New Roman" w:hAnsi="Arial" w:cs="Arial"/>
          <w:kern w:val="0"/>
          <w:lang w:eastAsia="en-GB"/>
          <w14:ligatures w14:val="none"/>
        </w:rPr>
        <w:br/>
        <w:t>• Balancing the needs of powerful institutional stakeholders and those of vulnerable residents felt complex.</w:t>
      </w:r>
      <w:r w:rsidRPr="003C725E">
        <w:rPr>
          <w:rFonts w:ascii="Arial" w:eastAsia="Times New Roman" w:hAnsi="Arial" w:cs="Arial"/>
          <w:kern w:val="0"/>
          <w:lang w:eastAsia="en-GB"/>
          <w14:ligatures w14:val="none"/>
        </w:rPr>
        <w:br/>
        <w:t>• Writing in clear, accessible language, rather than academic jargon, required conscious effort.</w:t>
      </w:r>
      <w:r w:rsidRPr="003C725E">
        <w:rPr>
          <w:rFonts w:ascii="Arial" w:eastAsia="Times New Roman" w:hAnsi="Arial" w:cs="Arial"/>
          <w:kern w:val="0"/>
          <w:lang w:eastAsia="en-GB"/>
          <w14:ligatures w14:val="none"/>
        </w:rPr>
        <w:br/>
        <w:t>• It was sometimes hard to judge which engagement method was best for each stakeholder group.</w:t>
      </w:r>
    </w:p>
    <w:p w14:paraId="4FD4CF8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Example: I found it challenging to decide whether students at the University of Warwick should be engaged directly or just kept informed as lower-interest stakeholders.</w:t>
      </w:r>
    </w:p>
    <w:p w14:paraId="32297A48"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Analysis</w:t>
      </w:r>
      <w:r w:rsidRPr="003C725E">
        <w:rPr>
          <w:rFonts w:ascii="Arial" w:eastAsia="Times New Roman" w:hAnsi="Arial" w:cs="Arial"/>
          <w:kern w:val="0"/>
          <w:lang w:eastAsia="en-GB"/>
          <w14:ligatures w14:val="none"/>
        </w:rPr>
        <w:br/>
        <w:t>The analysis stage of Gibbs’ model allowed me to explore what this learning meant in a deeper way (Gibbs, 1988). I learned that stakeholder engagement is not simply about telling people what will happen; it is about creating space for dialogue, negotiation, and shared understanding. Academic literature emphasises that effective engagement improves legitimacy, reduces opposition, and leads to more sustainable outcomes (Bowen et al., 2010; Involve, 2019). Applying these ideas to Canley helped me see the practical value of good engagement, not just the theory.</w:t>
      </w:r>
    </w:p>
    <w:p w14:paraId="7C44DDA4"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I also developed a stronger understanding of power dynamics. Stakeholders with less power often face greater vulnerability in redevelopment, requiring proactive support to ensure ethical inclusion (Mitchell et al., 1997; Public Health England, 2019). This influenced my decision to emphasise targeted outreach, home visits and translated materials for Canley. Furthermore, theories of inclusive participation highlight that relying on traditional public meetings can exclude those who are less confident, less mobile, or less familiar with formal processes (Neighbourhood Renewal Unit, 2019). This reinforced the importance of using a multi-method consultation strategy.</w:t>
      </w:r>
    </w:p>
    <w:p w14:paraId="78F7D356"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Overall, I realised that effective engagement is relational and continuous rather than a one-off exercise.</w:t>
      </w:r>
    </w:p>
    <w:p w14:paraId="567386B2"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Conclusion</w:t>
      </w:r>
      <w:r w:rsidRPr="003C725E">
        <w:rPr>
          <w:rFonts w:ascii="Arial" w:eastAsia="Times New Roman" w:hAnsi="Arial" w:cs="Arial"/>
          <w:kern w:val="0"/>
          <w:lang w:eastAsia="en-GB"/>
          <w14:ligatures w14:val="none"/>
        </w:rPr>
        <w:br/>
        <w:t>Reflecting on my experience, I can see that my understanding of stakeholder engagement has grown significantly. I now recognise that:</w:t>
      </w:r>
    </w:p>
    <w:p w14:paraId="29034FA1"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Clear and inclusive communication is essential for trust (ATSDR, 2020).</w:t>
      </w:r>
      <w:r w:rsidRPr="003C725E">
        <w:rPr>
          <w:rFonts w:ascii="Arial" w:eastAsia="Times New Roman" w:hAnsi="Arial" w:cs="Arial"/>
          <w:kern w:val="0"/>
          <w:lang w:eastAsia="en-GB"/>
          <w14:ligatures w14:val="none"/>
        </w:rPr>
        <w:br/>
        <w:t>• Multi-method consultation is necessary to reach all groups (Involve, 2019).</w:t>
      </w:r>
      <w:r w:rsidRPr="003C725E">
        <w:rPr>
          <w:rFonts w:ascii="Arial" w:eastAsia="Times New Roman" w:hAnsi="Arial" w:cs="Arial"/>
          <w:kern w:val="0"/>
          <w:lang w:eastAsia="en-GB"/>
          <w14:ligatures w14:val="none"/>
        </w:rPr>
        <w:br/>
        <w:t>• DEI should be embedded throughout, not added at the end (National Standards for Community Engagement, 2016).</w:t>
      </w:r>
      <w:r w:rsidRPr="003C725E">
        <w:rPr>
          <w:rFonts w:ascii="Arial" w:eastAsia="Times New Roman" w:hAnsi="Arial" w:cs="Arial"/>
          <w:kern w:val="0"/>
          <w:lang w:eastAsia="en-GB"/>
          <w14:ligatures w14:val="none"/>
        </w:rPr>
        <w:br/>
        <w:t xml:space="preserve">• Ethical practice protects residents and strengthens project legitimacy (Tunstall, </w:t>
      </w:r>
      <w:r w:rsidRPr="003C725E">
        <w:rPr>
          <w:rFonts w:ascii="Arial" w:eastAsia="Times New Roman" w:hAnsi="Arial" w:cs="Arial"/>
          <w:kern w:val="0"/>
          <w:lang w:eastAsia="en-GB"/>
          <w14:ligatures w14:val="none"/>
        </w:rPr>
        <w:lastRenderedPageBreak/>
        <w:t>2015).</w:t>
      </w:r>
      <w:r w:rsidRPr="003C725E">
        <w:rPr>
          <w:rFonts w:ascii="Arial" w:eastAsia="Times New Roman" w:hAnsi="Arial" w:cs="Arial"/>
          <w:kern w:val="0"/>
          <w:lang w:eastAsia="en-GB"/>
          <w14:ligatures w14:val="none"/>
        </w:rPr>
        <w:br/>
        <w:t>• Stakeholder theory is most powerful when applied practically (Freeman, 1984).</w:t>
      </w:r>
    </w:p>
    <w:p w14:paraId="7F129BB7" w14:textId="77777777"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I feel more confident about applying these ideas in real projects and better prepared for roles where engagement and consultation are central.</w:t>
      </w:r>
    </w:p>
    <w:p w14:paraId="187A00DD" w14:textId="54470D2A" w:rsidR="00DC46CD"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Action Plan</w:t>
      </w:r>
      <w:r w:rsidRPr="003C725E">
        <w:rPr>
          <w:rFonts w:ascii="Arial" w:eastAsia="Times New Roman" w:hAnsi="Arial" w:cs="Arial"/>
          <w:kern w:val="0"/>
          <w:lang w:eastAsia="en-GB"/>
          <w14:ligatures w14:val="none"/>
        </w:rPr>
        <w:br/>
      </w:r>
      <w:bookmarkStart w:id="44" w:name="_Toc214400100"/>
      <w:r w:rsidR="00DC46CD" w:rsidRPr="003C725E">
        <w:rPr>
          <w:rFonts w:ascii="Arial" w:eastAsia="Times New Roman" w:hAnsi="Arial" w:cs="Arial"/>
          <w:kern w:val="0"/>
          <w:lang w:eastAsia="en-GB"/>
          <w14:ligatures w14:val="none"/>
        </w:rPr>
        <w:t xml:space="preserve">Gain live facilitation </w:t>
      </w:r>
      <w:proofErr w:type="gramStart"/>
      <w:r w:rsidR="00DC46CD" w:rsidRPr="003C725E">
        <w:rPr>
          <w:rFonts w:ascii="Arial" w:eastAsia="Times New Roman" w:hAnsi="Arial" w:cs="Arial"/>
          <w:kern w:val="0"/>
          <w:lang w:eastAsia="en-GB"/>
          <w14:ligatures w14:val="none"/>
        </w:rPr>
        <w:t>experience</w:t>
      </w:r>
      <w:proofErr w:type="gramEnd"/>
    </w:p>
    <w:p w14:paraId="1259CF1C" w14:textId="206A0A6E" w:rsidR="00DC46CD" w:rsidRPr="003C725E" w:rsidRDefault="00DC46CD"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Improve conflict-resolution </w:t>
      </w:r>
      <w:proofErr w:type="gramStart"/>
      <w:r w:rsidRPr="003C725E">
        <w:rPr>
          <w:rFonts w:ascii="Arial" w:eastAsia="Times New Roman" w:hAnsi="Arial" w:cs="Arial"/>
          <w:kern w:val="0"/>
          <w:lang w:eastAsia="en-GB"/>
          <w14:ligatures w14:val="none"/>
        </w:rPr>
        <w:t>skills</w:t>
      </w:r>
      <w:proofErr w:type="gramEnd"/>
    </w:p>
    <w:p w14:paraId="19A60997" w14:textId="1FC0FD13" w:rsidR="00DC46CD" w:rsidRPr="003C725E" w:rsidRDefault="00DC46CD"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Learn impact measurement </w:t>
      </w:r>
      <w:proofErr w:type="gramStart"/>
      <w:r w:rsidRPr="003C725E">
        <w:rPr>
          <w:rFonts w:ascii="Arial" w:eastAsia="Times New Roman" w:hAnsi="Arial" w:cs="Arial"/>
          <w:kern w:val="0"/>
          <w:lang w:eastAsia="en-GB"/>
          <w14:ligatures w14:val="none"/>
        </w:rPr>
        <w:t>tools</w:t>
      </w:r>
      <w:proofErr w:type="gramEnd"/>
    </w:p>
    <w:p w14:paraId="283D5774" w14:textId="188C6DCD" w:rsidR="00DC46CD" w:rsidRPr="003C725E" w:rsidRDefault="00DC46CD"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Develop accessible materials (e.g. “You Said, We Did”)</w:t>
      </w:r>
    </w:p>
    <w:p w14:paraId="38A27768" w14:textId="3E630776" w:rsidR="00DC46CD" w:rsidRPr="003C725E" w:rsidRDefault="00DC46CD"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Review regeneration case studies for best </w:t>
      </w:r>
      <w:proofErr w:type="gramStart"/>
      <w:r w:rsidRPr="003C725E">
        <w:rPr>
          <w:rFonts w:ascii="Arial" w:eastAsia="Times New Roman" w:hAnsi="Arial" w:cs="Arial"/>
          <w:kern w:val="0"/>
          <w:lang w:eastAsia="en-GB"/>
          <w14:ligatures w14:val="none"/>
        </w:rPr>
        <w:t>practice</w:t>
      </w:r>
      <w:proofErr w:type="gramEnd"/>
    </w:p>
    <w:p w14:paraId="1881F278" w14:textId="77777777" w:rsidR="00DC46CD" w:rsidRPr="003C725E" w:rsidRDefault="00DC46CD"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These steps will strengthen my future work in community-focused regeneration and stakeholder engagement.</w:t>
      </w:r>
    </w:p>
    <w:p w14:paraId="697500F5" w14:textId="151317BA" w:rsidR="00912D86" w:rsidRPr="003C725E" w:rsidRDefault="00912D86" w:rsidP="003C725E">
      <w:p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b/>
          <w:bCs/>
          <w:kern w:val="0"/>
          <w:lang w:eastAsia="en-GB"/>
          <w14:ligatures w14:val="none"/>
        </w:rPr>
        <w:t>Reference List</w:t>
      </w:r>
      <w:bookmarkEnd w:id="44"/>
    </w:p>
    <w:p w14:paraId="6D46B9F4" w14:textId="459CB95B"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Agency for Toxic Substances and Disease Registry (ATSDR) (2020) </w:t>
      </w:r>
      <w:r w:rsidRPr="003C725E">
        <w:rPr>
          <w:rFonts w:ascii="Arial" w:eastAsia="Times New Roman" w:hAnsi="Arial" w:cs="Arial"/>
          <w:i/>
          <w:iCs/>
          <w:kern w:val="0"/>
          <w:lang w:eastAsia="en-GB"/>
          <w14:ligatures w14:val="none"/>
        </w:rPr>
        <w:t>Principles of community engagement</w:t>
      </w:r>
      <w:r w:rsidRPr="003C725E">
        <w:rPr>
          <w:rFonts w:ascii="Arial" w:eastAsia="Times New Roman" w:hAnsi="Arial" w:cs="Arial"/>
          <w:kern w:val="0"/>
          <w:lang w:eastAsia="en-GB"/>
          <w14:ligatures w14:val="none"/>
        </w:rPr>
        <w:t xml:space="preserve">. [Online] Available at: </w:t>
      </w:r>
      <w:hyperlink r:id="rId33" w:tgtFrame="_new" w:history="1">
        <w:r w:rsidRPr="003C725E">
          <w:rPr>
            <w:rFonts w:ascii="Arial" w:eastAsia="Times New Roman" w:hAnsi="Arial" w:cs="Arial"/>
            <w:color w:val="0000FF"/>
            <w:kern w:val="0"/>
            <w:u w:val="single"/>
            <w:lang w:eastAsia="en-GB"/>
            <w14:ligatures w14:val="none"/>
          </w:rPr>
          <w:t>https://www.atsdr.cdc.gov/communityengagement/</w:t>
        </w:r>
      </w:hyperlink>
      <w:r w:rsidRPr="003C725E">
        <w:rPr>
          <w:rFonts w:ascii="Arial" w:eastAsia="Times New Roman" w:hAnsi="Arial" w:cs="Arial"/>
          <w:kern w:val="0"/>
          <w:lang w:eastAsia="en-GB"/>
          <w14:ligatures w14:val="none"/>
        </w:rPr>
        <w:t xml:space="preserve"> [Accessed: 10 November 2025].</w:t>
      </w:r>
    </w:p>
    <w:p w14:paraId="4D58AF70" w14:textId="3659239F"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Bowen, F., Newenham-Kahindi, A. and </w:t>
      </w:r>
      <w:proofErr w:type="spellStart"/>
      <w:r w:rsidRPr="003C725E">
        <w:rPr>
          <w:rFonts w:ascii="Arial" w:eastAsia="Times New Roman" w:hAnsi="Arial" w:cs="Arial"/>
          <w:kern w:val="0"/>
          <w:lang w:eastAsia="en-GB"/>
          <w14:ligatures w14:val="none"/>
        </w:rPr>
        <w:t>Herremans</w:t>
      </w:r>
      <w:proofErr w:type="spellEnd"/>
      <w:r w:rsidRPr="003C725E">
        <w:rPr>
          <w:rFonts w:ascii="Arial" w:eastAsia="Times New Roman" w:hAnsi="Arial" w:cs="Arial"/>
          <w:kern w:val="0"/>
          <w:lang w:eastAsia="en-GB"/>
          <w14:ligatures w14:val="none"/>
        </w:rPr>
        <w:t xml:space="preserve">, I. (2010) ‘When suits meet roots: The antecedents and consequences of community engagement strategy’, </w:t>
      </w:r>
      <w:r w:rsidRPr="003C725E">
        <w:rPr>
          <w:rFonts w:ascii="Arial" w:eastAsia="Times New Roman" w:hAnsi="Arial" w:cs="Arial"/>
          <w:i/>
          <w:iCs/>
          <w:kern w:val="0"/>
          <w:lang w:eastAsia="en-GB"/>
          <w14:ligatures w14:val="none"/>
        </w:rPr>
        <w:t>Journal of Business Ethics</w:t>
      </w:r>
      <w:r w:rsidRPr="003C725E">
        <w:rPr>
          <w:rFonts w:ascii="Arial" w:eastAsia="Times New Roman" w:hAnsi="Arial" w:cs="Arial"/>
          <w:kern w:val="0"/>
          <w:lang w:eastAsia="en-GB"/>
          <w14:ligatures w14:val="none"/>
        </w:rPr>
        <w:t xml:space="preserve">, 95(2), pp. 297–318. </w:t>
      </w:r>
      <w:hyperlink r:id="rId34" w:tgtFrame="_new" w:history="1">
        <w:r w:rsidRPr="003C725E">
          <w:rPr>
            <w:rFonts w:ascii="Arial" w:eastAsia="Times New Roman" w:hAnsi="Arial" w:cs="Arial"/>
            <w:color w:val="0000FF"/>
            <w:kern w:val="0"/>
            <w:u w:val="single"/>
            <w:lang w:eastAsia="en-GB"/>
            <w14:ligatures w14:val="none"/>
          </w:rPr>
          <w:t>https://doi.org/10.1007/s10551-009-0360-1</w:t>
        </w:r>
      </w:hyperlink>
    </w:p>
    <w:p w14:paraId="5E4F47CF" w14:textId="03DA231D"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Canley Community Centre (2024) </w:t>
      </w:r>
      <w:r w:rsidRPr="003C725E">
        <w:rPr>
          <w:rFonts w:ascii="Arial" w:eastAsia="Times New Roman" w:hAnsi="Arial" w:cs="Arial"/>
          <w:i/>
          <w:iCs/>
          <w:kern w:val="0"/>
          <w:lang w:eastAsia="en-GB"/>
          <w14:ligatures w14:val="none"/>
        </w:rPr>
        <w:t>Community services overview</w:t>
      </w:r>
      <w:r w:rsidRPr="003C725E">
        <w:rPr>
          <w:rFonts w:ascii="Arial" w:eastAsia="Times New Roman" w:hAnsi="Arial" w:cs="Arial"/>
          <w:kern w:val="0"/>
          <w:lang w:eastAsia="en-GB"/>
          <w14:ligatures w14:val="none"/>
        </w:rPr>
        <w:t xml:space="preserve">. [Online] Available at: </w:t>
      </w:r>
      <w:hyperlink r:id="rId35" w:tgtFrame="_new" w:history="1">
        <w:r w:rsidRPr="003C725E">
          <w:rPr>
            <w:rFonts w:ascii="Arial" w:eastAsia="Times New Roman" w:hAnsi="Arial" w:cs="Arial"/>
            <w:color w:val="0000FF"/>
            <w:kern w:val="0"/>
            <w:u w:val="single"/>
            <w:lang w:eastAsia="en-GB"/>
            <w14:ligatures w14:val="none"/>
          </w:rPr>
          <w:t>https://www.canleycommunitycentre.co.uk</w:t>
        </w:r>
      </w:hyperlink>
      <w:r w:rsidRPr="003C725E">
        <w:rPr>
          <w:rFonts w:ascii="Arial" w:eastAsia="Times New Roman" w:hAnsi="Arial" w:cs="Arial"/>
          <w:kern w:val="0"/>
          <w:lang w:eastAsia="en-GB"/>
          <w14:ligatures w14:val="none"/>
        </w:rPr>
        <w:t xml:space="preserve"> [Accessed: 10 November 2025].</w:t>
      </w:r>
    </w:p>
    <w:p w14:paraId="2282AE29" w14:textId="68CC4BB9"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Canley Community Church (2025) </w:t>
      </w:r>
      <w:r w:rsidRPr="003C725E">
        <w:rPr>
          <w:rFonts w:ascii="Arial" w:eastAsia="Times New Roman" w:hAnsi="Arial" w:cs="Arial"/>
          <w:i/>
          <w:iCs/>
          <w:kern w:val="0"/>
          <w:lang w:eastAsia="en-GB"/>
          <w14:ligatures w14:val="none"/>
        </w:rPr>
        <w:t>Find us</w:t>
      </w:r>
      <w:r w:rsidRPr="003C725E">
        <w:rPr>
          <w:rFonts w:ascii="Arial" w:eastAsia="Times New Roman" w:hAnsi="Arial" w:cs="Arial"/>
          <w:kern w:val="0"/>
          <w:lang w:eastAsia="en-GB"/>
          <w14:ligatures w14:val="none"/>
        </w:rPr>
        <w:t xml:space="preserve">. [Online] Available at: </w:t>
      </w:r>
      <w:hyperlink r:id="rId36" w:tgtFrame="_new" w:history="1">
        <w:r w:rsidRPr="003C725E">
          <w:rPr>
            <w:rFonts w:ascii="Arial" w:eastAsia="Times New Roman" w:hAnsi="Arial" w:cs="Arial"/>
            <w:color w:val="0000FF"/>
            <w:kern w:val="0"/>
            <w:u w:val="single"/>
            <w:lang w:eastAsia="en-GB"/>
            <w14:ligatures w14:val="none"/>
          </w:rPr>
          <w:t>https://www.canleycommunitychurch.org.uk</w:t>
        </w:r>
      </w:hyperlink>
      <w:r w:rsidRPr="003C725E">
        <w:rPr>
          <w:rFonts w:ascii="Arial" w:eastAsia="Times New Roman" w:hAnsi="Arial" w:cs="Arial"/>
          <w:kern w:val="0"/>
          <w:lang w:eastAsia="en-GB"/>
          <w14:ligatures w14:val="none"/>
        </w:rPr>
        <w:t xml:space="preserve"> [Accessed: 10 November 2025].</w:t>
      </w:r>
    </w:p>
    <w:p w14:paraId="0A602C32" w14:textId="59E25CAB"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 xml:space="preserve">Change Grow Live (2024) </w:t>
      </w:r>
      <w:r w:rsidRPr="003C725E">
        <w:rPr>
          <w:rFonts w:ascii="Arial" w:eastAsia="Times New Roman" w:hAnsi="Arial" w:cs="Arial"/>
          <w:i/>
          <w:iCs/>
          <w:kern w:val="0"/>
          <w:lang w:eastAsia="en-GB"/>
          <w14:ligatures w14:val="none"/>
        </w:rPr>
        <w:t>Coventry drug and alcohol service</w:t>
      </w:r>
      <w:r w:rsidRPr="003C725E">
        <w:rPr>
          <w:rFonts w:ascii="Arial" w:eastAsia="Times New Roman" w:hAnsi="Arial" w:cs="Arial"/>
          <w:kern w:val="0"/>
          <w:lang w:eastAsia="en-GB"/>
          <w14:ligatures w14:val="none"/>
        </w:rPr>
        <w:t xml:space="preserve">. [Online] Available at: </w:t>
      </w:r>
      <w:hyperlink r:id="rId37" w:tgtFrame="_new" w:history="1">
        <w:r w:rsidRPr="003C725E">
          <w:rPr>
            <w:rFonts w:ascii="Arial" w:eastAsia="Times New Roman" w:hAnsi="Arial" w:cs="Arial"/>
            <w:color w:val="0000FF"/>
            <w:kern w:val="0"/>
            <w:u w:val="single"/>
            <w:lang w:eastAsia="en-GB"/>
            <w14:ligatures w14:val="none"/>
          </w:rPr>
          <w:t>https://www.changegrowlive.org/service/coventry-drug-alcohol/info</w:t>
        </w:r>
      </w:hyperlink>
      <w:r w:rsidRPr="003C725E">
        <w:rPr>
          <w:rFonts w:ascii="Arial" w:eastAsia="Times New Roman" w:hAnsi="Arial" w:cs="Arial"/>
          <w:kern w:val="0"/>
          <w:lang w:eastAsia="en-GB"/>
          <w14:ligatures w14:val="none"/>
        </w:rPr>
        <w:t xml:space="preserve"> [Accessed: 10 November 2025].</w:t>
      </w:r>
    </w:p>
    <w:p w14:paraId="268C30B7" w14:textId="256ACC8C"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Citizen Housing (2022) </w:t>
      </w:r>
      <w:r w:rsidRPr="003C725E">
        <w:rPr>
          <w:rFonts w:ascii="Arial" w:eastAsia="Times New Roman" w:hAnsi="Arial" w:cs="Arial"/>
          <w:i/>
          <w:iCs/>
          <w:kern w:val="0"/>
          <w:lang w:eastAsia="en-GB"/>
          <w14:ligatures w14:val="none"/>
        </w:rPr>
        <w:t>Annual report</w:t>
      </w:r>
      <w:r w:rsidRPr="003C725E">
        <w:rPr>
          <w:rFonts w:ascii="Arial" w:eastAsia="Times New Roman" w:hAnsi="Arial" w:cs="Arial"/>
          <w:kern w:val="0"/>
          <w:lang w:eastAsia="en-GB"/>
          <w14:ligatures w14:val="none"/>
        </w:rPr>
        <w:t xml:space="preserve">. Coventry: Citizen Housing. Available at: </w:t>
      </w:r>
      <w:hyperlink r:id="rId38" w:tgtFrame="_new" w:history="1">
        <w:r w:rsidRPr="003C725E">
          <w:rPr>
            <w:rFonts w:ascii="Arial" w:eastAsia="Times New Roman" w:hAnsi="Arial" w:cs="Arial"/>
            <w:color w:val="0000FF"/>
            <w:kern w:val="0"/>
            <w:u w:val="single"/>
            <w:lang w:eastAsia="en-GB"/>
            <w14:ligatures w14:val="none"/>
          </w:rPr>
          <w:t>https://www.citizenhousing.org.uk/</w:t>
        </w:r>
      </w:hyperlink>
      <w:r w:rsidRPr="003C725E">
        <w:rPr>
          <w:rFonts w:ascii="Arial" w:eastAsia="Times New Roman" w:hAnsi="Arial" w:cs="Arial"/>
          <w:kern w:val="0"/>
          <w:lang w:eastAsia="en-GB"/>
          <w14:ligatures w14:val="none"/>
        </w:rPr>
        <w:t xml:space="preserve"> [Accessed: 10 November 2025].</w:t>
      </w:r>
    </w:p>
    <w:p w14:paraId="6B3598F2" w14:textId="02C6392B"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Coventry City Council (2019) </w:t>
      </w:r>
      <w:proofErr w:type="spellStart"/>
      <w:r w:rsidRPr="003C725E">
        <w:rPr>
          <w:rFonts w:ascii="Arial" w:eastAsia="Times New Roman" w:hAnsi="Arial" w:cs="Arial"/>
          <w:i/>
          <w:iCs/>
          <w:kern w:val="0"/>
          <w:lang w:eastAsia="en-GB"/>
          <w14:ligatures w14:val="none"/>
        </w:rPr>
        <w:t>SuDS</w:t>
      </w:r>
      <w:proofErr w:type="spellEnd"/>
      <w:r w:rsidRPr="003C725E">
        <w:rPr>
          <w:rFonts w:ascii="Arial" w:eastAsia="Times New Roman" w:hAnsi="Arial" w:cs="Arial"/>
          <w:i/>
          <w:iCs/>
          <w:kern w:val="0"/>
          <w:lang w:eastAsia="en-GB"/>
          <w14:ligatures w14:val="none"/>
        </w:rPr>
        <w:t xml:space="preserve"> guidance for Canley regeneration zone</w:t>
      </w:r>
      <w:r w:rsidRPr="003C725E">
        <w:rPr>
          <w:rFonts w:ascii="Arial" w:eastAsia="Times New Roman" w:hAnsi="Arial" w:cs="Arial"/>
          <w:kern w:val="0"/>
          <w:lang w:eastAsia="en-GB"/>
          <w14:ligatures w14:val="none"/>
        </w:rPr>
        <w:t>. Coventry: CCC.</w:t>
      </w:r>
    </w:p>
    <w:p w14:paraId="02396C29" w14:textId="3D4CF37D"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Coventry City Council (2022) </w:t>
      </w:r>
      <w:r w:rsidRPr="003C725E">
        <w:rPr>
          <w:rFonts w:ascii="Arial" w:eastAsia="Times New Roman" w:hAnsi="Arial" w:cs="Arial"/>
          <w:i/>
          <w:iCs/>
          <w:kern w:val="0"/>
          <w:lang w:eastAsia="en-GB"/>
          <w14:ligatures w14:val="none"/>
        </w:rPr>
        <w:t>Housing and regeneration strategy</w:t>
      </w:r>
      <w:r w:rsidRPr="003C725E">
        <w:rPr>
          <w:rFonts w:ascii="Arial" w:eastAsia="Times New Roman" w:hAnsi="Arial" w:cs="Arial"/>
          <w:kern w:val="0"/>
          <w:lang w:eastAsia="en-GB"/>
          <w14:ligatures w14:val="none"/>
        </w:rPr>
        <w:t>. Coventry: CCC.</w:t>
      </w:r>
    </w:p>
    <w:p w14:paraId="6FF71844" w14:textId="19E3F3F3"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Coventry City Council (2025) </w:t>
      </w:r>
      <w:r w:rsidRPr="003C725E">
        <w:rPr>
          <w:rFonts w:ascii="Arial" w:eastAsia="Times New Roman" w:hAnsi="Arial" w:cs="Arial"/>
          <w:i/>
          <w:iCs/>
          <w:kern w:val="0"/>
          <w:lang w:eastAsia="en-GB"/>
          <w14:ligatures w14:val="none"/>
        </w:rPr>
        <w:t>Online planning map</w:t>
      </w:r>
      <w:r w:rsidRPr="003C725E">
        <w:rPr>
          <w:rFonts w:ascii="Arial" w:eastAsia="Times New Roman" w:hAnsi="Arial" w:cs="Arial"/>
          <w:kern w:val="0"/>
          <w:lang w:eastAsia="en-GB"/>
          <w14:ligatures w14:val="none"/>
        </w:rPr>
        <w:t xml:space="preserve">. [Online] Available at: </w:t>
      </w:r>
      <w:hyperlink r:id="rId39" w:tgtFrame="_new" w:history="1">
        <w:r w:rsidRPr="003C725E">
          <w:rPr>
            <w:rFonts w:ascii="Arial" w:eastAsia="Times New Roman" w:hAnsi="Arial" w:cs="Arial"/>
            <w:color w:val="0000FF"/>
            <w:kern w:val="0"/>
            <w:u w:val="single"/>
            <w:lang w:eastAsia="en-GB"/>
            <w14:ligatures w14:val="none"/>
          </w:rPr>
          <w:t>https://maps.coventry.gov.uk</w:t>
        </w:r>
      </w:hyperlink>
      <w:r w:rsidRPr="003C725E">
        <w:rPr>
          <w:rFonts w:ascii="Arial" w:eastAsia="Times New Roman" w:hAnsi="Arial" w:cs="Arial"/>
          <w:kern w:val="0"/>
          <w:lang w:eastAsia="en-GB"/>
          <w14:ligatures w14:val="none"/>
        </w:rPr>
        <w:t xml:space="preserve"> [Accessed: 10 November 2025].</w:t>
      </w:r>
    </w:p>
    <w:p w14:paraId="756ACB75" w14:textId="347BE50E"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Coventry Telegraph (2023) ‘Canley redevelopment plans revealed’, </w:t>
      </w:r>
      <w:r w:rsidRPr="003C725E">
        <w:rPr>
          <w:rFonts w:ascii="Arial" w:eastAsia="Times New Roman" w:hAnsi="Arial" w:cs="Arial"/>
          <w:i/>
          <w:iCs/>
          <w:kern w:val="0"/>
          <w:lang w:eastAsia="en-GB"/>
          <w14:ligatures w14:val="none"/>
        </w:rPr>
        <w:t>Coventry Telegraph</w:t>
      </w:r>
      <w:r w:rsidRPr="003C725E">
        <w:rPr>
          <w:rFonts w:ascii="Arial" w:eastAsia="Times New Roman" w:hAnsi="Arial" w:cs="Arial"/>
          <w:kern w:val="0"/>
          <w:lang w:eastAsia="en-GB"/>
          <w14:ligatures w14:val="none"/>
        </w:rPr>
        <w:t>, 12 March.</w:t>
      </w:r>
    </w:p>
    <w:p w14:paraId="1D0C47DC" w14:textId="0FFA0273"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Find A Grave (2025) </w:t>
      </w:r>
      <w:r w:rsidRPr="003C725E">
        <w:rPr>
          <w:rFonts w:ascii="Arial" w:eastAsia="Times New Roman" w:hAnsi="Arial" w:cs="Arial"/>
          <w:i/>
          <w:iCs/>
          <w:kern w:val="0"/>
          <w:lang w:eastAsia="en-GB"/>
          <w14:ligatures w14:val="none"/>
        </w:rPr>
        <w:t>Canley Garden Cemetery and Crematorium</w:t>
      </w:r>
      <w:r w:rsidRPr="003C725E">
        <w:rPr>
          <w:rFonts w:ascii="Arial" w:eastAsia="Times New Roman" w:hAnsi="Arial" w:cs="Arial"/>
          <w:kern w:val="0"/>
          <w:lang w:eastAsia="en-GB"/>
          <w14:ligatures w14:val="none"/>
        </w:rPr>
        <w:t xml:space="preserve">. [Online] Available at: </w:t>
      </w:r>
      <w:hyperlink r:id="rId40" w:tgtFrame="_new" w:history="1">
        <w:r w:rsidRPr="003C725E">
          <w:rPr>
            <w:rFonts w:ascii="Arial" w:eastAsia="Times New Roman" w:hAnsi="Arial" w:cs="Arial"/>
            <w:color w:val="0000FF"/>
            <w:kern w:val="0"/>
            <w:u w:val="single"/>
            <w:lang w:eastAsia="en-GB"/>
            <w14:ligatures w14:val="none"/>
          </w:rPr>
          <w:t>https://www.findagrave.com/cemetery/859632/canley-garden-cemetery-and-crematorium</w:t>
        </w:r>
      </w:hyperlink>
      <w:r w:rsidRPr="003C725E">
        <w:rPr>
          <w:rFonts w:ascii="Arial" w:eastAsia="Times New Roman" w:hAnsi="Arial" w:cs="Arial"/>
          <w:kern w:val="0"/>
          <w:lang w:eastAsia="en-GB"/>
          <w14:ligatures w14:val="none"/>
        </w:rPr>
        <w:t xml:space="preserve"> [Accessed: 19 November 2025].</w:t>
      </w:r>
    </w:p>
    <w:p w14:paraId="7B2D7C3D" w14:textId="27438E48"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Freeman, R.E. (1984) </w:t>
      </w:r>
      <w:r w:rsidRPr="003C725E">
        <w:rPr>
          <w:rFonts w:ascii="Arial" w:eastAsia="Times New Roman" w:hAnsi="Arial" w:cs="Arial"/>
          <w:i/>
          <w:iCs/>
          <w:kern w:val="0"/>
          <w:lang w:eastAsia="en-GB"/>
          <w14:ligatures w14:val="none"/>
        </w:rPr>
        <w:t>Strategic management: A stakeholder approach</w:t>
      </w:r>
      <w:r w:rsidRPr="003C725E">
        <w:rPr>
          <w:rFonts w:ascii="Arial" w:eastAsia="Times New Roman" w:hAnsi="Arial" w:cs="Arial"/>
          <w:kern w:val="0"/>
          <w:lang w:eastAsia="en-GB"/>
          <w14:ligatures w14:val="none"/>
        </w:rPr>
        <w:t>. Boston: Pitman Publishing.</w:t>
      </w:r>
    </w:p>
    <w:p w14:paraId="1B042EA4" w14:textId="5C250B22"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Gibbs, G. (1988) </w:t>
      </w:r>
      <w:r w:rsidRPr="003C725E">
        <w:rPr>
          <w:rFonts w:ascii="Arial" w:eastAsia="Times New Roman" w:hAnsi="Arial" w:cs="Arial"/>
          <w:i/>
          <w:iCs/>
          <w:kern w:val="0"/>
          <w:lang w:eastAsia="en-GB"/>
          <w14:ligatures w14:val="none"/>
        </w:rPr>
        <w:t>Learning by doing: A guide to teaching and learning methods</w:t>
      </w:r>
      <w:r w:rsidRPr="003C725E">
        <w:rPr>
          <w:rFonts w:ascii="Arial" w:eastAsia="Times New Roman" w:hAnsi="Arial" w:cs="Arial"/>
          <w:kern w:val="0"/>
          <w:lang w:eastAsia="en-GB"/>
          <w14:ligatures w14:val="none"/>
        </w:rPr>
        <w:t>. Oxford: Oxford Polytechnic.</w:t>
      </w:r>
    </w:p>
    <w:p w14:paraId="0A7E146F" w14:textId="7959BFFE"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Homes England (2020) </w:t>
      </w:r>
      <w:r w:rsidRPr="003C725E">
        <w:rPr>
          <w:rFonts w:ascii="Arial" w:eastAsia="Times New Roman" w:hAnsi="Arial" w:cs="Arial"/>
          <w:i/>
          <w:iCs/>
          <w:kern w:val="0"/>
          <w:lang w:eastAsia="en-GB"/>
          <w14:ligatures w14:val="none"/>
        </w:rPr>
        <w:t>Design and quality standards</w:t>
      </w:r>
      <w:r w:rsidRPr="003C725E">
        <w:rPr>
          <w:rFonts w:ascii="Arial" w:eastAsia="Times New Roman" w:hAnsi="Arial" w:cs="Arial"/>
          <w:kern w:val="0"/>
          <w:lang w:eastAsia="en-GB"/>
          <w14:ligatures w14:val="none"/>
        </w:rPr>
        <w:t xml:space="preserve">. [Online] Available at: </w:t>
      </w:r>
      <w:hyperlink r:id="rId41" w:tgtFrame="_new" w:history="1">
        <w:r w:rsidRPr="003C725E">
          <w:rPr>
            <w:rFonts w:ascii="Arial" w:eastAsia="Times New Roman" w:hAnsi="Arial" w:cs="Arial"/>
            <w:color w:val="0000FF"/>
            <w:kern w:val="0"/>
            <w:u w:val="single"/>
            <w:lang w:eastAsia="en-GB"/>
            <w14:ligatures w14:val="none"/>
          </w:rPr>
          <w:t>https://www.gov.uk/government/publications/housing-design-standards</w:t>
        </w:r>
      </w:hyperlink>
      <w:r w:rsidRPr="003C725E">
        <w:rPr>
          <w:rFonts w:ascii="Arial" w:eastAsia="Times New Roman" w:hAnsi="Arial" w:cs="Arial"/>
          <w:kern w:val="0"/>
          <w:lang w:eastAsia="en-GB"/>
          <w14:ligatures w14:val="none"/>
        </w:rPr>
        <w:t xml:space="preserve"> [Accessed: 10 November 2025].</w:t>
      </w:r>
    </w:p>
    <w:p w14:paraId="21E2AB69" w14:textId="5E49613E"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Involve (2019) </w:t>
      </w:r>
      <w:r w:rsidRPr="003C725E">
        <w:rPr>
          <w:rFonts w:ascii="Arial" w:eastAsia="Times New Roman" w:hAnsi="Arial" w:cs="Arial"/>
          <w:i/>
          <w:iCs/>
          <w:kern w:val="0"/>
          <w:lang w:eastAsia="en-GB"/>
          <w14:ligatures w14:val="none"/>
        </w:rPr>
        <w:t>Public participation in decision-making: Principles and good practice</w:t>
      </w:r>
      <w:r w:rsidRPr="003C725E">
        <w:rPr>
          <w:rFonts w:ascii="Arial" w:eastAsia="Times New Roman" w:hAnsi="Arial" w:cs="Arial"/>
          <w:kern w:val="0"/>
          <w:lang w:eastAsia="en-GB"/>
          <w14:ligatures w14:val="none"/>
        </w:rPr>
        <w:t xml:space="preserve">. [Online] Available at: </w:t>
      </w:r>
      <w:hyperlink r:id="rId42" w:tgtFrame="_new" w:history="1">
        <w:r w:rsidRPr="003C725E">
          <w:rPr>
            <w:rFonts w:ascii="Arial" w:eastAsia="Times New Roman" w:hAnsi="Arial" w:cs="Arial"/>
            <w:color w:val="0000FF"/>
            <w:kern w:val="0"/>
            <w:u w:val="single"/>
            <w:lang w:eastAsia="en-GB"/>
            <w14:ligatures w14:val="none"/>
          </w:rPr>
          <w:t>https://www.involve.org.uk/</w:t>
        </w:r>
      </w:hyperlink>
      <w:r w:rsidRPr="003C725E">
        <w:rPr>
          <w:rFonts w:ascii="Arial" w:eastAsia="Times New Roman" w:hAnsi="Arial" w:cs="Arial"/>
          <w:kern w:val="0"/>
          <w:lang w:eastAsia="en-GB"/>
          <w14:ligatures w14:val="none"/>
        </w:rPr>
        <w:t xml:space="preserve"> [Accessed: 10 November 2025].</w:t>
      </w:r>
    </w:p>
    <w:p w14:paraId="0FD6A0C2" w14:textId="6FC5180F"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Joseph Rowntree Foundation (JRF) (2019) </w:t>
      </w:r>
      <w:r w:rsidRPr="003C725E">
        <w:rPr>
          <w:rFonts w:ascii="Arial" w:eastAsia="Times New Roman" w:hAnsi="Arial" w:cs="Arial"/>
          <w:i/>
          <w:iCs/>
          <w:kern w:val="0"/>
          <w:lang w:eastAsia="en-GB"/>
          <w14:ligatures w14:val="none"/>
        </w:rPr>
        <w:t>UK poverty report 2019</w:t>
      </w:r>
      <w:r w:rsidRPr="003C725E">
        <w:rPr>
          <w:rFonts w:ascii="Arial" w:eastAsia="Times New Roman" w:hAnsi="Arial" w:cs="Arial"/>
          <w:kern w:val="0"/>
          <w:lang w:eastAsia="en-GB"/>
          <w14:ligatures w14:val="none"/>
        </w:rPr>
        <w:t xml:space="preserve">. York: JRF. [Online] Available at: </w:t>
      </w:r>
      <w:hyperlink r:id="rId43" w:tgtFrame="_new" w:history="1">
        <w:r w:rsidRPr="003C725E">
          <w:rPr>
            <w:rFonts w:ascii="Arial" w:eastAsia="Times New Roman" w:hAnsi="Arial" w:cs="Arial"/>
            <w:color w:val="0000FF"/>
            <w:kern w:val="0"/>
            <w:u w:val="single"/>
            <w:lang w:eastAsia="en-GB"/>
            <w14:ligatures w14:val="none"/>
          </w:rPr>
          <w:t>https://www.jrf.org.uk/report/uk-poverty-2019</w:t>
        </w:r>
      </w:hyperlink>
      <w:r w:rsidRPr="003C725E">
        <w:rPr>
          <w:rFonts w:ascii="Arial" w:eastAsia="Times New Roman" w:hAnsi="Arial" w:cs="Arial"/>
          <w:kern w:val="0"/>
          <w:lang w:eastAsia="en-GB"/>
          <w14:ligatures w14:val="none"/>
        </w:rPr>
        <w:t xml:space="preserve"> [Accessed: 10 November 2025].</w:t>
      </w:r>
    </w:p>
    <w:p w14:paraId="37E1DC23" w14:textId="745B431D"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Local Government Association (LGA) (2019) </w:t>
      </w:r>
      <w:r w:rsidRPr="003C725E">
        <w:rPr>
          <w:rFonts w:ascii="Arial" w:eastAsia="Times New Roman" w:hAnsi="Arial" w:cs="Arial"/>
          <w:i/>
          <w:iCs/>
          <w:kern w:val="0"/>
          <w:lang w:eastAsia="en-GB"/>
          <w14:ligatures w14:val="none"/>
        </w:rPr>
        <w:t>Engaging communities in regeneration</w:t>
      </w:r>
      <w:r w:rsidRPr="003C725E">
        <w:rPr>
          <w:rFonts w:ascii="Arial" w:eastAsia="Times New Roman" w:hAnsi="Arial" w:cs="Arial"/>
          <w:kern w:val="0"/>
          <w:lang w:eastAsia="en-GB"/>
          <w14:ligatures w14:val="none"/>
        </w:rPr>
        <w:t xml:space="preserve">. London: LGA. [Online] Available at: </w:t>
      </w:r>
      <w:hyperlink r:id="rId44" w:tgtFrame="_new" w:history="1">
        <w:r w:rsidRPr="003C725E">
          <w:rPr>
            <w:rFonts w:ascii="Arial" w:eastAsia="Times New Roman" w:hAnsi="Arial" w:cs="Arial"/>
            <w:color w:val="0000FF"/>
            <w:kern w:val="0"/>
            <w:u w:val="single"/>
            <w:lang w:eastAsia="en-GB"/>
            <w14:ligatures w14:val="none"/>
          </w:rPr>
          <w:t>https://www.local.gov.uk/</w:t>
        </w:r>
      </w:hyperlink>
      <w:r w:rsidRPr="003C725E">
        <w:rPr>
          <w:rFonts w:ascii="Arial" w:eastAsia="Times New Roman" w:hAnsi="Arial" w:cs="Arial"/>
          <w:kern w:val="0"/>
          <w:lang w:eastAsia="en-GB"/>
          <w14:ligatures w14:val="none"/>
        </w:rPr>
        <w:t xml:space="preserve"> [Accessed: 10 November 2025].</w:t>
      </w:r>
    </w:p>
    <w:p w14:paraId="6EC70440" w14:textId="36FF6769"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MHCLG (Ministry of Housing, Communities and Local Government) (2020) </w:t>
      </w:r>
      <w:r w:rsidRPr="003C725E">
        <w:rPr>
          <w:rFonts w:ascii="Arial" w:eastAsia="Times New Roman" w:hAnsi="Arial" w:cs="Arial"/>
          <w:i/>
          <w:iCs/>
          <w:kern w:val="0"/>
          <w:lang w:eastAsia="en-GB"/>
          <w14:ligatures w14:val="none"/>
        </w:rPr>
        <w:t>English housing survey 2019–2020</w:t>
      </w:r>
      <w:r w:rsidRPr="003C725E">
        <w:rPr>
          <w:rFonts w:ascii="Arial" w:eastAsia="Times New Roman" w:hAnsi="Arial" w:cs="Arial"/>
          <w:kern w:val="0"/>
          <w:lang w:eastAsia="en-GB"/>
          <w14:ligatures w14:val="none"/>
        </w:rPr>
        <w:t>. London: MHCLG.</w:t>
      </w:r>
    </w:p>
    <w:p w14:paraId="63FB0DC6" w14:textId="7434496C"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lastRenderedPageBreak/>
        <w:t xml:space="preserve">Mitchell, R.K., Agle, B.R. and Wood, D.J. (1997) ‘Toward a theory of stakeholder identification and salience: Defining the principle of who and what really counts’, </w:t>
      </w:r>
      <w:r w:rsidRPr="003C725E">
        <w:rPr>
          <w:rFonts w:ascii="Arial" w:eastAsia="Times New Roman" w:hAnsi="Arial" w:cs="Arial"/>
          <w:i/>
          <w:iCs/>
          <w:kern w:val="0"/>
          <w:lang w:eastAsia="en-GB"/>
          <w14:ligatures w14:val="none"/>
        </w:rPr>
        <w:t>Academy of Management Review</w:t>
      </w:r>
      <w:r w:rsidRPr="003C725E">
        <w:rPr>
          <w:rFonts w:ascii="Arial" w:eastAsia="Times New Roman" w:hAnsi="Arial" w:cs="Arial"/>
          <w:kern w:val="0"/>
          <w:lang w:eastAsia="en-GB"/>
          <w14:ligatures w14:val="none"/>
        </w:rPr>
        <w:t xml:space="preserve">, 22(4), pp. 853–886. </w:t>
      </w:r>
      <w:hyperlink r:id="rId45" w:tgtFrame="_new" w:history="1">
        <w:r w:rsidRPr="003C725E">
          <w:rPr>
            <w:rFonts w:ascii="Arial" w:eastAsia="Times New Roman" w:hAnsi="Arial" w:cs="Arial"/>
            <w:color w:val="0000FF"/>
            <w:kern w:val="0"/>
            <w:u w:val="single"/>
            <w:lang w:eastAsia="en-GB"/>
            <w14:ligatures w14:val="none"/>
          </w:rPr>
          <w:t>https://doi.org/10.5465/amr.1997.9711022105</w:t>
        </w:r>
      </w:hyperlink>
    </w:p>
    <w:p w14:paraId="314C4EF4" w14:textId="07428709"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National Standards for Community Engagement (NSCE) (2016) </w:t>
      </w:r>
      <w:r w:rsidRPr="003C725E">
        <w:rPr>
          <w:rFonts w:ascii="Arial" w:eastAsia="Times New Roman" w:hAnsi="Arial" w:cs="Arial"/>
          <w:i/>
          <w:iCs/>
          <w:kern w:val="0"/>
          <w:lang w:eastAsia="en-GB"/>
          <w14:ligatures w14:val="none"/>
        </w:rPr>
        <w:t>Engagement framework</w:t>
      </w:r>
      <w:r w:rsidRPr="003C725E">
        <w:rPr>
          <w:rFonts w:ascii="Arial" w:eastAsia="Times New Roman" w:hAnsi="Arial" w:cs="Arial"/>
          <w:kern w:val="0"/>
          <w:lang w:eastAsia="en-GB"/>
          <w14:ligatures w14:val="none"/>
        </w:rPr>
        <w:t xml:space="preserve">. Edinburgh: Scottish Community Development Centre. Available at: </w:t>
      </w:r>
      <w:hyperlink r:id="rId46" w:tgtFrame="_new" w:history="1">
        <w:r w:rsidRPr="003C725E">
          <w:rPr>
            <w:rFonts w:ascii="Arial" w:eastAsia="Times New Roman" w:hAnsi="Arial" w:cs="Arial"/>
            <w:color w:val="0000FF"/>
            <w:kern w:val="0"/>
            <w:u w:val="single"/>
            <w:lang w:eastAsia="en-GB"/>
            <w14:ligatures w14:val="none"/>
          </w:rPr>
          <w:t>https://www.scdc.org.uk/what/national-standards</w:t>
        </w:r>
      </w:hyperlink>
      <w:r w:rsidRPr="003C725E">
        <w:rPr>
          <w:rFonts w:ascii="Arial" w:eastAsia="Times New Roman" w:hAnsi="Arial" w:cs="Arial"/>
          <w:kern w:val="0"/>
          <w:lang w:eastAsia="en-GB"/>
          <w14:ligatures w14:val="none"/>
        </w:rPr>
        <w:t xml:space="preserve"> [Accessed: 10 November 2025].</w:t>
      </w:r>
    </w:p>
    <w:p w14:paraId="577DC14E" w14:textId="40EE7156"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Neighbourhood Renewal Unit (NRU) (2019) </w:t>
      </w:r>
      <w:r w:rsidRPr="003C725E">
        <w:rPr>
          <w:rFonts w:ascii="Arial" w:eastAsia="Times New Roman" w:hAnsi="Arial" w:cs="Arial"/>
          <w:i/>
          <w:iCs/>
          <w:kern w:val="0"/>
          <w:lang w:eastAsia="en-GB"/>
          <w14:ligatures w14:val="none"/>
        </w:rPr>
        <w:t>Community participation toolkit</w:t>
      </w:r>
      <w:r w:rsidRPr="003C725E">
        <w:rPr>
          <w:rFonts w:ascii="Arial" w:eastAsia="Times New Roman" w:hAnsi="Arial" w:cs="Arial"/>
          <w:kern w:val="0"/>
          <w:lang w:eastAsia="en-GB"/>
          <w14:ligatures w14:val="none"/>
        </w:rPr>
        <w:t xml:space="preserve">. [Online] Available at: </w:t>
      </w:r>
      <w:hyperlink r:id="rId47" w:tgtFrame="_new" w:history="1">
        <w:r w:rsidRPr="003C725E">
          <w:rPr>
            <w:rFonts w:ascii="Arial" w:eastAsia="Times New Roman" w:hAnsi="Arial" w:cs="Arial"/>
            <w:color w:val="0000FF"/>
            <w:kern w:val="0"/>
            <w:u w:val="single"/>
            <w:lang w:eastAsia="en-GB"/>
            <w14:ligatures w14:val="none"/>
          </w:rPr>
          <w:t>https://webarchive.nationalarchives.gov.uk/</w:t>
        </w:r>
      </w:hyperlink>
      <w:r w:rsidRPr="003C725E">
        <w:rPr>
          <w:rFonts w:ascii="Arial" w:eastAsia="Times New Roman" w:hAnsi="Arial" w:cs="Arial"/>
          <w:kern w:val="0"/>
          <w:lang w:eastAsia="en-GB"/>
          <w14:ligatures w14:val="none"/>
        </w:rPr>
        <w:t xml:space="preserve"> [Accessed: 10 November 2025].</w:t>
      </w:r>
    </w:p>
    <w:p w14:paraId="0E6D9EF0" w14:textId="6E48F993"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Public Health England (PHE) (2019) </w:t>
      </w:r>
      <w:r w:rsidRPr="003C725E">
        <w:rPr>
          <w:rFonts w:ascii="Arial" w:eastAsia="Times New Roman" w:hAnsi="Arial" w:cs="Arial"/>
          <w:i/>
          <w:iCs/>
          <w:kern w:val="0"/>
          <w:lang w:eastAsia="en-GB"/>
          <w14:ligatures w14:val="none"/>
        </w:rPr>
        <w:t>Improving health through the built environment</w:t>
      </w:r>
      <w:r w:rsidRPr="003C725E">
        <w:rPr>
          <w:rFonts w:ascii="Arial" w:eastAsia="Times New Roman" w:hAnsi="Arial" w:cs="Arial"/>
          <w:kern w:val="0"/>
          <w:lang w:eastAsia="en-GB"/>
          <w14:ligatures w14:val="none"/>
        </w:rPr>
        <w:t>. London: PHE.</w:t>
      </w:r>
    </w:p>
    <w:p w14:paraId="1E77093F" w14:textId="4B4F1B3C"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Social Value UK (2020) </w:t>
      </w:r>
      <w:r w:rsidRPr="003C725E">
        <w:rPr>
          <w:rFonts w:ascii="Arial" w:eastAsia="Times New Roman" w:hAnsi="Arial" w:cs="Arial"/>
          <w:i/>
          <w:iCs/>
          <w:kern w:val="0"/>
          <w:lang w:eastAsia="en-GB"/>
          <w14:ligatures w14:val="none"/>
        </w:rPr>
        <w:t>Principles of social value</w:t>
      </w:r>
      <w:r w:rsidRPr="003C725E">
        <w:rPr>
          <w:rFonts w:ascii="Arial" w:eastAsia="Times New Roman" w:hAnsi="Arial" w:cs="Arial"/>
          <w:kern w:val="0"/>
          <w:lang w:eastAsia="en-GB"/>
          <w14:ligatures w14:val="none"/>
        </w:rPr>
        <w:t xml:space="preserve">. Liverpool: Social Value UK. [Online] Available at: </w:t>
      </w:r>
      <w:hyperlink r:id="rId48" w:tgtFrame="_new" w:history="1">
        <w:r w:rsidRPr="003C725E">
          <w:rPr>
            <w:rFonts w:ascii="Arial" w:eastAsia="Times New Roman" w:hAnsi="Arial" w:cs="Arial"/>
            <w:color w:val="0000FF"/>
            <w:kern w:val="0"/>
            <w:u w:val="single"/>
            <w:lang w:eastAsia="en-GB"/>
            <w14:ligatures w14:val="none"/>
          </w:rPr>
          <w:t>https://www.socialvalueuk.org/</w:t>
        </w:r>
      </w:hyperlink>
      <w:r w:rsidRPr="003C725E">
        <w:rPr>
          <w:rFonts w:ascii="Arial" w:eastAsia="Times New Roman" w:hAnsi="Arial" w:cs="Arial"/>
          <w:kern w:val="0"/>
          <w:lang w:eastAsia="en-GB"/>
          <w14:ligatures w14:val="none"/>
        </w:rPr>
        <w:t xml:space="preserve"> [Accessed: 10 November 2025].</w:t>
      </w:r>
    </w:p>
    <w:p w14:paraId="57AA883B" w14:textId="3611213A"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Tunstall, R. (2015) ‘The impact of housing regeneration on communities’, </w:t>
      </w:r>
      <w:r w:rsidRPr="003C725E">
        <w:rPr>
          <w:rFonts w:ascii="Arial" w:eastAsia="Times New Roman" w:hAnsi="Arial" w:cs="Arial"/>
          <w:i/>
          <w:iCs/>
          <w:kern w:val="0"/>
          <w:lang w:eastAsia="en-GB"/>
          <w14:ligatures w14:val="none"/>
        </w:rPr>
        <w:t>Housing Studies</w:t>
      </w:r>
      <w:r w:rsidRPr="003C725E">
        <w:rPr>
          <w:rFonts w:ascii="Arial" w:eastAsia="Times New Roman" w:hAnsi="Arial" w:cs="Arial"/>
          <w:kern w:val="0"/>
          <w:lang w:eastAsia="en-GB"/>
          <w14:ligatures w14:val="none"/>
        </w:rPr>
        <w:t xml:space="preserve">, 30(2), pp. 287–312. </w:t>
      </w:r>
      <w:hyperlink r:id="rId49" w:tgtFrame="_new" w:history="1">
        <w:r w:rsidRPr="003C725E">
          <w:rPr>
            <w:rFonts w:ascii="Arial" w:eastAsia="Times New Roman" w:hAnsi="Arial" w:cs="Arial"/>
            <w:color w:val="0000FF"/>
            <w:kern w:val="0"/>
            <w:u w:val="single"/>
            <w:lang w:eastAsia="en-GB"/>
            <w14:ligatures w14:val="none"/>
          </w:rPr>
          <w:t>https://doi.org/10.1080/02673037.2014.927042</w:t>
        </w:r>
      </w:hyperlink>
    </w:p>
    <w:p w14:paraId="4439312D" w14:textId="1BD0840E"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UK Government (2020) </w:t>
      </w:r>
      <w:r w:rsidRPr="003C725E">
        <w:rPr>
          <w:rFonts w:ascii="Arial" w:eastAsia="Times New Roman" w:hAnsi="Arial" w:cs="Arial"/>
          <w:i/>
          <w:iCs/>
          <w:kern w:val="0"/>
          <w:lang w:eastAsia="en-GB"/>
          <w14:ligatures w14:val="none"/>
        </w:rPr>
        <w:t>Planning practice guidance: Housing and sustainability</w:t>
      </w:r>
      <w:r w:rsidRPr="003C725E">
        <w:rPr>
          <w:rFonts w:ascii="Arial" w:eastAsia="Times New Roman" w:hAnsi="Arial" w:cs="Arial"/>
          <w:kern w:val="0"/>
          <w:lang w:eastAsia="en-GB"/>
          <w14:ligatures w14:val="none"/>
        </w:rPr>
        <w:t xml:space="preserve">. [Online] Available at: </w:t>
      </w:r>
      <w:hyperlink r:id="rId50" w:tgtFrame="_new" w:history="1">
        <w:r w:rsidRPr="003C725E">
          <w:rPr>
            <w:rFonts w:ascii="Arial" w:eastAsia="Times New Roman" w:hAnsi="Arial" w:cs="Arial"/>
            <w:color w:val="0000FF"/>
            <w:kern w:val="0"/>
            <w:u w:val="single"/>
            <w:lang w:eastAsia="en-GB"/>
            <w14:ligatures w14:val="none"/>
          </w:rPr>
          <w:t>https://www.gov.uk/guidance</w:t>
        </w:r>
      </w:hyperlink>
      <w:r w:rsidRPr="003C725E">
        <w:rPr>
          <w:rFonts w:ascii="Arial" w:eastAsia="Times New Roman" w:hAnsi="Arial" w:cs="Arial"/>
          <w:kern w:val="0"/>
          <w:lang w:eastAsia="en-GB"/>
          <w14:ligatures w14:val="none"/>
        </w:rPr>
        <w:t xml:space="preserve"> [Accessed: 10 November 2025].</w:t>
      </w:r>
    </w:p>
    <w:p w14:paraId="61205AD8" w14:textId="47E993FE" w:rsidR="003C725E" w:rsidRPr="003C725E" w:rsidRDefault="003C725E" w:rsidP="005A7DE8">
      <w:pPr>
        <w:pStyle w:val="ListParagraph"/>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725E">
        <w:rPr>
          <w:rFonts w:ascii="Arial" w:eastAsia="Times New Roman" w:hAnsi="Arial" w:cs="Arial"/>
          <w:kern w:val="0"/>
          <w:lang w:eastAsia="en-GB"/>
          <w14:ligatures w14:val="none"/>
        </w:rPr>
        <w:t xml:space="preserve">Warwick Islamic Society (2024) </w:t>
      </w:r>
      <w:r w:rsidRPr="003C725E">
        <w:rPr>
          <w:rFonts w:ascii="Arial" w:eastAsia="Times New Roman" w:hAnsi="Arial" w:cs="Arial"/>
          <w:i/>
          <w:iCs/>
          <w:kern w:val="0"/>
          <w:lang w:eastAsia="en-GB"/>
          <w14:ligatures w14:val="none"/>
        </w:rPr>
        <w:t>Prayer Hall Information</w:t>
      </w:r>
      <w:r w:rsidRPr="003C725E">
        <w:rPr>
          <w:rFonts w:ascii="Arial" w:eastAsia="Times New Roman" w:hAnsi="Arial" w:cs="Arial"/>
          <w:kern w:val="0"/>
          <w:lang w:eastAsia="en-GB"/>
          <w14:ligatures w14:val="none"/>
        </w:rPr>
        <w:t xml:space="preserve">. [Online] Available at: </w:t>
      </w:r>
      <w:hyperlink r:id="rId51" w:tgtFrame="_new" w:history="1">
        <w:r w:rsidRPr="003C725E">
          <w:rPr>
            <w:rFonts w:ascii="Arial" w:eastAsia="Times New Roman" w:hAnsi="Arial" w:cs="Arial"/>
            <w:color w:val="0000FF"/>
            <w:kern w:val="0"/>
            <w:u w:val="single"/>
            <w:lang w:eastAsia="en-GB"/>
            <w14:ligatures w14:val="none"/>
          </w:rPr>
          <w:t>https://masjidbox.net/warwickisoc</w:t>
        </w:r>
      </w:hyperlink>
      <w:r w:rsidRPr="003C725E">
        <w:rPr>
          <w:rFonts w:ascii="Arial" w:eastAsia="Times New Roman" w:hAnsi="Arial" w:cs="Arial"/>
          <w:kern w:val="0"/>
          <w:lang w:eastAsia="en-GB"/>
          <w14:ligatures w14:val="none"/>
        </w:rPr>
        <w:t xml:space="preserve"> [Accessed: 10 November 2025].</w:t>
      </w:r>
    </w:p>
    <w:p w14:paraId="786DE130" w14:textId="77777777" w:rsidR="00E9717A" w:rsidRPr="006F67ED" w:rsidRDefault="00E9717A" w:rsidP="006F67ED">
      <w:pPr>
        <w:spacing w:line="360" w:lineRule="auto"/>
        <w:jc w:val="both"/>
        <w:rPr>
          <w:rFonts w:ascii="Arial" w:hAnsi="Arial" w:cs="Arial"/>
        </w:rPr>
      </w:pPr>
    </w:p>
    <w:p w14:paraId="6AFE4D9C" w14:textId="77777777" w:rsidR="00E9717A" w:rsidRPr="006F67ED" w:rsidRDefault="00E9717A" w:rsidP="006F67ED">
      <w:pPr>
        <w:spacing w:before="100" w:beforeAutospacing="1" w:after="100" w:afterAutospacing="1" w:line="360" w:lineRule="auto"/>
        <w:jc w:val="both"/>
        <w:rPr>
          <w:rFonts w:ascii="Arial" w:eastAsia="Times New Roman" w:hAnsi="Arial" w:cs="Arial"/>
          <w:kern w:val="0"/>
          <w:lang w:eastAsia="en-GB"/>
          <w14:ligatures w14:val="none"/>
        </w:rPr>
      </w:pPr>
    </w:p>
    <w:p w14:paraId="2D079481" w14:textId="77777777" w:rsidR="00E423D9" w:rsidRPr="006F67ED" w:rsidRDefault="00E423D9" w:rsidP="006F67ED">
      <w:pPr>
        <w:spacing w:line="360" w:lineRule="auto"/>
        <w:jc w:val="both"/>
        <w:rPr>
          <w:rFonts w:ascii="Arial" w:hAnsi="Arial" w:cs="Arial"/>
        </w:rPr>
      </w:pPr>
    </w:p>
    <w:sectPr w:rsidR="00E423D9" w:rsidRPr="006F67ED" w:rsidSect="00741B16">
      <w:head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DF297" w14:textId="77777777" w:rsidR="00CE71B3" w:rsidRDefault="00CE71B3" w:rsidP="00AB09AC">
      <w:pPr>
        <w:spacing w:after="0" w:line="240" w:lineRule="auto"/>
      </w:pPr>
      <w:r>
        <w:separator/>
      </w:r>
    </w:p>
  </w:endnote>
  <w:endnote w:type="continuationSeparator" w:id="0">
    <w:p w14:paraId="7F4DD86D" w14:textId="77777777" w:rsidR="00CE71B3" w:rsidRDefault="00CE71B3" w:rsidP="00AB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B3979B" w14:textId="77777777" w:rsidR="00CE71B3" w:rsidRDefault="00CE71B3" w:rsidP="00AB09AC">
      <w:pPr>
        <w:spacing w:after="0" w:line="240" w:lineRule="auto"/>
      </w:pPr>
      <w:r>
        <w:separator/>
      </w:r>
    </w:p>
  </w:footnote>
  <w:footnote w:type="continuationSeparator" w:id="0">
    <w:p w14:paraId="299CEDC2" w14:textId="77777777" w:rsidR="00CE71B3" w:rsidRDefault="00CE71B3" w:rsidP="00AB0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4453850"/>
      <w:docPartObj>
        <w:docPartGallery w:val="Page Numbers (Top of Page)"/>
        <w:docPartUnique/>
      </w:docPartObj>
    </w:sdtPr>
    <w:sdtEndPr>
      <w:rPr>
        <w:color w:val="7F7F7F" w:themeColor="background1" w:themeShade="7F"/>
        <w:spacing w:val="60"/>
      </w:rPr>
    </w:sdtEndPr>
    <w:sdtContent>
      <w:p w14:paraId="6C45804E" w14:textId="279F7CF8" w:rsidR="00A61FC8" w:rsidRDefault="00A61FC8">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23458B9" w14:textId="77777777" w:rsidR="00A61FC8" w:rsidRDefault="00A61F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E08D0"/>
    <w:multiLevelType w:val="hybridMultilevel"/>
    <w:tmpl w:val="6CFC9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811788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09AC"/>
    <w:rsid w:val="00033B07"/>
    <w:rsid w:val="000555CC"/>
    <w:rsid w:val="000602E5"/>
    <w:rsid w:val="00072D71"/>
    <w:rsid w:val="000736DC"/>
    <w:rsid w:val="00084997"/>
    <w:rsid w:val="000968A3"/>
    <w:rsid w:val="000A009D"/>
    <w:rsid w:val="000A0D0C"/>
    <w:rsid w:val="000B359D"/>
    <w:rsid w:val="000D10BF"/>
    <w:rsid w:val="000F6BE6"/>
    <w:rsid w:val="00114738"/>
    <w:rsid w:val="00152536"/>
    <w:rsid w:val="001605C8"/>
    <w:rsid w:val="00165D78"/>
    <w:rsid w:val="001765A6"/>
    <w:rsid w:val="0018456B"/>
    <w:rsid w:val="001B4DF5"/>
    <w:rsid w:val="001C6B62"/>
    <w:rsid w:val="001D699C"/>
    <w:rsid w:val="001E1C61"/>
    <w:rsid w:val="001F2F3B"/>
    <w:rsid w:val="002009F0"/>
    <w:rsid w:val="00223FA1"/>
    <w:rsid w:val="002257E4"/>
    <w:rsid w:val="002345A6"/>
    <w:rsid w:val="00250030"/>
    <w:rsid w:val="002548F1"/>
    <w:rsid w:val="0026782A"/>
    <w:rsid w:val="00283788"/>
    <w:rsid w:val="002E441A"/>
    <w:rsid w:val="002E46C3"/>
    <w:rsid w:val="002F16F2"/>
    <w:rsid w:val="002F5CED"/>
    <w:rsid w:val="002F7F11"/>
    <w:rsid w:val="00333AE1"/>
    <w:rsid w:val="00335545"/>
    <w:rsid w:val="00367712"/>
    <w:rsid w:val="003723BB"/>
    <w:rsid w:val="00373655"/>
    <w:rsid w:val="00383613"/>
    <w:rsid w:val="0038761D"/>
    <w:rsid w:val="00392881"/>
    <w:rsid w:val="003C6179"/>
    <w:rsid w:val="003C725E"/>
    <w:rsid w:val="00423703"/>
    <w:rsid w:val="00430DF3"/>
    <w:rsid w:val="00444C57"/>
    <w:rsid w:val="00453441"/>
    <w:rsid w:val="00457FA4"/>
    <w:rsid w:val="004A0002"/>
    <w:rsid w:val="004C13A7"/>
    <w:rsid w:val="004F7377"/>
    <w:rsid w:val="005157D3"/>
    <w:rsid w:val="00546523"/>
    <w:rsid w:val="00556D59"/>
    <w:rsid w:val="00577491"/>
    <w:rsid w:val="00595571"/>
    <w:rsid w:val="00596C83"/>
    <w:rsid w:val="005A664B"/>
    <w:rsid w:val="005A66A0"/>
    <w:rsid w:val="005A7DE8"/>
    <w:rsid w:val="005C2B9F"/>
    <w:rsid w:val="005C5BCC"/>
    <w:rsid w:val="005D10D9"/>
    <w:rsid w:val="005D6855"/>
    <w:rsid w:val="005F5E8F"/>
    <w:rsid w:val="00602606"/>
    <w:rsid w:val="0062690E"/>
    <w:rsid w:val="00632F32"/>
    <w:rsid w:val="00641472"/>
    <w:rsid w:val="00641C1C"/>
    <w:rsid w:val="00695E69"/>
    <w:rsid w:val="006B35B7"/>
    <w:rsid w:val="006D070D"/>
    <w:rsid w:val="006D60A5"/>
    <w:rsid w:val="006E68E4"/>
    <w:rsid w:val="006F0168"/>
    <w:rsid w:val="006F67ED"/>
    <w:rsid w:val="00717796"/>
    <w:rsid w:val="007338E8"/>
    <w:rsid w:val="00734E8C"/>
    <w:rsid w:val="00741B16"/>
    <w:rsid w:val="00743074"/>
    <w:rsid w:val="00743411"/>
    <w:rsid w:val="00747C3D"/>
    <w:rsid w:val="00747FDD"/>
    <w:rsid w:val="0076641E"/>
    <w:rsid w:val="00777501"/>
    <w:rsid w:val="00785506"/>
    <w:rsid w:val="00797F4D"/>
    <w:rsid w:val="007A7149"/>
    <w:rsid w:val="007B49FC"/>
    <w:rsid w:val="007C6EDE"/>
    <w:rsid w:val="007F35D3"/>
    <w:rsid w:val="008303C2"/>
    <w:rsid w:val="0085196D"/>
    <w:rsid w:val="00864B00"/>
    <w:rsid w:val="00873998"/>
    <w:rsid w:val="008B16B9"/>
    <w:rsid w:val="008C617E"/>
    <w:rsid w:val="008F39C0"/>
    <w:rsid w:val="008F72BF"/>
    <w:rsid w:val="0090276A"/>
    <w:rsid w:val="00904AEF"/>
    <w:rsid w:val="00912D86"/>
    <w:rsid w:val="0091505D"/>
    <w:rsid w:val="00943AAF"/>
    <w:rsid w:val="009540BA"/>
    <w:rsid w:val="0097610F"/>
    <w:rsid w:val="00977CA0"/>
    <w:rsid w:val="00984204"/>
    <w:rsid w:val="00995064"/>
    <w:rsid w:val="009A1215"/>
    <w:rsid w:val="009A4CEA"/>
    <w:rsid w:val="009B111A"/>
    <w:rsid w:val="009B75C8"/>
    <w:rsid w:val="009F3CD5"/>
    <w:rsid w:val="009F48EA"/>
    <w:rsid w:val="00A1041E"/>
    <w:rsid w:val="00A13D3D"/>
    <w:rsid w:val="00A142B7"/>
    <w:rsid w:val="00A22708"/>
    <w:rsid w:val="00A55AAA"/>
    <w:rsid w:val="00A61FC8"/>
    <w:rsid w:val="00A652A4"/>
    <w:rsid w:val="00AB09AC"/>
    <w:rsid w:val="00B007C2"/>
    <w:rsid w:val="00B01E3F"/>
    <w:rsid w:val="00B1785D"/>
    <w:rsid w:val="00B2012A"/>
    <w:rsid w:val="00B234F1"/>
    <w:rsid w:val="00B52027"/>
    <w:rsid w:val="00B52E39"/>
    <w:rsid w:val="00B56DAD"/>
    <w:rsid w:val="00B84F55"/>
    <w:rsid w:val="00B864F3"/>
    <w:rsid w:val="00B918D6"/>
    <w:rsid w:val="00BA4844"/>
    <w:rsid w:val="00BE1B6D"/>
    <w:rsid w:val="00BF47D7"/>
    <w:rsid w:val="00C21E55"/>
    <w:rsid w:val="00C40D39"/>
    <w:rsid w:val="00C83EF2"/>
    <w:rsid w:val="00CA5A63"/>
    <w:rsid w:val="00CB0C84"/>
    <w:rsid w:val="00CB545F"/>
    <w:rsid w:val="00CD5F31"/>
    <w:rsid w:val="00CE71B3"/>
    <w:rsid w:val="00D14053"/>
    <w:rsid w:val="00D144DB"/>
    <w:rsid w:val="00D248D7"/>
    <w:rsid w:val="00D27E26"/>
    <w:rsid w:val="00D33E10"/>
    <w:rsid w:val="00D35637"/>
    <w:rsid w:val="00D42DBF"/>
    <w:rsid w:val="00D44122"/>
    <w:rsid w:val="00D530B7"/>
    <w:rsid w:val="00DB790F"/>
    <w:rsid w:val="00DB7C7F"/>
    <w:rsid w:val="00DC46CD"/>
    <w:rsid w:val="00DE5982"/>
    <w:rsid w:val="00E118E6"/>
    <w:rsid w:val="00E11E8C"/>
    <w:rsid w:val="00E229BC"/>
    <w:rsid w:val="00E2655C"/>
    <w:rsid w:val="00E411AC"/>
    <w:rsid w:val="00E423D9"/>
    <w:rsid w:val="00E43CA7"/>
    <w:rsid w:val="00E67550"/>
    <w:rsid w:val="00E9143D"/>
    <w:rsid w:val="00E9717A"/>
    <w:rsid w:val="00EA4F64"/>
    <w:rsid w:val="00EA7568"/>
    <w:rsid w:val="00EB4EB2"/>
    <w:rsid w:val="00EF6447"/>
    <w:rsid w:val="00EF7622"/>
    <w:rsid w:val="00F21BCF"/>
    <w:rsid w:val="00F21BE4"/>
    <w:rsid w:val="00F46F06"/>
    <w:rsid w:val="00F47509"/>
    <w:rsid w:val="00F608BB"/>
    <w:rsid w:val="00F97B12"/>
    <w:rsid w:val="00FC5E58"/>
    <w:rsid w:val="00FE4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0C0958B2"/>
  <w15:chartTrackingRefBased/>
  <w15:docId w15:val="{EDE0E6FA-16F8-496E-8AC0-431AB19E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637"/>
  </w:style>
  <w:style w:type="paragraph" w:styleId="Heading1">
    <w:name w:val="heading 1"/>
    <w:basedOn w:val="Normal"/>
    <w:next w:val="Normal"/>
    <w:link w:val="Heading1Char"/>
    <w:uiPriority w:val="9"/>
    <w:qFormat/>
    <w:rsid w:val="00AB09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09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09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9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9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9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9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9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9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9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09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09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9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9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9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9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9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9AC"/>
    <w:rPr>
      <w:rFonts w:eastAsiaTheme="majorEastAsia" w:cstheme="majorBidi"/>
      <w:color w:val="272727" w:themeColor="text1" w:themeTint="D8"/>
    </w:rPr>
  </w:style>
  <w:style w:type="paragraph" w:styleId="Title">
    <w:name w:val="Title"/>
    <w:basedOn w:val="Normal"/>
    <w:next w:val="Normal"/>
    <w:link w:val="TitleChar"/>
    <w:uiPriority w:val="10"/>
    <w:qFormat/>
    <w:rsid w:val="00AB09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9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9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9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9AC"/>
    <w:pPr>
      <w:spacing w:before="160"/>
      <w:jc w:val="center"/>
    </w:pPr>
    <w:rPr>
      <w:i/>
      <w:iCs/>
      <w:color w:val="404040" w:themeColor="text1" w:themeTint="BF"/>
    </w:rPr>
  </w:style>
  <w:style w:type="character" w:customStyle="1" w:styleId="QuoteChar">
    <w:name w:val="Quote Char"/>
    <w:basedOn w:val="DefaultParagraphFont"/>
    <w:link w:val="Quote"/>
    <w:uiPriority w:val="29"/>
    <w:rsid w:val="00AB09AC"/>
    <w:rPr>
      <w:i/>
      <w:iCs/>
      <w:color w:val="404040" w:themeColor="text1" w:themeTint="BF"/>
    </w:rPr>
  </w:style>
  <w:style w:type="paragraph" w:styleId="ListParagraph">
    <w:name w:val="List Paragraph"/>
    <w:basedOn w:val="Normal"/>
    <w:uiPriority w:val="34"/>
    <w:qFormat/>
    <w:rsid w:val="00AB09AC"/>
    <w:pPr>
      <w:ind w:left="720"/>
      <w:contextualSpacing/>
    </w:pPr>
  </w:style>
  <w:style w:type="character" w:styleId="IntenseEmphasis">
    <w:name w:val="Intense Emphasis"/>
    <w:basedOn w:val="DefaultParagraphFont"/>
    <w:uiPriority w:val="21"/>
    <w:qFormat/>
    <w:rsid w:val="00AB09AC"/>
    <w:rPr>
      <w:i/>
      <w:iCs/>
      <w:color w:val="0F4761" w:themeColor="accent1" w:themeShade="BF"/>
    </w:rPr>
  </w:style>
  <w:style w:type="paragraph" w:styleId="IntenseQuote">
    <w:name w:val="Intense Quote"/>
    <w:basedOn w:val="Normal"/>
    <w:next w:val="Normal"/>
    <w:link w:val="IntenseQuoteChar"/>
    <w:uiPriority w:val="30"/>
    <w:qFormat/>
    <w:rsid w:val="00AB0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9AC"/>
    <w:rPr>
      <w:i/>
      <w:iCs/>
      <w:color w:val="0F4761" w:themeColor="accent1" w:themeShade="BF"/>
    </w:rPr>
  </w:style>
  <w:style w:type="character" w:styleId="IntenseReference">
    <w:name w:val="Intense Reference"/>
    <w:basedOn w:val="DefaultParagraphFont"/>
    <w:uiPriority w:val="32"/>
    <w:qFormat/>
    <w:rsid w:val="00AB09AC"/>
    <w:rPr>
      <w:b/>
      <w:bCs/>
      <w:smallCaps/>
      <w:color w:val="0F4761" w:themeColor="accent1" w:themeShade="BF"/>
      <w:spacing w:val="5"/>
    </w:rPr>
  </w:style>
  <w:style w:type="paragraph" w:styleId="Header">
    <w:name w:val="header"/>
    <w:basedOn w:val="Normal"/>
    <w:link w:val="HeaderChar"/>
    <w:uiPriority w:val="99"/>
    <w:unhideWhenUsed/>
    <w:rsid w:val="00AB0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9AC"/>
  </w:style>
  <w:style w:type="paragraph" w:styleId="Footer">
    <w:name w:val="footer"/>
    <w:basedOn w:val="Normal"/>
    <w:link w:val="FooterChar"/>
    <w:uiPriority w:val="99"/>
    <w:unhideWhenUsed/>
    <w:rsid w:val="00AB0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9AC"/>
  </w:style>
  <w:style w:type="paragraph" w:styleId="NoSpacing">
    <w:name w:val="No Spacing"/>
    <w:link w:val="NoSpacingChar"/>
    <w:uiPriority w:val="1"/>
    <w:qFormat/>
    <w:rsid w:val="00741B16"/>
    <w:pPr>
      <w:spacing w:after="0" w:line="240" w:lineRule="auto"/>
    </w:pPr>
    <w:rPr>
      <w:rFonts w:eastAsiaTheme="minorEastAsia"/>
      <w:kern w:val="0"/>
      <w:sz w:val="22"/>
      <w:szCs w:val="22"/>
      <w:lang w:eastAsia="en-GB"/>
    </w:rPr>
  </w:style>
  <w:style w:type="character" w:customStyle="1" w:styleId="NoSpacingChar">
    <w:name w:val="No Spacing Char"/>
    <w:basedOn w:val="DefaultParagraphFont"/>
    <w:link w:val="NoSpacing"/>
    <w:uiPriority w:val="1"/>
    <w:rsid w:val="00741B16"/>
    <w:rPr>
      <w:rFonts w:eastAsiaTheme="minorEastAsia"/>
      <w:kern w:val="0"/>
      <w:sz w:val="22"/>
      <w:szCs w:val="22"/>
      <w:lang w:eastAsia="en-GB"/>
    </w:rPr>
  </w:style>
  <w:style w:type="character" w:styleId="Strong">
    <w:name w:val="Strong"/>
    <w:basedOn w:val="DefaultParagraphFont"/>
    <w:uiPriority w:val="22"/>
    <w:qFormat/>
    <w:rsid w:val="007338E8"/>
    <w:rPr>
      <w:b/>
      <w:bCs/>
    </w:rPr>
  </w:style>
  <w:style w:type="paragraph" w:styleId="NormalWeb">
    <w:name w:val="Normal (Web)"/>
    <w:basedOn w:val="Normal"/>
    <w:uiPriority w:val="99"/>
    <w:semiHidden/>
    <w:unhideWhenUsed/>
    <w:rsid w:val="007338E8"/>
    <w:pPr>
      <w:spacing w:before="100" w:beforeAutospacing="1" w:after="100" w:afterAutospacing="1" w:line="240" w:lineRule="auto"/>
    </w:pPr>
    <w:rPr>
      <w:rFonts w:ascii="Times New Roman" w:eastAsia="Times New Roman" w:hAnsi="Times New Roman" w:cs="Times New Roman"/>
      <w:kern w:val="0"/>
      <w:lang w:eastAsia="en-GB"/>
    </w:rPr>
  </w:style>
  <w:style w:type="paragraph" w:styleId="HTMLPreformatted">
    <w:name w:val="HTML Preformatted"/>
    <w:basedOn w:val="Normal"/>
    <w:link w:val="HTMLPreformattedChar"/>
    <w:uiPriority w:val="99"/>
    <w:semiHidden/>
    <w:unhideWhenUsed/>
    <w:rsid w:val="007338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rPr>
  </w:style>
  <w:style w:type="character" w:customStyle="1" w:styleId="HTMLPreformattedChar">
    <w:name w:val="HTML Preformatted Char"/>
    <w:basedOn w:val="DefaultParagraphFont"/>
    <w:link w:val="HTMLPreformatted"/>
    <w:uiPriority w:val="99"/>
    <w:semiHidden/>
    <w:rsid w:val="007338E8"/>
    <w:rPr>
      <w:rFonts w:ascii="Courier New" w:eastAsia="Times New Roman" w:hAnsi="Courier New" w:cs="Courier New"/>
      <w:kern w:val="0"/>
      <w:sz w:val="20"/>
      <w:szCs w:val="20"/>
      <w:lang w:eastAsia="en-GB"/>
    </w:rPr>
  </w:style>
  <w:style w:type="character" w:styleId="HTMLCode">
    <w:name w:val="HTML Code"/>
    <w:basedOn w:val="DefaultParagraphFont"/>
    <w:uiPriority w:val="99"/>
    <w:semiHidden/>
    <w:unhideWhenUsed/>
    <w:rsid w:val="007338E8"/>
    <w:rPr>
      <w:rFonts w:ascii="Courier New" w:eastAsia="Times New Roman" w:hAnsi="Courier New" w:cs="Courier New"/>
      <w:sz w:val="20"/>
      <w:szCs w:val="20"/>
    </w:rPr>
  </w:style>
  <w:style w:type="character" w:customStyle="1" w:styleId="hljs-literal">
    <w:name w:val="hljs-literal"/>
    <w:basedOn w:val="DefaultParagraphFont"/>
    <w:rsid w:val="007338E8"/>
  </w:style>
  <w:style w:type="character" w:customStyle="1" w:styleId="hljs-keyword">
    <w:name w:val="hljs-keyword"/>
    <w:basedOn w:val="DefaultParagraphFont"/>
    <w:rsid w:val="007338E8"/>
  </w:style>
  <w:style w:type="character" w:styleId="Emphasis">
    <w:name w:val="Emphasis"/>
    <w:basedOn w:val="DefaultParagraphFont"/>
    <w:uiPriority w:val="20"/>
    <w:qFormat/>
    <w:rsid w:val="007338E8"/>
    <w:rPr>
      <w:i/>
      <w:iCs/>
    </w:rPr>
  </w:style>
  <w:style w:type="paragraph" w:styleId="Caption">
    <w:name w:val="caption"/>
    <w:basedOn w:val="Normal"/>
    <w:next w:val="Normal"/>
    <w:uiPriority w:val="35"/>
    <w:unhideWhenUsed/>
    <w:qFormat/>
    <w:rsid w:val="000968A3"/>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E11E8C"/>
    <w:pPr>
      <w:spacing w:before="240" w:after="0" w:line="259" w:lineRule="auto"/>
      <w:outlineLvl w:val="9"/>
    </w:pPr>
    <w:rPr>
      <w:kern w:val="0"/>
      <w:sz w:val="32"/>
      <w:szCs w:val="32"/>
      <w:lang w:eastAsia="en-GB"/>
    </w:rPr>
  </w:style>
  <w:style w:type="paragraph" w:styleId="TOC3">
    <w:name w:val="toc 3"/>
    <w:basedOn w:val="Normal"/>
    <w:next w:val="Normal"/>
    <w:autoRedefine/>
    <w:uiPriority w:val="39"/>
    <w:unhideWhenUsed/>
    <w:rsid w:val="00E11E8C"/>
    <w:pPr>
      <w:spacing w:after="100"/>
      <w:ind w:left="480"/>
    </w:pPr>
  </w:style>
  <w:style w:type="paragraph" w:styleId="TOC2">
    <w:name w:val="toc 2"/>
    <w:basedOn w:val="Normal"/>
    <w:next w:val="Normal"/>
    <w:autoRedefine/>
    <w:uiPriority w:val="39"/>
    <w:unhideWhenUsed/>
    <w:rsid w:val="00E11E8C"/>
    <w:pPr>
      <w:spacing w:after="100"/>
      <w:ind w:left="240"/>
    </w:pPr>
  </w:style>
  <w:style w:type="paragraph" w:styleId="TOC1">
    <w:name w:val="toc 1"/>
    <w:basedOn w:val="Normal"/>
    <w:next w:val="Normal"/>
    <w:autoRedefine/>
    <w:uiPriority w:val="39"/>
    <w:unhideWhenUsed/>
    <w:rsid w:val="00E11E8C"/>
    <w:pPr>
      <w:spacing w:after="100"/>
    </w:pPr>
  </w:style>
  <w:style w:type="character" w:styleId="Hyperlink">
    <w:name w:val="Hyperlink"/>
    <w:basedOn w:val="DefaultParagraphFont"/>
    <w:uiPriority w:val="99"/>
    <w:unhideWhenUsed/>
    <w:rsid w:val="00E11E8C"/>
    <w:rPr>
      <w:color w:val="467886" w:themeColor="hyperlink"/>
      <w:u w:val="single"/>
    </w:rPr>
  </w:style>
  <w:style w:type="character" w:styleId="UnresolvedMention">
    <w:name w:val="Unresolved Mention"/>
    <w:basedOn w:val="DefaultParagraphFont"/>
    <w:uiPriority w:val="99"/>
    <w:semiHidden/>
    <w:unhideWhenUsed/>
    <w:rsid w:val="00B20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57269">
      <w:bodyDiv w:val="1"/>
      <w:marLeft w:val="0"/>
      <w:marRight w:val="0"/>
      <w:marTop w:val="0"/>
      <w:marBottom w:val="0"/>
      <w:divBdr>
        <w:top w:val="none" w:sz="0" w:space="0" w:color="auto"/>
        <w:left w:val="none" w:sz="0" w:space="0" w:color="auto"/>
        <w:bottom w:val="none" w:sz="0" w:space="0" w:color="auto"/>
        <w:right w:val="none" w:sz="0" w:space="0" w:color="auto"/>
      </w:divBdr>
      <w:divsChild>
        <w:div w:id="1595823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368560">
      <w:bodyDiv w:val="1"/>
      <w:marLeft w:val="0"/>
      <w:marRight w:val="0"/>
      <w:marTop w:val="0"/>
      <w:marBottom w:val="0"/>
      <w:divBdr>
        <w:top w:val="none" w:sz="0" w:space="0" w:color="auto"/>
        <w:left w:val="none" w:sz="0" w:space="0" w:color="auto"/>
        <w:bottom w:val="none" w:sz="0" w:space="0" w:color="auto"/>
        <w:right w:val="none" w:sz="0" w:space="0" w:color="auto"/>
      </w:divBdr>
      <w:divsChild>
        <w:div w:id="724568112">
          <w:marLeft w:val="0"/>
          <w:marRight w:val="0"/>
          <w:marTop w:val="0"/>
          <w:marBottom w:val="0"/>
          <w:divBdr>
            <w:top w:val="none" w:sz="0" w:space="0" w:color="auto"/>
            <w:left w:val="none" w:sz="0" w:space="0" w:color="auto"/>
            <w:bottom w:val="none" w:sz="0" w:space="0" w:color="auto"/>
            <w:right w:val="none" w:sz="0" w:space="0" w:color="auto"/>
          </w:divBdr>
          <w:divsChild>
            <w:div w:id="1687975692">
              <w:marLeft w:val="0"/>
              <w:marRight w:val="0"/>
              <w:marTop w:val="0"/>
              <w:marBottom w:val="0"/>
              <w:divBdr>
                <w:top w:val="none" w:sz="0" w:space="0" w:color="auto"/>
                <w:left w:val="none" w:sz="0" w:space="0" w:color="auto"/>
                <w:bottom w:val="none" w:sz="0" w:space="0" w:color="auto"/>
                <w:right w:val="none" w:sz="0" w:space="0" w:color="auto"/>
              </w:divBdr>
            </w:div>
          </w:divsChild>
        </w:div>
        <w:div w:id="471406867">
          <w:marLeft w:val="0"/>
          <w:marRight w:val="0"/>
          <w:marTop w:val="0"/>
          <w:marBottom w:val="0"/>
          <w:divBdr>
            <w:top w:val="none" w:sz="0" w:space="0" w:color="auto"/>
            <w:left w:val="none" w:sz="0" w:space="0" w:color="auto"/>
            <w:bottom w:val="none" w:sz="0" w:space="0" w:color="auto"/>
            <w:right w:val="none" w:sz="0" w:space="0" w:color="auto"/>
          </w:divBdr>
          <w:divsChild>
            <w:div w:id="40469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0395">
      <w:bodyDiv w:val="1"/>
      <w:marLeft w:val="0"/>
      <w:marRight w:val="0"/>
      <w:marTop w:val="0"/>
      <w:marBottom w:val="0"/>
      <w:divBdr>
        <w:top w:val="none" w:sz="0" w:space="0" w:color="auto"/>
        <w:left w:val="none" w:sz="0" w:space="0" w:color="auto"/>
        <w:bottom w:val="none" w:sz="0" w:space="0" w:color="auto"/>
        <w:right w:val="none" w:sz="0" w:space="0" w:color="auto"/>
      </w:divBdr>
    </w:div>
    <w:div w:id="346710420">
      <w:bodyDiv w:val="1"/>
      <w:marLeft w:val="0"/>
      <w:marRight w:val="0"/>
      <w:marTop w:val="0"/>
      <w:marBottom w:val="0"/>
      <w:divBdr>
        <w:top w:val="none" w:sz="0" w:space="0" w:color="auto"/>
        <w:left w:val="none" w:sz="0" w:space="0" w:color="auto"/>
        <w:bottom w:val="none" w:sz="0" w:space="0" w:color="auto"/>
        <w:right w:val="none" w:sz="0" w:space="0" w:color="auto"/>
      </w:divBdr>
      <w:divsChild>
        <w:div w:id="179785317">
          <w:marLeft w:val="0"/>
          <w:marRight w:val="0"/>
          <w:marTop w:val="0"/>
          <w:marBottom w:val="0"/>
          <w:divBdr>
            <w:top w:val="none" w:sz="0" w:space="0" w:color="auto"/>
            <w:left w:val="none" w:sz="0" w:space="0" w:color="auto"/>
            <w:bottom w:val="none" w:sz="0" w:space="0" w:color="auto"/>
            <w:right w:val="none" w:sz="0" w:space="0" w:color="auto"/>
          </w:divBdr>
          <w:divsChild>
            <w:div w:id="127664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195856">
      <w:bodyDiv w:val="1"/>
      <w:marLeft w:val="0"/>
      <w:marRight w:val="0"/>
      <w:marTop w:val="0"/>
      <w:marBottom w:val="0"/>
      <w:divBdr>
        <w:top w:val="none" w:sz="0" w:space="0" w:color="auto"/>
        <w:left w:val="none" w:sz="0" w:space="0" w:color="auto"/>
        <w:bottom w:val="none" w:sz="0" w:space="0" w:color="auto"/>
        <w:right w:val="none" w:sz="0" w:space="0" w:color="auto"/>
      </w:divBdr>
      <w:divsChild>
        <w:div w:id="1372270850">
          <w:marLeft w:val="0"/>
          <w:marRight w:val="0"/>
          <w:marTop w:val="0"/>
          <w:marBottom w:val="0"/>
          <w:divBdr>
            <w:top w:val="none" w:sz="0" w:space="0" w:color="auto"/>
            <w:left w:val="none" w:sz="0" w:space="0" w:color="auto"/>
            <w:bottom w:val="none" w:sz="0" w:space="0" w:color="auto"/>
            <w:right w:val="none" w:sz="0" w:space="0" w:color="auto"/>
          </w:divBdr>
          <w:divsChild>
            <w:div w:id="18696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017375">
      <w:bodyDiv w:val="1"/>
      <w:marLeft w:val="0"/>
      <w:marRight w:val="0"/>
      <w:marTop w:val="0"/>
      <w:marBottom w:val="0"/>
      <w:divBdr>
        <w:top w:val="none" w:sz="0" w:space="0" w:color="auto"/>
        <w:left w:val="none" w:sz="0" w:space="0" w:color="auto"/>
        <w:bottom w:val="none" w:sz="0" w:space="0" w:color="auto"/>
        <w:right w:val="none" w:sz="0" w:space="0" w:color="auto"/>
      </w:divBdr>
      <w:divsChild>
        <w:div w:id="1650554686">
          <w:marLeft w:val="0"/>
          <w:marRight w:val="0"/>
          <w:marTop w:val="0"/>
          <w:marBottom w:val="0"/>
          <w:divBdr>
            <w:top w:val="none" w:sz="0" w:space="0" w:color="auto"/>
            <w:left w:val="none" w:sz="0" w:space="0" w:color="auto"/>
            <w:bottom w:val="none" w:sz="0" w:space="0" w:color="auto"/>
            <w:right w:val="none" w:sz="0" w:space="0" w:color="auto"/>
          </w:divBdr>
          <w:divsChild>
            <w:div w:id="188856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444635">
      <w:bodyDiv w:val="1"/>
      <w:marLeft w:val="0"/>
      <w:marRight w:val="0"/>
      <w:marTop w:val="0"/>
      <w:marBottom w:val="0"/>
      <w:divBdr>
        <w:top w:val="none" w:sz="0" w:space="0" w:color="auto"/>
        <w:left w:val="none" w:sz="0" w:space="0" w:color="auto"/>
        <w:bottom w:val="none" w:sz="0" w:space="0" w:color="auto"/>
        <w:right w:val="none" w:sz="0" w:space="0" w:color="auto"/>
      </w:divBdr>
      <w:divsChild>
        <w:div w:id="1019888667">
          <w:marLeft w:val="0"/>
          <w:marRight w:val="0"/>
          <w:marTop w:val="0"/>
          <w:marBottom w:val="0"/>
          <w:divBdr>
            <w:top w:val="none" w:sz="0" w:space="0" w:color="auto"/>
            <w:left w:val="none" w:sz="0" w:space="0" w:color="auto"/>
            <w:bottom w:val="none" w:sz="0" w:space="0" w:color="auto"/>
            <w:right w:val="none" w:sz="0" w:space="0" w:color="auto"/>
          </w:divBdr>
          <w:divsChild>
            <w:div w:id="153839635">
              <w:marLeft w:val="0"/>
              <w:marRight w:val="0"/>
              <w:marTop w:val="0"/>
              <w:marBottom w:val="0"/>
              <w:divBdr>
                <w:top w:val="none" w:sz="0" w:space="0" w:color="auto"/>
                <w:left w:val="none" w:sz="0" w:space="0" w:color="auto"/>
                <w:bottom w:val="none" w:sz="0" w:space="0" w:color="auto"/>
                <w:right w:val="none" w:sz="0" w:space="0" w:color="auto"/>
              </w:divBdr>
            </w:div>
          </w:divsChild>
        </w:div>
        <w:div w:id="148238804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636795">
          <w:marLeft w:val="0"/>
          <w:marRight w:val="0"/>
          <w:marTop w:val="0"/>
          <w:marBottom w:val="0"/>
          <w:divBdr>
            <w:top w:val="none" w:sz="0" w:space="0" w:color="auto"/>
            <w:left w:val="none" w:sz="0" w:space="0" w:color="auto"/>
            <w:bottom w:val="none" w:sz="0" w:space="0" w:color="auto"/>
            <w:right w:val="none" w:sz="0" w:space="0" w:color="auto"/>
          </w:divBdr>
          <w:divsChild>
            <w:div w:id="1580098823">
              <w:marLeft w:val="0"/>
              <w:marRight w:val="0"/>
              <w:marTop w:val="0"/>
              <w:marBottom w:val="0"/>
              <w:divBdr>
                <w:top w:val="none" w:sz="0" w:space="0" w:color="auto"/>
                <w:left w:val="none" w:sz="0" w:space="0" w:color="auto"/>
                <w:bottom w:val="none" w:sz="0" w:space="0" w:color="auto"/>
                <w:right w:val="none" w:sz="0" w:space="0" w:color="auto"/>
              </w:divBdr>
            </w:div>
          </w:divsChild>
        </w:div>
        <w:div w:id="701520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7855521">
      <w:bodyDiv w:val="1"/>
      <w:marLeft w:val="0"/>
      <w:marRight w:val="0"/>
      <w:marTop w:val="0"/>
      <w:marBottom w:val="0"/>
      <w:divBdr>
        <w:top w:val="none" w:sz="0" w:space="0" w:color="auto"/>
        <w:left w:val="none" w:sz="0" w:space="0" w:color="auto"/>
        <w:bottom w:val="none" w:sz="0" w:space="0" w:color="auto"/>
        <w:right w:val="none" w:sz="0" w:space="0" w:color="auto"/>
      </w:divBdr>
      <w:divsChild>
        <w:div w:id="1217429111">
          <w:marLeft w:val="0"/>
          <w:marRight w:val="0"/>
          <w:marTop w:val="0"/>
          <w:marBottom w:val="0"/>
          <w:divBdr>
            <w:top w:val="none" w:sz="0" w:space="0" w:color="auto"/>
            <w:left w:val="none" w:sz="0" w:space="0" w:color="auto"/>
            <w:bottom w:val="none" w:sz="0" w:space="0" w:color="auto"/>
            <w:right w:val="none" w:sz="0" w:space="0" w:color="auto"/>
          </w:divBdr>
          <w:divsChild>
            <w:div w:id="120975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98868">
      <w:bodyDiv w:val="1"/>
      <w:marLeft w:val="0"/>
      <w:marRight w:val="0"/>
      <w:marTop w:val="0"/>
      <w:marBottom w:val="0"/>
      <w:divBdr>
        <w:top w:val="none" w:sz="0" w:space="0" w:color="auto"/>
        <w:left w:val="none" w:sz="0" w:space="0" w:color="auto"/>
        <w:bottom w:val="none" w:sz="0" w:space="0" w:color="auto"/>
        <w:right w:val="none" w:sz="0" w:space="0" w:color="auto"/>
      </w:divBdr>
      <w:divsChild>
        <w:div w:id="353501442">
          <w:marLeft w:val="0"/>
          <w:marRight w:val="0"/>
          <w:marTop w:val="0"/>
          <w:marBottom w:val="0"/>
          <w:divBdr>
            <w:top w:val="none" w:sz="0" w:space="0" w:color="auto"/>
            <w:left w:val="none" w:sz="0" w:space="0" w:color="auto"/>
            <w:bottom w:val="none" w:sz="0" w:space="0" w:color="auto"/>
            <w:right w:val="none" w:sz="0" w:space="0" w:color="auto"/>
          </w:divBdr>
          <w:divsChild>
            <w:div w:id="1741907188">
              <w:marLeft w:val="0"/>
              <w:marRight w:val="0"/>
              <w:marTop w:val="0"/>
              <w:marBottom w:val="0"/>
              <w:divBdr>
                <w:top w:val="none" w:sz="0" w:space="0" w:color="auto"/>
                <w:left w:val="none" w:sz="0" w:space="0" w:color="auto"/>
                <w:bottom w:val="none" w:sz="0" w:space="0" w:color="auto"/>
                <w:right w:val="none" w:sz="0" w:space="0" w:color="auto"/>
              </w:divBdr>
            </w:div>
          </w:divsChild>
        </w:div>
        <w:div w:id="534081060">
          <w:blockQuote w:val="1"/>
          <w:marLeft w:val="720"/>
          <w:marRight w:val="720"/>
          <w:marTop w:val="100"/>
          <w:marBottom w:val="100"/>
          <w:divBdr>
            <w:top w:val="none" w:sz="0" w:space="0" w:color="auto"/>
            <w:left w:val="none" w:sz="0" w:space="0" w:color="auto"/>
            <w:bottom w:val="none" w:sz="0" w:space="0" w:color="auto"/>
            <w:right w:val="none" w:sz="0" w:space="0" w:color="auto"/>
          </w:divBdr>
        </w:div>
        <w:div w:id="619803230">
          <w:marLeft w:val="0"/>
          <w:marRight w:val="0"/>
          <w:marTop w:val="0"/>
          <w:marBottom w:val="0"/>
          <w:divBdr>
            <w:top w:val="none" w:sz="0" w:space="0" w:color="auto"/>
            <w:left w:val="none" w:sz="0" w:space="0" w:color="auto"/>
            <w:bottom w:val="none" w:sz="0" w:space="0" w:color="auto"/>
            <w:right w:val="none" w:sz="0" w:space="0" w:color="auto"/>
          </w:divBdr>
          <w:divsChild>
            <w:div w:id="1823886803">
              <w:marLeft w:val="0"/>
              <w:marRight w:val="0"/>
              <w:marTop w:val="0"/>
              <w:marBottom w:val="0"/>
              <w:divBdr>
                <w:top w:val="none" w:sz="0" w:space="0" w:color="auto"/>
                <w:left w:val="none" w:sz="0" w:space="0" w:color="auto"/>
                <w:bottom w:val="none" w:sz="0" w:space="0" w:color="auto"/>
                <w:right w:val="none" w:sz="0" w:space="0" w:color="auto"/>
              </w:divBdr>
            </w:div>
          </w:divsChild>
        </w:div>
        <w:div w:id="1000235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409035">
      <w:bodyDiv w:val="1"/>
      <w:marLeft w:val="0"/>
      <w:marRight w:val="0"/>
      <w:marTop w:val="0"/>
      <w:marBottom w:val="0"/>
      <w:divBdr>
        <w:top w:val="none" w:sz="0" w:space="0" w:color="auto"/>
        <w:left w:val="none" w:sz="0" w:space="0" w:color="auto"/>
        <w:bottom w:val="none" w:sz="0" w:space="0" w:color="auto"/>
        <w:right w:val="none" w:sz="0" w:space="0" w:color="auto"/>
      </w:divBdr>
      <w:divsChild>
        <w:div w:id="90053750">
          <w:marLeft w:val="0"/>
          <w:marRight w:val="0"/>
          <w:marTop w:val="0"/>
          <w:marBottom w:val="0"/>
          <w:divBdr>
            <w:top w:val="none" w:sz="0" w:space="0" w:color="auto"/>
            <w:left w:val="none" w:sz="0" w:space="0" w:color="auto"/>
            <w:bottom w:val="none" w:sz="0" w:space="0" w:color="auto"/>
            <w:right w:val="none" w:sz="0" w:space="0" w:color="auto"/>
          </w:divBdr>
          <w:divsChild>
            <w:div w:id="1399937527">
              <w:marLeft w:val="0"/>
              <w:marRight w:val="0"/>
              <w:marTop w:val="0"/>
              <w:marBottom w:val="0"/>
              <w:divBdr>
                <w:top w:val="none" w:sz="0" w:space="0" w:color="auto"/>
                <w:left w:val="none" w:sz="0" w:space="0" w:color="auto"/>
                <w:bottom w:val="none" w:sz="0" w:space="0" w:color="auto"/>
                <w:right w:val="none" w:sz="0" w:space="0" w:color="auto"/>
              </w:divBdr>
            </w:div>
          </w:divsChild>
        </w:div>
        <w:div w:id="1545485744">
          <w:marLeft w:val="0"/>
          <w:marRight w:val="0"/>
          <w:marTop w:val="0"/>
          <w:marBottom w:val="0"/>
          <w:divBdr>
            <w:top w:val="none" w:sz="0" w:space="0" w:color="auto"/>
            <w:left w:val="none" w:sz="0" w:space="0" w:color="auto"/>
            <w:bottom w:val="none" w:sz="0" w:space="0" w:color="auto"/>
            <w:right w:val="none" w:sz="0" w:space="0" w:color="auto"/>
          </w:divBdr>
          <w:divsChild>
            <w:div w:id="205897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15517">
      <w:bodyDiv w:val="1"/>
      <w:marLeft w:val="0"/>
      <w:marRight w:val="0"/>
      <w:marTop w:val="0"/>
      <w:marBottom w:val="0"/>
      <w:divBdr>
        <w:top w:val="none" w:sz="0" w:space="0" w:color="auto"/>
        <w:left w:val="none" w:sz="0" w:space="0" w:color="auto"/>
        <w:bottom w:val="none" w:sz="0" w:space="0" w:color="auto"/>
        <w:right w:val="none" w:sz="0" w:space="0" w:color="auto"/>
      </w:divBdr>
      <w:divsChild>
        <w:div w:id="1417825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597945">
      <w:bodyDiv w:val="1"/>
      <w:marLeft w:val="0"/>
      <w:marRight w:val="0"/>
      <w:marTop w:val="0"/>
      <w:marBottom w:val="0"/>
      <w:divBdr>
        <w:top w:val="none" w:sz="0" w:space="0" w:color="auto"/>
        <w:left w:val="none" w:sz="0" w:space="0" w:color="auto"/>
        <w:bottom w:val="none" w:sz="0" w:space="0" w:color="auto"/>
        <w:right w:val="none" w:sz="0" w:space="0" w:color="auto"/>
      </w:divBdr>
    </w:div>
    <w:div w:id="1405832059">
      <w:bodyDiv w:val="1"/>
      <w:marLeft w:val="0"/>
      <w:marRight w:val="0"/>
      <w:marTop w:val="0"/>
      <w:marBottom w:val="0"/>
      <w:divBdr>
        <w:top w:val="none" w:sz="0" w:space="0" w:color="auto"/>
        <w:left w:val="none" w:sz="0" w:space="0" w:color="auto"/>
        <w:bottom w:val="none" w:sz="0" w:space="0" w:color="auto"/>
        <w:right w:val="none" w:sz="0" w:space="0" w:color="auto"/>
      </w:divBdr>
    </w:div>
    <w:div w:id="1561789150">
      <w:bodyDiv w:val="1"/>
      <w:marLeft w:val="0"/>
      <w:marRight w:val="0"/>
      <w:marTop w:val="0"/>
      <w:marBottom w:val="0"/>
      <w:divBdr>
        <w:top w:val="none" w:sz="0" w:space="0" w:color="auto"/>
        <w:left w:val="none" w:sz="0" w:space="0" w:color="auto"/>
        <w:bottom w:val="none" w:sz="0" w:space="0" w:color="auto"/>
        <w:right w:val="none" w:sz="0" w:space="0" w:color="auto"/>
      </w:divBdr>
    </w:div>
    <w:div w:id="1698117908">
      <w:bodyDiv w:val="1"/>
      <w:marLeft w:val="0"/>
      <w:marRight w:val="0"/>
      <w:marTop w:val="0"/>
      <w:marBottom w:val="0"/>
      <w:divBdr>
        <w:top w:val="none" w:sz="0" w:space="0" w:color="auto"/>
        <w:left w:val="none" w:sz="0" w:space="0" w:color="auto"/>
        <w:bottom w:val="none" w:sz="0" w:space="0" w:color="auto"/>
        <w:right w:val="none" w:sz="0" w:space="0" w:color="auto"/>
      </w:divBdr>
      <w:divsChild>
        <w:div w:id="1929192690">
          <w:marLeft w:val="0"/>
          <w:marRight w:val="0"/>
          <w:marTop w:val="0"/>
          <w:marBottom w:val="0"/>
          <w:divBdr>
            <w:top w:val="none" w:sz="0" w:space="0" w:color="auto"/>
            <w:left w:val="none" w:sz="0" w:space="0" w:color="auto"/>
            <w:bottom w:val="none" w:sz="0" w:space="0" w:color="auto"/>
            <w:right w:val="none" w:sz="0" w:space="0" w:color="auto"/>
          </w:divBdr>
          <w:divsChild>
            <w:div w:id="145510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19210">
      <w:bodyDiv w:val="1"/>
      <w:marLeft w:val="0"/>
      <w:marRight w:val="0"/>
      <w:marTop w:val="0"/>
      <w:marBottom w:val="0"/>
      <w:divBdr>
        <w:top w:val="none" w:sz="0" w:space="0" w:color="auto"/>
        <w:left w:val="none" w:sz="0" w:space="0" w:color="auto"/>
        <w:bottom w:val="none" w:sz="0" w:space="0" w:color="auto"/>
        <w:right w:val="none" w:sz="0" w:space="0" w:color="auto"/>
      </w:divBdr>
      <w:divsChild>
        <w:div w:id="641925672">
          <w:marLeft w:val="0"/>
          <w:marRight w:val="0"/>
          <w:marTop w:val="0"/>
          <w:marBottom w:val="0"/>
          <w:divBdr>
            <w:top w:val="none" w:sz="0" w:space="0" w:color="auto"/>
            <w:left w:val="none" w:sz="0" w:space="0" w:color="auto"/>
            <w:bottom w:val="none" w:sz="0" w:space="0" w:color="auto"/>
            <w:right w:val="none" w:sz="0" w:space="0" w:color="auto"/>
          </w:divBdr>
          <w:divsChild>
            <w:div w:id="1099645274">
              <w:marLeft w:val="0"/>
              <w:marRight w:val="0"/>
              <w:marTop w:val="0"/>
              <w:marBottom w:val="0"/>
              <w:divBdr>
                <w:top w:val="none" w:sz="0" w:space="0" w:color="auto"/>
                <w:left w:val="none" w:sz="0" w:space="0" w:color="auto"/>
                <w:bottom w:val="none" w:sz="0" w:space="0" w:color="auto"/>
                <w:right w:val="none" w:sz="0" w:space="0" w:color="auto"/>
              </w:divBdr>
              <w:divsChild>
                <w:div w:id="1032537181">
                  <w:marLeft w:val="0"/>
                  <w:marRight w:val="0"/>
                  <w:marTop w:val="0"/>
                  <w:marBottom w:val="0"/>
                  <w:divBdr>
                    <w:top w:val="none" w:sz="0" w:space="0" w:color="auto"/>
                    <w:left w:val="none" w:sz="0" w:space="0" w:color="auto"/>
                    <w:bottom w:val="none" w:sz="0" w:space="0" w:color="auto"/>
                    <w:right w:val="none" w:sz="0" w:space="0" w:color="auto"/>
                  </w:divBdr>
                  <w:divsChild>
                    <w:div w:id="1348948809">
                      <w:marLeft w:val="0"/>
                      <w:marRight w:val="0"/>
                      <w:marTop w:val="0"/>
                      <w:marBottom w:val="0"/>
                      <w:divBdr>
                        <w:top w:val="none" w:sz="0" w:space="0" w:color="auto"/>
                        <w:left w:val="none" w:sz="0" w:space="0" w:color="auto"/>
                        <w:bottom w:val="none" w:sz="0" w:space="0" w:color="auto"/>
                        <w:right w:val="none" w:sz="0" w:space="0" w:color="auto"/>
                      </w:divBdr>
                      <w:divsChild>
                        <w:div w:id="2121682992">
                          <w:marLeft w:val="0"/>
                          <w:marRight w:val="0"/>
                          <w:marTop w:val="0"/>
                          <w:marBottom w:val="0"/>
                          <w:divBdr>
                            <w:top w:val="none" w:sz="0" w:space="0" w:color="auto"/>
                            <w:left w:val="none" w:sz="0" w:space="0" w:color="auto"/>
                            <w:bottom w:val="none" w:sz="0" w:space="0" w:color="auto"/>
                            <w:right w:val="none" w:sz="0" w:space="0" w:color="auto"/>
                          </w:divBdr>
                          <w:divsChild>
                            <w:div w:id="211389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914595">
          <w:marLeft w:val="0"/>
          <w:marRight w:val="0"/>
          <w:marTop w:val="0"/>
          <w:marBottom w:val="0"/>
          <w:divBdr>
            <w:top w:val="none" w:sz="0" w:space="0" w:color="auto"/>
            <w:left w:val="none" w:sz="0" w:space="0" w:color="auto"/>
            <w:bottom w:val="none" w:sz="0" w:space="0" w:color="auto"/>
            <w:right w:val="none" w:sz="0" w:space="0" w:color="auto"/>
          </w:divBdr>
          <w:divsChild>
            <w:div w:id="716586598">
              <w:marLeft w:val="0"/>
              <w:marRight w:val="0"/>
              <w:marTop w:val="0"/>
              <w:marBottom w:val="0"/>
              <w:divBdr>
                <w:top w:val="none" w:sz="0" w:space="0" w:color="auto"/>
                <w:left w:val="none" w:sz="0" w:space="0" w:color="auto"/>
                <w:bottom w:val="none" w:sz="0" w:space="0" w:color="auto"/>
                <w:right w:val="none" w:sz="0" w:space="0" w:color="auto"/>
              </w:divBdr>
              <w:divsChild>
                <w:div w:id="385646215">
                  <w:marLeft w:val="0"/>
                  <w:marRight w:val="0"/>
                  <w:marTop w:val="0"/>
                  <w:marBottom w:val="0"/>
                  <w:divBdr>
                    <w:top w:val="none" w:sz="0" w:space="0" w:color="auto"/>
                    <w:left w:val="none" w:sz="0" w:space="0" w:color="auto"/>
                    <w:bottom w:val="none" w:sz="0" w:space="0" w:color="auto"/>
                    <w:right w:val="none" w:sz="0" w:space="0" w:color="auto"/>
                  </w:divBdr>
                  <w:divsChild>
                    <w:div w:id="935212436">
                      <w:marLeft w:val="0"/>
                      <w:marRight w:val="0"/>
                      <w:marTop w:val="0"/>
                      <w:marBottom w:val="0"/>
                      <w:divBdr>
                        <w:top w:val="none" w:sz="0" w:space="0" w:color="auto"/>
                        <w:left w:val="none" w:sz="0" w:space="0" w:color="auto"/>
                        <w:bottom w:val="none" w:sz="0" w:space="0" w:color="auto"/>
                        <w:right w:val="none" w:sz="0" w:space="0" w:color="auto"/>
                      </w:divBdr>
                      <w:divsChild>
                        <w:div w:id="1689285114">
                          <w:marLeft w:val="0"/>
                          <w:marRight w:val="0"/>
                          <w:marTop w:val="0"/>
                          <w:marBottom w:val="0"/>
                          <w:divBdr>
                            <w:top w:val="none" w:sz="0" w:space="0" w:color="auto"/>
                            <w:left w:val="none" w:sz="0" w:space="0" w:color="auto"/>
                            <w:bottom w:val="none" w:sz="0" w:space="0" w:color="auto"/>
                            <w:right w:val="none" w:sz="0" w:space="0" w:color="auto"/>
                          </w:divBdr>
                          <w:divsChild>
                            <w:div w:id="1643457758">
                              <w:marLeft w:val="0"/>
                              <w:marRight w:val="0"/>
                              <w:marTop w:val="0"/>
                              <w:marBottom w:val="0"/>
                              <w:divBdr>
                                <w:top w:val="none" w:sz="0" w:space="0" w:color="auto"/>
                                <w:left w:val="none" w:sz="0" w:space="0" w:color="auto"/>
                                <w:bottom w:val="none" w:sz="0" w:space="0" w:color="auto"/>
                                <w:right w:val="none" w:sz="0" w:space="0" w:color="auto"/>
                              </w:divBdr>
                              <w:divsChild>
                                <w:div w:id="88047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027750">
          <w:marLeft w:val="0"/>
          <w:marRight w:val="0"/>
          <w:marTop w:val="0"/>
          <w:marBottom w:val="0"/>
          <w:divBdr>
            <w:top w:val="none" w:sz="0" w:space="0" w:color="auto"/>
            <w:left w:val="none" w:sz="0" w:space="0" w:color="auto"/>
            <w:bottom w:val="none" w:sz="0" w:space="0" w:color="auto"/>
            <w:right w:val="none" w:sz="0" w:space="0" w:color="auto"/>
          </w:divBdr>
          <w:divsChild>
            <w:div w:id="1304241059">
              <w:marLeft w:val="0"/>
              <w:marRight w:val="0"/>
              <w:marTop w:val="0"/>
              <w:marBottom w:val="0"/>
              <w:divBdr>
                <w:top w:val="none" w:sz="0" w:space="0" w:color="auto"/>
                <w:left w:val="none" w:sz="0" w:space="0" w:color="auto"/>
                <w:bottom w:val="none" w:sz="0" w:space="0" w:color="auto"/>
                <w:right w:val="none" w:sz="0" w:space="0" w:color="auto"/>
              </w:divBdr>
              <w:divsChild>
                <w:div w:id="1626037477">
                  <w:marLeft w:val="0"/>
                  <w:marRight w:val="0"/>
                  <w:marTop w:val="0"/>
                  <w:marBottom w:val="0"/>
                  <w:divBdr>
                    <w:top w:val="none" w:sz="0" w:space="0" w:color="auto"/>
                    <w:left w:val="none" w:sz="0" w:space="0" w:color="auto"/>
                    <w:bottom w:val="none" w:sz="0" w:space="0" w:color="auto"/>
                    <w:right w:val="none" w:sz="0" w:space="0" w:color="auto"/>
                  </w:divBdr>
                  <w:divsChild>
                    <w:div w:id="1001737788">
                      <w:marLeft w:val="0"/>
                      <w:marRight w:val="0"/>
                      <w:marTop w:val="0"/>
                      <w:marBottom w:val="0"/>
                      <w:divBdr>
                        <w:top w:val="none" w:sz="0" w:space="0" w:color="auto"/>
                        <w:left w:val="none" w:sz="0" w:space="0" w:color="auto"/>
                        <w:bottom w:val="none" w:sz="0" w:space="0" w:color="auto"/>
                        <w:right w:val="none" w:sz="0" w:space="0" w:color="auto"/>
                      </w:divBdr>
                      <w:divsChild>
                        <w:div w:id="185681272">
                          <w:marLeft w:val="0"/>
                          <w:marRight w:val="0"/>
                          <w:marTop w:val="0"/>
                          <w:marBottom w:val="0"/>
                          <w:divBdr>
                            <w:top w:val="none" w:sz="0" w:space="0" w:color="auto"/>
                            <w:left w:val="none" w:sz="0" w:space="0" w:color="auto"/>
                            <w:bottom w:val="none" w:sz="0" w:space="0" w:color="auto"/>
                            <w:right w:val="none" w:sz="0" w:space="0" w:color="auto"/>
                          </w:divBdr>
                          <w:divsChild>
                            <w:div w:id="925385159">
                              <w:marLeft w:val="0"/>
                              <w:marRight w:val="0"/>
                              <w:marTop w:val="0"/>
                              <w:marBottom w:val="0"/>
                              <w:divBdr>
                                <w:top w:val="none" w:sz="0" w:space="0" w:color="auto"/>
                                <w:left w:val="none" w:sz="0" w:space="0" w:color="auto"/>
                                <w:bottom w:val="none" w:sz="0" w:space="0" w:color="auto"/>
                                <w:right w:val="none" w:sz="0" w:space="0" w:color="auto"/>
                              </w:divBdr>
                              <w:divsChild>
                                <w:div w:id="1759329485">
                                  <w:marLeft w:val="0"/>
                                  <w:marRight w:val="0"/>
                                  <w:marTop w:val="0"/>
                                  <w:marBottom w:val="0"/>
                                  <w:divBdr>
                                    <w:top w:val="none" w:sz="0" w:space="0" w:color="auto"/>
                                    <w:left w:val="none" w:sz="0" w:space="0" w:color="auto"/>
                                    <w:bottom w:val="none" w:sz="0" w:space="0" w:color="auto"/>
                                    <w:right w:val="none" w:sz="0" w:space="0" w:color="auto"/>
                                  </w:divBdr>
                                  <w:divsChild>
                                    <w:div w:id="528764970">
                                      <w:marLeft w:val="0"/>
                                      <w:marRight w:val="0"/>
                                      <w:marTop w:val="0"/>
                                      <w:marBottom w:val="0"/>
                                      <w:divBdr>
                                        <w:top w:val="none" w:sz="0" w:space="0" w:color="auto"/>
                                        <w:left w:val="none" w:sz="0" w:space="0" w:color="auto"/>
                                        <w:bottom w:val="none" w:sz="0" w:space="0" w:color="auto"/>
                                        <w:right w:val="none" w:sz="0" w:space="0" w:color="auto"/>
                                      </w:divBdr>
                                    </w:div>
                                  </w:divsChild>
                                </w:div>
                                <w:div w:id="172380008">
                                  <w:marLeft w:val="0"/>
                                  <w:marRight w:val="0"/>
                                  <w:marTop w:val="0"/>
                                  <w:marBottom w:val="0"/>
                                  <w:divBdr>
                                    <w:top w:val="none" w:sz="0" w:space="0" w:color="auto"/>
                                    <w:left w:val="none" w:sz="0" w:space="0" w:color="auto"/>
                                    <w:bottom w:val="none" w:sz="0" w:space="0" w:color="auto"/>
                                    <w:right w:val="none" w:sz="0" w:space="0" w:color="auto"/>
                                  </w:divBdr>
                                  <w:divsChild>
                                    <w:div w:id="214173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767295">
          <w:marLeft w:val="0"/>
          <w:marRight w:val="0"/>
          <w:marTop w:val="0"/>
          <w:marBottom w:val="0"/>
          <w:divBdr>
            <w:top w:val="none" w:sz="0" w:space="0" w:color="auto"/>
            <w:left w:val="none" w:sz="0" w:space="0" w:color="auto"/>
            <w:bottom w:val="none" w:sz="0" w:space="0" w:color="auto"/>
            <w:right w:val="none" w:sz="0" w:space="0" w:color="auto"/>
          </w:divBdr>
          <w:divsChild>
            <w:div w:id="1546481602">
              <w:marLeft w:val="0"/>
              <w:marRight w:val="0"/>
              <w:marTop w:val="0"/>
              <w:marBottom w:val="0"/>
              <w:divBdr>
                <w:top w:val="none" w:sz="0" w:space="0" w:color="auto"/>
                <w:left w:val="none" w:sz="0" w:space="0" w:color="auto"/>
                <w:bottom w:val="none" w:sz="0" w:space="0" w:color="auto"/>
                <w:right w:val="none" w:sz="0" w:space="0" w:color="auto"/>
              </w:divBdr>
              <w:divsChild>
                <w:div w:id="858203414">
                  <w:marLeft w:val="0"/>
                  <w:marRight w:val="0"/>
                  <w:marTop w:val="0"/>
                  <w:marBottom w:val="0"/>
                  <w:divBdr>
                    <w:top w:val="none" w:sz="0" w:space="0" w:color="auto"/>
                    <w:left w:val="none" w:sz="0" w:space="0" w:color="auto"/>
                    <w:bottom w:val="none" w:sz="0" w:space="0" w:color="auto"/>
                    <w:right w:val="none" w:sz="0" w:space="0" w:color="auto"/>
                  </w:divBdr>
                  <w:divsChild>
                    <w:div w:id="486439636">
                      <w:marLeft w:val="0"/>
                      <w:marRight w:val="0"/>
                      <w:marTop w:val="0"/>
                      <w:marBottom w:val="0"/>
                      <w:divBdr>
                        <w:top w:val="none" w:sz="0" w:space="0" w:color="auto"/>
                        <w:left w:val="none" w:sz="0" w:space="0" w:color="auto"/>
                        <w:bottom w:val="none" w:sz="0" w:space="0" w:color="auto"/>
                        <w:right w:val="none" w:sz="0" w:space="0" w:color="auto"/>
                      </w:divBdr>
                      <w:divsChild>
                        <w:div w:id="458687629">
                          <w:marLeft w:val="0"/>
                          <w:marRight w:val="0"/>
                          <w:marTop w:val="0"/>
                          <w:marBottom w:val="0"/>
                          <w:divBdr>
                            <w:top w:val="none" w:sz="0" w:space="0" w:color="auto"/>
                            <w:left w:val="none" w:sz="0" w:space="0" w:color="auto"/>
                            <w:bottom w:val="none" w:sz="0" w:space="0" w:color="auto"/>
                            <w:right w:val="none" w:sz="0" w:space="0" w:color="auto"/>
                          </w:divBdr>
                          <w:divsChild>
                            <w:div w:id="1296374276">
                              <w:marLeft w:val="0"/>
                              <w:marRight w:val="0"/>
                              <w:marTop w:val="0"/>
                              <w:marBottom w:val="0"/>
                              <w:divBdr>
                                <w:top w:val="none" w:sz="0" w:space="0" w:color="auto"/>
                                <w:left w:val="none" w:sz="0" w:space="0" w:color="auto"/>
                                <w:bottom w:val="none" w:sz="0" w:space="0" w:color="auto"/>
                                <w:right w:val="none" w:sz="0" w:space="0" w:color="auto"/>
                              </w:divBdr>
                              <w:divsChild>
                                <w:div w:id="179898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724869">
          <w:marLeft w:val="0"/>
          <w:marRight w:val="0"/>
          <w:marTop w:val="0"/>
          <w:marBottom w:val="0"/>
          <w:divBdr>
            <w:top w:val="none" w:sz="0" w:space="0" w:color="auto"/>
            <w:left w:val="none" w:sz="0" w:space="0" w:color="auto"/>
            <w:bottom w:val="none" w:sz="0" w:space="0" w:color="auto"/>
            <w:right w:val="none" w:sz="0" w:space="0" w:color="auto"/>
          </w:divBdr>
          <w:divsChild>
            <w:div w:id="1261569367">
              <w:marLeft w:val="0"/>
              <w:marRight w:val="0"/>
              <w:marTop w:val="0"/>
              <w:marBottom w:val="0"/>
              <w:divBdr>
                <w:top w:val="none" w:sz="0" w:space="0" w:color="auto"/>
                <w:left w:val="none" w:sz="0" w:space="0" w:color="auto"/>
                <w:bottom w:val="none" w:sz="0" w:space="0" w:color="auto"/>
                <w:right w:val="none" w:sz="0" w:space="0" w:color="auto"/>
              </w:divBdr>
              <w:divsChild>
                <w:div w:id="63573292">
                  <w:marLeft w:val="0"/>
                  <w:marRight w:val="0"/>
                  <w:marTop w:val="0"/>
                  <w:marBottom w:val="0"/>
                  <w:divBdr>
                    <w:top w:val="none" w:sz="0" w:space="0" w:color="auto"/>
                    <w:left w:val="none" w:sz="0" w:space="0" w:color="auto"/>
                    <w:bottom w:val="none" w:sz="0" w:space="0" w:color="auto"/>
                    <w:right w:val="none" w:sz="0" w:space="0" w:color="auto"/>
                  </w:divBdr>
                  <w:divsChild>
                    <w:div w:id="160124650">
                      <w:marLeft w:val="0"/>
                      <w:marRight w:val="0"/>
                      <w:marTop w:val="0"/>
                      <w:marBottom w:val="0"/>
                      <w:divBdr>
                        <w:top w:val="none" w:sz="0" w:space="0" w:color="auto"/>
                        <w:left w:val="none" w:sz="0" w:space="0" w:color="auto"/>
                        <w:bottom w:val="none" w:sz="0" w:space="0" w:color="auto"/>
                        <w:right w:val="none" w:sz="0" w:space="0" w:color="auto"/>
                      </w:divBdr>
                      <w:divsChild>
                        <w:div w:id="256909408">
                          <w:marLeft w:val="0"/>
                          <w:marRight w:val="0"/>
                          <w:marTop w:val="0"/>
                          <w:marBottom w:val="0"/>
                          <w:divBdr>
                            <w:top w:val="none" w:sz="0" w:space="0" w:color="auto"/>
                            <w:left w:val="none" w:sz="0" w:space="0" w:color="auto"/>
                            <w:bottom w:val="none" w:sz="0" w:space="0" w:color="auto"/>
                            <w:right w:val="none" w:sz="0" w:space="0" w:color="auto"/>
                          </w:divBdr>
                          <w:divsChild>
                            <w:div w:id="62693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7147276">
          <w:marLeft w:val="0"/>
          <w:marRight w:val="0"/>
          <w:marTop w:val="0"/>
          <w:marBottom w:val="0"/>
          <w:divBdr>
            <w:top w:val="none" w:sz="0" w:space="0" w:color="auto"/>
            <w:left w:val="none" w:sz="0" w:space="0" w:color="auto"/>
            <w:bottom w:val="none" w:sz="0" w:space="0" w:color="auto"/>
            <w:right w:val="none" w:sz="0" w:space="0" w:color="auto"/>
          </w:divBdr>
          <w:divsChild>
            <w:div w:id="812331595">
              <w:marLeft w:val="0"/>
              <w:marRight w:val="0"/>
              <w:marTop w:val="0"/>
              <w:marBottom w:val="0"/>
              <w:divBdr>
                <w:top w:val="none" w:sz="0" w:space="0" w:color="auto"/>
                <w:left w:val="none" w:sz="0" w:space="0" w:color="auto"/>
                <w:bottom w:val="none" w:sz="0" w:space="0" w:color="auto"/>
                <w:right w:val="none" w:sz="0" w:space="0" w:color="auto"/>
              </w:divBdr>
              <w:divsChild>
                <w:div w:id="640505683">
                  <w:marLeft w:val="0"/>
                  <w:marRight w:val="0"/>
                  <w:marTop w:val="0"/>
                  <w:marBottom w:val="0"/>
                  <w:divBdr>
                    <w:top w:val="none" w:sz="0" w:space="0" w:color="auto"/>
                    <w:left w:val="none" w:sz="0" w:space="0" w:color="auto"/>
                    <w:bottom w:val="none" w:sz="0" w:space="0" w:color="auto"/>
                    <w:right w:val="none" w:sz="0" w:space="0" w:color="auto"/>
                  </w:divBdr>
                  <w:divsChild>
                    <w:div w:id="1616909157">
                      <w:marLeft w:val="0"/>
                      <w:marRight w:val="0"/>
                      <w:marTop w:val="0"/>
                      <w:marBottom w:val="0"/>
                      <w:divBdr>
                        <w:top w:val="none" w:sz="0" w:space="0" w:color="auto"/>
                        <w:left w:val="none" w:sz="0" w:space="0" w:color="auto"/>
                        <w:bottom w:val="none" w:sz="0" w:space="0" w:color="auto"/>
                        <w:right w:val="none" w:sz="0" w:space="0" w:color="auto"/>
                      </w:divBdr>
                      <w:divsChild>
                        <w:div w:id="539125019">
                          <w:marLeft w:val="0"/>
                          <w:marRight w:val="0"/>
                          <w:marTop w:val="0"/>
                          <w:marBottom w:val="0"/>
                          <w:divBdr>
                            <w:top w:val="none" w:sz="0" w:space="0" w:color="auto"/>
                            <w:left w:val="none" w:sz="0" w:space="0" w:color="auto"/>
                            <w:bottom w:val="none" w:sz="0" w:space="0" w:color="auto"/>
                            <w:right w:val="none" w:sz="0" w:space="0" w:color="auto"/>
                          </w:divBdr>
                          <w:divsChild>
                            <w:div w:id="1276711234">
                              <w:marLeft w:val="0"/>
                              <w:marRight w:val="0"/>
                              <w:marTop w:val="0"/>
                              <w:marBottom w:val="0"/>
                              <w:divBdr>
                                <w:top w:val="none" w:sz="0" w:space="0" w:color="auto"/>
                                <w:left w:val="none" w:sz="0" w:space="0" w:color="auto"/>
                                <w:bottom w:val="none" w:sz="0" w:space="0" w:color="auto"/>
                                <w:right w:val="none" w:sz="0" w:space="0" w:color="auto"/>
                              </w:divBdr>
                              <w:divsChild>
                                <w:div w:id="40877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051215">
          <w:marLeft w:val="0"/>
          <w:marRight w:val="0"/>
          <w:marTop w:val="0"/>
          <w:marBottom w:val="0"/>
          <w:divBdr>
            <w:top w:val="none" w:sz="0" w:space="0" w:color="auto"/>
            <w:left w:val="none" w:sz="0" w:space="0" w:color="auto"/>
            <w:bottom w:val="none" w:sz="0" w:space="0" w:color="auto"/>
            <w:right w:val="none" w:sz="0" w:space="0" w:color="auto"/>
          </w:divBdr>
          <w:divsChild>
            <w:div w:id="2135126423">
              <w:marLeft w:val="0"/>
              <w:marRight w:val="0"/>
              <w:marTop w:val="0"/>
              <w:marBottom w:val="0"/>
              <w:divBdr>
                <w:top w:val="none" w:sz="0" w:space="0" w:color="auto"/>
                <w:left w:val="none" w:sz="0" w:space="0" w:color="auto"/>
                <w:bottom w:val="none" w:sz="0" w:space="0" w:color="auto"/>
                <w:right w:val="none" w:sz="0" w:space="0" w:color="auto"/>
              </w:divBdr>
              <w:divsChild>
                <w:div w:id="1257711769">
                  <w:marLeft w:val="0"/>
                  <w:marRight w:val="0"/>
                  <w:marTop w:val="0"/>
                  <w:marBottom w:val="0"/>
                  <w:divBdr>
                    <w:top w:val="none" w:sz="0" w:space="0" w:color="auto"/>
                    <w:left w:val="none" w:sz="0" w:space="0" w:color="auto"/>
                    <w:bottom w:val="none" w:sz="0" w:space="0" w:color="auto"/>
                    <w:right w:val="none" w:sz="0" w:space="0" w:color="auto"/>
                  </w:divBdr>
                  <w:divsChild>
                    <w:div w:id="729037089">
                      <w:marLeft w:val="0"/>
                      <w:marRight w:val="0"/>
                      <w:marTop w:val="0"/>
                      <w:marBottom w:val="0"/>
                      <w:divBdr>
                        <w:top w:val="none" w:sz="0" w:space="0" w:color="auto"/>
                        <w:left w:val="none" w:sz="0" w:space="0" w:color="auto"/>
                        <w:bottom w:val="none" w:sz="0" w:space="0" w:color="auto"/>
                        <w:right w:val="none" w:sz="0" w:space="0" w:color="auto"/>
                      </w:divBdr>
                      <w:divsChild>
                        <w:div w:id="1732996879">
                          <w:marLeft w:val="0"/>
                          <w:marRight w:val="0"/>
                          <w:marTop w:val="0"/>
                          <w:marBottom w:val="0"/>
                          <w:divBdr>
                            <w:top w:val="none" w:sz="0" w:space="0" w:color="auto"/>
                            <w:left w:val="none" w:sz="0" w:space="0" w:color="auto"/>
                            <w:bottom w:val="none" w:sz="0" w:space="0" w:color="auto"/>
                            <w:right w:val="none" w:sz="0" w:space="0" w:color="auto"/>
                          </w:divBdr>
                          <w:divsChild>
                            <w:div w:id="104845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889977">
          <w:marLeft w:val="0"/>
          <w:marRight w:val="0"/>
          <w:marTop w:val="0"/>
          <w:marBottom w:val="0"/>
          <w:divBdr>
            <w:top w:val="none" w:sz="0" w:space="0" w:color="auto"/>
            <w:left w:val="none" w:sz="0" w:space="0" w:color="auto"/>
            <w:bottom w:val="none" w:sz="0" w:space="0" w:color="auto"/>
            <w:right w:val="none" w:sz="0" w:space="0" w:color="auto"/>
          </w:divBdr>
          <w:divsChild>
            <w:div w:id="1339120242">
              <w:marLeft w:val="0"/>
              <w:marRight w:val="0"/>
              <w:marTop w:val="0"/>
              <w:marBottom w:val="0"/>
              <w:divBdr>
                <w:top w:val="none" w:sz="0" w:space="0" w:color="auto"/>
                <w:left w:val="none" w:sz="0" w:space="0" w:color="auto"/>
                <w:bottom w:val="none" w:sz="0" w:space="0" w:color="auto"/>
                <w:right w:val="none" w:sz="0" w:space="0" w:color="auto"/>
              </w:divBdr>
              <w:divsChild>
                <w:div w:id="1373850047">
                  <w:marLeft w:val="0"/>
                  <w:marRight w:val="0"/>
                  <w:marTop w:val="0"/>
                  <w:marBottom w:val="0"/>
                  <w:divBdr>
                    <w:top w:val="none" w:sz="0" w:space="0" w:color="auto"/>
                    <w:left w:val="none" w:sz="0" w:space="0" w:color="auto"/>
                    <w:bottom w:val="none" w:sz="0" w:space="0" w:color="auto"/>
                    <w:right w:val="none" w:sz="0" w:space="0" w:color="auto"/>
                  </w:divBdr>
                  <w:divsChild>
                    <w:div w:id="1961837788">
                      <w:marLeft w:val="0"/>
                      <w:marRight w:val="0"/>
                      <w:marTop w:val="0"/>
                      <w:marBottom w:val="0"/>
                      <w:divBdr>
                        <w:top w:val="none" w:sz="0" w:space="0" w:color="auto"/>
                        <w:left w:val="none" w:sz="0" w:space="0" w:color="auto"/>
                        <w:bottom w:val="none" w:sz="0" w:space="0" w:color="auto"/>
                        <w:right w:val="none" w:sz="0" w:space="0" w:color="auto"/>
                      </w:divBdr>
                      <w:divsChild>
                        <w:div w:id="351687742">
                          <w:marLeft w:val="0"/>
                          <w:marRight w:val="0"/>
                          <w:marTop w:val="0"/>
                          <w:marBottom w:val="0"/>
                          <w:divBdr>
                            <w:top w:val="none" w:sz="0" w:space="0" w:color="auto"/>
                            <w:left w:val="none" w:sz="0" w:space="0" w:color="auto"/>
                            <w:bottom w:val="none" w:sz="0" w:space="0" w:color="auto"/>
                            <w:right w:val="none" w:sz="0" w:space="0" w:color="auto"/>
                          </w:divBdr>
                          <w:divsChild>
                            <w:div w:id="988023993">
                              <w:marLeft w:val="0"/>
                              <w:marRight w:val="0"/>
                              <w:marTop w:val="0"/>
                              <w:marBottom w:val="0"/>
                              <w:divBdr>
                                <w:top w:val="none" w:sz="0" w:space="0" w:color="auto"/>
                                <w:left w:val="none" w:sz="0" w:space="0" w:color="auto"/>
                                <w:bottom w:val="none" w:sz="0" w:space="0" w:color="auto"/>
                                <w:right w:val="none" w:sz="0" w:space="0" w:color="auto"/>
                              </w:divBdr>
                              <w:divsChild>
                                <w:div w:id="173277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098518">
          <w:marLeft w:val="0"/>
          <w:marRight w:val="0"/>
          <w:marTop w:val="0"/>
          <w:marBottom w:val="0"/>
          <w:divBdr>
            <w:top w:val="none" w:sz="0" w:space="0" w:color="auto"/>
            <w:left w:val="none" w:sz="0" w:space="0" w:color="auto"/>
            <w:bottom w:val="none" w:sz="0" w:space="0" w:color="auto"/>
            <w:right w:val="none" w:sz="0" w:space="0" w:color="auto"/>
          </w:divBdr>
          <w:divsChild>
            <w:div w:id="659580322">
              <w:marLeft w:val="0"/>
              <w:marRight w:val="0"/>
              <w:marTop w:val="0"/>
              <w:marBottom w:val="0"/>
              <w:divBdr>
                <w:top w:val="none" w:sz="0" w:space="0" w:color="auto"/>
                <w:left w:val="none" w:sz="0" w:space="0" w:color="auto"/>
                <w:bottom w:val="none" w:sz="0" w:space="0" w:color="auto"/>
                <w:right w:val="none" w:sz="0" w:space="0" w:color="auto"/>
              </w:divBdr>
              <w:divsChild>
                <w:div w:id="298463179">
                  <w:marLeft w:val="0"/>
                  <w:marRight w:val="0"/>
                  <w:marTop w:val="0"/>
                  <w:marBottom w:val="0"/>
                  <w:divBdr>
                    <w:top w:val="none" w:sz="0" w:space="0" w:color="auto"/>
                    <w:left w:val="none" w:sz="0" w:space="0" w:color="auto"/>
                    <w:bottom w:val="none" w:sz="0" w:space="0" w:color="auto"/>
                    <w:right w:val="none" w:sz="0" w:space="0" w:color="auto"/>
                  </w:divBdr>
                  <w:divsChild>
                    <w:div w:id="1852452184">
                      <w:marLeft w:val="0"/>
                      <w:marRight w:val="0"/>
                      <w:marTop w:val="0"/>
                      <w:marBottom w:val="0"/>
                      <w:divBdr>
                        <w:top w:val="none" w:sz="0" w:space="0" w:color="auto"/>
                        <w:left w:val="none" w:sz="0" w:space="0" w:color="auto"/>
                        <w:bottom w:val="none" w:sz="0" w:space="0" w:color="auto"/>
                        <w:right w:val="none" w:sz="0" w:space="0" w:color="auto"/>
                      </w:divBdr>
                      <w:divsChild>
                        <w:div w:id="1002929977">
                          <w:marLeft w:val="0"/>
                          <w:marRight w:val="0"/>
                          <w:marTop w:val="0"/>
                          <w:marBottom w:val="0"/>
                          <w:divBdr>
                            <w:top w:val="none" w:sz="0" w:space="0" w:color="auto"/>
                            <w:left w:val="none" w:sz="0" w:space="0" w:color="auto"/>
                            <w:bottom w:val="none" w:sz="0" w:space="0" w:color="auto"/>
                            <w:right w:val="none" w:sz="0" w:space="0" w:color="auto"/>
                          </w:divBdr>
                          <w:divsChild>
                            <w:div w:id="1490053232">
                              <w:marLeft w:val="0"/>
                              <w:marRight w:val="0"/>
                              <w:marTop w:val="0"/>
                              <w:marBottom w:val="0"/>
                              <w:divBdr>
                                <w:top w:val="none" w:sz="0" w:space="0" w:color="auto"/>
                                <w:left w:val="none" w:sz="0" w:space="0" w:color="auto"/>
                                <w:bottom w:val="none" w:sz="0" w:space="0" w:color="auto"/>
                                <w:right w:val="none" w:sz="0" w:space="0" w:color="auto"/>
                              </w:divBdr>
                              <w:divsChild>
                                <w:div w:id="134493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99989">
                      <w:marLeft w:val="0"/>
                      <w:marRight w:val="0"/>
                      <w:marTop w:val="0"/>
                      <w:marBottom w:val="0"/>
                      <w:divBdr>
                        <w:top w:val="none" w:sz="0" w:space="0" w:color="auto"/>
                        <w:left w:val="none" w:sz="0" w:space="0" w:color="auto"/>
                        <w:bottom w:val="none" w:sz="0" w:space="0" w:color="auto"/>
                        <w:right w:val="none" w:sz="0" w:space="0" w:color="auto"/>
                      </w:divBdr>
                      <w:divsChild>
                        <w:div w:id="777257504">
                          <w:marLeft w:val="0"/>
                          <w:marRight w:val="0"/>
                          <w:marTop w:val="0"/>
                          <w:marBottom w:val="0"/>
                          <w:divBdr>
                            <w:top w:val="none" w:sz="0" w:space="0" w:color="auto"/>
                            <w:left w:val="none" w:sz="0" w:space="0" w:color="auto"/>
                            <w:bottom w:val="none" w:sz="0" w:space="0" w:color="auto"/>
                            <w:right w:val="none" w:sz="0" w:space="0" w:color="auto"/>
                          </w:divBdr>
                          <w:divsChild>
                            <w:div w:id="3449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953544">
      <w:bodyDiv w:val="1"/>
      <w:marLeft w:val="0"/>
      <w:marRight w:val="0"/>
      <w:marTop w:val="0"/>
      <w:marBottom w:val="0"/>
      <w:divBdr>
        <w:top w:val="none" w:sz="0" w:space="0" w:color="auto"/>
        <w:left w:val="none" w:sz="0" w:space="0" w:color="auto"/>
        <w:bottom w:val="none" w:sz="0" w:space="0" w:color="auto"/>
        <w:right w:val="none" w:sz="0" w:space="0" w:color="auto"/>
      </w:divBdr>
    </w:div>
    <w:div w:id="2009553743">
      <w:bodyDiv w:val="1"/>
      <w:marLeft w:val="0"/>
      <w:marRight w:val="0"/>
      <w:marTop w:val="0"/>
      <w:marBottom w:val="0"/>
      <w:divBdr>
        <w:top w:val="none" w:sz="0" w:space="0" w:color="auto"/>
        <w:left w:val="none" w:sz="0" w:space="0" w:color="auto"/>
        <w:bottom w:val="none" w:sz="0" w:space="0" w:color="auto"/>
        <w:right w:val="none" w:sz="0" w:space="0" w:color="auto"/>
      </w:divBdr>
      <w:divsChild>
        <w:div w:id="1317804227">
          <w:marLeft w:val="0"/>
          <w:marRight w:val="0"/>
          <w:marTop w:val="0"/>
          <w:marBottom w:val="0"/>
          <w:divBdr>
            <w:top w:val="none" w:sz="0" w:space="0" w:color="auto"/>
            <w:left w:val="none" w:sz="0" w:space="0" w:color="auto"/>
            <w:bottom w:val="none" w:sz="0" w:space="0" w:color="auto"/>
            <w:right w:val="none" w:sz="0" w:space="0" w:color="auto"/>
          </w:divBdr>
          <w:divsChild>
            <w:div w:id="116794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28849">
      <w:bodyDiv w:val="1"/>
      <w:marLeft w:val="0"/>
      <w:marRight w:val="0"/>
      <w:marTop w:val="0"/>
      <w:marBottom w:val="0"/>
      <w:divBdr>
        <w:top w:val="none" w:sz="0" w:space="0" w:color="auto"/>
        <w:left w:val="none" w:sz="0" w:space="0" w:color="auto"/>
        <w:bottom w:val="none" w:sz="0" w:space="0" w:color="auto"/>
        <w:right w:val="none" w:sz="0" w:space="0" w:color="auto"/>
      </w:divBdr>
      <w:divsChild>
        <w:div w:id="884289939">
          <w:marLeft w:val="0"/>
          <w:marRight w:val="0"/>
          <w:marTop w:val="0"/>
          <w:marBottom w:val="0"/>
          <w:divBdr>
            <w:top w:val="none" w:sz="0" w:space="0" w:color="auto"/>
            <w:left w:val="none" w:sz="0" w:space="0" w:color="auto"/>
            <w:bottom w:val="none" w:sz="0" w:space="0" w:color="auto"/>
            <w:right w:val="none" w:sz="0" w:space="0" w:color="auto"/>
          </w:divBdr>
          <w:divsChild>
            <w:div w:id="141257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cdn.pacer.cc/osm/park/685561334/large_2403.png" TargetMode="External"/><Relationship Id="rId26" Type="http://schemas.openxmlformats.org/officeDocument/2006/relationships/hyperlink" Target="https://mdsupportcentre.org/our-locations/" TargetMode="External"/><Relationship Id="rId39" Type="http://schemas.openxmlformats.org/officeDocument/2006/relationships/hyperlink" Target="https://maps.coventry.gov.uk" TargetMode="External"/><Relationship Id="rId21" Type="http://schemas.openxmlformats.org/officeDocument/2006/relationships/image" Target="media/image9.png"/><Relationship Id="rId34" Type="http://schemas.openxmlformats.org/officeDocument/2006/relationships/hyperlink" Target="https://doi.org/10.1007/s10551-009-0360-1" TargetMode="External"/><Relationship Id="rId42" Type="http://schemas.openxmlformats.org/officeDocument/2006/relationships/hyperlink" Target="https://www.involve.org.uk/" TargetMode="External"/><Relationship Id="rId47" Type="http://schemas.openxmlformats.org/officeDocument/2006/relationships/hyperlink" Target="https://webarchive.nationalarchives.gov.uk/" TargetMode="External"/><Relationship Id="rId50" Type="http://schemas.openxmlformats.org/officeDocument/2006/relationships/hyperlink" Target="https://www.gov.uk/guidanc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dn.pacer.cc/osm/park/753576232/thumb_2403.png" TargetMode="External"/><Relationship Id="rId29" Type="http://schemas.openxmlformats.org/officeDocument/2006/relationships/image" Target="media/image13.png"/><Relationship Id="rId11" Type="http://schemas.openxmlformats.org/officeDocument/2006/relationships/image" Target="media/image4.png"/><Relationship Id="rId24" Type="http://schemas.openxmlformats.org/officeDocument/2006/relationships/hyperlink" Target="https://www.findagrave.com/cemetery/859632/canley-garden-cemetery-and-crematorium" TargetMode="External"/><Relationship Id="rId32" Type="http://schemas.openxmlformats.org/officeDocument/2006/relationships/image" Target="media/image15.png"/><Relationship Id="rId37" Type="http://schemas.openxmlformats.org/officeDocument/2006/relationships/hyperlink" Target="https://www.changegrowlive.org/service/coventry-drug-alcohol/info" TargetMode="External"/><Relationship Id="rId40" Type="http://schemas.openxmlformats.org/officeDocument/2006/relationships/hyperlink" Target="https://www.findagrave.com/cemetery/859632/canley-garden-cemetery-and-crematorium" TargetMode="External"/><Relationship Id="rId45" Type="http://schemas.openxmlformats.org/officeDocument/2006/relationships/hyperlink" Target="https://doi.org/10.5465/amr.1997.9711022105"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ogle.com/maps/place/Canley,+Coventry" TargetMode="External"/><Relationship Id="rId19" Type="http://schemas.openxmlformats.org/officeDocument/2006/relationships/image" Target="media/image8.png"/><Relationship Id="rId31" Type="http://schemas.openxmlformats.org/officeDocument/2006/relationships/hyperlink" Target="https://www.shutterstock.com/search/diversity-equity-inclusion-dei?dd_referrer=https%3A%2F%2Fwww.bing.com%2F" TargetMode="External"/><Relationship Id="rId44" Type="http://schemas.openxmlformats.org/officeDocument/2006/relationships/hyperlink" Target="https://www.local.gov.uk/"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dn.pacer.cc/osm/park/753576232/thumb_2403.png" TargetMode="External"/><Relationship Id="rId22" Type="http://schemas.openxmlformats.org/officeDocument/2006/relationships/hyperlink" Target="https://prayersconnect.com/mosques/82674826-warwick-islamic-society-masjid-coventry-england-united-kingdom" TargetMode="External"/><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hyperlink" Target="https://www.canleycommunitycentre.co.uk" TargetMode="External"/><Relationship Id="rId43" Type="http://schemas.openxmlformats.org/officeDocument/2006/relationships/hyperlink" Target="https://www.jrf.org.uk/report/uk-poverty-2019" TargetMode="External"/><Relationship Id="rId48" Type="http://schemas.openxmlformats.org/officeDocument/2006/relationships/hyperlink" Target="https://www.socialvalueuk.org/" TargetMode="External"/><Relationship Id="rId8" Type="http://schemas.openxmlformats.org/officeDocument/2006/relationships/image" Target="media/image2.png"/><Relationship Id="rId51" Type="http://schemas.openxmlformats.org/officeDocument/2006/relationships/hyperlink" Target="https://masjidbox.net/warwickisoc" TargetMode="External"/><Relationship Id="rId3" Type="http://schemas.openxmlformats.org/officeDocument/2006/relationships/settings" Target="settings.xml"/><Relationship Id="rId12" Type="http://schemas.openxmlformats.org/officeDocument/2006/relationships/hyperlink" Target="https://i2prod.derbytelegraph.co.uk/article6805291.ece/ALTERNATES/s615/0_150322BYPASS.jpg" TargetMode="External"/><Relationship Id="rId17" Type="http://schemas.openxmlformats.org/officeDocument/2006/relationships/image" Target="media/image7.png"/><Relationship Id="rId25" Type="http://schemas.openxmlformats.org/officeDocument/2006/relationships/image" Target="media/image11.jpeg"/><Relationship Id="rId33" Type="http://schemas.openxmlformats.org/officeDocument/2006/relationships/hyperlink" Target="https://www.atsdr.cdc.gov/communityengagement/" TargetMode="External"/><Relationship Id="rId38" Type="http://schemas.openxmlformats.org/officeDocument/2006/relationships/hyperlink" Target="https://www.citizenhousing.org.uk/" TargetMode="External"/><Relationship Id="rId46" Type="http://schemas.openxmlformats.org/officeDocument/2006/relationships/hyperlink" Target="https://www.scdc.org.uk/what/national-standards" TargetMode="External"/><Relationship Id="rId20" Type="http://schemas.openxmlformats.org/officeDocument/2006/relationships/hyperlink" Target="https://canley.org.uk/find-us/" TargetMode="External"/><Relationship Id="rId41" Type="http://schemas.openxmlformats.org/officeDocument/2006/relationships/hyperlink" Target="https://www.gov.uk/government/publications/housing-design-standards"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0.jpeg"/><Relationship Id="rId28" Type="http://schemas.openxmlformats.org/officeDocument/2006/relationships/hyperlink" Target="https://www.britishacademiccenter.com/univer/the-university-of-warwick/" TargetMode="External"/><Relationship Id="rId36" Type="http://schemas.openxmlformats.org/officeDocument/2006/relationships/hyperlink" Target="https://www.canleycommunitychurch.org.uk" TargetMode="External"/><Relationship Id="rId49" Type="http://schemas.openxmlformats.org/officeDocument/2006/relationships/hyperlink" Target="https://doi.org/10.1080/02673037.2014.9270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5387</Words>
  <Characters>30711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Programme: BA (Hons) Business Management                                                                                                Module: LCBB4013 – Stakeholder Engagement Assignment                                                                            Title: Portfolio – Coursework (Component 1)</Company>
  <LinksUpToDate>false</LinksUpToDate>
  <CharactersWithSpaces>36026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STAKEHOLDER ENGAGEMENT PORTFOLIO</dc:title>
  <dc:subject/>
  <dc:creator>Ateeq Rehman</dc:creator>
  <cp:keywords/>
  <dc:description/>
  <cp:lastModifiedBy>Ateeq Rehman</cp:lastModifiedBy>
  <cp:revision>162</cp:revision>
  <dcterms:created xsi:type="dcterms:W3CDTF">2025-11-15T04:14:00Z</dcterms:created>
  <dcterms:modified xsi:type="dcterms:W3CDTF">2025-11-19T22:46:00Z</dcterms:modified>
  <cp:category>Your Full Name Ateeq Ur Rehman                                                                                                                                  Student ID: 2322964                                                                                                                                                      Submission Date:21st November 2025</cp:category>
</cp:coreProperties>
</file>