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71C1" w14:textId="77777777" w:rsidR="00255E27" w:rsidRDefault="00255E27" w:rsidP="00255E2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0176E47D" w14:textId="77777777" w:rsidR="00255E27" w:rsidRDefault="00255E27" w:rsidP="00255E2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256794FF" w14:textId="77777777" w:rsidR="00255E27" w:rsidRDefault="00255E27" w:rsidP="00255E2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53136475" w14:textId="77777777" w:rsidR="00255E27" w:rsidRDefault="00255E27" w:rsidP="00255E2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480C30A1" w14:textId="77777777" w:rsidR="00255E27" w:rsidRDefault="00255E27" w:rsidP="00255E2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3FFF6475" w14:textId="1B0FCBDA" w:rsidR="00255E27" w:rsidRPr="00D427A8" w:rsidRDefault="00255E27" w:rsidP="00255E2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sidRPr="00D427A8">
        <w:rPr>
          <w:rFonts w:ascii="Times New Roman" w:eastAsia="Times New Roman" w:hAnsi="Times New Roman" w:cs="Times New Roman"/>
          <w:b/>
          <w:bCs/>
          <w:kern w:val="36"/>
          <w:sz w:val="48"/>
          <w:szCs w:val="48"/>
          <w:lang w:eastAsia="en-GB"/>
          <w14:ligatures w14:val="none"/>
        </w:rPr>
        <w:t>Data Handling &amp; Business Intelligence (LCBB5000_BIRM)</w:t>
      </w:r>
    </w:p>
    <w:p w14:paraId="43BDBE36" w14:textId="77777777" w:rsidR="00255E27" w:rsidRDefault="00255E27" w:rsidP="00255E27">
      <w:pPr>
        <w:spacing w:after="240" w:line="720" w:lineRule="auto"/>
        <w:jc w:val="both"/>
        <w:rPr>
          <w:rFonts w:ascii="Arial" w:eastAsia="Times New Roman" w:hAnsi="Arial" w:cs="Arial"/>
          <w:b/>
          <w:bCs/>
          <w:sz w:val="24"/>
          <w:lang w:val="en-US"/>
          <w14:ligatures w14:val="none"/>
        </w:rPr>
      </w:pPr>
    </w:p>
    <w:p w14:paraId="6136F20F" w14:textId="77777777" w:rsidR="00255E27" w:rsidRDefault="00255E27" w:rsidP="00255E27">
      <w:pPr>
        <w:spacing w:after="240" w:line="720" w:lineRule="auto"/>
        <w:jc w:val="both"/>
        <w:rPr>
          <w:rFonts w:ascii="Arial" w:eastAsia="Times New Roman" w:hAnsi="Arial" w:cs="Arial"/>
          <w:b/>
          <w:bCs/>
          <w:sz w:val="24"/>
          <w:lang w:val="en-US"/>
          <w14:ligatures w14:val="none"/>
        </w:rPr>
      </w:pPr>
    </w:p>
    <w:p w14:paraId="13F11E7D" w14:textId="77777777" w:rsidR="00255E27" w:rsidRPr="00D427A8" w:rsidRDefault="00255E27" w:rsidP="00255E27">
      <w:pPr>
        <w:spacing w:after="240" w:line="720" w:lineRule="auto"/>
        <w:jc w:val="both"/>
        <w:rPr>
          <w:rFonts w:ascii="Arial" w:eastAsia="Times New Roman" w:hAnsi="Arial" w:cs="Arial"/>
          <w:b/>
          <w:bCs/>
          <w:sz w:val="24"/>
          <w:szCs w:val="24"/>
          <w:lang w:val="en-US"/>
          <w14:ligatures w14:val="none"/>
        </w:rPr>
      </w:pPr>
    </w:p>
    <w:p w14:paraId="242B709D" w14:textId="77777777" w:rsidR="00255E27" w:rsidRDefault="00255E27" w:rsidP="00255E27">
      <w:pPr>
        <w:spacing w:after="240" w:line="720" w:lineRule="auto"/>
        <w:jc w:val="both"/>
        <w:rPr>
          <w:rFonts w:ascii="Arial" w:eastAsia="Times New Roman" w:hAnsi="Arial" w:cs="Arial"/>
          <w:b/>
          <w:bCs/>
          <w:sz w:val="24"/>
          <w:szCs w:val="24"/>
          <w:lang w:val="en-US"/>
          <w14:ligatures w14:val="none"/>
        </w:rPr>
      </w:pPr>
    </w:p>
    <w:p w14:paraId="318BEA4A" w14:textId="77777777" w:rsidR="00255E27" w:rsidRDefault="00255E27" w:rsidP="00255E27">
      <w:pPr>
        <w:spacing w:after="240" w:line="720" w:lineRule="auto"/>
        <w:jc w:val="both"/>
        <w:rPr>
          <w:rFonts w:ascii="Arial" w:eastAsia="Times New Roman" w:hAnsi="Arial" w:cs="Arial"/>
          <w:b/>
          <w:bCs/>
          <w:sz w:val="24"/>
          <w:szCs w:val="24"/>
          <w:lang w:val="en-US"/>
          <w14:ligatures w14:val="none"/>
        </w:rPr>
      </w:pPr>
    </w:p>
    <w:p w14:paraId="5FA7D5A6" w14:textId="77777777" w:rsidR="00255E27" w:rsidRPr="00D427A8" w:rsidRDefault="00255E27" w:rsidP="00255E27">
      <w:pPr>
        <w:spacing w:after="240" w:line="720" w:lineRule="auto"/>
        <w:jc w:val="both"/>
        <w:rPr>
          <w:rFonts w:ascii="Arial" w:eastAsia="Times New Roman" w:hAnsi="Arial" w:cs="Arial"/>
          <w:b/>
          <w:bCs/>
          <w:sz w:val="24"/>
          <w:szCs w:val="24"/>
          <w:lang w:val="en-US"/>
          <w14:ligatures w14:val="none"/>
        </w:rPr>
      </w:pPr>
      <w:r w:rsidRPr="00D427A8">
        <w:rPr>
          <w:rFonts w:ascii="Arial" w:eastAsia="Times New Roman" w:hAnsi="Arial" w:cs="Arial"/>
          <w:b/>
          <w:bCs/>
          <w:sz w:val="24"/>
          <w:szCs w:val="24"/>
          <w:lang w:val="en-US"/>
          <w14:ligatures w14:val="none"/>
        </w:rPr>
        <w:t xml:space="preserve">Lecturer: </w:t>
      </w:r>
      <w:r w:rsidRPr="00D427A8">
        <w:rPr>
          <w:rFonts w:ascii="Arial" w:hAnsi="Arial" w:cs="Arial"/>
          <w:sz w:val="24"/>
          <w:szCs w:val="24"/>
        </w:rPr>
        <w:t> Zahra Mohammadnazari</w:t>
      </w:r>
    </w:p>
    <w:p w14:paraId="44BC270F" w14:textId="77777777" w:rsidR="00255E27" w:rsidRDefault="00255E27" w:rsidP="00255E27">
      <w:pPr>
        <w:spacing w:after="240" w:line="720" w:lineRule="auto"/>
        <w:jc w:val="both"/>
        <w:rPr>
          <w:rFonts w:ascii="Arial" w:eastAsia="Times New Roman" w:hAnsi="Arial" w:cs="Arial"/>
          <w:b/>
          <w:bCs/>
          <w:sz w:val="24"/>
          <w:lang w:val="en-US"/>
          <w14:ligatures w14:val="none"/>
        </w:rPr>
      </w:pPr>
      <w:r>
        <w:rPr>
          <w:rFonts w:ascii="Arial" w:eastAsia="Times New Roman" w:hAnsi="Arial" w:cs="Arial"/>
          <w:b/>
          <w:bCs/>
          <w:sz w:val="24"/>
          <w:lang w:val="en-US"/>
          <w14:ligatures w14:val="none"/>
        </w:rPr>
        <w:t xml:space="preserve">Student: </w:t>
      </w:r>
      <w:r w:rsidRPr="00D427A8">
        <w:rPr>
          <w:rFonts w:ascii="Arial" w:eastAsia="Times New Roman" w:hAnsi="Arial" w:cs="Arial"/>
          <w:sz w:val="24"/>
          <w:lang w:val="en-US"/>
          <w14:ligatures w14:val="none"/>
        </w:rPr>
        <w:t>Sergiu Diaconu - 2126929</w:t>
      </w:r>
    </w:p>
    <w:p w14:paraId="6AB94BAD" w14:textId="77777777" w:rsidR="00D06A96" w:rsidRDefault="00D06A96"/>
    <w:p w14:paraId="74D30C7E" w14:textId="77777777" w:rsidR="00255E27" w:rsidRDefault="00255E27"/>
    <w:p w14:paraId="2B1A1B78" w14:textId="77777777" w:rsidR="00255E27" w:rsidRDefault="00255E27"/>
    <w:p w14:paraId="4B37A9AD" w14:textId="77777777" w:rsidR="00255E27" w:rsidRDefault="00255E27"/>
    <w:p w14:paraId="79501721" w14:textId="77777777" w:rsidR="00255E27" w:rsidRDefault="00255E27"/>
    <w:p w14:paraId="23624E22" w14:textId="77777777" w:rsidR="00255E27" w:rsidRDefault="00255E27"/>
    <w:p w14:paraId="27C8F74B" w14:textId="77777777" w:rsidR="00255E27" w:rsidRDefault="00255E27"/>
    <w:p w14:paraId="6959D36E" w14:textId="77777777" w:rsidR="00255E27" w:rsidRDefault="00255E27"/>
    <w:p w14:paraId="49230394" w14:textId="77777777" w:rsidR="00255E27" w:rsidRDefault="00255E27"/>
    <w:p w14:paraId="2C87D2E3" w14:textId="77777777" w:rsidR="00255E27" w:rsidRDefault="00255E27"/>
    <w:p w14:paraId="5942BB35" w14:textId="77777777" w:rsidR="00255E27" w:rsidRDefault="00255E27"/>
    <w:p w14:paraId="556B164C" w14:textId="77777777" w:rsidR="00255E27" w:rsidRPr="00072B32" w:rsidRDefault="00255E27" w:rsidP="00255E27">
      <w:pPr>
        <w:spacing w:line="276" w:lineRule="auto"/>
        <w:rPr>
          <w:rFonts w:ascii="Arial" w:hAnsi="Arial" w:cs="Arial"/>
          <w:sz w:val="24"/>
          <w:szCs w:val="24"/>
          <w:lang w:val="en-US"/>
        </w:rPr>
      </w:pPr>
      <w:r w:rsidRPr="00072B32">
        <w:rPr>
          <w:rFonts w:ascii="Arial" w:hAnsi="Arial" w:cs="Arial"/>
          <w:sz w:val="24"/>
          <w:szCs w:val="24"/>
          <w:lang w:val="en-US"/>
        </w:rPr>
        <w:t>Part 2:</w:t>
      </w:r>
    </w:p>
    <w:p w14:paraId="0843445E" w14:textId="77777777" w:rsidR="00255E27" w:rsidRPr="00072B32" w:rsidRDefault="00255E27" w:rsidP="00255E27">
      <w:pPr>
        <w:spacing w:line="276" w:lineRule="auto"/>
        <w:ind w:firstLine="720"/>
        <w:rPr>
          <w:rFonts w:ascii="Arial" w:hAnsi="Arial" w:cs="Arial"/>
          <w:sz w:val="24"/>
          <w:szCs w:val="24"/>
          <w:lang w:val="en-US"/>
        </w:rPr>
      </w:pPr>
      <w:r w:rsidRPr="00072B32">
        <w:rPr>
          <w:rFonts w:ascii="Arial" w:hAnsi="Arial" w:cs="Arial"/>
          <w:sz w:val="24"/>
          <w:szCs w:val="24"/>
          <w:lang w:val="en-US"/>
        </w:rPr>
        <w:t>To investigate the connection between the handling paces of the two projects, a scatterplot was built, where the level pivot addresses Hadoop's handling time and the upward hub addresses Scene's (Kafle, 2019). The scatterplot is a measurable visual story that shows the circulation of spots on a material, every one of which means an alternate crossing point of the handling times of the two devices on a given day.</w:t>
      </w:r>
    </w:p>
    <w:p w14:paraId="17A28D10" w14:textId="77777777" w:rsidR="00255E27" w:rsidRDefault="00255E27" w:rsidP="00255E27">
      <w:pPr>
        <w:spacing w:line="276" w:lineRule="auto"/>
        <w:ind w:firstLine="720"/>
        <w:rPr>
          <w:rFonts w:ascii="Arial" w:hAnsi="Arial" w:cs="Arial"/>
          <w:sz w:val="24"/>
          <w:szCs w:val="24"/>
          <w:lang w:val="en-US"/>
        </w:rPr>
      </w:pPr>
      <w:r w:rsidRPr="002C18C0">
        <w:rPr>
          <w:rFonts w:ascii="Arial" w:hAnsi="Arial" w:cs="Arial"/>
          <w:sz w:val="24"/>
          <w:szCs w:val="24"/>
          <w:lang w:val="en-US"/>
        </w:rPr>
        <w:t>Rather of showing a strong connection between the two elements, the occurrence we are watching paints a picture of a relationship that is a roundabout one. Dispersed around the plot, each dab serves as a single sentry, with just a little upward orientation that becomes apparent when we move along the Hadoop hub from left to right. This slight rise in Scene's handling times relative to Hadoop's advancement supports the previously suggested positive link.</w:t>
      </w:r>
    </w:p>
    <w:p w14:paraId="520A5A28" w14:textId="77777777" w:rsidR="00255E27" w:rsidRDefault="00255E27" w:rsidP="00255E27">
      <w:pPr>
        <w:spacing w:before="100" w:beforeAutospacing="1" w:after="100" w:afterAutospacing="1" w:line="276" w:lineRule="auto"/>
        <w:rPr>
          <w:rFonts w:ascii="Arial" w:hAnsi="Arial" w:cs="Arial"/>
          <w:sz w:val="24"/>
          <w:szCs w:val="24"/>
          <w:lang w:val="en-US"/>
        </w:rPr>
      </w:pPr>
      <w:r w:rsidRPr="002C18C0">
        <w:rPr>
          <w:rFonts w:ascii="Arial" w:hAnsi="Arial" w:cs="Arial"/>
          <w:sz w:val="24"/>
          <w:szCs w:val="24"/>
          <w:lang w:val="en-US"/>
        </w:rPr>
        <w:t>The most notable aspect of the diagram is the region affected by each point, which is not constrained by a tidy linear design. This realistic image corroborates the real facts as well: It is not implied that there is a relationship between two factors that might accurately anticipate changes in one by a Pearson Connection Coefficient of 0.178. A heavenly body of information foci that imply liberty with the potential of a weak link is depicted in the scatterplot instead of a dense cluster of specks surrounding a line of best fit, which would suggest a strong relationship.</w:t>
      </w:r>
    </w:p>
    <w:p w14:paraId="723184F9"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3E2D5C">
        <w:rPr>
          <w:rFonts w:ascii="Arial" w:hAnsi="Arial" w:cs="Arial"/>
          <w:sz w:val="24"/>
          <w:szCs w:val="24"/>
          <w:lang w:val="en-US"/>
        </w:rPr>
        <w:t>GreenMed Advancements will benefit directly from this scatterplot. It suggests that the functional efficiency of Scene and Hadoop are not inextricably linked. This liberty is beneficial because it allows the medical services pioneer to fully utilise any invention without being constrained by the dependant demands of effectiveness. Without constant consideration, Hadoop's information handling limit may impact Scene's perception timings, and vice versa.</w:t>
      </w:r>
      <w:r w:rsidRPr="00072B32">
        <w:rPr>
          <w:rFonts w:ascii="Arial" w:eastAsia="Times New Roman" w:hAnsi="Arial" w:cs="Arial"/>
          <w:b/>
          <w:bCs/>
          <w:kern w:val="0"/>
          <w:sz w:val="24"/>
          <w:szCs w:val="24"/>
          <w:lang w:eastAsia="en-GB"/>
          <w14:ligatures w14:val="none"/>
        </w:rPr>
        <w:t>a) Advantages and Disadvantages of SPSS, Excel, and Tableau</w:t>
      </w:r>
    </w:p>
    <w:p w14:paraId="70C7397E"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lastRenderedPageBreak/>
        <w:t>SPSS (Statistical Package for the Social Sciences):</w:t>
      </w:r>
    </w:p>
    <w:p w14:paraId="25F58C7D"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581B58AC" w14:textId="77777777" w:rsidR="00255E27" w:rsidRPr="00072B32" w:rsidRDefault="00255E27" w:rsidP="00255E27">
      <w:pPr>
        <w:numPr>
          <w:ilvl w:val="0"/>
          <w:numId w:val="1"/>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Advanced Statistical Analysis:</w:t>
      </w:r>
      <w:r w:rsidRPr="00072B32">
        <w:rPr>
          <w:rFonts w:ascii="Arial" w:eastAsia="Times New Roman" w:hAnsi="Arial" w:cs="Arial"/>
          <w:kern w:val="0"/>
          <w:sz w:val="24"/>
          <w:szCs w:val="24"/>
          <w:lang w:eastAsia="en-GB"/>
          <w14:ligatures w14:val="none"/>
        </w:rPr>
        <w:t xml:space="preserve"> </w:t>
      </w:r>
      <w:r w:rsidRPr="003E2D5C">
        <w:rPr>
          <w:rFonts w:ascii="Arial" w:eastAsia="Times New Roman" w:hAnsi="Arial" w:cs="Arial"/>
          <w:kern w:val="0"/>
          <w:sz w:val="24"/>
          <w:szCs w:val="24"/>
          <w:lang w:eastAsia="en-GB"/>
          <w14:ligatures w14:val="none"/>
        </w:rPr>
        <w:t>SPSS is well-known for its powerful statistical skills. It is particularly adept at performing complicated statistical studies such as ANOVA, regression, and factor analysis. For example, in healthcare analytics, researchers may use SPSS to compare the efficacy of various therapies based on patient outcomes.</w:t>
      </w:r>
    </w:p>
    <w:p w14:paraId="2C25A058" w14:textId="77777777" w:rsidR="00255E27" w:rsidRPr="00072B32" w:rsidRDefault="00255E27" w:rsidP="00255E27">
      <w:pPr>
        <w:numPr>
          <w:ilvl w:val="0"/>
          <w:numId w:val="1"/>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Accuracy and Robust Testing:</w:t>
      </w:r>
      <w:r w:rsidRPr="00072B32">
        <w:rPr>
          <w:rFonts w:ascii="Arial" w:eastAsia="Times New Roman" w:hAnsi="Arial" w:cs="Arial"/>
          <w:kern w:val="0"/>
          <w:sz w:val="24"/>
          <w:szCs w:val="24"/>
          <w:lang w:eastAsia="en-GB"/>
          <w14:ligatures w14:val="none"/>
        </w:rPr>
        <w:t xml:space="preserve"> SPSS ensures accuracy and reliability in statistical testing, making it suitable for sophisticated medical research. Researchers at GreenMed Innovations can trust SPSS for precise statistical outcomes, which is crucial for making informed decisions in patient care solutions.</w:t>
      </w:r>
    </w:p>
    <w:p w14:paraId="3A850BFD"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1D29AF58" w14:textId="77777777" w:rsidR="00255E27" w:rsidRPr="00072B32" w:rsidRDefault="00255E27" w:rsidP="00255E27">
      <w:pPr>
        <w:numPr>
          <w:ilvl w:val="0"/>
          <w:numId w:val="2"/>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Steep Learning Curve:</w:t>
      </w:r>
      <w:r w:rsidRPr="00072B32">
        <w:rPr>
          <w:rFonts w:ascii="Arial" w:eastAsia="Times New Roman" w:hAnsi="Arial" w:cs="Arial"/>
          <w:kern w:val="0"/>
          <w:sz w:val="24"/>
          <w:szCs w:val="24"/>
          <w:lang w:eastAsia="en-GB"/>
          <w14:ligatures w14:val="none"/>
        </w:rPr>
        <w:t xml:space="preserve"> SPSS may be challenging for beginners due to its complexity. Staff at GreenMed Innovations might need extensive training to utilize SPSS effectively, incurring additional costs and potentially delaying the integration of this tool into daily operations.</w:t>
      </w:r>
    </w:p>
    <w:p w14:paraId="633892EA" w14:textId="77777777" w:rsidR="00255E27" w:rsidRPr="00072B32" w:rsidRDefault="00255E27" w:rsidP="00255E27">
      <w:pPr>
        <w:numPr>
          <w:ilvl w:val="0"/>
          <w:numId w:val="2"/>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Costs:</w:t>
      </w:r>
      <w:r w:rsidRPr="00072B32">
        <w:rPr>
          <w:rFonts w:ascii="Arial" w:eastAsia="Times New Roman" w:hAnsi="Arial" w:cs="Arial"/>
          <w:kern w:val="0"/>
          <w:sz w:val="24"/>
          <w:szCs w:val="24"/>
          <w:lang w:eastAsia="en-GB"/>
          <w14:ligatures w14:val="none"/>
        </w:rPr>
        <w:t xml:space="preserve"> The licensing fees associated with SPSS can be high. For a business like GreenMed, which may not require complex statistical techniques for every task, the investment in SPSS might be seen as an expensive undertaking.</w:t>
      </w:r>
    </w:p>
    <w:p w14:paraId="0C6913F2"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Excel:</w:t>
      </w:r>
    </w:p>
    <w:p w14:paraId="362EE4D6"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400DA8E1" w14:textId="77777777" w:rsidR="00255E27" w:rsidRPr="00072B32" w:rsidRDefault="00255E27" w:rsidP="00255E27">
      <w:pPr>
        <w:numPr>
          <w:ilvl w:val="0"/>
          <w:numId w:val="3"/>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Versatility:</w:t>
      </w:r>
      <w:r w:rsidRPr="00072B32">
        <w:rPr>
          <w:rFonts w:ascii="Arial" w:eastAsia="Times New Roman" w:hAnsi="Arial" w:cs="Arial"/>
          <w:kern w:val="0"/>
          <w:sz w:val="24"/>
          <w:szCs w:val="24"/>
          <w:lang w:eastAsia="en-GB"/>
          <w14:ligatures w14:val="none"/>
        </w:rPr>
        <w:t xml:space="preserve"> Excel is widely known for its versatility. It is a common tool in the commercial sector and is extensively used for various tasks, including spreadsheet management, budgeting, and organizing patient data. GreenMed's administrative staff can benefit from Excel's familiarity and user-friendly interface.</w:t>
      </w:r>
    </w:p>
    <w:p w14:paraId="67148FFC" w14:textId="77777777" w:rsidR="00255E27" w:rsidRPr="00072B32" w:rsidRDefault="00255E27" w:rsidP="00255E27">
      <w:pPr>
        <w:numPr>
          <w:ilvl w:val="0"/>
          <w:numId w:val="3"/>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Accessibility:</w:t>
      </w:r>
      <w:r w:rsidRPr="00072B32">
        <w:rPr>
          <w:rFonts w:ascii="Arial" w:eastAsia="Times New Roman" w:hAnsi="Arial" w:cs="Arial"/>
          <w:kern w:val="0"/>
          <w:sz w:val="24"/>
          <w:szCs w:val="24"/>
          <w:lang w:eastAsia="en-GB"/>
          <w14:ligatures w14:val="none"/>
        </w:rPr>
        <w:t xml:space="preserve"> Excel's accessibility is a key advantage. Professionals across various domains are familiar with its features, making it an ideal choice for general data management tasks. GreenMed's administrative tasks, such as scheduling and budgeting, can be efficiently handled using Excel.</w:t>
      </w:r>
    </w:p>
    <w:p w14:paraId="1AE4A4FE"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509A7412" w14:textId="77777777" w:rsidR="00255E27" w:rsidRPr="00072B32" w:rsidRDefault="00255E27" w:rsidP="00255E27">
      <w:pPr>
        <w:numPr>
          <w:ilvl w:val="0"/>
          <w:numId w:val="4"/>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Limited Handling of Large Datasets:</w:t>
      </w:r>
      <w:r w:rsidRPr="00072B32">
        <w:rPr>
          <w:rFonts w:ascii="Arial" w:eastAsia="Times New Roman" w:hAnsi="Arial" w:cs="Arial"/>
          <w:kern w:val="0"/>
          <w:sz w:val="24"/>
          <w:szCs w:val="24"/>
          <w:lang w:eastAsia="en-GB"/>
          <w14:ligatures w14:val="none"/>
        </w:rPr>
        <w:t xml:space="preserve"> Excel has limitations when dealing with large datasets. It may experience performance issues and is not meant for massive data sets. In scenarios where GreenMed deals with extensive patient data, Excel's capabilities may fall short.</w:t>
      </w:r>
    </w:p>
    <w:p w14:paraId="5063C189" w14:textId="77777777" w:rsidR="00255E27" w:rsidRPr="00072B32" w:rsidRDefault="00255E27" w:rsidP="00255E27">
      <w:pPr>
        <w:numPr>
          <w:ilvl w:val="0"/>
          <w:numId w:val="4"/>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lastRenderedPageBreak/>
        <w:t>Basic Statistical Capabilities:</w:t>
      </w:r>
      <w:r w:rsidRPr="00072B32">
        <w:rPr>
          <w:rFonts w:ascii="Arial" w:eastAsia="Times New Roman" w:hAnsi="Arial" w:cs="Arial"/>
          <w:kern w:val="0"/>
          <w:sz w:val="24"/>
          <w:szCs w:val="24"/>
          <w:lang w:eastAsia="en-GB"/>
          <w14:ligatures w14:val="none"/>
        </w:rPr>
        <w:t xml:space="preserve"> While Excel provides essential statistical tools like pivot tables and charts, its statistical capabilities are not as advanced as those offered by dedicated statistical software like SPSS. For in-depth scientific research requiring substantial datasets, Excel might not be the most suitable choice.</w:t>
      </w:r>
    </w:p>
    <w:p w14:paraId="1E048D4C"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Tableau:</w:t>
      </w:r>
    </w:p>
    <w:p w14:paraId="2FAD5EFF"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292233EE" w14:textId="77777777" w:rsidR="00255E27" w:rsidRPr="00072B32" w:rsidRDefault="00255E27" w:rsidP="00255E27">
      <w:pPr>
        <w:numPr>
          <w:ilvl w:val="0"/>
          <w:numId w:val="5"/>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Visualization Mastery:</w:t>
      </w:r>
      <w:r w:rsidRPr="00072B32">
        <w:rPr>
          <w:rFonts w:ascii="Arial" w:eastAsia="Times New Roman" w:hAnsi="Arial" w:cs="Arial"/>
          <w:kern w:val="0"/>
          <w:sz w:val="24"/>
          <w:szCs w:val="24"/>
          <w:lang w:eastAsia="en-GB"/>
          <w14:ligatures w14:val="none"/>
        </w:rPr>
        <w:t xml:space="preserve"> Tableau is a visual analytics platform, excelling in transforming complex data into visually engaging stories. GreenMed can leverage Tableau to create interactive dashboards presenting patient outcome information, making it easier for stakeholders to derive actionable insights.</w:t>
      </w:r>
    </w:p>
    <w:p w14:paraId="202EFC64" w14:textId="77777777" w:rsidR="00255E27" w:rsidRPr="00072B32" w:rsidRDefault="00255E27" w:rsidP="00255E27">
      <w:pPr>
        <w:numPr>
          <w:ilvl w:val="0"/>
          <w:numId w:val="5"/>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Handling Larger Datasets:</w:t>
      </w:r>
      <w:r w:rsidRPr="00072B32">
        <w:rPr>
          <w:rFonts w:ascii="Arial" w:eastAsia="Times New Roman" w:hAnsi="Arial" w:cs="Arial"/>
          <w:kern w:val="0"/>
          <w:sz w:val="24"/>
          <w:szCs w:val="24"/>
          <w:lang w:eastAsia="en-GB"/>
          <w14:ligatures w14:val="none"/>
        </w:rPr>
        <w:t xml:space="preserve"> Tableau is adept at handling larger datasets, providing a visual representation of data trends. In healthcare analytics, where extensive datasets are common, Tableau's capacity to handle larger volumes of data is advantageous.</w:t>
      </w:r>
    </w:p>
    <w:p w14:paraId="45955461"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0CD2F518" w14:textId="77777777" w:rsidR="00255E27" w:rsidRPr="00072B32" w:rsidRDefault="00255E27" w:rsidP="00255E27">
      <w:pPr>
        <w:numPr>
          <w:ilvl w:val="0"/>
          <w:numId w:val="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Cost and Training:</w:t>
      </w:r>
      <w:r w:rsidRPr="00072B32">
        <w:rPr>
          <w:rFonts w:ascii="Arial" w:eastAsia="Times New Roman" w:hAnsi="Arial" w:cs="Arial"/>
          <w:kern w:val="0"/>
          <w:sz w:val="24"/>
          <w:szCs w:val="24"/>
          <w:lang w:eastAsia="en-GB"/>
          <w14:ligatures w14:val="none"/>
        </w:rPr>
        <w:t xml:space="preserve"> Tableau can be costly, and its specialized features may require staff training. For a smaller company like GreenMed with limited resources, the investment in Tableau, both in terms of cost and training, may be a drawback.</w:t>
      </w:r>
    </w:p>
    <w:p w14:paraId="141143C2" w14:textId="77777777" w:rsidR="00255E27" w:rsidRPr="00072B32" w:rsidRDefault="00255E27" w:rsidP="00255E27">
      <w:pPr>
        <w:numPr>
          <w:ilvl w:val="0"/>
          <w:numId w:val="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Limited Statistical Depth:</w:t>
      </w:r>
      <w:r w:rsidRPr="00072B32">
        <w:rPr>
          <w:rFonts w:ascii="Arial" w:eastAsia="Times New Roman" w:hAnsi="Arial" w:cs="Arial"/>
          <w:kern w:val="0"/>
          <w:sz w:val="24"/>
          <w:szCs w:val="24"/>
          <w:lang w:eastAsia="en-GB"/>
          <w14:ligatures w14:val="none"/>
        </w:rPr>
        <w:t xml:space="preserve"> Tableau primarily focuses on visualization and may not offer the same depth of statistical analysis as dedicated statistical software. For GreenMed, where statistical rigor is essential, reliance solely on Tableau might be limiting.</w:t>
      </w:r>
    </w:p>
    <w:p w14:paraId="75611921"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 Importance of Data Governance with Examples:</w:t>
      </w:r>
    </w:p>
    <w:p w14:paraId="290DF4E9"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kern w:val="0"/>
          <w:sz w:val="24"/>
          <w:szCs w:val="24"/>
          <w:lang w:eastAsia="en-GB"/>
          <w14:ligatures w14:val="none"/>
        </w:rPr>
        <w:t>Data governance is crucial for ensuring data accuracy, safety, and usability. In the healthcare sector, particularly for organizations like GreenMed Innovations, the importance of data governance cannot be overstated.</w:t>
      </w:r>
    </w:p>
    <w:p w14:paraId="1779541B" w14:textId="77777777" w:rsidR="00255E27" w:rsidRPr="00072B32"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Examples:</w:t>
      </w:r>
    </w:p>
    <w:p w14:paraId="249C51E6" w14:textId="77777777" w:rsidR="00255E27" w:rsidRPr="00072B32" w:rsidRDefault="00255E27" w:rsidP="00255E27">
      <w:pPr>
        <w:numPr>
          <w:ilvl w:val="0"/>
          <w:numId w:val="7"/>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Patient Data Protection:</w:t>
      </w:r>
      <w:r w:rsidRPr="00072B32">
        <w:rPr>
          <w:rFonts w:ascii="Arial" w:eastAsia="Times New Roman" w:hAnsi="Arial" w:cs="Arial"/>
          <w:kern w:val="0"/>
          <w:sz w:val="24"/>
          <w:szCs w:val="24"/>
          <w:lang w:eastAsia="en-GB"/>
          <w14:ligatures w14:val="none"/>
        </w:rPr>
        <w:t xml:space="preserve"> GreenMed deals with sensitive patient data, including treatment plans and medical histories. Data governance policies are essential to comply with regulations like HIPAA, safeguarding patient confidentiality and building trust. Without robust data governance, there is a risk of data breaches, compromising patient privacy.</w:t>
      </w:r>
    </w:p>
    <w:p w14:paraId="1BFE9FFA" w14:textId="77777777" w:rsidR="00255E27" w:rsidRPr="00072B32" w:rsidRDefault="00255E27" w:rsidP="00255E27">
      <w:pPr>
        <w:numPr>
          <w:ilvl w:val="0"/>
          <w:numId w:val="7"/>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Research Data Quality:</w:t>
      </w:r>
      <w:r w:rsidRPr="00072B32">
        <w:rPr>
          <w:rFonts w:ascii="Arial" w:eastAsia="Times New Roman" w:hAnsi="Arial" w:cs="Arial"/>
          <w:kern w:val="0"/>
          <w:sz w:val="24"/>
          <w:szCs w:val="24"/>
          <w:lang w:eastAsia="en-GB"/>
          <w14:ligatures w14:val="none"/>
        </w:rPr>
        <w:t xml:space="preserve"> GreenMed may engage in various research projects. Data governance ensures that information collected for research is accurate, </w:t>
      </w:r>
      <w:r w:rsidRPr="00072B32">
        <w:rPr>
          <w:rFonts w:ascii="Arial" w:eastAsia="Times New Roman" w:hAnsi="Arial" w:cs="Arial"/>
          <w:kern w:val="0"/>
          <w:sz w:val="24"/>
          <w:szCs w:val="24"/>
          <w:lang w:eastAsia="en-GB"/>
          <w14:ligatures w14:val="none"/>
        </w:rPr>
        <w:lastRenderedPageBreak/>
        <w:t>dependable, and verifiable. For instance, in a clinical trial, adherence to data governance rules guarantees the reliability of patients' responses to a new medication, ensuring the integrity of the research findings.</w:t>
      </w:r>
    </w:p>
    <w:p w14:paraId="124BEEDF" w14:textId="77777777" w:rsidR="00255E27" w:rsidRPr="00072B32" w:rsidRDefault="00255E27" w:rsidP="00255E27">
      <w:pPr>
        <w:numPr>
          <w:ilvl w:val="0"/>
          <w:numId w:val="7"/>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Democratization:</w:t>
      </w:r>
      <w:r w:rsidRPr="00072B32">
        <w:rPr>
          <w:rFonts w:ascii="Arial" w:eastAsia="Times New Roman" w:hAnsi="Arial" w:cs="Arial"/>
          <w:kern w:val="0"/>
          <w:sz w:val="24"/>
          <w:szCs w:val="24"/>
          <w:lang w:eastAsia="en-GB"/>
          <w14:ligatures w14:val="none"/>
        </w:rPr>
        <w:t xml:space="preserve"> </w:t>
      </w:r>
      <w:r w:rsidRPr="003E2D5C">
        <w:rPr>
          <w:rFonts w:ascii="Arial" w:eastAsia="Times New Roman" w:hAnsi="Arial" w:cs="Arial"/>
          <w:kern w:val="0"/>
          <w:sz w:val="24"/>
          <w:szCs w:val="24"/>
          <w:lang w:eastAsia="en-GB"/>
          <w14:ligatures w14:val="none"/>
        </w:rPr>
        <w:t>Data governance goes beyond data security to include data democratisation. It guarantees that non-technical staff, such as marketing analysts, may access data while maintaining its integrity. This implies that GreenMed may access patient demographic data and customise health programmes without requiring extensive IT knowledge, fostering cross-departmental collaboration.</w:t>
      </w:r>
    </w:p>
    <w:p w14:paraId="0617AB92" w14:textId="77777777" w:rsidR="00255E27" w:rsidRPr="00072B32" w:rsidRDefault="00255E27" w:rsidP="00255E27">
      <w:pPr>
        <w:numPr>
          <w:ilvl w:val="0"/>
          <w:numId w:val="7"/>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Preventing "Garbage In, Garbage Out":</w:t>
      </w:r>
      <w:r w:rsidRPr="00072B32">
        <w:rPr>
          <w:rFonts w:ascii="Arial" w:eastAsia="Times New Roman" w:hAnsi="Arial" w:cs="Arial"/>
          <w:kern w:val="0"/>
          <w:sz w:val="24"/>
          <w:szCs w:val="24"/>
          <w:lang w:eastAsia="en-GB"/>
          <w14:ligatures w14:val="none"/>
        </w:rPr>
        <w:t xml:space="preserve"> In data analytics, the quality of the insights derived is directly linked to the quality of the data input. Data governance prevents the issue of "garbage in, garbage out" by ensuring that data used by analytics tools is of the highest quality. This is critical for GreenMed to make informed decisions based on reliable data.</w:t>
      </w:r>
    </w:p>
    <w:p w14:paraId="551DA940" w14:textId="77777777" w:rsidR="00255E27" w:rsidRPr="00072B32" w:rsidRDefault="00255E27" w:rsidP="00255E27">
      <w:pPr>
        <w:numPr>
          <w:ilvl w:val="0"/>
          <w:numId w:val="7"/>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Creativity and Collaboration:</w:t>
      </w:r>
      <w:r w:rsidRPr="002C18C0">
        <w:t xml:space="preserve"> </w:t>
      </w:r>
      <w:r w:rsidRPr="002C18C0">
        <w:rPr>
          <w:rFonts w:ascii="Arial" w:eastAsia="Times New Roman" w:hAnsi="Arial" w:cs="Arial"/>
          <w:kern w:val="0"/>
          <w:sz w:val="24"/>
          <w:szCs w:val="24"/>
          <w:lang w:eastAsia="en-GB"/>
          <w14:ligatures w14:val="none"/>
        </w:rPr>
        <w:t>Data governance fosters creativity by offering a safe and well-managed environment. GreenMed may engage in cooperative research, establish partnerships, and communicate with stakeholders with assurance, understanding that data governance guidelines protect their rights and align with their moral and legal obligations.</w:t>
      </w:r>
    </w:p>
    <w:p w14:paraId="6DF2D257" w14:textId="77777777" w:rsidR="00255E27" w:rsidRPr="00072B32" w:rsidRDefault="00255E27" w:rsidP="00255E27">
      <w:pPr>
        <w:numPr>
          <w:ilvl w:val="0"/>
          <w:numId w:val="7"/>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Balancing Accessibility and Security:</w:t>
      </w:r>
      <w:r w:rsidRPr="00072B32">
        <w:rPr>
          <w:rFonts w:ascii="Arial" w:eastAsia="Times New Roman" w:hAnsi="Arial" w:cs="Arial"/>
          <w:kern w:val="0"/>
          <w:sz w:val="24"/>
          <w:szCs w:val="24"/>
          <w:lang w:eastAsia="en-GB"/>
          <w14:ligatures w14:val="none"/>
        </w:rPr>
        <w:t xml:space="preserve"> Data governance involves a delicate balance between accessibility and security. It ensures that data is accessible to those who need it while maintaining control to prevent unauthorized use. This is particularly important for GreenMed, where different teams require access to specific datasets for their respective tasks.</w:t>
      </w:r>
    </w:p>
    <w:p w14:paraId="330DFAFA" w14:textId="195785E6" w:rsidR="00255E27" w:rsidRPr="00255E27" w:rsidRDefault="00255E27" w:rsidP="00255E27">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kern w:val="0"/>
          <w:sz w:val="24"/>
          <w:szCs w:val="24"/>
          <w:lang w:eastAsia="en-GB"/>
          <w14:ligatures w14:val="none"/>
        </w:rPr>
        <w:t>In conclusion, data governance is an integral part of effective healthcare data management. It ensures the protection of patient information, maintains research data quality, promotes data democratization, prevents data quality issues, and fosters creativity and collaboration. For GreenMed Innovations, these examples underscore the critical role of data governance in supporting data-driven decision-making and enhancing patient outcomes</w:t>
      </w:r>
      <w:bookmarkStart w:id="0" w:name="_Toc150532014"/>
      <w:r>
        <w:rPr>
          <w:rFonts w:ascii="Arial" w:eastAsia="Times New Roman" w:hAnsi="Arial" w:cs="Arial"/>
          <w:kern w:val="0"/>
          <w:sz w:val="24"/>
          <w:szCs w:val="24"/>
          <w:lang w:eastAsia="en-GB"/>
          <w14:ligatures w14:val="none"/>
        </w:rPr>
        <w:t>.</w:t>
      </w:r>
    </w:p>
    <w:p w14:paraId="3D2C0544" w14:textId="77777777" w:rsidR="00255E27" w:rsidRDefault="00255E27" w:rsidP="00255E27">
      <w:pPr>
        <w:pStyle w:val="Heading1"/>
        <w:spacing w:line="276" w:lineRule="auto"/>
        <w:rPr>
          <w:rFonts w:ascii="Arial" w:hAnsi="Arial" w:cs="Arial"/>
          <w:sz w:val="24"/>
          <w:szCs w:val="24"/>
        </w:rPr>
      </w:pPr>
    </w:p>
    <w:p w14:paraId="227ACCC6" w14:textId="77777777" w:rsidR="00255E27" w:rsidRDefault="00255E27" w:rsidP="00255E27"/>
    <w:p w14:paraId="34AC3EEB" w14:textId="77777777" w:rsidR="00255E27" w:rsidRDefault="00255E27" w:rsidP="00255E27"/>
    <w:p w14:paraId="61D7E988" w14:textId="77777777" w:rsidR="00255E27" w:rsidRDefault="00255E27" w:rsidP="00255E27"/>
    <w:p w14:paraId="7AC82541" w14:textId="77777777" w:rsidR="00255E27" w:rsidRDefault="00255E27" w:rsidP="00255E27"/>
    <w:p w14:paraId="185A5505" w14:textId="77777777" w:rsidR="00255E27" w:rsidRDefault="00255E27" w:rsidP="00255E27"/>
    <w:p w14:paraId="2A7AFEBF" w14:textId="77777777" w:rsidR="00255E27" w:rsidRDefault="00255E27" w:rsidP="00255E27"/>
    <w:p w14:paraId="46C758B2" w14:textId="77777777" w:rsidR="00255E27" w:rsidRDefault="00255E27" w:rsidP="00255E27"/>
    <w:p w14:paraId="3EA7D7D8" w14:textId="77777777" w:rsidR="00255E27" w:rsidRDefault="00255E27" w:rsidP="00255E27"/>
    <w:p w14:paraId="34339C90" w14:textId="77777777" w:rsidR="00255E27" w:rsidRDefault="00255E27" w:rsidP="00255E27"/>
    <w:p w14:paraId="0D499F77" w14:textId="77777777" w:rsidR="00255E27" w:rsidRDefault="00255E27" w:rsidP="00255E27"/>
    <w:p w14:paraId="679A70AF" w14:textId="77777777" w:rsidR="00255E27" w:rsidRDefault="00255E27" w:rsidP="00255E27"/>
    <w:p w14:paraId="333D7DBB" w14:textId="77777777" w:rsidR="00255E27" w:rsidRPr="00255E27" w:rsidRDefault="00255E27" w:rsidP="00255E27"/>
    <w:p w14:paraId="18CA87E3" w14:textId="77777777" w:rsidR="00255E27" w:rsidRDefault="00255E27" w:rsidP="00255E27">
      <w:pPr>
        <w:pStyle w:val="Heading1"/>
        <w:spacing w:line="276" w:lineRule="auto"/>
        <w:rPr>
          <w:rFonts w:ascii="Arial" w:hAnsi="Arial" w:cs="Arial"/>
          <w:sz w:val="24"/>
          <w:szCs w:val="24"/>
        </w:rPr>
      </w:pPr>
    </w:p>
    <w:p w14:paraId="6F1D9622" w14:textId="25F08FD4" w:rsidR="00255E27" w:rsidRPr="00D427A8" w:rsidRDefault="00255E27" w:rsidP="00255E27">
      <w:pPr>
        <w:pStyle w:val="Heading1"/>
        <w:spacing w:line="276" w:lineRule="auto"/>
        <w:rPr>
          <w:rFonts w:ascii="Arial" w:hAnsi="Arial" w:cs="Arial"/>
          <w:sz w:val="24"/>
          <w:szCs w:val="24"/>
        </w:rPr>
      </w:pPr>
      <w:r w:rsidRPr="00D427A8">
        <w:rPr>
          <w:rFonts w:ascii="Arial" w:hAnsi="Arial" w:cs="Arial"/>
          <w:sz w:val="24"/>
          <w:szCs w:val="24"/>
        </w:rPr>
        <w:t>References</w:t>
      </w:r>
      <w:bookmarkEnd w:id="0"/>
    </w:p>
    <w:p w14:paraId="5D158CF6"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Abraham, R., Schneider, J. and Vom Brocke, J., 2019. Data governance: A conceptual framework, structured review, and research agenda. </w:t>
      </w:r>
      <w:r w:rsidRPr="00D427A8">
        <w:rPr>
          <w:rFonts w:ascii="Arial" w:hAnsi="Arial" w:cs="Arial"/>
          <w:i/>
          <w:iCs/>
          <w:color w:val="222222"/>
          <w:sz w:val="24"/>
          <w:szCs w:val="24"/>
          <w:shd w:val="clear" w:color="auto" w:fill="FFFFFF"/>
        </w:rPr>
        <w:t>International journal of information management</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49</w:t>
      </w:r>
      <w:r w:rsidRPr="00D427A8">
        <w:rPr>
          <w:rFonts w:ascii="Arial" w:hAnsi="Arial" w:cs="Arial"/>
          <w:color w:val="222222"/>
          <w:sz w:val="24"/>
          <w:szCs w:val="24"/>
          <w:shd w:val="clear" w:color="auto" w:fill="FFFFFF"/>
        </w:rPr>
        <w:t>, pp.424-438.</w:t>
      </w:r>
    </w:p>
    <w:p w14:paraId="1ECDA7E4"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Booker, Q.E., Rebman Jr, C.M., Powell, L., Wimmer, H., Breese, J. and Levkoff, S., 2023. Data Analytics Position Description Analysis: Skills Review and Implications for Data Analytics Curricula. In </w:t>
      </w:r>
      <w:r w:rsidRPr="00D427A8">
        <w:rPr>
          <w:rFonts w:ascii="Arial" w:hAnsi="Arial" w:cs="Arial"/>
          <w:i/>
          <w:iCs/>
          <w:color w:val="222222"/>
          <w:sz w:val="24"/>
          <w:szCs w:val="24"/>
          <w:shd w:val="clear" w:color="auto" w:fill="FFFFFF"/>
        </w:rPr>
        <w:t>Proceedings of the ISCAP Conference ISSN</w:t>
      </w:r>
      <w:r w:rsidRPr="00D427A8">
        <w:rPr>
          <w:rFonts w:ascii="Arial" w:hAnsi="Arial" w:cs="Arial"/>
          <w:color w:val="222222"/>
          <w:sz w:val="24"/>
          <w:szCs w:val="24"/>
          <w:shd w:val="clear" w:color="auto" w:fill="FFFFFF"/>
        </w:rPr>
        <w:t> (Vol. 2473, p. 4901).</w:t>
      </w:r>
    </w:p>
    <w:p w14:paraId="52AE863B"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Guerrero, H., Guerrero, R. and Rauscher, 2019. </w:t>
      </w:r>
      <w:r w:rsidRPr="00D427A8">
        <w:rPr>
          <w:rFonts w:ascii="Arial" w:hAnsi="Arial" w:cs="Arial"/>
          <w:i/>
          <w:iCs/>
          <w:color w:val="222222"/>
          <w:sz w:val="24"/>
          <w:szCs w:val="24"/>
          <w:shd w:val="clear" w:color="auto" w:fill="FFFFFF"/>
        </w:rPr>
        <w:t>Excel data analysis</w:t>
      </w:r>
      <w:r w:rsidRPr="00D427A8">
        <w:rPr>
          <w:rFonts w:ascii="Arial" w:hAnsi="Arial" w:cs="Arial"/>
          <w:color w:val="222222"/>
          <w:sz w:val="24"/>
          <w:szCs w:val="24"/>
          <w:shd w:val="clear" w:color="auto" w:fill="FFFFFF"/>
        </w:rPr>
        <w:t>. Springer International Publishing.</w:t>
      </w:r>
    </w:p>
    <w:p w14:paraId="0C606C50"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Hendrian, S., Julaeha, S. and Ardiansyah, M., 2023. Pengaruh Penerapan Teknologi Informasi Pembuatan Ap-likasi Raport Berbasis Microsoft Excel Terhadap Kemampu-an Tenaga Pengajar SMP Bina Bangsa Mandiri Di Gunung Putri Bogor. </w:t>
      </w:r>
      <w:r w:rsidRPr="00D427A8">
        <w:rPr>
          <w:rFonts w:ascii="Arial" w:hAnsi="Arial" w:cs="Arial"/>
          <w:i/>
          <w:iCs/>
          <w:color w:val="222222"/>
          <w:sz w:val="24"/>
          <w:szCs w:val="24"/>
          <w:shd w:val="clear" w:color="auto" w:fill="FFFFFF"/>
        </w:rPr>
        <w:t>JPT: Jurnal Pendidikan Tematik</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4</w:t>
      </w:r>
      <w:r w:rsidRPr="00D427A8">
        <w:rPr>
          <w:rFonts w:ascii="Arial" w:hAnsi="Arial" w:cs="Arial"/>
          <w:color w:val="222222"/>
          <w:sz w:val="24"/>
          <w:szCs w:val="24"/>
          <w:shd w:val="clear" w:color="auto" w:fill="FFFFFF"/>
        </w:rPr>
        <w:t>(1), pp.171-176.</w:t>
      </w:r>
    </w:p>
    <w:p w14:paraId="6A27FB99"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Janssen, M., Brous, P., Estevez, E., Barbosa, L.S. and Janowski, T., 2020. Data governance: Organizing data for trustworthy Artificial Intelligence. </w:t>
      </w:r>
      <w:r w:rsidRPr="00D427A8">
        <w:rPr>
          <w:rFonts w:ascii="Arial" w:hAnsi="Arial" w:cs="Arial"/>
          <w:i/>
          <w:iCs/>
          <w:color w:val="222222"/>
          <w:sz w:val="24"/>
          <w:szCs w:val="24"/>
          <w:shd w:val="clear" w:color="auto" w:fill="FFFFFF"/>
        </w:rPr>
        <w:t>Government Information Quarterly</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37</w:t>
      </w:r>
      <w:r w:rsidRPr="00D427A8">
        <w:rPr>
          <w:rFonts w:ascii="Arial" w:hAnsi="Arial" w:cs="Arial"/>
          <w:color w:val="222222"/>
          <w:sz w:val="24"/>
          <w:szCs w:val="24"/>
          <w:shd w:val="clear" w:color="auto" w:fill="FFFFFF"/>
        </w:rPr>
        <w:t>(3), p.101493.</w:t>
      </w:r>
    </w:p>
    <w:p w14:paraId="1AEC01D0"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Kafle, S.C., 2019. Correlation and regression analysis using SPSS. </w:t>
      </w:r>
      <w:r w:rsidRPr="00D427A8">
        <w:rPr>
          <w:rFonts w:ascii="Arial" w:hAnsi="Arial" w:cs="Arial"/>
          <w:i/>
          <w:iCs/>
          <w:color w:val="222222"/>
          <w:sz w:val="24"/>
          <w:szCs w:val="24"/>
          <w:shd w:val="clear" w:color="auto" w:fill="FFFFFF"/>
        </w:rPr>
        <w:t>Management, Technology &amp; Social Sciences</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126</w:t>
      </w:r>
      <w:r w:rsidRPr="00D427A8">
        <w:rPr>
          <w:rFonts w:ascii="Arial" w:hAnsi="Arial" w:cs="Arial"/>
          <w:color w:val="222222"/>
          <w:sz w:val="24"/>
          <w:szCs w:val="24"/>
          <w:shd w:val="clear" w:color="auto" w:fill="FFFFFF"/>
        </w:rPr>
        <w:t>.</w:t>
      </w:r>
    </w:p>
    <w:p w14:paraId="6B0E4B3F" w14:textId="77777777" w:rsidR="00255E27" w:rsidRPr="00D427A8" w:rsidRDefault="00255E27" w:rsidP="00255E27">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Setiyanto, S. and Setiawan, I., 2022. Data science with excel. </w:t>
      </w:r>
      <w:r w:rsidRPr="00D427A8">
        <w:rPr>
          <w:rFonts w:ascii="Arial" w:hAnsi="Arial" w:cs="Arial"/>
          <w:i/>
          <w:iCs/>
          <w:color w:val="222222"/>
          <w:sz w:val="24"/>
          <w:szCs w:val="24"/>
          <w:shd w:val="clear" w:color="auto" w:fill="FFFFFF"/>
        </w:rPr>
        <w:t>International Journal of Computer and Information System (IJCIS)</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3</w:t>
      </w:r>
      <w:r w:rsidRPr="00D427A8">
        <w:rPr>
          <w:rFonts w:ascii="Arial" w:hAnsi="Arial" w:cs="Arial"/>
          <w:color w:val="222222"/>
          <w:sz w:val="24"/>
          <w:szCs w:val="24"/>
          <w:shd w:val="clear" w:color="auto" w:fill="FFFFFF"/>
        </w:rPr>
        <w:t>(3), pp.104-110.</w:t>
      </w:r>
    </w:p>
    <w:p w14:paraId="03AEDDFB" w14:textId="65C6ED8E" w:rsidR="00255E27" w:rsidRDefault="00255E27">
      <w:pPr>
        <w:rPr>
          <w:rFonts w:ascii="Arial" w:hAnsi="Arial" w:cs="Arial"/>
          <w:color w:val="222222"/>
          <w:sz w:val="24"/>
          <w:szCs w:val="24"/>
          <w:shd w:val="clear" w:color="auto" w:fill="FFFFFF"/>
        </w:rPr>
      </w:pPr>
    </w:p>
    <w:p w14:paraId="20C8D6D1" w14:textId="77777777" w:rsidR="00255E27" w:rsidRDefault="00255E27">
      <w:pPr>
        <w:rPr>
          <w:rFonts w:ascii="Arial" w:hAnsi="Arial" w:cs="Arial"/>
          <w:color w:val="222222"/>
          <w:sz w:val="24"/>
          <w:szCs w:val="24"/>
          <w:shd w:val="clear" w:color="auto" w:fill="FFFFFF"/>
        </w:rPr>
      </w:pPr>
    </w:p>
    <w:p w14:paraId="30387B95" w14:textId="77777777" w:rsidR="00255E27" w:rsidRDefault="00255E27">
      <w:pPr>
        <w:rPr>
          <w:rFonts w:ascii="Arial" w:hAnsi="Arial" w:cs="Arial"/>
          <w:color w:val="222222"/>
          <w:sz w:val="24"/>
          <w:szCs w:val="24"/>
          <w:shd w:val="clear" w:color="auto" w:fill="FFFFFF"/>
        </w:rPr>
      </w:pPr>
    </w:p>
    <w:p w14:paraId="032B0F24" w14:textId="77777777" w:rsidR="00255E27" w:rsidRDefault="00255E27"/>
    <w:sectPr w:rsidR="00255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45B7"/>
    <w:multiLevelType w:val="multilevel"/>
    <w:tmpl w:val="89C4B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0A7541"/>
    <w:multiLevelType w:val="multilevel"/>
    <w:tmpl w:val="3FB44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197B44"/>
    <w:multiLevelType w:val="multilevel"/>
    <w:tmpl w:val="75AA6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833B3D"/>
    <w:multiLevelType w:val="multilevel"/>
    <w:tmpl w:val="9FAAB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37748E"/>
    <w:multiLevelType w:val="multilevel"/>
    <w:tmpl w:val="98128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8B7125"/>
    <w:multiLevelType w:val="multilevel"/>
    <w:tmpl w:val="EC6A5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6454CC"/>
    <w:multiLevelType w:val="multilevel"/>
    <w:tmpl w:val="9E32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6556832">
    <w:abstractNumId w:val="6"/>
  </w:num>
  <w:num w:numId="2" w16cid:durableId="1730884303">
    <w:abstractNumId w:val="2"/>
  </w:num>
  <w:num w:numId="3" w16cid:durableId="2051371893">
    <w:abstractNumId w:val="3"/>
  </w:num>
  <w:num w:numId="4" w16cid:durableId="652179455">
    <w:abstractNumId w:val="1"/>
  </w:num>
  <w:num w:numId="5" w16cid:durableId="1115558917">
    <w:abstractNumId w:val="4"/>
  </w:num>
  <w:num w:numId="6" w16cid:durableId="1203444083">
    <w:abstractNumId w:val="5"/>
  </w:num>
  <w:num w:numId="7" w16cid:durableId="340737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858"/>
    <w:rsid w:val="00045E07"/>
    <w:rsid w:val="00255E27"/>
    <w:rsid w:val="00815DBE"/>
    <w:rsid w:val="00984858"/>
    <w:rsid w:val="00A0462C"/>
    <w:rsid w:val="00D0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37B90"/>
  <w15:chartTrackingRefBased/>
  <w15:docId w15:val="{B54FA7AB-794C-48FD-851F-A4DAC3A7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E27"/>
  </w:style>
  <w:style w:type="paragraph" w:styleId="Heading1">
    <w:name w:val="heading 1"/>
    <w:basedOn w:val="Normal"/>
    <w:next w:val="Normal"/>
    <w:link w:val="Heading1Char"/>
    <w:uiPriority w:val="9"/>
    <w:qFormat/>
    <w:rsid w:val="00255E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E2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1480</Words>
  <Characters>8442</Characters>
  <Application>Microsoft Office Word</Application>
  <DocSecurity>0</DocSecurity>
  <Lines>70</Lines>
  <Paragraphs>19</Paragraphs>
  <ScaleCrop>false</ScaleCrop>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Marian Diaconu (2126929)</dc:creator>
  <cp:keywords/>
  <dc:description/>
  <cp:lastModifiedBy>Sergiu Marian Diaconu (2126929)</cp:lastModifiedBy>
  <cp:revision>2</cp:revision>
  <dcterms:created xsi:type="dcterms:W3CDTF">2023-11-17T19:18:00Z</dcterms:created>
  <dcterms:modified xsi:type="dcterms:W3CDTF">2023-11-17T19:21:00Z</dcterms:modified>
</cp:coreProperties>
</file>