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682A" w:rsidRDefault="003C682A" w:rsidP="003C682A">
      <w:pPr>
        <w:widowControl w:val="0"/>
        <w:jc w:val="both"/>
        <w:rPr>
          <w:b/>
          <w:bCs/>
        </w:rPr>
      </w:pPr>
      <w:r>
        <w:rPr>
          <w:b/>
          <w:bCs/>
          <w:sz w:val="28"/>
          <w:szCs w:val="28"/>
        </w:rPr>
        <w:t>The Age of the Hillforts 2</w:t>
      </w:r>
    </w:p>
    <w:p w:rsidR="003C682A" w:rsidRDefault="003C682A" w:rsidP="003147E6">
      <w:pPr>
        <w:jc w:val="both"/>
        <w:rPr>
          <w:b/>
          <w:sz w:val="28"/>
          <w:szCs w:val="28"/>
        </w:rPr>
      </w:pPr>
    </w:p>
    <w:p w:rsidR="003147E6" w:rsidRDefault="003147E6" w:rsidP="003147E6">
      <w:pPr>
        <w:jc w:val="both"/>
        <w:rPr>
          <w:b/>
          <w:sz w:val="28"/>
          <w:szCs w:val="28"/>
        </w:rPr>
      </w:pPr>
      <w:r>
        <w:rPr>
          <w:b/>
          <w:sz w:val="28"/>
          <w:szCs w:val="28"/>
        </w:rPr>
        <w:t>Glastonbury—History and Legend</w:t>
      </w:r>
    </w:p>
    <w:p w:rsidR="003147E6" w:rsidRDefault="003147E6" w:rsidP="003147E6">
      <w:pPr>
        <w:jc w:val="both"/>
      </w:pPr>
    </w:p>
    <w:p w:rsidR="003147E6" w:rsidRDefault="003147E6" w:rsidP="003147E6">
      <w:pPr>
        <w:jc w:val="both"/>
      </w:pPr>
    </w:p>
    <w:p w:rsidR="003147E6" w:rsidRDefault="003147E6" w:rsidP="003147E6">
      <w:pPr>
        <w:jc w:val="both"/>
      </w:pPr>
      <w:r>
        <w:t xml:space="preserve">The island of Glastonbury, which is topped by the great hill of Glastonbury Tor, lies in a large flat plain of marshland on the northern edge of Somerset, the Somerset Levels. The islasnd is made up of hill is of rounded ovular shape, composed of Jurassic blue limestone with a crown of hard sandstone, ruptured by periodic instability of the base strata—which some mystics claim to trace out a ‘labyrinth’. The remains at Glastonbury centre on two locations: the Tor itself, and the Abbey, which lies on the flat a short distance from the base of the hill. The island of Glastonbury itself is remarkable in geological terms, though in some ways more remarkable is the town of Glastonbury: a thriving testimony to the appeal of romance, mysticism and ‘alternative’ culture. </w:t>
      </w:r>
    </w:p>
    <w:p w:rsidR="003147E6" w:rsidRDefault="003147E6" w:rsidP="003147E6">
      <w:pPr>
        <w:jc w:val="both"/>
      </w:pPr>
    </w:p>
    <w:p w:rsidR="003147E6" w:rsidRDefault="003147E6" w:rsidP="003147E6">
      <w:pPr>
        <w:jc w:val="both"/>
      </w:pPr>
      <w:r>
        <w:t>The fact that archaeologists have looked for early settlement at Glastonbury in the first instance is due to the strong antiquarian tradition of the site. The evidence of early hagiography and the history of a putatively early church on the site (St Mary’s) were enhanced by a programme of antiquarian writing in the early twelfth century and, subsequently, by direct fabrication of documents claiming antiquarian significance for the site.</w:t>
      </w:r>
      <w:r w:rsidR="00D23577">
        <w:rPr>
          <w:rStyle w:val="FootnoteReference"/>
        </w:rPr>
        <w:t xml:space="preserve"> </w:t>
      </w:r>
    </w:p>
    <w:p w:rsidR="003147E6" w:rsidRDefault="003147E6" w:rsidP="003147E6">
      <w:pPr>
        <w:jc w:val="both"/>
      </w:pPr>
    </w:p>
    <w:p w:rsidR="003147E6" w:rsidRDefault="003147E6" w:rsidP="003147E6">
      <w:pPr>
        <w:jc w:val="both"/>
      </w:pPr>
      <w:r>
        <w:t>First we will examine the site itself.</w:t>
      </w:r>
    </w:p>
    <w:p w:rsidR="003147E6" w:rsidRDefault="003147E6" w:rsidP="003147E6">
      <w:pPr>
        <w:jc w:val="both"/>
      </w:pPr>
    </w:p>
    <w:p w:rsidR="000C1441" w:rsidRDefault="000C1441" w:rsidP="003147E6">
      <w:pPr>
        <w:jc w:val="both"/>
        <w:rPr>
          <w:b/>
        </w:rPr>
      </w:pPr>
    </w:p>
    <w:p w:rsidR="003147E6" w:rsidRDefault="003147E6" w:rsidP="003147E6">
      <w:pPr>
        <w:jc w:val="both"/>
        <w:rPr>
          <w:b/>
        </w:rPr>
      </w:pPr>
      <w:r>
        <w:rPr>
          <w:b/>
        </w:rPr>
        <w:t>The Tor</w:t>
      </w:r>
    </w:p>
    <w:p w:rsidR="003147E6" w:rsidRDefault="003147E6" w:rsidP="003147E6">
      <w:pPr>
        <w:jc w:val="both"/>
        <w:rPr>
          <w:b/>
        </w:rPr>
      </w:pPr>
    </w:p>
    <w:p w:rsidR="003147E6" w:rsidRDefault="003147E6" w:rsidP="003147E6">
      <w:pPr>
        <w:jc w:val="both"/>
      </w:pPr>
      <w:r>
        <w:t>In the 1960s, Philip Rahtz discovered evidence of a sixth-century settlement on the Tor, with cellular buildings, graves, metalwork and imported pottery. There used to be some suggestion that the Tor was an overtly religious site, but this idea was in part inspired by a false idea that the imported pottery types found at the site had religious associations (based on a mistaken interpretation of Tintagel—see below). Finding the Grail might have clinched this argument! Rahtz has, however, continued to maintain that there is not definite reason to maintain that the Tor is not a religious site that later expanded down to the present Abbey site.</w:t>
      </w:r>
      <w:r w:rsidR="00D23577">
        <w:rPr>
          <w:rStyle w:val="FootnoteReference"/>
        </w:rPr>
        <w:t xml:space="preserve"> </w:t>
      </w:r>
      <w:r>
        <w:t xml:space="preserve"> This remains controversial.</w:t>
      </w:r>
    </w:p>
    <w:p w:rsidR="003147E6" w:rsidRDefault="003147E6" w:rsidP="003147E6">
      <w:pPr>
        <w:jc w:val="both"/>
      </w:pPr>
    </w:p>
    <w:p w:rsidR="003147E6" w:rsidRDefault="003147E6" w:rsidP="003147E6">
      <w:pPr>
        <w:pStyle w:val="Heading3"/>
      </w:pPr>
    </w:p>
    <w:p w:rsidR="003147E6" w:rsidRDefault="003147E6" w:rsidP="003147E6">
      <w:pPr>
        <w:pStyle w:val="Heading3"/>
      </w:pPr>
      <w:r>
        <w:t>The Abbey</w:t>
      </w:r>
    </w:p>
    <w:p w:rsidR="003147E6" w:rsidRDefault="003147E6" w:rsidP="003147E6">
      <w:pPr>
        <w:jc w:val="both"/>
        <w:rPr>
          <w:b/>
          <w:bCs/>
        </w:rPr>
      </w:pPr>
    </w:p>
    <w:p w:rsidR="003147E6" w:rsidRDefault="003147E6" w:rsidP="003147E6">
      <w:pPr>
        <w:jc w:val="both"/>
      </w:pPr>
      <w:r>
        <w:t xml:space="preserve">The date of the first church on the area below the Tor is unclear. At the moment archaeologists are reluctant to admit to any date prior to the eighth century—though some stray surface finds handed in by collectors, claimed for the Abbey precinct, date to the sixth century. One of the results of the forgeries that were made at the end of the twelfth century is probably to increase our scepticism of the early significance of what may indeed have been a significant site—who knows, perhaps the sort of place where a sixth-century king may have been buried? </w:t>
      </w:r>
    </w:p>
    <w:p w:rsidR="003147E6" w:rsidRDefault="003147E6" w:rsidP="003147E6">
      <w:pPr>
        <w:jc w:val="both"/>
      </w:pPr>
    </w:p>
    <w:p w:rsidR="003147E6" w:rsidRDefault="003147E6" w:rsidP="003147E6">
      <w:pPr>
        <w:jc w:val="both"/>
      </w:pPr>
      <w:r>
        <w:rPr>
          <w:b/>
        </w:rPr>
        <w:t>The Ancient Church of Glastonbury and the ‘Grave’ of Arthur</w:t>
      </w:r>
    </w:p>
    <w:p w:rsidR="003147E6" w:rsidRDefault="003147E6" w:rsidP="003147E6">
      <w:pPr>
        <w:jc w:val="both"/>
        <w:rPr>
          <w:b/>
        </w:rPr>
      </w:pPr>
    </w:p>
    <w:p w:rsidR="003147E6" w:rsidRDefault="003147E6" w:rsidP="003147E6">
      <w:pPr>
        <w:jc w:val="both"/>
      </w:pPr>
      <w:r>
        <w:t xml:space="preserve">In </w:t>
      </w:r>
      <w:r>
        <w:rPr>
          <w:i/>
        </w:rPr>
        <w:t>c.</w:t>
      </w:r>
      <w:r>
        <w:t xml:space="preserve">1130 William of Malmsbury was commissioned to write on the history and antiquity of the abbey. William was a scrupulous antiquary by the standards of his </w:t>
      </w:r>
      <w:r>
        <w:lastRenderedPageBreak/>
        <w:t xml:space="preserve">time and he built the detail of legends and cults at Glastonbury into a substantial history, but not through uncritical acceptance of spurious facts. The resting places of no less that SS. David, Patrick, Brigit and Benignus were claimed for Glastonbury in this period, as well as more local saints. In reality these claims were probably inspired by the presence of </w:t>
      </w:r>
      <w:r>
        <w:rPr>
          <w:i/>
        </w:rPr>
        <w:t xml:space="preserve">relics </w:t>
      </w:r>
      <w:r>
        <w:t xml:space="preserve">of those saints on the site—brought to the site in the later part of the first millennium; but the propaganda of Glastonbury had considerable effect in enhancing the site’s prestige. This is hardly unique to Glastonbury, however: saints’ relics, as likely as not spurious in many cases, underpin many lucrative pilgrimage centres of the Middle Ages. William treated these cases critically in his history. The writing of an extensive history of this type was sufficient to enhance the status of the antiquities of the site. Caradoc of Llancarfan and Gerald of Wales also wrote accounts of the site and its cults in the same century, and it has been suggested that these too were commissioned works. </w:t>
      </w:r>
    </w:p>
    <w:p w:rsidR="003147E6" w:rsidRDefault="003147E6" w:rsidP="003147E6">
      <w:pPr>
        <w:jc w:val="both"/>
      </w:pPr>
    </w:p>
    <w:p w:rsidR="003147E6" w:rsidRDefault="003147E6" w:rsidP="003147E6">
      <w:pPr>
        <w:jc w:val="both"/>
      </w:pPr>
      <w:r>
        <w:t>With their focus on relics and antiquities, these histories present the archaeologist with an unusual level of detail concerning the site. The church of St Mary, seemingly made of wood, was claimed for considerable antiquity—and it may indeed have been some centuries old.</w:t>
      </w:r>
      <w:r w:rsidR="00D23577">
        <w:rPr>
          <w:rStyle w:val="FootnoteReference"/>
        </w:rPr>
        <w:t xml:space="preserve"> </w:t>
      </w:r>
      <w:r>
        <w:t xml:space="preserve"> The present Lady Chapel is supposed to replicate the dimensions of the ground plan of the ancient church of St Mary. Excavations by Radford identified the existence of an early burial ground, centred on the site of the Lady Chapel.</w:t>
      </w:r>
      <w:r w:rsidR="00D23577">
        <w:rPr>
          <w:rStyle w:val="FootnoteReference"/>
        </w:rPr>
        <w:t xml:space="preserve"> </w:t>
      </w:r>
      <w:r>
        <w:t xml:space="preserve"> This seems to confirm the location of the early church. The early church, evidently built of wood, was destroyed by fire in 1184.</w:t>
      </w:r>
      <w:r w:rsidR="00D23577">
        <w:rPr>
          <w:rStyle w:val="FootnoteReference"/>
        </w:rPr>
        <w:t xml:space="preserve"> </w:t>
      </w:r>
      <w:r>
        <w:t xml:space="preserve"> </w:t>
      </w:r>
    </w:p>
    <w:p w:rsidR="003147E6" w:rsidRDefault="003147E6" w:rsidP="003147E6">
      <w:pPr>
        <w:jc w:val="both"/>
      </w:pPr>
    </w:p>
    <w:p w:rsidR="003147E6" w:rsidRDefault="003147E6" w:rsidP="003147E6">
      <w:pPr>
        <w:jc w:val="both"/>
      </w:pPr>
      <w:r>
        <w:t>It was during the building work for a new church that a grave was ‘found’ to the south of what is now the Lady Chapel. In this grave was a burial in a split-log coffin. This is a not uncommon form of early medieval coffin, made by hollowing out two halves of a log: when it is put back together it looks like a log again, but inside remaining hollow (like two dugout canoes put together). The coffin contained two burials, a man and a woman, and a cross, simply made of lead, which carried the inscription HIC IACET SEPULTUS ARTURUS REX IN INSULA AVALONIA (Here lies buried King Arthur in the Isle of Avalon). Reports of the text of the inscription vary slightly from writer to writer, but there is little doubt that this was the gist of the message. The cross itself has disappeared, though it was for a long time in the possession of the nearby cathedral at Bath. A drawing of the cross by the antiquary Camden makes clear its shape and lettering.</w:t>
      </w:r>
      <w:r w:rsidR="00D23577">
        <w:rPr>
          <w:rStyle w:val="FootnoteReference"/>
        </w:rPr>
        <w:t xml:space="preserve"> </w:t>
      </w:r>
      <w:r>
        <w:t xml:space="preserve"> </w:t>
      </w:r>
    </w:p>
    <w:p w:rsidR="003147E6" w:rsidRDefault="003147E6" w:rsidP="003147E6">
      <w:pPr>
        <w:jc w:val="both"/>
      </w:pPr>
    </w:p>
    <w:p w:rsidR="003147E6" w:rsidRDefault="003147E6" w:rsidP="003147E6">
      <w:pPr>
        <w:jc w:val="both"/>
      </w:pPr>
      <w:r>
        <w:t>The grave site itself was rediscovered in 1962-3 by Radford. This proved to be a small backfilled trench which was datable as the grave of the 1190s by the fact that its fill contained chips of the same marble used in the construction of the Lady Chapel—making its filling no earlier than the building of the chapel, and most likely very soon after its construction. Two ‘pyramids’ (no doubt cross-bases</w:t>
      </w:r>
      <w:r w:rsidR="00D23577">
        <w:rPr>
          <w:rStyle w:val="FootnoteReference"/>
        </w:rPr>
        <w:t xml:space="preserve"> </w:t>
      </w:r>
      <w:r>
        <w:t>) which were set to stand at either end of the grave also were located by the trenches from which they had been later removed.</w:t>
      </w:r>
    </w:p>
    <w:p w:rsidR="003147E6" w:rsidRDefault="003147E6" w:rsidP="003147E6">
      <w:pPr>
        <w:jc w:val="both"/>
      </w:pPr>
    </w:p>
    <w:p w:rsidR="003147E6" w:rsidRDefault="003147E6" w:rsidP="003147E6">
      <w:pPr>
        <w:jc w:val="both"/>
      </w:pPr>
      <w:r>
        <w:t xml:space="preserve">Glastonbury </w:t>
      </w:r>
      <w:r>
        <w:rPr>
          <w:i/>
          <w:iCs/>
        </w:rPr>
        <w:t xml:space="preserve">is </w:t>
      </w:r>
      <w:r>
        <w:t xml:space="preserve">an island. Perhaps it is the basis for the ‘Avalon’ element in the legend, just as the cross implies. The claim that Glastonbury is the Isle of Avalon of Geoffrey of Monmouth is independent, and is found in Gerald of Wales—though that is not saying much. The coffin is of a type that could be early. But we must start from the assumption that the find is a forgery. The monks of Glastonbury had already made elaborately-staged attempts to claim Glastonbury as the burial place of St Patrick and </w:t>
      </w:r>
      <w:r>
        <w:lastRenderedPageBreak/>
        <w:t>of St Dunstan—claims refuted by contemporary chroniclers.</w:t>
      </w:r>
      <w:r w:rsidR="00D23577">
        <w:rPr>
          <w:rStyle w:val="FootnoteReference"/>
        </w:rPr>
        <w:t xml:space="preserve"> </w:t>
      </w:r>
      <w:r>
        <w:t xml:space="preserve"> The discovery of Arthur’s grave must be understood in this context—the staging of the event even replicated some aspects of the discovery of ‘Dunstan’s’ grave. Why is it likely to be a forgery? Here we must consider the medieval passion for pilgrimage to sites of saints and other holy figures. To own the grave of Arthur was virtually a license to mint money. The grand monastery and the later prosperity of Glastonbury are a good measure of this. The tourist coaches which pour into the town today simply continue the tradition. The site itself had recently passed into the hands of Norman abbots. Around this time Geoffrey of Monmouth had been raising Norman awareness of the sentimental and political mileage in the Arthurian legend. The Normans, anyway, were notorious for rewriting their own history to suit national or family needs. On the national point, we may also note the use of </w:t>
      </w:r>
      <w:r>
        <w:rPr>
          <w:i/>
          <w:iCs/>
        </w:rPr>
        <w:t>rex</w:t>
      </w:r>
      <w:r>
        <w:t xml:space="preserve"> (king) fits a later, rather than earlier image of Arthur. </w:t>
      </w:r>
    </w:p>
    <w:p w:rsidR="003147E6" w:rsidRDefault="003147E6" w:rsidP="003147E6">
      <w:pPr>
        <w:jc w:val="both"/>
      </w:pPr>
    </w:p>
    <w:p w:rsidR="003147E6" w:rsidRDefault="003147E6" w:rsidP="003147E6">
      <w:pPr>
        <w:jc w:val="both"/>
      </w:pPr>
      <w:r>
        <w:t>The bones were reinterred in a marble tomb in the cathedral of Glastonbury Abbey whence they were scattered by Cromwell’s men in the time of Henry VIII. The bones have not been rediscovered, but, in view of what is discussed below, testing of the bones might only yield confusing data anyway, as they are probably genuinely earlier than the medieval period.</w:t>
      </w:r>
    </w:p>
    <w:p w:rsidR="003147E6" w:rsidRDefault="003147E6" w:rsidP="003147E6">
      <w:pPr>
        <w:jc w:val="both"/>
      </w:pPr>
    </w:p>
    <w:p w:rsidR="003147E6" w:rsidRDefault="003147E6" w:rsidP="003147E6">
      <w:pPr>
        <w:jc w:val="both"/>
      </w:pPr>
    </w:p>
    <w:p w:rsidR="003147E6" w:rsidRDefault="003147E6" w:rsidP="003147E6">
      <w:pPr>
        <w:pStyle w:val="Heading3"/>
      </w:pPr>
      <w:r>
        <w:t>The Elements of the Grave</w:t>
      </w:r>
    </w:p>
    <w:p w:rsidR="003147E6" w:rsidRDefault="003147E6" w:rsidP="003147E6">
      <w:pPr>
        <w:jc w:val="both"/>
      </w:pPr>
    </w:p>
    <w:p w:rsidR="003147E6" w:rsidRDefault="003147E6" w:rsidP="003147E6">
      <w:pPr>
        <w:jc w:val="both"/>
      </w:pPr>
      <w:r>
        <w:t xml:space="preserve">We may note a few facts at this point. The grave itself is within the churchyard of the wooden church which preceded the present one. There is then every likelihood that the grave, the coffin and the bones were genuinely early. How early? Maybe seventh century, maybe earlier. The monks may have discovered the grave during building work and realised the potential for publicity. We may speculate that there were legends already associated with the site, which gave them the idea. A bit like the archaeologists of today. Probably they felt they were simply embellishing the truth. </w:t>
      </w:r>
    </w:p>
    <w:p w:rsidR="003147E6" w:rsidRDefault="003147E6" w:rsidP="003147E6">
      <w:pPr>
        <w:jc w:val="both"/>
      </w:pPr>
    </w:p>
    <w:p w:rsidR="003147E6" w:rsidRDefault="003147E6" w:rsidP="003147E6">
      <w:pPr>
        <w:jc w:val="both"/>
      </w:pPr>
      <w:r>
        <w:t>Let us consider a comparable case. Around 1270, at St Davids, John de Gamages claimed to have had revealed to him a vision the body of St David, which led to the body being found outside the southern door, ‘at the fixed measure of paces shown to him in the vision’.</w:t>
      </w:r>
      <w:r w:rsidR="00D23577">
        <w:rPr>
          <w:rStyle w:val="FootnoteReference"/>
        </w:rPr>
        <w:t xml:space="preserve"> </w:t>
      </w:r>
      <w:r>
        <w:t xml:space="preserve"> The bones enshrined from this discovery were tested in the 1990s and it was revealed that they dated from between 1000 and 1200—entirely consistent with the body being that of an unknown person from the cemetery around the twelfth-century cathedral. This is very comparable to the situation at Glastonbury. ‘Old’ graves could be found around the church—but how old?</w:t>
      </w:r>
    </w:p>
    <w:p w:rsidR="003147E6" w:rsidRDefault="003147E6" w:rsidP="003147E6">
      <w:pPr>
        <w:jc w:val="both"/>
      </w:pPr>
    </w:p>
    <w:p w:rsidR="003147E6" w:rsidRDefault="003147E6" w:rsidP="003147E6">
      <w:pPr>
        <w:jc w:val="both"/>
      </w:pPr>
      <w:r>
        <w:t xml:space="preserve">The cross itself is puzzling. Its lettering is not sixth century, but neither is it twelfth. It is most like that found on Anglo Saxon coins of the eighth and ninth centuries. Leslie Alcock puts forward by far the most convincing explanation for the lettering on the cross. The monk who forged it went to the library of the church and found the oldest manuscript—presumably no older than the church itself. It looked ‘old’, no one would know that it was not old enough to be authentic. A bit like the Olde Worlde teashop in the town with its sign in ‘Gothic’ lettering. </w:t>
      </w:r>
    </w:p>
    <w:p w:rsidR="003147E6" w:rsidRDefault="003147E6" w:rsidP="003147E6">
      <w:pPr>
        <w:jc w:val="both"/>
      </w:pPr>
    </w:p>
    <w:p w:rsidR="003147E6" w:rsidRDefault="003147E6" w:rsidP="003147E6">
      <w:pPr>
        <w:jc w:val="both"/>
      </w:pPr>
    </w:p>
    <w:p w:rsidR="003147E6" w:rsidRPr="00D23577" w:rsidRDefault="00D23577" w:rsidP="003147E6">
      <w:pPr>
        <w:pStyle w:val="Heading1"/>
        <w:spacing w:line="240" w:lineRule="auto"/>
        <w:rPr>
          <w:rFonts w:ascii="Times New Roman" w:hAnsi="Times New Roman"/>
          <w:smallCaps w:val="0"/>
          <w:sz w:val="24"/>
          <w:szCs w:val="24"/>
        </w:rPr>
      </w:pPr>
      <w:r w:rsidRPr="00D23577">
        <w:rPr>
          <w:rFonts w:ascii="Times New Roman" w:hAnsi="Times New Roman"/>
          <w:smallCaps w:val="0"/>
          <w:sz w:val="24"/>
          <w:szCs w:val="24"/>
        </w:rPr>
        <w:t xml:space="preserve">Some </w:t>
      </w:r>
      <w:r w:rsidR="003147E6" w:rsidRPr="00D23577">
        <w:rPr>
          <w:rFonts w:ascii="Times New Roman" w:hAnsi="Times New Roman"/>
          <w:smallCaps w:val="0"/>
          <w:sz w:val="24"/>
          <w:szCs w:val="24"/>
        </w:rPr>
        <w:t>Recommended Reading</w:t>
      </w:r>
    </w:p>
    <w:p w:rsidR="003147E6" w:rsidRDefault="00D23577" w:rsidP="00D23577">
      <w:pPr>
        <w:ind w:left="540" w:hanging="540"/>
        <w:jc w:val="both"/>
        <w:rPr>
          <w:b/>
          <w:sz w:val="22"/>
          <w:szCs w:val="22"/>
        </w:rPr>
      </w:pPr>
      <w:r>
        <w:rPr>
          <w:sz w:val="22"/>
          <w:szCs w:val="22"/>
        </w:rPr>
        <w:t xml:space="preserve">W.A. Nitze, ‘The Exhumation of King Arthur at Glastonbury’, </w:t>
      </w:r>
      <w:r>
        <w:rPr>
          <w:i/>
          <w:iCs/>
          <w:sz w:val="22"/>
          <w:szCs w:val="22"/>
        </w:rPr>
        <w:t>Speculum</w:t>
      </w:r>
      <w:r>
        <w:rPr>
          <w:sz w:val="22"/>
          <w:szCs w:val="22"/>
        </w:rPr>
        <w:t xml:space="preserve"> 9 (1934) 355-61 (</w:t>
      </w:r>
      <w:r>
        <w:rPr>
          <w:b/>
          <w:sz w:val="22"/>
          <w:szCs w:val="22"/>
        </w:rPr>
        <w:t>on JSTOR)</w:t>
      </w:r>
    </w:p>
    <w:p w:rsidR="00D23577" w:rsidRPr="00D23577" w:rsidRDefault="007E219B" w:rsidP="00D23577">
      <w:pPr>
        <w:ind w:left="540" w:hanging="540"/>
        <w:jc w:val="both"/>
        <w:rPr>
          <w:color w:val="000000"/>
          <w:sz w:val="22"/>
          <w:szCs w:val="22"/>
        </w:rPr>
      </w:pPr>
      <w:hyperlink r:id="rId6" w:history="1">
        <w:r w:rsidR="00D23577" w:rsidRPr="00D23577">
          <w:rPr>
            <w:lang w:eastAsia="en-GB"/>
          </w:rPr>
          <w:t>John Clark</w:t>
        </w:r>
      </w:hyperlink>
      <w:r w:rsidR="00D23577" w:rsidRPr="00D23577">
        <w:rPr>
          <w:lang w:eastAsia="en-GB"/>
        </w:rPr>
        <w:t xml:space="preserve"> ‘Glastonbury Revisited’, </w:t>
      </w:r>
      <w:r w:rsidR="00D23577" w:rsidRPr="00D23577">
        <w:rPr>
          <w:i/>
          <w:iCs/>
          <w:lang w:eastAsia="en-GB"/>
        </w:rPr>
        <w:t>Folklore</w:t>
      </w:r>
      <w:r w:rsidR="00D23577" w:rsidRPr="00D23577">
        <w:rPr>
          <w:lang w:eastAsia="en-GB"/>
        </w:rPr>
        <w:t>, 106, (1995), pp. 93-96 (on JSTOR)</w:t>
      </w:r>
    </w:p>
    <w:p w:rsidR="00D23577" w:rsidRDefault="00D23577" w:rsidP="00D23577">
      <w:pPr>
        <w:ind w:left="540" w:hanging="540"/>
        <w:jc w:val="both"/>
        <w:rPr>
          <w:b/>
          <w:sz w:val="22"/>
          <w:szCs w:val="22"/>
        </w:rPr>
      </w:pPr>
    </w:p>
    <w:p w:rsidR="00D23577" w:rsidRDefault="00D23577" w:rsidP="00D23577">
      <w:pPr>
        <w:ind w:left="540" w:hanging="540"/>
        <w:jc w:val="both"/>
        <w:rPr>
          <w:sz w:val="22"/>
          <w:szCs w:val="22"/>
        </w:rPr>
      </w:pPr>
      <w:r>
        <w:rPr>
          <w:sz w:val="22"/>
          <w:szCs w:val="22"/>
        </w:rPr>
        <w:t>Various other items on ‘Glastonbury’ on JSTOR</w:t>
      </w:r>
    </w:p>
    <w:p w:rsidR="00D23577" w:rsidRDefault="00D23577" w:rsidP="00D23577">
      <w:pPr>
        <w:ind w:left="540" w:hanging="540"/>
        <w:jc w:val="both"/>
        <w:rPr>
          <w:sz w:val="22"/>
          <w:szCs w:val="22"/>
        </w:rPr>
      </w:pPr>
    </w:p>
    <w:p w:rsidR="00D23577" w:rsidRDefault="00D23577" w:rsidP="00D23577">
      <w:pPr>
        <w:ind w:left="540" w:hanging="540"/>
      </w:pPr>
      <w:r>
        <w:t xml:space="preserve">Some useful material at </w:t>
      </w:r>
      <w:hyperlink r:id="rId7" w:history="1">
        <w:r w:rsidRPr="004B2E71">
          <w:rPr>
            <w:rStyle w:val="Hyperlink"/>
          </w:rPr>
          <w:t>http://www.vortigernstudies.org.uk/</w:t>
        </w:r>
      </w:hyperlink>
      <w:r>
        <w:t>, but use with care.</w:t>
      </w:r>
    </w:p>
    <w:p w:rsidR="00D23577" w:rsidRPr="00D23577" w:rsidRDefault="00D23577" w:rsidP="00D23577">
      <w:pPr>
        <w:ind w:left="540" w:hanging="540"/>
        <w:jc w:val="both"/>
        <w:rPr>
          <w:sz w:val="22"/>
          <w:szCs w:val="22"/>
        </w:rPr>
      </w:pPr>
    </w:p>
    <w:p w:rsidR="003147E6" w:rsidRDefault="003147E6" w:rsidP="003147E6">
      <w:pPr>
        <w:ind w:left="540" w:hanging="540"/>
        <w:rPr>
          <w:sz w:val="22"/>
          <w:szCs w:val="22"/>
        </w:rPr>
      </w:pPr>
      <w:r>
        <w:rPr>
          <w:sz w:val="22"/>
          <w:szCs w:val="22"/>
        </w:rPr>
        <w:t xml:space="preserve">C.A.Ralegh Radford, ‘Glastonbury Abbey’, in G. Ashe (ed.), </w:t>
      </w:r>
      <w:r>
        <w:rPr>
          <w:i/>
          <w:iCs/>
          <w:sz w:val="22"/>
          <w:szCs w:val="22"/>
        </w:rPr>
        <w:t xml:space="preserve">The Quest for Arthur’s Britain </w:t>
      </w:r>
      <w:r>
        <w:rPr>
          <w:sz w:val="22"/>
          <w:szCs w:val="22"/>
        </w:rPr>
        <w:t>(London, 1968) 119-138</w:t>
      </w:r>
    </w:p>
    <w:p w:rsidR="003147E6" w:rsidRDefault="003147E6" w:rsidP="003147E6">
      <w:pPr>
        <w:ind w:left="540" w:hanging="540"/>
        <w:rPr>
          <w:sz w:val="22"/>
          <w:szCs w:val="22"/>
        </w:rPr>
      </w:pPr>
      <w:r>
        <w:rPr>
          <w:sz w:val="22"/>
          <w:szCs w:val="22"/>
        </w:rPr>
        <w:t xml:space="preserve">Antonia Gransden, ‘The Growth of the Glastonbury Traditions and Legends in the Twelfth Century’, </w:t>
      </w:r>
      <w:r>
        <w:rPr>
          <w:i/>
          <w:iCs/>
          <w:sz w:val="22"/>
          <w:szCs w:val="22"/>
        </w:rPr>
        <w:t xml:space="preserve">Journal of Ecclesiastical History </w:t>
      </w:r>
      <w:r>
        <w:rPr>
          <w:sz w:val="22"/>
          <w:szCs w:val="22"/>
        </w:rPr>
        <w:t>27 (1976) 337-358</w:t>
      </w:r>
    </w:p>
    <w:p w:rsidR="003147E6" w:rsidRDefault="003147E6" w:rsidP="003147E6">
      <w:pPr>
        <w:ind w:left="540" w:hanging="540"/>
        <w:jc w:val="both"/>
        <w:rPr>
          <w:sz w:val="22"/>
          <w:szCs w:val="22"/>
        </w:rPr>
      </w:pPr>
      <w:r>
        <w:rPr>
          <w:sz w:val="22"/>
          <w:szCs w:val="22"/>
        </w:rPr>
        <w:t xml:space="preserve">Valerie Lagorio, ‘The Evolving Legend of St. Joseph of Glastonbury’, </w:t>
      </w:r>
      <w:r>
        <w:rPr>
          <w:i/>
          <w:iCs/>
          <w:sz w:val="22"/>
          <w:szCs w:val="22"/>
        </w:rPr>
        <w:t>Speculum</w:t>
      </w:r>
      <w:r>
        <w:rPr>
          <w:sz w:val="22"/>
          <w:szCs w:val="22"/>
        </w:rPr>
        <w:t xml:space="preserve"> 46 (1971), 209-31 </w:t>
      </w:r>
    </w:p>
    <w:p w:rsidR="00D23577" w:rsidRDefault="003147E6" w:rsidP="00D23577">
      <w:pPr>
        <w:ind w:left="540" w:hanging="540"/>
        <w:jc w:val="both"/>
        <w:rPr>
          <w:color w:val="000000"/>
          <w:sz w:val="22"/>
          <w:szCs w:val="22"/>
        </w:rPr>
      </w:pPr>
      <w:r>
        <w:rPr>
          <w:color w:val="000000"/>
          <w:sz w:val="22"/>
          <w:szCs w:val="22"/>
        </w:rPr>
        <w:t xml:space="preserve">Malcolm Thurlby, ‘The Lady Chapel of Glastonbury Abbey’, </w:t>
      </w:r>
      <w:r>
        <w:rPr>
          <w:i/>
          <w:iCs/>
          <w:color w:val="000000"/>
          <w:sz w:val="22"/>
          <w:szCs w:val="22"/>
        </w:rPr>
        <w:t>Antiquaries Journal</w:t>
      </w:r>
      <w:r>
        <w:rPr>
          <w:color w:val="000000"/>
          <w:sz w:val="22"/>
          <w:szCs w:val="22"/>
        </w:rPr>
        <w:t xml:space="preserve"> 75 (1995) 107-70</w:t>
      </w:r>
    </w:p>
    <w:p w:rsidR="00D23577" w:rsidRDefault="00D23577" w:rsidP="003147E6">
      <w:pPr>
        <w:ind w:left="540" w:hanging="540"/>
        <w:jc w:val="both"/>
        <w:rPr>
          <w:sz w:val="22"/>
          <w:szCs w:val="22"/>
        </w:rPr>
      </w:pPr>
    </w:p>
    <w:p w:rsidR="003147E6" w:rsidRDefault="003147E6" w:rsidP="003147E6">
      <w:pPr>
        <w:ind w:left="540" w:hanging="540"/>
      </w:pPr>
    </w:p>
    <w:p w:rsidR="003147E6" w:rsidRDefault="003147E6" w:rsidP="003147E6">
      <w:pPr>
        <w:widowControl w:val="0"/>
        <w:ind w:left="360" w:hanging="360"/>
        <w:jc w:val="both"/>
        <w:rPr>
          <w:b/>
          <w:bCs/>
          <w:smallCaps/>
        </w:rPr>
      </w:pPr>
    </w:p>
    <w:p w:rsidR="003147E6" w:rsidRDefault="003147E6" w:rsidP="00D23577">
      <w:pPr>
        <w:widowControl w:val="0"/>
        <w:jc w:val="both"/>
      </w:pPr>
    </w:p>
    <w:p w:rsidR="00CA165F" w:rsidRDefault="00CA165F"/>
    <w:sectPr w:rsidR="00CA165F" w:rsidSect="00B37880">
      <w:pgSz w:w="11905" w:h="16837"/>
      <w:pgMar w:top="1440" w:right="1797" w:bottom="1440" w:left="1797" w:header="720" w:footer="1134"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23577" w:rsidRDefault="00D23577" w:rsidP="003147E6">
      <w:r>
        <w:separator/>
      </w:r>
    </w:p>
  </w:endnote>
  <w:endnote w:type="continuationSeparator" w:id="0">
    <w:p w:rsidR="00D23577" w:rsidRDefault="00D23577" w:rsidP="003147E6">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Palatino">
    <w:altName w:val="Book Antiqua"/>
    <w:panose1 w:val="00000000000000000000"/>
    <w:charset w:val="4D"/>
    <w:family w:val="auto"/>
    <w:notTrueType/>
    <w:pitch w:val="default"/>
    <w:sig w:usb0="00000000" w:usb1="00000000" w:usb2="00000000" w:usb3="00000000" w:csb0="00000000"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23577" w:rsidRDefault="00D23577" w:rsidP="003147E6">
      <w:r>
        <w:separator/>
      </w:r>
    </w:p>
  </w:footnote>
  <w:footnote w:type="continuationSeparator" w:id="0">
    <w:p w:rsidR="00D23577" w:rsidRDefault="00D23577" w:rsidP="003147E6">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drawingGridHorizontalSpacing w:val="120"/>
  <w:displayHorizontalDrawingGridEvery w:val="0"/>
  <w:displayVerticalDrawingGridEvery w:val="2"/>
  <w:characterSpacingControl w:val="doNotCompress"/>
  <w:footnotePr>
    <w:footnote w:id="-1"/>
    <w:footnote w:id="0"/>
  </w:footnotePr>
  <w:endnotePr>
    <w:endnote w:id="-1"/>
    <w:endnote w:id="0"/>
  </w:endnotePr>
  <w:compat/>
  <w:rsids>
    <w:rsidRoot w:val="003147E6"/>
    <w:rsid w:val="00016F2D"/>
    <w:rsid w:val="00065F58"/>
    <w:rsid w:val="000C1441"/>
    <w:rsid w:val="00104A16"/>
    <w:rsid w:val="003147E6"/>
    <w:rsid w:val="003C682A"/>
    <w:rsid w:val="007131C4"/>
    <w:rsid w:val="007E219B"/>
    <w:rsid w:val="008156BF"/>
    <w:rsid w:val="008A085E"/>
    <w:rsid w:val="00B37880"/>
    <w:rsid w:val="00CA165F"/>
    <w:rsid w:val="00D23577"/>
    <w:rsid w:val="00DB41FC"/>
    <w:rsid w:val="00DC63E2"/>
    <w:rsid w:val="00DE1587"/>
    <w:rsid w:val="00E56066"/>
    <w:rsid w:val="00EC7C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47E6"/>
    <w:rPr>
      <w:rFonts w:ascii="Times New Roman" w:eastAsia="Times New Roman" w:hAnsi="Times New Roman" w:cs="Times New Roman"/>
      <w:sz w:val="24"/>
      <w:szCs w:val="24"/>
    </w:rPr>
  </w:style>
  <w:style w:type="paragraph" w:styleId="Heading1">
    <w:name w:val="heading 1"/>
    <w:basedOn w:val="Normal"/>
    <w:next w:val="Normal"/>
    <w:link w:val="Heading1Char"/>
    <w:qFormat/>
    <w:rsid w:val="003147E6"/>
    <w:pPr>
      <w:keepNext/>
      <w:spacing w:line="360" w:lineRule="auto"/>
      <w:ind w:right="-7"/>
      <w:outlineLvl w:val="0"/>
    </w:pPr>
    <w:rPr>
      <w:rFonts w:ascii="Garamond" w:hAnsi="Garamond"/>
      <w:b/>
      <w:iCs/>
      <w:smallCaps/>
      <w:sz w:val="20"/>
      <w:szCs w:val="20"/>
    </w:rPr>
  </w:style>
  <w:style w:type="paragraph" w:styleId="Heading3">
    <w:name w:val="heading 3"/>
    <w:basedOn w:val="Normal"/>
    <w:next w:val="Normal"/>
    <w:link w:val="Heading3Char"/>
    <w:qFormat/>
    <w:rsid w:val="003147E6"/>
    <w:pPr>
      <w:keepNext/>
      <w:jc w:val="both"/>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147E6"/>
    <w:rPr>
      <w:rFonts w:ascii="Garamond" w:eastAsia="Times New Roman" w:hAnsi="Garamond" w:cs="Times New Roman"/>
      <w:b/>
      <w:iCs/>
      <w:smallCaps/>
      <w:sz w:val="20"/>
      <w:szCs w:val="20"/>
    </w:rPr>
  </w:style>
  <w:style w:type="character" w:customStyle="1" w:styleId="Heading3Char">
    <w:name w:val="Heading 3 Char"/>
    <w:basedOn w:val="DefaultParagraphFont"/>
    <w:link w:val="Heading3"/>
    <w:rsid w:val="003147E6"/>
    <w:rPr>
      <w:rFonts w:ascii="Times New Roman" w:eastAsia="Times New Roman" w:hAnsi="Times New Roman" w:cs="Times New Roman"/>
      <w:b/>
      <w:bCs/>
      <w:sz w:val="24"/>
      <w:szCs w:val="24"/>
    </w:rPr>
  </w:style>
  <w:style w:type="paragraph" w:styleId="FootnoteText">
    <w:name w:val="footnote text"/>
    <w:basedOn w:val="Normal"/>
    <w:link w:val="FootnoteTextChar"/>
    <w:semiHidden/>
    <w:rsid w:val="003147E6"/>
    <w:rPr>
      <w:sz w:val="20"/>
      <w:szCs w:val="20"/>
    </w:rPr>
  </w:style>
  <w:style w:type="character" w:customStyle="1" w:styleId="FootnoteTextChar">
    <w:name w:val="Footnote Text Char"/>
    <w:basedOn w:val="DefaultParagraphFont"/>
    <w:link w:val="FootnoteText"/>
    <w:semiHidden/>
    <w:rsid w:val="003147E6"/>
    <w:rPr>
      <w:rFonts w:ascii="Times New Roman" w:eastAsia="Times New Roman" w:hAnsi="Times New Roman" w:cs="Times New Roman"/>
      <w:sz w:val="20"/>
      <w:szCs w:val="20"/>
    </w:rPr>
  </w:style>
  <w:style w:type="character" w:styleId="FootnoteReference">
    <w:name w:val="footnote reference"/>
    <w:basedOn w:val="DefaultParagraphFont"/>
    <w:semiHidden/>
    <w:rsid w:val="003147E6"/>
    <w:rPr>
      <w:vertAlign w:val="superscript"/>
    </w:rPr>
  </w:style>
  <w:style w:type="paragraph" w:customStyle="1" w:styleId="Normal1">
    <w:name w:val="Normal1"/>
    <w:basedOn w:val="Normal"/>
    <w:rsid w:val="003147E6"/>
    <w:rPr>
      <w:rFonts w:ascii="Palatino" w:hAnsi="Palatino"/>
      <w:szCs w:val="20"/>
      <w:lang w:val="en-US"/>
    </w:rPr>
  </w:style>
  <w:style w:type="character" w:styleId="Emphasis">
    <w:name w:val="Emphasis"/>
    <w:basedOn w:val="DefaultParagraphFont"/>
    <w:qFormat/>
    <w:rsid w:val="003147E6"/>
    <w:rPr>
      <w:i/>
      <w:iCs/>
    </w:rPr>
  </w:style>
  <w:style w:type="paragraph" w:styleId="ListParagraph">
    <w:name w:val="List Paragraph"/>
    <w:basedOn w:val="Normal"/>
    <w:uiPriority w:val="34"/>
    <w:qFormat/>
    <w:rsid w:val="00D23577"/>
    <w:pPr>
      <w:ind w:left="720"/>
      <w:contextualSpacing/>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D23577"/>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17685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vortigernstudies.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action/doBasicSearch?Query=au%3A%22John+Clark%22&amp;wc=on&amp;fc=on"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4</Pages>
  <Words>1587</Words>
  <Characters>9048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Wooding</dc:creator>
  <cp:lastModifiedBy>Jonathan Wooding</cp:lastModifiedBy>
  <cp:revision>4</cp:revision>
  <cp:lastPrinted>2012-11-28T10:59:00Z</cp:lastPrinted>
  <dcterms:created xsi:type="dcterms:W3CDTF">2012-11-28T11:26:00Z</dcterms:created>
  <dcterms:modified xsi:type="dcterms:W3CDTF">2012-11-28T11:36:00Z</dcterms:modified>
</cp:coreProperties>
</file>