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882B0" w14:textId="77777777" w:rsidR="003D77AE" w:rsidRDefault="003D77AE" w:rsidP="003D77AE">
      <w:pPr>
        <w:rPr>
          <w:rFonts w:asciiTheme="majorHAnsi" w:hAnsiTheme="majorHAnsi" w:cstheme="majorHAnsi"/>
        </w:rPr>
      </w:pPr>
      <w:r>
        <w:rPr>
          <w:rFonts w:asciiTheme="majorHAnsi" w:hAnsiTheme="majorHAnsi" w:cstheme="majorHAnsi"/>
        </w:rPr>
        <w:t>Essay Based on a Sky Journal</w:t>
      </w:r>
    </w:p>
    <w:p w14:paraId="008A70C9" w14:textId="77777777" w:rsidR="003D77AE" w:rsidRDefault="003D77AE" w:rsidP="003D77AE">
      <w:pPr>
        <w:rPr>
          <w:rFonts w:asciiTheme="majorHAnsi" w:hAnsiTheme="majorHAnsi" w:cstheme="majorHAnsi"/>
        </w:rPr>
      </w:pPr>
    </w:p>
    <w:p w14:paraId="5A157023" w14:textId="77777777" w:rsidR="003D77AE" w:rsidRPr="00B1580C" w:rsidRDefault="003D77AE" w:rsidP="003D77AE">
      <w:pPr>
        <w:rPr>
          <w:rFonts w:asciiTheme="majorHAnsi" w:hAnsiTheme="majorHAnsi" w:cstheme="majorHAnsi"/>
          <w:color w:val="538135" w:themeColor="accent6" w:themeShade="BF"/>
          <w:sz w:val="22"/>
          <w:szCs w:val="22"/>
        </w:rPr>
      </w:pPr>
    </w:p>
    <w:p w14:paraId="037BD380" w14:textId="77777777" w:rsidR="003D77AE" w:rsidRPr="006C078D" w:rsidRDefault="003D77AE" w:rsidP="003D77AE">
      <w:pPr>
        <w:rPr>
          <w:rFonts w:asciiTheme="majorHAnsi" w:hAnsiTheme="majorHAnsi" w:cstheme="majorHAnsi"/>
          <w:b/>
          <w:bCs/>
          <w:sz w:val="22"/>
          <w:szCs w:val="22"/>
        </w:rPr>
      </w:pPr>
      <w:r w:rsidRPr="006C078D">
        <w:rPr>
          <w:rFonts w:asciiTheme="majorHAnsi" w:hAnsiTheme="majorHAnsi" w:cstheme="majorHAnsi"/>
          <w:b/>
          <w:bCs/>
          <w:sz w:val="22"/>
          <w:szCs w:val="22"/>
        </w:rPr>
        <w:t xml:space="preserve">Introduction </w:t>
      </w:r>
    </w:p>
    <w:p w14:paraId="406D79D7" w14:textId="77777777" w:rsidR="003D77AE" w:rsidRDefault="003D77AE" w:rsidP="003D77AE">
      <w:pPr>
        <w:ind w:firstLine="360"/>
        <w:rPr>
          <w:rFonts w:asciiTheme="majorHAnsi" w:hAnsiTheme="majorHAnsi" w:cstheme="majorHAnsi"/>
          <w:color w:val="FF0000"/>
          <w:sz w:val="22"/>
          <w:szCs w:val="22"/>
        </w:rPr>
      </w:pPr>
      <w:r w:rsidRPr="00B1580C">
        <w:rPr>
          <w:rFonts w:asciiTheme="majorHAnsi" w:hAnsiTheme="majorHAnsi" w:cstheme="majorHAnsi"/>
          <w:sz w:val="22"/>
          <w:szCs w:val="22"/>
        </w:rPr>
        <w:t>Sky observation ha</w:t>
      </w:r>
      <w:r>
        <w:rPr>
          <w:rFonts w:asciiTheme="majorHAnsi" w:hAnsiTheme="majorHAnsi" w:cstheme="majorHAnsi"/>
          <w:sz w:val="22"/>
          <w:szCs w:val="22"/>
        </w:rPr>
        <w:t>s</w:t>
      </w:r>
      <w:r w:rsidRPr="00B1580C">
        <w:rPr>
          <w:rFonts w:asciiTheme="majorHAnsi" w:hAnsiTheme="majorHAnsi" w:cstheme="majorHAnsi"/>
          <w:sz w:val="22"/>
          <w:szCs w:val="22"/>
        </w:rPr>
        <w:t xml:space="preserve"> long been </w:t>
      </w:r>
      <w:r>
        <w:rPr>
          <w:rFonts w:asciiTheme="majorHAnsi" w:hAnsiTheme="majorHAnsi" w:cstheme="majorHAnsi"/>
          <w:sz w:val="22"/>
          <w:szCs w:val="22"/>
        </w:rPr>
        <w:t xml:space="preserve">a source of enchantment and awe. Vincent Van Gogh affirmed this enchantment of the cosmos when he wrote, </w:t>
      </w:r>
      <w:r w:rsidRPr="00580265">
        <w:rPr>
          <w:rFonts w:asciiTheme="majorHAnsi" w:hAnsiTheme="majorHAnsi" w:cstheme="majorHAnsi"/>
          <w:color w:val="538135" w:themeColor="accent6" w:themeShade="BF"/>
        </w:rPr>
        <w:t>‘</w:t>
      </w:r>
      <w:r>
        <w:rPr>
          <w:rFonts w:asciiTheme="majorHAnsi" w:hAnsiTheme="majorHAnsi" w:cstheme="majorHAnsi"/>
          <w:color w:val="538135" w:themeColor="accent6" w:themeShade="BF"/>
        </w:rPr>
        <w:t>b</w:t>
      </w:r>
      <w:r w:rsidRPr="00580265">
        <w:rPr>
          <w:rFonts w:asciiTheme="majorHAnsi" w:hAnsiTheme="majorHAnsi" w:cstheme="majorHAnsi"/>
          <w:color w:val="538135" w:themeColor="accent6" w:themeShade="BF"/>
        </w:rPr>
        <w:t>e clearly aware of the stars and infinity on high. Then life seems almost enchanted after all.</w:t>
      </w:r>
      <w:r>
        <w:rPr>
          <w:rFonts w:asciiTheme="majorHAnsi" w:hAnsiTheme="majorHAnsi" w:cstheme="majorHAnsi"/>
          <w:color w:val="538135" w:themeColor="accent6" w:themeShade="BF"/>
        </w:rPr>
        <w:t>’</w:t>
      </w:r>
      <w:r>
        <w:rPr>
          <w:rStyle w:val="FootnoteReference"/>
          <w:rFonts w:asciiTheme="majorHAnsi" w:hAnsiTheme="majorHAnsi" w:cstheme="majorHAnsi"/>
          <w:color w:val="538135" w:themeColor="accent6" w:themeShade="BF"/>
        </w:rPr>
        <w:footnoteReference w:id="1"/>
      </w:r>
      <w:r>
        <w:rPr>
          <w:rFonts w:asciiTheme="majorHAnsi" w:hAnsiTheme="majorHAnsi" w:cstheme="majorHAnsi"/>
          <w:color w:val="538135" w:themeColor="accent6" w:themeShade="BF"/>
        </w:rPr>
        <w:t xml:space="preserve"> However, another school of thought laments that the industrialized and scientific Western world has been disenchanted. </w:t>
      </w:r>
      <w:r w:rsidRPr="00B1580C">
        <w:rPr>
          <w:rFonts w:asciiTheme="majorHAnsi" w:hAnsiTheme="majorHAnsi" w:cstheme="majorHAnsi"/>
          <w:sz w:val="22"/>
          <w:szCs w:val="22"/>
        </w:rPr>
        <w:t xml:space="preserve">Sky Journal focused on the moon [list the scientific phases of the moon] and inquires, does - and how does - the moon enchant? This essay analyzes the phenomenological experience of moon-gazing with the Sky Journal as a primary source text, identifies several themes (patterns) of relationality that emerge in the Journal, and </w:t>
      </w:r>
      <w:r>
        <w:rPr>
          <w:rFonts w:asciiTheme="majorHAnsi" w:hAnsiTheme="majorHAnsi" w:cstheme="majorHAnsi"/>
          <w:sz w:val="22"/>
          <w:szCs w:val="22"/>
        </w:rPr>
        <w:t xml:space="preserve">challenges the idea that the Western world is marked by a crisis of disenchantment. </w:t>
      </w:r>
      <w:r>
        <w:rPr>
          <w:rFonts w:asciiTheme="majorHAnsi" w:hAnsiTheme="majorHAnsi" w:cstheme="majorHAnsi"/>
          <w:color w:val="FF0000"/>
          <w:sz w:val="22"/>
          <w:szCs w:val="22"/>
        </w:rPr>
        <w:t>In the sky journal, enchantment emerges from attention and relationship with the sky, suggesting the ‘faculty’ for enchantment remains (maybe just move this to the conclusion).</w:t>
      </w:r>
    </w:p>
    <w:p w14:paraId="42E80A9E" w14:textId="77777777" w:rsidR="003D77AE" w:rsidRPr="005969E0" w:rsidRDefault="003D77AE" w:rsidP="003D77AE">
      <w:pPr>
        <w:rPr>
          <w:rFonts w:asciiTheme="majorHAnsi" w:hAnsiTheme="majorHAnsi" w:cstheme="majorHAnsi"/>
          <w:color w:val="FF0000"/>
          <w:sz w:val="22"/>
          <w:szCs w:val="22"/>
        </w:rPr>
      </w:pPr>
      <w:r>
        <w:rPr>
          <w:rFonts w:asciiTheme="majorHAnsi" w:hAnsiTheme="majorHAnsi" w:cstheme="majorHAnsi"/>
          <w:color w:val="FF0000"/>
          <w:sz w:val="22"/>
          <w:szCs w:val="22"/>
        </w:rPr>
        <w:t>Given my journal reflects a sense of Basically I’m asking, what is the relationship between enchantment and disenchantment?</w:t>
      </w:r>
    </w:p>
    <w:p w14:paraId="5AEC1D3F" w14:textId="77777777" w:rsidR="003D77AE" w:rsidRDefault="003D77AE" w:rsidP="003D77AE">
      <w:pPr>
        <w:rPr>
          <w:rFonts w:asciiTheme="majorHAnsi" w:hAnsiTheme="majorHAnsi" w:cstheme="majorHAnsi"/>
          <w:sz w:val="22"/>
          <w:szCs w:val="22"/>
        </w:rPr>
      </w:pPr>
    </w:p>
    <w:p w14:paraId="2F2AEF87" w14:textId="77777777" w:rsidR="003D77AE" w:rsidRPr="005644CB" w:rsidRDefault="003D77AE" w:rsidP="003D77AE">
      <w:pPr>
        <w:rPr>
          <w:rFonts w:asciiTheme="majorHAnsi" w:hAnsiTheme="majorHAnsi" w:cstheme="majorHAnsi"/>
          <w:b/>
          <w:bCs/>
          <w:sz w:val="22"/>
          <w:szCs w:val="22"/>
        </w:rPr>
      </w:pPr>
      <w:r w:rsidRPr="005644CB">
        <w:rPr>
          <w:rFonts w:asciiTheme="majorHAnsi" w:hAnsiTheme="majorHAnsi" w:cstheme="majorHAnsi"/>
          <w:b/>
          <w:bCs/>
          <w:sz w:val="22"/>
          <w:szCs w:val="22"/>
        </w:rPr>
        <w:t>Enchantment</w:t>
      </w:r>
    </w:p>
    <w:p w14:paraId="1D33C844" w14:textId="77777777" w:rsidR="003D77AE" w:rsidRPr="005644CB" w:rsidRDefault="003D77AE" w:rsidP="003D77AE">
      <w:pPr>
        <w:ind w:firstLine="360"/>
        <w:rPr>
          <w:rFonts w:asciiTheme="majorHAnsi" w:hAnsiTheme="majorHAnsi" w:cstheme="majorHAnsi"/>
          <w:sz w:val="22"/>
          <w:szCs w:val="22"/>
        </w:rPr>
      </w:pPr>
      <w:r w:rsidRPr="005644CB">
        <w:rPr>
          <w:rFonts w:asciiTheme="majorHAnsi" w:hAnsiTheme="majorHAnsi" w:cstheme="majorHAnsi"/>
          <w:sz w:val="22"/>
          <w:szCs w:val="22"/>
        </w:rPr>
        <w:t>Van Gogh writes that that with clear awareness on the stars, ‘life seems almost enchanted.’</w:t>
      </w:r>
      <w:r w:rsidRPr="005644CB">
        <w:rPr>
          <w:rStyle w:val="FootnoteReference"/>
          <w:rFonts w:asciiTheme="majorHAnsi" w:hAnsiTheme="majorHAnsi" w:cstheme="majorHAnsi"/>
          <w:sz w:val="22"/>
          <w:szCs w:val="22"/>
        </w:rPr>
        <w:footnoteReference w:id="2"/>
      </w:r>
      <w:r w:rsidRPr="005644CB">
        <w:rPr>
          <w:rFonts w:asciiTheme="majorHAnsi" w:hAnsiTheme="majorHAnsi" w:cstheme="majorHAnsi"/>
          <w:sz w:val="22"/>
          <w:szCs w:val="22"/>
        </w:rPr>
        <w:t xml:space="preserve"> What is enchantment, then? </w:t>
      </w:r>
      <w:r w:rsidRPr="00E957A7">
        <w:rPr>
          <w:rFonts w:asciiTheme="majorHAnsi" w:hAnsiTheme="majorHAnsi" w:cstheme="majorHAnsi"/>
          <w:color w:val="333333"/>
          <w:sz w:val="22"/>
          <w:szCs w:val="22"/>
          <w:shd w:val="clear" w:color="auto" w:fill="FFFFFF"/>
        </w:rPr>
        <w:t>The Latin root, </w:t>
      </w:r>
      <w:proofErr w:type="spellStart"/>
      <w:r w:rsidRPr="00E957A7">
        <w:rPr>
          <w:rFonts w:asciiTheme="majorHAnsi" w:hAnsiTheme="majorHAnsi" w:cstheme="majorHAnsi"/>
          <w:i/>
          <w:iCs/>
          <w:color w:val="333333"/>
          <w:sz w:val="22"/>
          <w:szCs w:val="22"/>
          <w:shd w:val="clear" w:color="auto" w:fill="FFFFFF"/>
        </w:rPr>
        <w:t>incantare</w:t>
      </w:r>
      <w:proofErr w:type="spellEnd"/>
      <w:r w:rsidRPr="00E957A7">
        <w:rPr>
          <w:rFonts w:asciiTheme="majorHAnsi" w:hAnsiTheme="majorHAnsi" w:cstheme="majorHAnsi"/>
          <w:color w:val="333333"/>
          <w:sz w:val="22"/>
          <w:szCs w:val="22"/>
          <w:shd w:val="clear" w:color="auto" w:fill="FFFFFF"/>
        </w:rPr>
        <w:t xml:space="preserve">, means </w:t>
      </w:r>
      <w:r w:rsidRPr="005644CB">
        <w:rPr>
          <w:rFonts w:asciiTheme="majorHAnsi" w:hAnsiTheme="majorHAnsi" w:cstheme="majorHAnsi"/>
          <w:color w:val="333333"/>
          <w:sz w:val="22"/>
          <w:szCs w:val="22"/>
          <w:shd w:val="clear" w:color="auto" w:fill="FFFFFF"/>
        </w:rPr>
        <w:t xml:space="preserve">to </w:t>
      </w:r>
      <w:r w:rsidRPr="00E957A7">
        <w:rPr>
          <w:rFonts w:asciiTheme="majorHAnsi" w:hAnsiTheme="majorHAnsi" w:cstheme="majorHAnsi"/>
          <w:color w:val="333333"/>
          <w:sz w:val="22"/>
          <w:szCs w:val="22"/>
          <w:shd w:val="clear" w:color="auto" w:fill="FFFFFF"/>
        </w:rPr>
        <w:t>"cast a spell on</w:t>
      </w:r>
      <w:r w:rsidRPr="005644CB">
        <w:rPr>
          <w:rFonts w:asciiTheme="majorHAnsi" w:hAnsiTheme="majorHAnsi" w:cstheme="majorHAnsi"/>
          <w:color w:val="333333"/>
          <w:sz w:val="22"/>
          <w:szCs w:val="22"/>
          <w:shd w:val="clear" w:color="auto" w:fill="FFFFFF"/>
        </w:rPr>
        <w:t>,</w:t>
      </w:r>
      <w:r w:rsidRPr="00E957A7">
        <w:rPr>
          <w:rFonts w:asciiTheme="majorHAnsi" w:hAnsiTheme="majorHAnsi" w:cstheme="majorHAnsi"/>
          <w:color w:val="333333"/>
          <w:sz w:val="22"/>
          <w:szCs w:val="22"/>
          <w:shd w:val="clear" w:color="auto" w:fill="FFFFFF"/>
        </w:rPr>
        <w:t>"</w:t>
      </w:r>
      <w:r w:rsidRPr="005644CB">
        <w:rPr>
          <w:rStyle w:val="FootnoteReference"/>
          <w:rFonts w:asciiTheme="majorHAnsi" w:hAnsiTheme="majorHAnsi" w:cstheme="majorHAnsi"/>
          <w:color w:val="333333"/>
          <w:sz w:val="22"/>
          <w:szCs w:val="22"/>
          <w:shd w:val="clear" w:color="auto" w:fill="FFFFFF"/>
        </w:rPr>
        <w:footnoteReference w:id="3"/>
      </w:r>
      <w:r w:rsidRPr="005644CB">
        <w:rPr>
          <w:rFonts w:asciiTheme="majorHAnsi" w:hAnsiTheme="majorHAnsi" w:cstheme="majorHAnsi"/>
          <w:sz w:val="22"/>
          <w:szCs w:val="22"/>
        </w:rPr>
        <w:t xml:space="preserve"> used often to mean captivated, filled with wonder and delight. Finally, enchant comes from the base </w:t>
      </w:r>
      <w:proofErr w:type="spellStart"/>
      <w:r w:rsidRPr="005644CB">
        <w:rPr>
          <w:rFonts w:asciiTheme="majorHAnsi" w:hAnsiTheme="majorHAnsi" w:cstheme="majorHAnsi"/>
          <w:sz w:val="22"/>
          <w:szCs w:val="22"/>
        </w:rPr>
        <w:t>cantar</w:t>
      </w:r>
      <w:proofErr w:type="spellEnd"/>
      <w:r w:rsidRPr="005644CB">
        <w:rPr>
          <w:rFonts w:asciiTheme="majorHAnsi" w:hAnsiTheme="majorHAnsi" w:cstheme="majorHAnsi"/>
          <w:sz w:val="22"/>
          <w:szCs w:val="22"/>
        </w:rPr>
        <w:t xml:space="preserve">, to sing. </w:t>
      </w:r>
      <w:proofErr w:type="spellStart"/>
      <w:r w:rsidRPr="005644CB">
        <w:rPr>
          <w:rFonts w:asciiTheme="majorHAnsi" w:hAnsiTheme="majorHAnsi" w:cstheme="majorHAnsi"/>
          <w:color w:val="538135" w:themeColor="accent6" w:themeShade="BF"/>
          <w:sz w:val="22"/>
          <w:szCs w:val="22"/>
        </w:rPr>
        <w:t>encantar</w:t>
      </w:r>
      <w:proofErr w:type="spellEnd"/>
      <w:r w:rsidRPr="005644CB">
        <w:rPr>
          <w:rFonts w:asciiTheme="majorHAnsi" w:hAnsiTheme="majorHAnsi" w:cstheme="majorHAnsi"/>
          <w:color w:val="538135" w:themeColor="accent6" w:themeShade="BF"/>
          <w:sz w:val="22"/>
          <w:szCs w:val="22"/>
        </w:rPr>
        <w:t xml:space="preserve"> – </w:t>
      </w:r>
      <w:proofErr w:type="spellStart"/>
      <w:r w:rsidRPr="005644CB">
        <w:rPr>
          <w:rFonts w:asciiTheme="majorHAnsi" w:hAnsiTheme="majorHAnsi" w:cstheme="majorHAnsi"/>
          <w:color w:val="538135" w:themeColor="accent6" w:themeShade="BF"/>
          <w:sz w:val="22"/>
          <w:szCs w:val="22"/>
        </w:rPr>
        <w:t>cantar</w:t>
      </w:r>
      <w:proofErr w:type="spellEnd"/>
      <w:r w:rsidRPr="005644CB">
        <w:rPr>
          <w:rFonts w:asciiTheme="majorHAnsi" w:hAnsiTheme="majorHAnsi" w:cstheme="majorHAnsi"/>
          <w:color w:val="538135" w:themeColor="accent6" w:themeShade="BF"/>
          <w:sz w:val="22"/>
          <w:szCs w:val="22"/>
        </w:rPr>
        <w:t xml:space="preserve">, </w:t>
      </w:r>
      <w:r w:rsidRPr="005644CB">
        <w:rPr>
          <w:rFonts w:asciiTheme="majorHAnsi" w:hAnsiTheme="majorHAnsi" w:cstheme="majorHAnsi"/>
          <w:b/>
          <w:bCs/>
          <w:color w:val="538135" w:themeColor="accent6" w:themeShade="BF"/>
          <w:sz w:val="22"/>
          <w:szCs w:val="22"/>
        </w:rPr>
        <w:t>call and response</w:t>
      </w:r>
      <w:r w:rsidRPr="005644CB">
        <w:rPr>
          <w:rFonts w:asciiTheme="majorHAnsi" w:hAnsiTheme="majorHAnsi" w:cstheme="majorHAnsi"/>
          <w:sz w:val="22"/>
          <w:szCs w:val="22"/>
        </w:rPr>
        <w:t xml:space="preserve">. Alison </w:t>
      </w:r>
      <w:proofErr w:type="spellStart"/>
      <w:r w:rsidRPr="005644CB">
        <w:rPr>
          <w:rFonts w:asciiTheme="majorHAnsi" w:hAnsiTheme="majorHAnsi" w:cstheme="majorHAnsi"/>
          <w:sz w:val="22"/>
          <w:szCs w:val="22"/>
        </w:rPr>
        <w:t>Coudert</w:t>
      </w:r>
      <w:proofErr w:type="spellEnd"/>
      <w:r w:rsidRPr="005644CB">
        <w:rPr>
          <w:rFonts w:asciiTheme="majorHAnsi" w:hAnsiTheme="majorHAnsi" w:cstheme="majorHAnsi"/>
          <w:sz w:val="22"/>
          <w:szCs w:val="22"/>
        </w:rPr>
        <w:t xml:space="preserve"> defines it as the “Magic and mystery in the natural world,”</w:t>
      </w:r>
      <w:r w:rsidRPr="005644CB">
        <w:rPr>
          <w:rStyle w:val="FootnoteReference"/>
          <w:rFonts w:asciiTheme="majorHAnsi" w:hAnsiTheme="majorHAnsi" w:cstheme="majorHAnsi"/>
          <w:sz w:val="22"/>
          <w:szCs w:val="22"/>
        </w:rPr>
        <w:footnoteReference w:id="4"/>
      </w:r>
      <w:r w:rsidRPr="005644CB">
        <w:rPr>
          <w:rFonts w:asciiTheme="majorHAnsi" w:hAnsiTheme="majorHAnsi" w:cstheme="majorHAnsi"/>
          <w:sz w:val="22"/>
          <w:szCs w:val="22"/>
        </w:rPr>
        <w:t xml:space="preserve"> </w:t>
      </w:r>
      <w:proofErr w:type="gramStart"/>
      <w:r w:rsidRPr="005644CB">
        <w:rPr>
          <w:rFonts w:asciiTheme="majorHAnsi" w:hAnsiTheme="majorHAnsi" w:cstheme="majorHAnsi"/>
          <w:sz w:val="22"/>
          <w:szCs w:val="22"/>
        </w:rPr>
        <w:t>and .</w:t>
      </w:r>
      <w:proofErr w:type="gramEnd"/>
      <w:r w:rsidRPr="005644CB">
        <w:rPr>
          <w:rFonts w:asciiTheme="majorHAnsi" w:hAnsiTheme="majorHAnsi" w:cstheme="majorHAnsi"/>
          <w:sz w:val="22"/>
          <w:szCs w:val="22"/>
        </w:rPr>
        <w:t xml:space="preserve"> Enchantment refers to a sense of wonder and mystery, and also to song, to a communicative call and response.</w:t>
      </w:r>
    </w:p>
    <w:p w14:paraId="66969159" w14:textId="77777777" w:rsidR="003D77AE" w:rsidRPr="005644CB" w:rsidRDefault="003D77AE" w:rsidP="003D77AE">
      <w:pPr>
        <w:rPr>
          <w:rFonts w:asciiTheme="majorHAnsi" w:hAnsiTheme="majorHAnsi" w:cstheme="majorHAnsi"/>
          <w:sz w:val="22"/>
          <w:szCs w:val="22"/>
        </w:rPr>
      </w:pPr>
    </w:p>
    <w:p w14:paraId="3952E976" w14:textId="77777777" w:rsidR="003D77AE" w:rsidRPr="005644CB" w:rsidRDefault="003D77AE" w:rsidP="003D77AE">
      <w:pPr>
        <w:rPr>
          <w:rFonts w:asciiTheme="majorHAnsi" w:hAnsiTheme="majorHAnsi" w:cstheme="majorHAnsi"/>
          <w:sz w:val="22"/>
          <w:szCs w:val="22"/>
        </w:rPr>
      </w:pPr>
      <w:r w:rsidRPr="005644CB">
        <w:rPr>
          <w:rFonts w:asciiTheme="majorHAnsi" w:hAnsiTheme="majorHAnsi" w:cstheme="majorHAnsi"/>
          <w:b/>
          <w:bCs/>
          <w:sz w:val="22"/>
          <w:szCs w:val="22"/>
        </w:rPr>
        <w:t>Sky Journal</w:t>
      </w:r>
      <w:r>
        <w:rPr>
          <w:rFonts w:asciiTheme="majorHAnsi" w:hAnsiTheme="majorHAnsi" w:cstheme="majorHAnsi"/>
          <w:b/>
          <w:bCs/>
          <w:sz w:val="22"/>
          <w:szCs w:val="22"/>
        </w:rPr>
        <w:t xml:space="preserve"> Themes</w:t>
      </w:r>
    </w:p>
    <w:p w14:paraId="3CD31D73" w14:textId="77777777" w:rsidR="003D77AE" w:rsidRDefault="003D77AE" w:rsidP="003D77AE">
      <w:pPr>
        <w:ind w:firstLine="360"/>
        <w:rPr>
          <w:rFonts w:asciiTheme="majorHAnsi" w:hAnsiTheme="majorHAnsi" w:cstheme="majorHAnsi"/>
          <w:sz w:val="22"/>
          <w:szCs w:val="22"/>
        </w:rPr>
      </w:pPr>
      <w:r w:rsidRPr="005644CB">
        <w:rPr>
          <w:rFonts w:asciiTheme="majorHAnsi" w:hAnsiTheme="majorHAnsi" w:cstheme="majorHAnsi"/>
          <w:color w:val="FF0000"/>
          <w:sz w:val="22"/>
          <w:szCs w:val="22"/>
        </w:rPr>
        <w:t>The sky journal</w:t>
      </w:r>
      <w:r>
        <w:rPr>
          <w:rFonts w:asciiTheme="majorHAnsi" w:hAnsiTheme="majorHAnsi" w:cstheme="majorHAnsi"/>
          <w:color w:val="FF0000"/>
          <w:sz w:val="22"/>
          <w:szCs w:val="22"/>
        </w:rPr>
        <w:t xml:space="preserve"> was a </w:t>
      </w:r>
      <w:proofErr w:type="gramStart"/>
      <w:r>
        <w:rPr>
          <w:rFonts w:asciiTheme="majorHAnsi" w:hAnsiTheme="majorHAnsi" w:cstheme="majorHAnsi"/>
          <w:color w:val="FF0000"/>
          <w:sz w:val="22"/>
          <w:szCs w:val="22"/>
        </w:rPr>
        <w:t>28 day</w:t>
      </w:r>
      <w:proofErr w:type="gramEnd"/>
      <w:r>
        <w:rPr>
          <w:rFonts w:asciiTheme="majorHAnsi" w:hAnsiTheme="majorHAnsi" w:cstheme="majorHAnsi"/>
          <w:color w:val="FF0000"/>
          <w:sz w:val="22"/>
          <w:szCs w:val="22"/>
        </w:rPr>
        <w:t xml:space="preserve"> collection of observations of the moon, from Moon phase ___ on October 18, 2022 to Moon phase ___ on date November 14. </w:t>
      </w:r>
      <w:r w:rsidRPr="00B1580C">
        <w:rPr>
          <w:rFonts w:asciiTheme="majorHAnsi" w:hAnsiTheme="majorHAnsi" w:cstheme="majorHAnsi"/>
          <w:sz w:val="22"/>
          <w:szCs w:val="22"/>
        </w:rPr>
        <w:t xml:space="preserve">The journal contained both descriptions of the physical changes to the moon over the course of the moon’s cycle, </w:t>
      </w:r>
      <w:r>
        <w:rPr>
          <w:rFonts w:asciiTheme="majorHAnsi" w:hAnsiTheme="majorHAnsi" w:cstheme="majorHAnsi"/>
          <w:sz w:val="22"/>
          <w:szCs w:val="22"/>
        </w:rPr>
        <w:t xml:space="preserve">and </w:t>
      </w:r>
      <w:r w:rsidRPr="00B1580C">
        <w:rPr>
          <w:rFonts w:asciiTheme="majorHAnsi" w:hAnsiTheme="majorHAnsi" w:cstheme="majorHAnsi"/>
          <w:sz w:val="22"/>
          <w:szCs w:val="22"/>
        </w:rPr>
        <w:t xml:space="preserve">also </w:t>
      </w:r>
      <w:r>
        <w:rPr>
          <w:rFonts w:asciiTheme="majorHAnsi" w:hAnsiTheme="majorHAnsi" w:cstheme="majorHAnsi"/>
          <w:sz w:val="22"/>
          <w:szCs w:val="22"/>
        </w:rPr>
        <w:t xml:space="preserve">phenomenological </w:t>
      </w:r>
      <w:r w:rsidRPr="00B1580C">
        <w:rPr>
          <w:rFonts w:asciiTheme="majorHAnsi" w:hAnsiTheme="majorHAnsi" w:cstheme="majorHAnsi"/>
          <w:sz w:val="22"/>
          <w:szCs w:val="22"/>
        </w:rPr>
        <w:t xml:space="preserve">descriptions of my experience observing the moon; it tracked external and internal observations. The </w:t>
      </w:r>
      <w:r>
        <w:rPr>
          <w:rFonts w:asciiTheme="majorHAnsi" w:hAnsiTheme="majorHAnsi" w:cstheme="majorHAnsi"/>
          <w:sz w:val="22"/>
          <w:szCs w:val="22"/>
        </w:rPr>
        <w:t xml:space="preserve">exact </w:t>
      </w:r>
      <w:r w:rsidRPr="00B1580C">
        <w:rPr>
          <w:rFonts w:asciiTheme="majorHAnsi" w:hAnsiTheme="majorHAnsi" w:cstheme="majorHAnsi"/>
          <w:sz w:val="22"/>
          <w:szCs w:val="22"/>
        </w:rPr>
        <w:t xml:space="preserve">time of observation changed each day, following the moon’s </w:t>
      </w:r>
      <w:r>
        <w:rPr>
          <w:rFonts w:asciiTheme="majorHAnsi" w:hAnsiTheme="majorHAnsi" w:cstheme="majorHAnsi"/>
          <w:sz w:val="22"/>
          <w:szCs w:val="22"/>
        </w:rPr>
        <w:t xml:space="preserve">moment of </w:t>
      </w:r>
      <w:r w:rsidRPr="00B1580C">
        <w:rPr>
          <w:rFonts w:asciiTheme="majorHAnsi" w:hAnsiTheme="majorHAnsi" w:cstheme="majorHAnsi"/>
          <w:sz w:val="22"/>
          <w:szCs w:val="22"/>
        </w:rPr>
        <w:t xml:space="preserve">‘rise’ </w:t>
      </w:r>
      <w:r>
        <w:rPr>
          <w:rFonts w:asciiTheme="majorHAnsi" w:hAnsiTheme="majorHAnsi" w:cstheme="majorHAnsi"/>
          <w:sz w:val="22"/>
          <w:szCs w:val="22"/>
        </w:rPr>
        <w:t>above the horizon.</w:t>
      </w:r>
      <w:r w:rsidRPr="00B1580C">
        <w:rPr>
          <w:rFonts w:asciiTheme="majorHAnsi" w:hAnsiTheme="majorHAnsi" w:cstheme="majorHAnsi"/>
          <w:sz w:val="22"/>
          <w:szCs w:val="22"/>
        </w:rPr>
        <w:t xml:space="preserve"> </w:t>
      </w:r>
      <w:r>
        <w:rPr>
          <w:rFonts w:asciiTheme="majorHAnsi" w:hAnsiTheme="majorHAnsi" w:cstheme="majorHAnsi"/>
          <w:sz w:val="22"/>
          <w:szCs w:val="22"/>
        </w:rPr>
        <w:t xml:space="preserve">Over the course of the </w:t>
      </w:r>
      <w:proofErr w:type="gramStart"/>
      <w:r>
        <w:rPr>
          <w:rFonts w:asciiTheme="majorHAnsi" w:hAnsiTheme="majorHAnsi" w:cstheme="majorHAnsi"/>
          <w:sz w:val="22"/>
          <w:szCs w:val="22"/>
        </w:rPr>
        <w:t>28 day</w:t>
      </w:r>
      <w:proofErr w:type="gramEnd"/>
      <w:r>
        <w:rPr>
          <w:rFonts w:asciiTheme="majorHAnsi" w:hAnsiTheme="majorHAnsi" w:cstheme="majorHAnsi"/>
          <w:sz w:val="22"/>
          <w:szCs w:val="22"/>
        </w:rPr>
        <w:t xml:space="preserve"> moon cycle, five main themes emerged: (1) disenchantment and responsibility, (2) orientation in space and time, (3) relationship to people, (4) relationship to self, and (5) intimacy and mutuality. These themes are in order, chronologically, of how they appeared in the journal. Themes layered; the first few pages of the journal focused more on a unenchanted sense of the responsibility to complete the observation, and by the end of the moon’s cycle, the journal focused on themes of relationality and communication with the moon. </w:t>
      </w:r>
    </w:p>
    <w:p w14:paraId="0A1D867E" w14:textId="77777777" w:rsidR="003D77AE" w:rsidRPr="00112A8B" w:rsidRDefault="003D77AE" w:rsidP="003D77AE">
      <w:pPr>
        <w:rPr>
          <w:rFonts w:asciiTheme="majorHAnsi" w:hAnsiTheme="majorHAnsi" w:cstheme="majorHAnsi"/>
          <w:sz w:val="22"/>
          <w:szCs w:val="22"/>
        </w:rPr>
      </w:pPr>
    </w:p>
    <w:p w14:paraId="29BD4EB7" w14:textId="77777777" w:rsidR="003D77AE" w:rsidRPr="00B1580C" w:rsidRDefault="003D77AE" w:rsidP="003D77AE">
      <w:pPr>
        <w:rPr>
          <w:rFonts w:asciiTheme="majorHAnsi" w:hAnsiTheme="majorHAnsi" w:cstheme="majorHAnsi"/>
          <w:i/>
          <w:iCs/>
          <w:sz w:val="22"/>
          <w:szCs w:val="22"/>
        </w:rPr>
      </w:pPr>
      <w:r w:rsidRPr="00B1580C">
        <w:rPr>
          <w:rFonts w:asciiTheme="majorHAnsi" w:hAnsiTheme="majorHAnsi" w:cstheme="majorHAnsi"/>
          <w:i/>
          <w:iCs/>
          <w:sz w:val="22"/>
          <w:szCs w:val="22"/>
        </w:rPr>
        <w:t>Responsibilit</w:t>
      </w:r>
      <w:r>
        <w:rPr>
          <w:rFonts w:asciiTheme="majorHAnsi" w:hAnsiTheme="majorHAnsi" w:cstheme="majorHAnsi"/>
          <w:i/>
          <w:iCs/>
          <w:sz w:val="22"/>
          <w:szCs w:val="22"/>
        </w:rPr>
        <w:t>y and</w:t>
      </w:r>
      <w:r w:rsidRPr="00B1580C">
        <w:rPr>
          <w:rFonts w:asciiTheme="majorHAnsi" w:hAnsiTheme="majorHAnsi" w:cstheme="majorHAnsi"/>
          <w:i/>
          <w:iCs/>
          <w:sz w:val="22"/>
          <w:szCs w:val="22"/>
        </w:rPr>
        <w:t xml:space="preserve"> disenchantment</w:t>
      </w:r>
    </w:p>
    <w:p w14:paraId="5E818C22" w14:textId="77777777" w:rsidR="003D77AE" w:rsidRDefault="003D77AE" w:rsidP="003D77AE">
      <w:pPr>
        <w:ind w:firstLine="270"/>
        <w:rPr>
          <w:rFonts w:asciiTheme="majorHAnsi" w:hAnsiTheme="majorHAnsi" w:cstheme="majorHAnsi"/>
          <w:sz w:val="22"/>
          <w:szCs w:val="22"/>
        </w:rPr>
      </w:pPr>
      <w:r w:rsidRPr="00B1580C">
        <w:rPr>
          <w:rFonts w:asciiTheme="majorHAnsi" w:hAnsiTheme="majorHAnsi" w:cstheme="majorHAnsi"/>
          <w:sz w:val="22"/>
          <w:szCs w:val="22"/>
        </w:rPr>
        <w:t xml:space="preserve">During the first days of observations, enchantment was not a salient </w:t>
      </w:r>
      <w:r>
        <w:rPr>
          <w:rFonts w:asciiTheme="majorHAnsi" w:hAnsiTheme="majorHAnsi" w:cstheme="majorHAnsi"/>
          <w:sz w:val="22"/>
          <w:szCs w:val="22"/>
        </w:rPr>
        <w:t xml:space="preserve">theme </w:t>
      </w:r>
      <w:r w:rsidRPr="00B1580C">
        <w:rPr>
          <w:rFonts w:asciiTheme="majorHAnsi" w:hAnsiTheme="majorHAnsi" w:cstheme="majorHAnsi"/>
          <w:sz w:val="22"/>
          <w:szCs w:val="22"/>
        </w:rPr>
        <w:t xml:space="preserve">in the journal. Instead, responsibility, discipline, and </w:t>
      </w:r>
      <w:r>
        <w:rPr>
          <w:rFonts w:asciiTheme="majorHAnsi" w:hAnsiTheme="majorHAnsi" w:cstheme="majorHAnsi"/>
          <w:sz w:val="22"/>
          <w:szCs w:val="22"/>
        </w:rPr>
        <w:t xml:space="preserve">an unromantic sense of </w:t>
      </w:r>
      <w:r w:rsidRPr="00B1580C">
        <w:rPr>
          <w:rFonts w:asciiTheme="majorHAnsi" w:hAnsiTheme="majorHAnsi" w:cstheme="majorHAnsi"/>
          <w:sz w:val="22"/>
          <w:szCs w:val="22"/>
        </w:rPr>
        <w:t xml:space="preserve">upkeep were </w:t>
      </w:r>
      <w:r>
        <w:rPr>
          <w:rFonts w:asciiTheme="majorHAnsi" w:hAnsiTheme="majorHAnsi" w:cstheme="majorHAnsi"/>
          <w:sz w:val="22"/>
          <w:szCs w:val="22"/>
        </w:rPr>
        <w:t>central</w:t>
      </w:r>
      <w:r w:rsidRPr="00B1580C">
        <w:rPr>
          <w:rFonts w:asciiTheme="majorHAnsi" w:hAnsiTheme="majorHAnsi" w:cstheme="majorHAnsi"/>
          <w:sz w:val="22"/>
          <w:szCs w:val="22"/>
        </w:rPr>
        <w:t>.</w:t>
      </w:r>
      <w:r>
        <w:rPr>
          <w:rFonts w:asciiTheme="majorHAnsi" w:hAnsiTheme="majorHAnsi" w:cstheme="majorHAnsi"/>
          <w:sz w:val="22"/>
          <w:szCs w:val="22"/>
        </w:rPr>
        <w:t xml:space="preserve"> For the sake of centering the moon’s time and synching my rhythms with the moon’s, I decided to complete the observations an hour </w:t>
      </w:r>
      <w:r>
        <w:rPr>
          <w:rFonts w:asciiTheme="majorHAnsi" w:hAnsiTheme="majorHAnsi" w:cstheme="majorHAnsi"/>
          <w:sz w:val="22"/>
          <w:szCs w:val="22"/>
        </w:rPr>
        <w:lastRenderedPageBreak/>
        <w:t xml:space="preserve">and a half after the moon became visible in the sky. So, the first few observations were </w:t>
      </w:r>
      <w:r w:rsidRPr="007D7919">
        <w:rPr>
          <w:rFonts w:asciiTheme="majorHAnsi" w:hAnsiTheme="majorHAnsi" w:cstheme="majorHAnsi"/>
          <w:color w:val="FF0000"/>
          <w:sz w:val="22"/>
          <w:szCs w:val="22"/>
        </w:rPr>
        <w:t xml:space="preserve">1am, 2am, and </w:t>
      </w:r>
      <w:r>
        <w:rPr>
          <w:rFonts w:asciiTheme="majorHAnsi" w:hAnsiTheme="majorHAnsi" w:cstheme="majorHAnsi"/>
          <w:color w:val="FF0000"/>
          <w:sz w:val="22"/>
          <w:szCs w:val="22"/>
        </w:rPr>
        <w:t>3am (</w:t>
      </w:r>
      <w:proofErr w:type="spellStart"/>
      <w:r>
        <w:rPr>
          <w:rFonts w:asciiTheme="majorHAnsi" w:hAnsiTheme="majorHAnsi" w:cstheme="majorHAnsi"/>
          <w:color w:val="FF0000"/>
          <w:sz w:val="22"/>
          <w:szCs w:val="22"/>
        </w:rPr>
        <w:t>excdet</w:t>
      </w:r>
      <w:proofErr w:type="spellEnd"/>
      <w:r>
        <w:rPr>
          <w:rFonts w:asciiTheme="majorHAnsi" w:hAnsiTheme="majorHAnsi" w:cstheme="majorHAnsi"/>
          <w:color w:val="FF0000"/>
          <w:sz w:val="22"/>
          <w:szCs w:val="22"/>
        </w:rPr>
        <w:t xml:space="preserve"> times). </w:t>
      </w:r>
      <w:r>
        <w:rPr>
          <w:rFonts w:asciiTheme="majorHAnsi" w:hAnsiTheme="majorHAnsi" w:cstheme="majorHAnsi"/>
          <w:sz w:val="22"/>
          <w:szCs w:val="22"/>
        </w:rPr>
        <w:t>On Day 1, I noted that the effort of waking up that by the end of the month I will be “</w:t>
      </w:r>
      <w:proofErr w:type="spellStart"/>
      <w:r>
        <w:rPr>
          <w:rFonts w:asciiTheme="majorHAnsi" w:hAnsiTheme="majorHAnsi" w:cstheme="majorHAnsi"/>
          <w:sz w:val="22"/>
          <w:szCs w:val="22"/>
        </w:rPr>
        <w:t>malúca</w:t>
      </w:r>
      <w:proofErr w:type="spellEnd"/>
      <w:r>
        <w:rPr>
          <w:rFonts w:asciiTheme="majorHAnsi" w:hAnsiTheme="majorHAnsi" w:cstheme="majorHAnsi"/>
          <w:sz w:val="22"/>
          <w:szCs w:val="22"/>
        </w:rPr>
        <w:t xml:space="preserve">,” a Portuguese word deriving from </w:t>
      </w:r>
      <w:proofErr w:type="spellStart"/>
      <w:r>
        <w:rPr>
          <w:rFonts w:asciiTheme="majorHAnsi" w:hAnsiTheme="majorHAnsi" w:cstheme="majorHAnsi"/>
          <w:sz w:val="22"/>
          <w:szCs w:val="22"/>
        </w:rPr>
        <w:t>lúa</w:t>
      </w:r>
      <w:proofErr w:type="spellEnd"/>
      <w:r>
        <w:rPr>
          <w:rFonts w:asciiTheme="majorHAnsi" w:hAnsiTheme="majorHAnsi" w:cstheme="majorHAnsi"/>
          <w:sz w:val="22"/>
          <w:szCs w:val="22"/>
        </w:rPr>
        <w:t xml:space="preserve"> (moon), meaning crazy. </w:t>
      </w:r>
    </w:p>
    <w:p w14:paraId="2AE9E366" w14:textId="77777777" w:rsidR="003D77AE" w:rsidRDefault="003D77AE" w:rsidP="003D77AE">
      <w:pPr>
        <w:ind w:firstLine="270"/>
        <w:rPr>
          <w:rFonts w:asciiTheme="majorHAnsi" w:hAnsiTheme="majorHAnsi" w:cstheme="majorHAnsi"/>
          <w:sz w:val="22"/>
          <w:szCs w:val="22"/>
        </w:rPr>
      </w:pPr>
    </w:p>
    <w:p w14:paraId="69C57ADF" w14:textId="77777777" w:rsidR="003D77AE" w:rsidRPr="00B1580C" w:rsidRDefault="003D77AE" w:rsidP="003D77AE">
      <w:pPr>
        <w:ind w:firstLine="270"/>
        <w:rPr>
          <w:rFonts w:asciiTheme="majorHAnsi" w:hAnsiTheme="majorHAnsi" w:cstheme="majorHAnsi"/>
          <w:sz w:val="22"/>
          <w:szCs w:val="22"/>
        </w:rPr>
      </w:pPr>
      <w:r>
        <w:rPr>
          <w:rFonts w:asciiTheme="majorHAnsi" w:hAnsiTheme="majorHAnsi" w:cstheme="majorHAnsi"/>
          <w:sz w:val="22"/>
          <w:szCs w:val="22"/>
        </w:rPr>
        <w:t xml:space="preserve">Waking up in the middle of the night, the journal was a “commitment,” as I wrote on Day 3. Since I knew little about the cycles of the moon, the first days of observations were consumed with researching the moon’s schedule online, to determine when I could do the observation. I did not have a relationship with the moon, and these scientific measurements mediated the observations. By the time I made it outside, I wrote several times the photo felt disappointingly unenchanted, and I hardly knew what to write in description. As the month continued, this theme faded, and by day 23 I noted the observations “had stopped being so mechanical.” However, the effort did not completely fade. On </w:t>
      </w:r>
      <w:r w:rsidRPr="00B1580C">
        <w:rPr>
          <w:rFonts w:asciiTheme="majorHAnsi" w:hAnsiTheme="majorHAnsi" w:cstheme="majorHAnsi"/>
          <w:sz w:val="22"/>
          <w:szCs w:val="22"/>
        </w:rPr>
        <w:t>Day 26</w:t>
      </w:r>
      <w:r>
        <w:rPr>
          <w:rFonts w:asciiTheme="majorHAnsi" w:hAnsiTheme="majorHAnsi" w:cstheme="majorHAnsi"/>
          <w:sz w:val="22"/>
          <w:szCs w:val="22"/>
        </w:rPr>
        <w:t>, I noted:</w:t>
      </w:r>
      <w:r w:rsidRPr="00B1580C">
        <w:rPr>
          <w:rFonts w:asciiTheme="majorHAnsi" w:hAnsiTheme="majorHAnsi" w:cstheme="majorHAnsi"/>
          <w:sz w:val="22"/>
          <w:szCs w:val="22"/>
        </w:rPr>
        <w:t xml:space="preserve"> “</w:t>
      </w:r>
      <w:r>
        <w:rPr>
          <w:rFonts w:asciiTheme="majorHAnsi" w:hAnsiTheme="majorHAnsi" w:cstheme="majorHAnsi"/>
          <w:sz w:val="22"/>
          <w:szCs w:val="22"/>
        </w:rPr>
        <w:t>c</w:t>
      </w:r>
      <w:r w:rsidRPr="00B1580C">
        <w:rPr>
          <w:rFonts w:asciiTheme="majorHAnsi" w:hAnsiTheme="majorHAnsi" w:cstheme="majorHAnsi"/>
          <w:sz w:val="22"/>
          <w:szCs w:val="22"/>
        </w:rPr>
        <w:t>ommitment &gt; charm</w:t>
      </w:r>
      <w:r>
        <w:rPr>
          <w:rFonts w:asciiTheme="majorHAnsi" w:hAnsiTheme="majorHAnsi" w:cstheme="majorHAnsi"/>
          <w:sz w:val="22"/>
          <w:szCs w:val="22"/>
        </w:rPr>
        <w:t>.</w:t>
      </w:r>
      <w:r w:rsidRPr="00B1580C">
        <w:rPr>
          <w:rFonts w:asciiTheme="majorHAnsi" w:hAnsiTheme="majorHAnsi" w:cstheme="majorHAnsi"/>
          <w:sz w:val="22"/>
          <w:szCs w:val="22"/>
        </w:rPr>
        <w:t>”</w:t>
      </w:r>
      <w:r>
        <w:rPr>
          <w:rFonts w:asciiTheme="majorHAnsi" w:hAnsiTheme="majorHAnsi" w:cstheme="majorHAnsi"/>
          <w:sz w:val="22"/>
          <w:szCs w:val="22"/>
        </w:rPr>
        <w:t xml:space="preserve"> I reflected on how m</w:t>
      </w:r>
      <w:r w:rsidRPr="00B1580C">
        <w:rPr>
          <w:rFonts w:asciiTheme="majorHAnsi" w:hAnsiTheme="majorHAnsi" w:cstheme="majorHAnsi"/>
          <w:sz w:val="22"/>
          <w:szCs w:val="22"/>
        </w:rPr>
        <w:t xml:space="preserve">aintaining </w:t>
      </w:r>
      <w:r>
        <w:rPr>
          <w:rFonts w:asciiTheme="majorHAnsi" w:hAnsiTheme="majorHAnsi" w:cstheme="majorHAnsi"/>
          <w:sz w:val="22"/>
          <w:szCs w:val="22"/>
        </w:rPr>
        <w:t>the</w:t>
      </w:r>
      <w:r w:rsidRPr="00B1580C">
        <w:rPr>
          <w:rFonts w:asciiTheme="majorHAnsi" w:hAnsiTheme="majorHAnsi" w:cstheme="majorHAnsi"/>
          <w:sz w:val="22"/>
          <w:szCs w:val="22"/>
        </w:rPr>
        <w:t xml:space="preserve"> relationship </w:t>
      </w:r>
      <w:r>
        <w:rPr>
          <w:rFonts w:asciiTheme="majorHAnsi" w:hAnsiTheme="majorHAnsi" w:cstheme="majorHAnsi"/>
          <w:sz w:val="22"/>
          <w:szCs w:val="22"/>
        </w:rPr>
        <w:t>required</w:t>
      </w:r>
      <w:r w:rsidRPr="00B1580C">
        <w:rPr>
          <w:rFonts w:asciiTheme="majorHAnsi" w:hAnsiTheme="majorHAnsi" w:cstheme="majorHAnsi"/>
          <w:sz w:val="22"/>
          <w:szCs w:val="22"/>
        </w:rPr>
        <w:t xml:space="preserve"> work</w:t>
      </w:r>
      <w:r>
        <w:rPr>
          <w:rFonts w:asciiTheme="majorHAnsi" w:hAnsiTheme="majorHAnsi" w:cstheme="majorHAnsi"/>
          <w:sz w:val="22"/>
          <w:szCs w:val="22"/>
        </w:rPr>
        <w:t xml:space="preserve"> and upkeep, that k</w:t>
      </w:r>
      <w:r w:rsidRPr="00B1580C">
        <w:rPr>
          <w:rFonts w:asciiTheme="majorHAnsi" w:hAnsiTheme="majorHAnsi" w:cstheme="majorHAnsi"/>
          <w:sz w:val="22"/>
          <w:szCs w:val="22"/>
        </w:rPr>
        <w:t>eep awareness</w:t>
      </w:r>
      <w:r>
        <w:rPr>
          <w:rFonts w:asciiTheme="majorHAnsi" w:hAnsiTheme="majorHAnsi" w:cstheme="majorHAnsi"/>
          <w:sz w:val="22"/>
          <w:szCs w:val="22"/>
        </w:rPr>
        <w:t xml:space="preserve"> is an active effort. </w:t>
      </w:r>
    </w:p>
    <w:p w14:paraId="5807AD67" w14:textId="77777777" w:rsidR="003D77AE" w:rsidRPr="00A218C5" w:rsidRDefault="003D77AE" w:rsidP="003D77AE">
      <w:pPr>
        <w:ind w:firstLine="270"/>
        <w:rPr>
          <w:rFonts w:asciiTheme="majorHAnsi" w:hAnsiTheme="majorHAnsi" w:cstheme="majorHAnsi"/>
          <w:color w:val="FF0000"/>
          <w:sz w:val="22"/>
          <w:szCs w:val="22"/>
        </w:rPr>
      </w:pPr>
      <w:r>
        <w:rPr>
          <w:rFonts w:asciiTheme="majorHAnsi" w:hAnsiTheme="majorHAnsi" w:cstheme="majorHAnsi"/>
          <w:sz w:val="22"/>
          <w:szCs w:val="22"/>
        </w:rPr>
        <w:t xml:space="preserve">Early on, the journal </w:t>
      </w:r>
      <w:r>
        <w:rPr>
          <w:rFonts w:asciiTheme="majorHAnsi" w:hAnsiTheme="majorHAnsi" w:cstheme="majorHAnsi"/>
          <w:color w:val="FF0000"/>
          <w:sz w:val="22"/>
          <w:szCs w:val="22"/>
        </w:rPr>
        <w:t xml:space="preserve">This is consistent with a </w:t>
      </w:r>
      <w:proofErr w:type="spellStart"/>
      <w:r>
        <w:rPr>
          <w:rFonts w:asciiTheme="majorHAnsi" w:hAnsiTheme="majorHAnsi" w:cstheme="majorHAnsi"/>
          <w:color w:val="FF0000"/>
          <w:sz w:val="22"/>
          <w:szCs w:val="22"/>
        </w:rPr>
        <w:t>reducsitivst</w:t>
      </w:r>
      <w:proofErr w:type="spellEnd"/>
      <w:r>
        <w:rPr>
          <w:rFonts w:asciiTheme="majorHAnsi" w:hAnsiTheme="majorHAnsi" w:cstheme="majorHAnsi"/>
          <w:color w:val="FF0000"/>
          <w:sz w:val="22"/>
          <w:szCs w:val="22"/>
        </w:rPr>
        <w:t xml:space="preserve"> and scientific paradigm, where the inquiry is mediated through discrete sets of information: precise times, listed on a website. Maybe talk about weber?</w:t>
      </w:r>
    </w:p>
    <w:p w14:paraId="399433F1" w14:textId="77777777" w:rsidR="003D77AE" w:rsidRPr="00B1580C" w:rsidRDefault="003D77AE" w:rsidP="003D77AE">
      <w:pPr>
        <w:rPr>
          <w:rFonts w:asciiTheme="majorHAnsi" w:hAnsiTheme="majorHAnsi" w:cstheme="majorHAnsi"/>
          <w:sz w:val="22"/>
          <w:szCs w:val="22"/>
        </w:rPr>
      </w:pPr>
    </w:p>
    <w:p w14:paraId="05997122" w14:textId="77777777" w:rsidR="003D77AE" w:rsidRDefault="003D77AE" w:rsidP="003D77AE">
      <w:pPr>
        <w:rPr>
          <w:rFonts w:asciiTheme="majorHAnsi" w:hAnsiTheme="majorHAnsi" w:cstheme="majorHAnsi"/>
          <w:i/>
          <w:iCs/>
          <w:sz w:val="22"/>
          <w:szCs w:val="22"/>
        </w:rPr>
      </w:pPr>
      <w:r>
        <w:rPr>
          <w:rFonts w:asciiTheme="majorHAnsi" w:hAnsiTheme="majorHAnsi" w:cstheme="majorHAnsi"/>
          <w:i/>
          <w:iCs/>
          <w:sz w:val="22"/>
          <w:szCs w:val="22"/>
        </w:rPr>
        <w:t>O</w:t>
      </w:r>
      <w:r w:rsidRPr="00815F4B">
        <w:rPr>
          <w:rFonts w:asciiTheme="majorHAnsi" w:hAnsiTheme="majorHAnsi" w:cstheme="majorHAnsi"/>
          <w:i/>
          <w:iCs/>
          <w:sz w:val="22"/>
          <w:szCs w:val="22"/>
        </w:rPr>
        <w:t>rientation in space and time</w:t>
      </w:r>
    </w:p>
    <w:p w14:paraId="6A95CAE3"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The second main theme emerging was a sense that the observations facilitated a sense of orientation in space and time. I chose to “</w:t>
      </w:r>
      <w:r w:rsidRPr="00B1580C">
        <w:rPr>
          <w:rFonts w:asciiTheme="majorHAnsi" w:hAnsiTheme="majorHAnsi" w:cstheme="majorHAnsi"/>
          <w:sz w:val="22"/>
          <w:szCs w:val="22"/>
        </w:rPr>
        <w:t>observ</w:t>
      </w:r>
      <w:r>
        <w:rPr>
          <w:rFonts w:asciiTheme="majorHAnsi" w:hAnsiTheme="majorHAnsi" w:cstheme="majorHAnsi"/>
          <w:sz w:val="22"/>
          <w:szCs w:val="22"/>
        </w:rPr>
        <w:t xml:space="preserve">e </w:t>
      </w:r>
      <w:r w:rsidRPr="00B1580C">
        <w:rPr>
          <w:rFonts w:asciiTheme="majorHAnsi" w:hAnsiTheme="majorHAnsi" w:cstheme="majorHAnsi"/>
          <w:sz w:val="22"/>
          <w:szCs w:val="22"/>
        </w:rPr>
        <w:t>from home</w:t>
      </w:r>
      <w:r>
        <w:rPr>
          <w:rFonts w:asciiTheme="majorHAnsi" w:hAnsiTheme="majorHAnsi" w:cstheme="majorHAnsi"/>
          <w:sz w:val="22"/>
          <w:szCs w:val="22"/>
        </w:rPr>
        <w:t xml:space="preserve">” (Day 1), and “face the east” (Day 2). I could not find the moon the first evening I tried, Day 0, which left me with a strong sense of disorientation as I spun trying to see the moon. I searched the Night Sky app a couple of times when the clouds or rain obscured the view, to confirm the moon was there. By Day 19, two friends had simultaneously texted me photographs of the moon, and I remarked that the moon is “visible from so many places.” Day 23, I wrote that “I am home, and we [the moon and I] have settled into mutual orientation.” </w:t>
      </w:r>
    </w:p>
    <w:p w14:paraId="0F9566BF" w14:textId="77777777" w:rsidR="003D77AE" w:rsidRPr="004F7F19" w:rsidRDefault="003D77AE" w:rsidP="003D77AE">
      <w:pPr>
        <w:ind w:firstLine="360"/>
        <w:rPr>
          <w:rFonts w:asciiTheme="majorHAnsi" w:hAnsiTheme="majorHAnsi" w:cstheme="majorHAnsi"/>
          <w:color w:val="FF0000"/>
          <w:sz w:val="22"/>
          <w:szCs w:val="22"/>
        </w:rPr>
      </w:pPr>
      <w:r>
        <w:rPr>
          <w:rFonts w:asciiTheme="majorHAnsi" w:hAnsiTheme="majorHAnsi" w:cstheme="majorHAnsi"/>
          <w:sz w:val="22"/>
          <w:szCs w:val="22"/>
        </w:rPr>
        <w:t xml:space="preserve">On day 23, I also wrote that “now </w:t>
      </w:r>
      <w:r w:rsidRPr="00B1580C">
        <w:rPr>
          <w:rFonts w:asciiTheme="majorHAnsi" w:hAnsiTheme="majorHAnsi" w:cstheme="majorHAnsi"/>
          <w:sz w:val="22"/>
          <w:szCs w:val="22"/>
        </w:rPr>
        <w:t>I spin more slowly! I know where I am.</w:t>
      </w:r>
      <w:r>
        <w:rPr>
          <w:rFonts w:asciiTheme="majorHAnsi" w:hAnsiTheme="majorHAnsi" w:cstheme="majorHAnsi"/>
          <w:sz w:val="22"/>
          <w:szCs w:val="22"/>
        </w:rPr>
        <w:t xml:space="preserve">” </w:t>
      </w:r>
      <w:r>
        <w:rPr>
          <w:rFonts w:asciiTheme="majorHAnsi" w:hAnsiTheme="majorHAnsi" w:cstheme="majorHAnsi"/>
          <w:color w:val="C00000"/>
          <w:sz w:val="22"/>
          <w:szCs w:val="22"/>
        </w:rPr>
        <w:t xml:space="preserve">Go back to journal and add more to this one! </w:t>
      </w:r>
      <w:r>
        <w:rPr>
          <w:rFonts w:asciiTheme="majorHAnsi" w:hAnsiTheme="majorHAnsi" w:cstheme="majorHAnsi"/>
          <w:color w:val="000000" w:themeColor="text1"/>
          <w:sz w:val="22"/>
          <w:szCs w:val="22"/>
        </w:rPr>
        <w:t xml:space="preserve">Finally, on </w:t>
      </w:r>
      <w:r>
        <w:rPr>
          <w:rFonts w:asciiTheme="majorHAnsi" w:hAnsiTheme="majorHAnsi" w:cstheme="majorHAnsi"/>
          <w:sz w:val="22"/>
          <w:szCs w:val="22"/>
        </w:rPr>
        <w:t>d</w:t>
      </w:r>
      <w:r w:rsidRPr="00B1580C">
        <w:rPr>
          <w:rFonts w:asciiTheme="majorHAnsi" w:hAnsiTheme="majorHAnsi" w:cstheme="majorHAnsi"/>
          <w:sz w:val="22"/>
          <w:szCs w:val="22"/>
        </w:rPr>
        <w:t>ay 27</w:t>
      </w:r>
      <w:r>
        <w:rPr>
          <w:rFonts w:asciiTheme="majorHAnsi" w:hAnsiTheme="majorHAnsi" w:cstheme="majorHAnsi"/>
          <w:sz w:val="22"/>
          <w:szCs w:val="22"/>
        </w:rPr>
        <w:t xml:space="preserve"> of tracking the moon, I wrote from the corner of my block where I had observed almost every day that “t</w:t>
      </w:r>
      <w:r w:rsidRPr="00B1580C">
        <w:rPr>
          <w:rFonts w:asciiTheme="majorHAnsi" w:hAnsiTheme="majorHAnsi" w:cstheme="majorHAnsi"/>
          <w:sz w:val="22"/>
          <w:szCs w:val="22"/>
        </w:rPr>
        <w:t>his corner will forever be different</w:t>
      </w:r>
      <w:r>
        <w:rPr>
          <w:rFonts w:asciiTheme="majorHAnsi" w:hAnsiTheme="majorHAnsi" w:cstheme="majorHAnsi"/>
          <w:sz w:val="22"/>
          <w:szCs w:val="22"/>
        </w:rPr>
        <w:t xml:space="preserve">.” </w:t>
      </w:r>
      <w:r>
        <w:rPr>
          <w:rFonts w:asciiTheme="majorHAnsi" w:hAnsiTheme="majorHAnsi" w:cstheme="majorHAnsi"/>
          <w:color w:val="FF0000"/>
          <w:sz w:val="22"/>
          <w:szCs w:val="22"/>
        </w:rPr>
        <w:t>Maybe add one more line?</w:t>
      </w:r>
    </w:p>
    <w:p w14:paraId="71935FA9" w14:textId="77777777" w:rsidR="003D77AE" w:rsidRDefault="003D77AE" w:rsidP="003D77AE">
      <w:pPr>
        <w:ind w:firstLine="360"/>
        <w:rPr>
          <w:rFonts w:asciiTheme="majorHAnsi" w:hAnsiTheme="majorHAnsi" w:cstheme="majorHAnsi"/>
          <w:sz w:val="22"/>
          <w:szCs w:val="22"/>
        </w:rPr>
      </w:pPr>
      <w:r w:rsidRPr="00B1580C">
        <w:rPr>
          <w:rFonts w:asciiTheme="majorHAnsi" w:hAnsiTheme="majorHAnsi" w:cstheme="majorHAnsi"/>
          <w:sz w:val="22"/>
          <w:szCs w:val="22"/>
        </w:rPr>
        <w:t xml:space="preserve">There were also themes that emerged, to a lesser extent, about orientation in time. </w:t>
      </w:r>
      <w:r>
        <w:rPr>
          <w:rFonts w:asciiTheme="majorHAnsi" w:hAnsiTheme="majorHAnsi" w:cstheme="majorHAnsi"/>
          <w:sz w:val="22"/>
          <w:szCs w:val="22"/>
        </w:rPr>
        <w:t xml:space="preserve">The first day, I wrote that I had decided to “follow the moon’s time.” On Day 23, I discuss what I call “our time,” the alignment of my observations with the moon’s shifting cycle of “rising.” Day 24 I noted “a short flicker of light” that the moon gave off as clouds filled the sky and mostly obscured the view. The fast changingness of the moon stood out. </w:t>
      </w:r>
    </w:p>
    <w:p w14:paraId="3DC9D207" w14:textId="77777777" w:rsidR="003D77AE" w:rsidRPr="007C0408" w:rsidRDefault="003D77AE" w:rsidP="003D77AE">
      <w:pPr>
        <w:ind w:firstLine="360"/>
        <w:rPr>
          <w:rFonts w:asciiTheme="majorHAnsi" w:hAnsiTheme="majorHAnsi" w:cstheme="majorHAnsi"/>
          <w:color w:val="FF0000"/>
          <w:sz w:val="22"/>
          <w:szCs w:val="22"/>
        </w:rPr>
      </w:pPr>
      <w:r>
        <w:rPr>
          <w:rFonts w:asciiTheme="majorHAnsi" w:hAnsiTheme="majorHAnsi" w:cstheme="majorHAnsi"/>
          <w:sz w:val="22"/>
          <w:szCs w:val="22"/>
        </w:rPr>
        <w:t xml:space="preserve">Overall, a deepening sense of orientation especially in relation to physical space emerged as the days progressed. By the third quarter of the cycle, the journal reflected a much more substantial and affecting sense of place on the terrestrial plane, on my block, in relation to the moon’s place in the sky. </w:t>
      </w:r>
      <w:r>
        <w:rPr>
          <w:rFonts w:asciiTheme="majorHAnsi" w:hAnsiTheme="majorHAnsi" w:cstheme="majorHAnsi"/>
          <w:color w:val="FF0000"/>
          <w:sz w:val="22"/>
          <w:szCs w:val="22"/>
        </w:rPr>
        <w:t>I could quote the total wonder in the interdisciplinarity piece here.</w:t>
      </w:r>
    </w:p>
    <w:p w14:paraId="028B254C" w14:textId="77777777" w:rsidR="003D77AE" w:rsidRPr="00B1580C" w:rsidRDefault="003D77AE" w:rsidP="003D77AE">
      <w:pPr>
        <w:rPr>
          <w:rFonts w:asciiTheme="majorHAnsi" w:hAnsiTheme="majorHAnsi" w:cstheme="majorHAnsi"/>
          <w:i/>
          <w:iCs/>
          <w:sz w:val="22"/>
          <w:szCs w:val="22"/>
        </w:rPr>
      </w:pPr>
    </w:p>
    <w:p w14:paraId="2F22846A" w14:textId="77777777" w:rsidR="003D77AE" w:rsidRDefault="003D77AE" w:rsidP="003D77AE">
      <w:pPr>
        <w:rPr>
          <w:rFonts w:asciiTheme="majorHAnsi" w:hAnsiTheme="majorHAnsi" w:cstheme="majorHAnsi"/>
          <w:i/>
          <w:iCs/>
          <w:sz w:val="22"/>
          <w:szCs w:val="22"/>
        </w:rPr>
      </w:pPr>
      <w:r w:rsidRPr="00B1580C">
        <w:rPr>
          <w:rFonts w:asciiTheme="majorHAnsi" w:hAnsiTheme="majorHAnsi" w:cstheme="majorHAnsi"/>
          <w:i/>
          <w:iCs/>
          <w:sz w:val="22"/>
          <w:szCs w:val="22"/>
        </w:rPr>
        <w:t>Relationship to other people</w:t>
      </w:r>
    </w:p>
    <w:p w14:paraId="5A3EAC01"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The third theme was a growing sense of connection to other people in my life because of, and about, the practice of keeping the moon journal. This theme appeared on 11 of 28 entries. At first, I did not share with anyone about the moon journal. At 3 am on day 3, I surprisingly encountered my roommate as I was walking out of the </w:t>
      </w:r>
      <w:proofErr w:type="gramStart"/>
      <w:r>
        <w:rPr>
          <w:rFonts w:asciiTheme="majorHAnsi" w:hAnsiTheme="majorHAnsi" w:cstheme="majorHAnsi"/>
          <w:sz w:val="22"/>
          <w:szCs w:val="22"/>
        </w:rPr>
        <w:t>house, and</w:t>
      </w:r>
      <w:proofErr w:type="gramEnd"/>
      <w:r>
        <w:rPr>
          <w:rFonts w:asciiTheme="majorHAnsi" w:hAnsiTheme="majorHAnsi" w:cstheme="majorHAnsi"/>
          <w:sz w:val="22"/>
          <w:szCs w:val="22"/>
        </w:rPr>
        <w:t xml:space="preserve"> was embarrassed to explain that I was up to keep a moon journal. On day 5, “shared with Ari</w:t>
      </w:r>
      <w:r>
        <w:rPr>
          <w:rStyle w:val="FootnoteReference"/>
          <w:rFonts w:asciiTheme="majorHAnsi" w:hAnsiTheme="majorHAnsi" w:cstheme="majorHAnsi"/>
          <w:sz w:val="22"/>
          <w:szCs w:val="22"/>
        </w:rPr>
        <w:footnoteReference w:id="5"/>
      </w:r>
      <w:r>
        <w:rPr>
          <w:rFonts w:asciiTheme="majorHAnsi" w:hAnsiTheme="majorHAnsi" w:cstheme="majorHAnsi"/>
          <w:sz w:val="22"/>
          <w:szCs w:val="22"/>
        </w:rPr>
        <w:t xml:space="preserve">, who shared with her partner. Day 13, I had been traveling the weather had blocked. I was hanging out with friends, and when one friend had to leave to go home, she “texted to </w:t>
      </w:r>
      <w:r>
        <w:rPr>
          <w:rFonts w:asciiTheme="majorHAnsi" w:hAnsiTheme="majorHAnsi" w:cstheme="majorHAnsi"/>
          <w:sz w:val="22"/>
          <w:szCs w:val="22"/>
        </w:rPr>
        <w:lastRenderedPageBreak/>
        <w:t xml:space="preserve">notify me the moon was visible, and I ran outside.” It left me with a sense of appreciation for her attention to the moon. </w:t>
      </w:r>
    </w:p>
    <w:p w14:paraId="31597682"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Day 17 in Capoeira Angola class, a comrade walked into class and immediately asked “how is the moon.” A new student, someone I had not yet met, overhearing this, profusely shared his thoughts about the moon: </w:t>
      </w:r>
      <w:proofErr w:type="gramStart"/>
      <w:r>
        <w:rPr>
          <w:rFonts w:asciiTheme="majorHAnsi" w:hAnsiTheme="majorHAnsi" w:cstheme="majorHAnsi"/>
          <w:sz w:val="22"/>
          <w:szCs w:val="22"/>
        </w:rPr>
        <w:t>“ “</w:t>
      </w:r>
      <w:proofErr w:type="gramEnd"/>
      <w:r>
        <w:rPr>
          <w:rFonts w:asciiTheme="majorHAnsi" w:hAnsiTheme="majorHAnsi" w:cstheme="majorHAnsi"/>
          <w:sz w:val="22"/>
          <w:szCs w:val="22"/>
        </w:rPr>
        <w:t xml:space="preserve">. I attend. By day 19, two people independently shared photos they had taken of the moon, saying they thought of me. On the morning of day 22, a friend Van sent a long voice memo sharing about her mom’s relationship with the Lunar New Year at home in Vietnam, and how “cozy” she feels in relation to the moon. She shared “you are my moon friend.” On Day 26, I ran into my roommate’s boyfriend, with whom I don’t always have much in common, and he inquired about the moon. In most cases, it brought as striking sense of intimacy. On one case, I noted a sense of </w:t>
      </w:r>
    </w:p>
    <w:p w14:paraId="50243264"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Because of the moon journal, I heard new stories from old friends and had the chance to connect about a mutual experience – the moon! – with new acquaintances. I experienced the moon as a source of connection and communion in my relationship with people in my life. </w:t>
      </w:r>
    </w:p>
    <w:p w14:paraId="17AE0604" w14:textId="77777777" w:rsidR="003D77AE" w:rsidRPr="00B1580C" w:rsidRDefault="003D77AE" w:rsidP="003D77AE">
      <w:pPr>
        <w:rPr>
          <w:rFonts w:asciiTheme="majorHAnsi" w:hAnsiTheme="majorHAnsi" w:cstheme="majorHAnsi"/>
          <w:i/>
          <w:iCs/>
          <w:sz w:val="22"/>
          <w:szCs w:val="22"/>
        </w:rPr>
      </w:pPr>
    </w:p>
    <w:p w14:paraId="0A297936" w14:textId="77777777" w:rsidR="003D77AE" w:rsidRPr="00B1580C" w:rsidRDefault="003D77AE" w:rsidP="003D77AE">
      <w:pPr>
        <w:rPr>
          <w:rFonts w:asciiTheme="majorHAnsi" w:hAnsiTheme="majorHAnsi" w:cstheme="majorHAnsi"/>
          <w:i/>
          <w:iCs/>
          <w:sz w:val="22"/>
          <w:szCs w:val="22"/>
        </w:rPr>
      </w:pPr>
      <w:r w:rsidRPr="00B1580C">
        <w:rPr>
          <w:rFonts w:asciiTheme="majorHAnsi" w:hAnsiTheme="majorHAnsi" w:cstheme="majorHAnsi"/>
          <w:i/>
          <w:iCs/>
          <w:sz w:val="22"/>
          <w:szCs w:val="22"/>
        </w:rPr>
        <w:t xml:space="preserve">Relationship to self: mood, inscapes, and attunement </w:t>
      </w:r>
    </w:p>
    <w:p w14:paraId="741BB11B" w14:textId="77777777" w:rsidR="003D77AE" w:rsidRPr="00B1580C" w:rsidRDefault="003D77AE" w:rsidP="003D77AE">
      <w:pPr>
        <w:rPr>
          <w:rFonts w:asciiTheme="majorHAnsi" w:hAnsiTheme="majorHAnsi" w:cstheme="majorHAnsi"/>
          <w:i/>
          <w:iCs/>
          <w:sz w:val="22"/>
          <w:szCs w:val="22"/>
        </w:rPr>
      </w:pPr>
      <w:r>
        <w:rPr>
          <w:rFonts w:asciiTheme="majorHAnsi" w:hAnsiTheme="majorHAnsi" w:cstheme="majorHAnsi"/>
          <w:sz w:val="22"/>
          <w:szCs w:val="22"/>
        </w:rPr>
        <w:t xml:space="preserve">As relationship to others deepen in the moon journal, so did attunement with </w:t>
      </w:r>
      <w:proofErr w:type="spellStart"/>
      <w:r>
        <w:rPr>
          <w:rFonts w:asciiTheme="majorHAnsi" w:hAnsiTheme="majorHAnsi" w:cstheme="majorHAnsi"/>
          <w:sz w:val="22"/>
          <w:szCs w:val="22"/>
        </w:rPr>
        <w:t>my self</w:t>
      </w:r>
      <w:proofErr w:type="spellEnd"/>
      <w:r>
        <w:rPr>
          <w:rFonts w:asciiTheme="majorHAnsi" w:hAnsiTheme="majorHAnsi" w:cstheme="majorHAnsi"/>
          <w:sz w:val="22"/>
          <w:szCs w:val="22"/>
        </w:rPr>
        <w:t xml:space="preserve">. </w:t>
      </w:r>
      <w:r w:rsidRPr="00B1580C">
        <w:rPr>
          <w:rFonts w:asciiTheme="majorHAnsi" w:hAnsiTheme="majorHAnsi" w:cstheme="majorHAnsi"/>
          <w:sz w:val="22"/>
          <w:szCs w:val="22"/>
        </w:rPr>
        <w:t xml:space="preserve">As the month progressed, the themes of mood, internal emotional landscapes, and attunement – perception without sight </w:t>
      </w:r>
      <w:r>
        <w:rPr>
          <w:rFonts w:asciiTheme="majorHAnsi" w:hAnsiTheme="majorHAnsi" w:cstheme="majorHAnsi"/>
          <w:sz w:val="22"/>
          <w:szCs w:val="22"/>
        </w:rPr>
        <w:t>–</w:t>
      </w:r>
      <w:r w:rsidRPr="00B1580C">
        <w:rPr>
          <w:rFonts w:asciiTheme="majorHAnsi" w:hAnsiTheme="majorHAnsi" w:cstheme="majorHAnsi"/>
          <w:sz w:val="22"/>
          <w:szCs w:val="22"/>
        </w:rPr>
        <w:t xml:space="preserve"> became more central in my moon journal. </w:t>
      </w:r>
      <w:r>
        <w:rPr>
          <w:rFonts w:asciiTheme="majorHAnsi" w:hAnsiTheme="majorHAnsi" w:cstheme="majorHAnsi"/>
          <w:sz w:val="22"/>
          <w:szCs w:val="22"/>
        </w:rPr>
        <w:t xml:space="preserve">This emerged on 12 of the 28 days. Day 4, I noted that my menstrual cycle; “I am </w:t>
      </w:r>
      <w:r w:rsidRPr="00131CA1">
        <w:rPr>
          <w:rFonts w:asciiTheme="majorHAnsi" w:hAnsiTheme="majorHAnsi" w:cstheme="majorHAnsi"/>
          <w:sz w:val="22"/>
          <w:szCs w:val="22"/>
        </w:rPr>
        <w:t xml:space="preserve">bleeding with the full </w:t>
      </w:r>
      <w:proofErr w:type="spellStart"/>
      <w:r w:rsidRPr="00131CA1">
        <w:rPr>
          <w:rFonts w:asciiTheme="majorHAnsi" w:hAnsiTheme="majorHAnsi" w:cstheme="majorHAnsi"/>
          <w:sz w:val="22"/>
          <w:szCs w:val="22"/>
        </w:rPr>
        <w:t>moon</w:t>
      </w:r>
      <w:r>
        <w:rPr>
          <w:rFonts w:asciiTheme="majorHAnsi" w:hAnsiTheme="majorHAnsi" w:cstheme="majorHAnsi"/>
          <w:sz w:val="22"/>
          <w:szCs w:val="22"/>
        </w:rPr>
        <w:t>.,”and</w:t>
      </w:r>
      <w:proofErr w:type="spellEnd"/>
      <w:r>
        <w:rPr>
          <w:rFonts w:asciiTheme="majorHAnsi" w:hAnsiTheme="majorHAnsi" w:cstheme="majorHAnsi"/>
          <w:sz w:val="22"/>
          <w:szCs w:val="22"/>
        </w:rPr>
        <w:t xml:space="preserve"> I described “</w:t>
      </w:r>
      <w:r w:rsidRPr="00131CA1">
        <w:rPr>
          <w:rFonts w:asciiTheme="majorHAnsi" w:hAnsiTheme="majorHAnsi" w:cstheme="majorHAnsi"/>
          <w:sz w:val="22"/>
          <w:szCs w:val="22"/>
        </w:rPr>
        <w:t>the force of accompaniment</w:t>
      </w:r>
      <w:r>
        <w:rPr>
          <w:rFonts w:asciiTheme="majorHAnsi" w:hAnsiTheme="majorHAnsi" w:cstheme="majorHAnsi"/>
          <w:sz w:val="22"/>
          <w:szCs w:val="22"/>
        </w:rPr>
        <w:t>.” Day 8, I queried “could I track the moon without looking;” could my other senses be enough? When I could not see the moon for a few days in a row, on day 11 I wrote “I feel out of whack, like I am holding my breath’ and similarly on d</w:t>
      </w:r>
      <w:r w:rsidRPr="00131CA1">
        <w:rPr>
          <w:rFonts w:asciiTheme="majorHAnsi" w:hAnsiTheme="majorHAnsi" w:cstheme="majorHAnsi"/>
          <w:sz w:val="22"/>
          <w:szCs w:val="22"/>
        </w:rPr>
        <w:t>ay 13</w:t>
      </w:r>
      <w:r>
        <w:rPr>
          <w:rFonts w:asciiTheme="majorHAnsi" w:hAnsiTheme="majorHAnsi" w:cstheme="majorHAnsi"/>
          <w:sz w:val="22"/>
          <w:szCs w:val="22"/>
        </w:rPr>
        <w:t xml:space="preserve"> “</w:t>
      </w:r>
      <w:r w:rsidRPr="00131CA1">
        <w:rPr>
          <w:rFonts w:asciiTheme="majorHAnsi" w:hAnsiTheme="majorHAnsi" w:cstheme="majorHAnsi"/>
          <w:sz w:val="22"/>
          <w:szCs w:val="22"/>
        </w:rPr>
        <w:t>disconnected</w:t>
      </w:r>
      <w:r>
        <w:rPr>
          <w:rFonts w:asciiTheme="majorHAnsi" w:hAnsiTheme="majorHAnsi" w:cstheme="majorHAnsi"/>
          <w:sz w:val="22"/>
          <w:szCs w:val="22"/>
        </w:rPr>
        <w:t>.”</w:t>
      </w:r>
      <w:r w:rsidRPr="00131CA1">
        <w:rPr>
          <w:rFonts w:asciiTheme="majorHAnsi" w:hAnsiTheme="majorHAnsi" w:cstheme="majorHAnsi"/>
          <w:sz w:val="22"/>
          <w:szCs w:val="22"/>
        </w:rPr>
        <w:t xml:space="preserve"> </w:t>
      </w:r>
      <w:r>
        <w:rPr>
          <w:rFonts w:asciiTheme="majorHAnsi" w:hAnsiTheme="majorHAnsi" w:cstheme="majorHAnsi"/>
          <w:sz w:val="22"/>
          <w:szCs w:val="22"/>
        </w:rPr>
        <w:t xml:space="preserve">When I was notified the moon was </w:t>
      </w:r>
      <w:proofErr w:type="gramStart"/>
      <w:r>
        <w:rPr>
          <w:rFonts w:asciiTheme="majorHAnsi" w:hAnsiTheme="majorHAnsi" w:cstheme="majorHAnsi"/>
          <w:sz w:val="22"/>
          <w:szCs w:val="22"/>
        </w:rPr>
        <w:t>visible</w:t>
      </w:r>
      <w:proofErr w:type="gramEnd"/>
      <w:r>
        <w:rPr>
          <w:rFonts w:asciiTheme="majorHAnsi" w:hAnsiTheme="majorHAnsi" w:cstheme="majorHAnsi"/>
          <w:sz w:val="22"/>
          <w:szCs w:val="22"/>
        </w:rPr>
        <w:t xml:space="preserve"> I cried “</w:t>
      </w:r>
      <w:r w:rsidRPr="00131CA1">
        <w:rPr>
          <w:rFonts w:asciiTheme="majorHAnsi" w:hAnsiTheme="majorHAnsi" w:cstheme="majorHAnsi"/>
          <w:sz w:val="22"/>
          <w:szCs w:val="22"/>
        </w:rPr>
        <w:t xml:space="preserve">phew! </w:t>
      </w:r>
      <w:r>
        <w:rPr>
          <w:rFonts w:asciiTheme="majorHAnsi" w:hAnsiTheme="majorHAnsi" w:cstheme="majorHAnsi"/>
          <w:sz w:val="22"/>
          <w:szCs w:val="22"/>
        </w:rPr>
        <w:t xml:space="preserve">and </w:t>
      </w:r>
      <w:r w:rsidRPr="00131CA1">
        <w:rPr>
          <w:rFonts w:asciiTheme="majorHAnsi" w:hAnsiTheme="majorHAnsi" w:cstheme="majorHAnsi"/>
          <w:sz w:val="22"/>
          <w:szCs w:val="22"/>
        </w:rPr>
        <w:t>literally jumped up</w:t>
      </w:r>
      <w:r>
        <w:rPr>
          <w:rFonts w:asciiTheme="majorHAnsi" w:hAnsiTheme="majorHAnsi" w:cstheme="majorHAnsi"/>
          <w:sz w:val="22"/>
          <w:szCs w:val="22"/>
        </w:rPr>
        <w:t xml:space="preserve">” </w:t>
      </w:r>
      <w:r w:rsidRPr="00131CA1">
        <w:rPr>
          <w:rFonts w:asciiTheme="majorHAnsi" w:hAnsiTheme="majorHAnsi" w:cstheme="majorHAnsi"/>
          <w:sz w:val="22"/>
          <w:szCs w:val="22"/>
        </w:rPr>
        <w:t>Day 15</w:t>
      </w:r>
      <w:r>
        <w:rPr>
          <w:rFonts w:asciiTheme="majorHAnsi" w:hAnsiTheme="majorHAnsi" w:cstheme="majorHAnsi"/>
          <w:sz w:val="22"/>
          <w:szCs w:val="22"/>
        </w:rPr>
        <w:t xml:space="preserve"> I wrote the feeling of the moon is </w:t>
      </w:r>
      <w:r w:rsidRPr="00875BA1">
        <w:rPr>
          <w:rFonts w:asciiTheme="majorHAnsi" w:hAnsiTheme="majorHAnsi" w:cstheme="majorHAnsi"/>
          <w:color w:val="FF0000"/>
          <w:sz w:val="22"/>
          <w:szCs w:val="22"/>
        </w:rPr>
        <w:t>“like a haunt”</w:t>
      </w:r>
      <w:r>
        <w:rPr>
          <w:rFonts w:asciiTheme="majorHAnsi" w:hAnsiTheme="majorHAnsi" w:cstheme="majorHAnsi"/>
          <w:sz w:val="22"/>
          <w:szCs w:val="22"/>
        </w:rPr>
        <w:t xml:space="preserve"> </w:t>
      </w:r>
      <w:r w:rsidRPr="00131CA1">
        <w:rPr>
          <w:rFonts w:asciiTheme="majorHAnsi" w:hAnsiTheme="majorHAnsi" w:cstheme="majorHAnsi"/>
          <w:sz w:val="22"/>
          <w:szCs w:val="22"/>
        </w:rPr>
        <w:t>Day 19</w:t>
      </w:r>
      <w:r>
        <w:rPr>
          <w:rFonts w:asciiTheme="majorHAnsi" w:hAnsiTheme="majorHAnsi" w:cstheme="majorHAnsi"/>
          <w:sz w:val="22"/>
          <w:szCs w:val="22"/>
        </w:rPr>
        <w:t>, I remarked how I felt</w:t>
      </w:r>
      <w:r w:rsidRPr="00131CA1">
        <w:rPr>
          <w:rFonts w:asciiTheme="majorHAnsi" w:hAnsiTheme="majorHAnsi" w:cstheme="majorHAnsi"/>
          <w:sz w:val="22"/>
          <w:szCs w:val="22"/>
        </w:rPr>
        <w:t xml:space="preserve"> </w:t>
      </w:r>
      <w:r>
        <w:rPr>
          <w:rFonts w:asciiTheme="majorHAnsi" w:hAnsiTheme="majorHAnsi" w:cstheme="majorHAnsi"/>
          <w:sz w:val="22"/>
          <w:szCs w:val="22"/>
        </w:rPr>
        <w:t>“</w:t>
      </w:r>
      <w:r w:rsidRPr="00131CA1">
        <w:rPr>
          <w:rFonts w:asciiTheme="majorHAnsi" w:hAnsiTheme="majorHAnsi" w:cstheme="majorHAnsi"/>
          <w:sz w:val="22"/>
          <w:szCs w:val="22"/>
        </w:rPr>
        <w:t>synched in rhythm</w:t>
      </w:r>
      <w:r>
        <w:rPr>
          <w:rFonts w:asciiTheme="majorHAnsi" w:hAnsiTheme="majorHAnsi" w:cstheme="majorHAnsi"/>
          <w:sz w:val="22"/>
          <w:szCs w:val="22"/>
        </w:rPr>
        <w:t>” and d</w:t>
      </w:r>
      <w:r w:rsidRPr="00131CA1">
        <w:rPr>
          <w:rFonts w:asciiTheme="majorHAnsi" w:hAnsiTheme="majorHAnsi" w:cstheme="majorHAnsi"/>
          <w:sz w:val="22"/>
          <w:szCs w:val="22"/>
        </w:rPr>
        <w:t>ay 20</w:t>
      </w:r>
      <w:r>
        <w:rPr>
          <w:rFonts w:asciiTheme="majorHAnsi" w:hAnsiTheme="majorHAnsi" w:cstheme="majorHAnsi"/>
          <w:sz w:val="22"/>
          <w:szCs w:val="22"/>
        </w:rPr>
        <w:t>, the day before the full moon, I described the sense of internal “</w:t>
      </w:r>
      <w:proofErr w:type="spellStart"/>
      <w:r w:rsidRPr="00131CA1">
        <w:rPr>
          <w:rFonts w:asciiTheme="majorHAnsi" w:hAnsiTheme="majorHAnsi" w:cstheme="majorHAnsi"/>
          <w:sz w:val="22"/>
          <w:szCs w:val="22"/>
        </w:rPr>
        <w:t>peakness</w:t>
      </w:r>
      <w:proofErr w:type="spellEnd"/>
      <w:r>
        <w:rPr>
          <w:rFonts w:asciiTheme="majorHAnsi" w:hAnsiTheme="majorHAnsi" w:cstheme="majorHAnsi"/>
          <w:sz w:val="22"/>
          <w:szCs w:val="22"/>
        </w:rPr>
        <w:t xml:space="preserve">, of the need to </w:t>
      </w:r>
      <w:r w:rsidRPr="00131CA1">
        <w:rPr>
          <w:rFonts w:asciiTheme="majorHAnsi" w:hAnsiTheme="majorHAnsi" w:cstheme="majorHAnsi"/>
          <w:sz w:val="22"/>
          <w:szCs w:val="22"/>
        </w:rPr>
        <w:t xml:space="preserve">pause </w:t>
      </w:r>
      <w:r>
        <w:rPr>
          <w:rFonts w:asciiTheme="majorHAnsi" w:hAnsiTheme="majorHAnsi" w:cstheme="majorHAnsi"/>
          <w:sz w:val="22"/>
          <w:szCs w:val="22"/>
        </w:rPr>
        <w:t xml:space="preserve">and then </w:t>
      </w:r>
      <w:r w:rsidRPr="00131CA1">
        <w:rPr>
          <w:rFonts w:asciiTheme="majorHAnsi" w:hAnsiTheme="majorHAnsi" w:cstheme="majorHAnsi"/>
          <w:sz w:val="22"/>
          <w:szCs w:val="22"/>
        </w:rPr>
        <w:t>release</w:t>
      </w:r>
      <w:r>
        <w:rPr>
          <w:rFonts w:asciiTheme="majorHAnsi" w:hAnsiTheme="majorHAnsi" w:cstheme="majorHAnsi"/>
          <w:sz w:val="22"/>
          <w:szCs w:val="22"/>
        </w:rPr>
        <w:t xml:space="preserve">. </w:t>
      </w:r>
      <w:r>
        <w:rPr>
          <w:rFonts w:asciiTheme="majorHAnsi" w:hAnsiTheme="majorHAnsi" w:cstheme="majorHAnsi"/>
          <w:i/>
          <w:iCs/>
          <w:sz w:val="22"/>
          <w:szCs w:val="22"/>
        </w:rPr>
        <w:t>On d</w:t>
      </w:r>
      <w:r w:rsidRPr="00B1580C">
        <w:rPr>
          <w:rFonts w:asciiTheme="majorHAnsi" w:hAnsiTheme="majorHAnsi" w:cstheme="majorHAnsi"/>
          <w:i/>
          <w:iCs/>
          <w:sz w:val="22"/>
          <w:szCs w:val="22"/>
        </w:rPr>
        <w:t>ay 23: “you’re back” on my commute</w:t>
      </w:r>
    </w:p>
    <w:p w14:paraId="65664441" w14:textId="77777777" w:rsidR="003D77AE" w:rsidRPr="00CD1839" w:rsidRDefault="003D77AE" w:rsidP="003D77AE">
      <w:pPr>
        <w:rPr>
          <w:rFonts w:asciiTheme="majorHAnsi" w:hAnsiTheme="majorHAnsi" w:cstheme="majorHAnsi"/>
          <w:sz w:val="22"/>
          <w:szCs w:val="22"/>
        </w:rPr>
      </w:pPr>
      <w:r w:rsidRPr="00CD1839">
        <w:rPr>
          <w:rFonts w:asciiTheme="majorHAnsi" w:hAnsiTheme="majorHAnsi" w:cstheme="majorHAnsi"/>
          <w:sz w:val="22"/>
          <w:szCs w:val="22"/>
        </w:rPr>
        <w:t xml:space="preserve">And on day 27 I wrote that my “stomach jumps” at the first </w:t>
      </w:r>
      <w:proofErr w:type="spellStart"/>
      <w:r w:rsidRPr="00CD1839">
        <w:rPr>
          <w:rFonts w:asciiTheme="majorHAnsi" w:hAnsiTheme="majorHAnsi" w:cstheme="majorHAnsi"/>
          <w:sz w:val="22"/>
          <w:szCs w:val="22"/>
        </w:rPr>
        <w:t>sigt</w:t>
      </w:r>
      <w:proofErr w:type="spellEnd"/>
      <w:r w:rsidRPr="00CD1839">
        <w:rPr>
          <w:rFonts w:asciiTheme="majorHAnsi" w:hAnsiTheme="majorHAnsi" w:cstheme="majorHAnsi"/>
          <w:sz w:val="22"/>
          <w:szCs w:val="22"/>
        </w:rPr>
        <w:t xml:space="preserve"> of the moon, as I </w:t>
      </w:r>
      <w:proofErr w:type="spellStart"/>
      <w:r w:rsidRPr="00CD1839">
        <w:rPr>
          <w:rFonts w:asciiTheme="majorHAnsi" w:hAnsiTheme="majorHAnsi" w:cstheme="majorHAnsi"/>
          <w:sz w:val="22"/>
          <w:szCs w:val="22"/>
        </w:rPr>
        <w:t>turne</w:t>
      </w:r>
      <w:proofErr w:type="spellEnd"/>
      <w:r w:rsidRPr="00CD1839">
        <w:rPr>
          <w:rFonts w:asciiTheme="majorHAnsi" w:hAnsiTheme="majorHAnsi" w:cstheme="majorHAnsi"/>
          <w:sz w:val="22"/>
          <w:szCs w:val="22"/>
        </w:rPr>
        <w:t xml:space="preserve"> the corner onto my block.</w:t>
      </w:r>
    </w:p>
    <w:p w14:paraId="1F555DBD" w14:textId="77777777" w:rsidR="003D77AE" w:rsidRPr="00B1580C" w:rsidRDefault="003D77AE" w:rsidP="003D77AE">
      <w:pPr>
        <w:rPr>
          <w:rFonts w:asciiTheme="majorHAnsi" w:hAnsiTheme="majorHAnsi" w:cstheme="majorHAnsi"/>
          <w:sz w:val="22"/>
          <w:szCs w:val="22"/>
        </w:rPr>
      </w:pPr>
    </w:p>
    <w:p w14:paraId="28F9D342" w14:textId="77777777" w:rsidR="003D77AE" w:rsidRDefault="003D77AE" w:rsidP="003D77AE">
      <w:pPr>
        <w:rPr>
          <w:rFonts w:asciiTheme="majorHAnsi" w:hAnsiTheme="majorHAnsi" w:cstheme="majorHAnsi"/>
          <w:i/>
          <w:iCs/>
          <w:sz w:val="22"/>
          <w:szCs w:val="22"/>
        </w:rPr>
      </w:pPr>
      <w:r w:rsidRPr="005644CB">
        <w:rPr>
          <w:rFonts w:asciiTheme="majorHAnsi" w:hAnsiTheme="majorHAnsi" w:cstheme="majorHAnsi"/>
          <w:i/>
          <w:iCs/>
          <w:sz w:val="22"/>
          <w:szCs w:val="22"/>
        </w:rPr>
        <w:t>Intimacy and mutuality</w:t>
      </w:r>
    </w:p>
    <w:p w14:paraId="132A5C47" w14:textId="77777777" w:rsidR="003D77AE" w:rsidRDefault="003D77AE" w:rsidP="003D77AE">
      <w:pPr>
        <w:ind w:firstLine="360"/>
        <w:rPr>
          <w:rFonts w:asciiTheme="majorHAnsi" w:hAnsiTheme="majorHAnsi" w:cstheme="majorHAnsi"/>
          <w:sz w:val="22"/>
          <w:szCs w:val="22"/>
        </w:rPr>
      </w:pPr>
      <w:r w:rsidRPr="005644CB">
        <w:rPr>
          <w:rFonts w:asciiTheme="majorHAnsi" w:hAnsiTheme="majorHAnsi" w:cstheme="majorHAnsi"/>
          <w:sz w:val="22"/>
          <w:szCs w:val="22"/>
        </w:rPr>
        <w:t>Finally, the theme of mutuality appeared in the journal.</w:t>
      </w:r>
      <w:r>
        <w:rPr>
          <w:rFonts w:asciiTheme="majorHAnsi" w:hAnsiTheme="majorHAnsi" w:cstheme="majorHAnsi"/>
          <w:sz w:val="22"/>
          <w:szCs w:val="22"/>
        </w:rPr>
        <w:t xml:space="preserve"> Day 10 I </w:t>
      </w:r>
      <w:proofErr w:type="gramStart"/>
      <w:r>
        <w:rPr>
          <w:rFonts w:asciiTheme="majorHAnsi" w:hAnsiTheme="majorHAnsi" w:cstheme="majorHAnsi"/>
          <w:sz w:val="22"/>
          <w:szCs w:val="22"/>
        </w:rPr>
        <w:t>notes</w:t>
      </w:r>
      <w:proofErr w:type="gramEnd"/>
      <w:r>
        <w:rPr>
          <w:rFonts w:asciiTheme="majorHAnsi" w:hAnsiTheme="majorHAnsi" w:cstheme="majorHAnsi"/>
          <w:sz w:val="22"/>
          <w:szCs w:val="22"/>
        </w:rPr>
        <w:t xml:space="preserve"> “travel was a decided interruption in my connection” to the moon. On day 16, “the moon woke me up,” pouring its light through my bedroom window and interrupting my sleep. Day 19 I wrote, “I don’t have to work so hard” at keeping the moon journal; the relationship felt more natural and less forced. On Day 21, again, I awoke at 4:34am to the moon, beginning its eclipse, and shining in direct through my window. This time, I was sweating. </w:t>
      </w:r>
      <w:r w:rsidRPr="00B1580C">
        <w:rPr>
          <w:rFonts w:asciiTheme="majorHAnsi" w:hAnsiTheme="majorHAnsi" w:cstheme="majorHAnsi"/>
          <w:sz w:val="22"/>
          <w:szCs w:val="22"/>
        </w:rPr>
        <w:t>Day 22</w:t>
      </w:r>
      <w:r>
        <w:rPr>
          <w:rFonts w:asciiTheme="majorHAnsi" w:hAnsiTheme="majorHAnsi" w:cstheme="majorHAnsi"/>
          <w:sz w:val="22"/>
          <w:szCs w:val="22"/>
        </w:rPr>
        <w:t xml:space="preserve"> the “</w:t>
      </w:r>
      <w:r w:rsidRPr="00B1580C">
        <w:rPr>
          <w:rFonts w:asciiTheme="majorHAnsi" w:hAnsiTheme="majorHAnsi" w:cstheme="majorHAnsi"/>
          <w:sz w:val="22"/>
          <w:szCs w:val="22"/>
        </w:rPr>
        <w:t>silent communication</w:t>
      </w:r>
      <w:r>
        <w:rPr>
          <w:rFonts w:asciiTheme="majorHAnsi" w:hAnsiTheme="majorHAnsi" w:cstheme="majorHAnsi"/>
          <w:sz w:val="22"/>
          <w:szCs w:val="22"/>
        </w:rPr>
        <w:t xml:space="preserve">” of the moon. Day 23 I reflected on the shifting sense </w:t>
      </w:r>
      <w:r w:rsidRPr="00B1580C">
        <w:rPr>
          <w:rFonts w:asciiTheme="majorHAnsi" w:hAnsiTheme="majorHAnsi" w:cstheme="majorHAnsi"/>
          <w:sz w:val="22"/>
          <w:szCs w:val="22"/>
        </w:rPr>
        <w:t xml:space="preserve">from </w:t>
      </w:r>
      <w:r>
        <w:rPr>
          <w:rFonts w:asciiTheme="majorHAnsi" w:hAnsiTheme="majorHAnsi" w:cstheme="majorHAnsi"/>
          <w:sz w:val="22"/>
          <w:szCs w:val="22"/>
        </w:rPr>
        <w:t>“</w:t>
      </w:r>
      <w:r w:rsidRPr="00B1580C">
        <w:rPr>
          <w:rFonts w:asciiTheme="majorHAnsi" w:hAnsiTheme="majorHAnsi" w:cstheme="majorHAnsi"/>
          <w:sz w:val="22"/>
          <w:szCs w:val="22"/>
        </w:rPr>
        <w:t xml:space="preserve">influence </w:t>
      </w:r>
      <w:proofErr w:type="gramStart"/>
      <w:r>
        <w:rPr>
          <w:rFonts w:asciiTheme="majorHAnsi" w:hAnsiTheme="majorHAnsi" w:cstheme="majorHAnsi"/>
          <w:sz w:val="22"/>
          <w:szCs w:val="22"/>
        </w:rPr>
        <w:t>to</w:t>
      </w:r>
      <w:proofErr w:type="gramEnd"/>
      <w:r>
        <w:rPr>
          <w:rFonts w:asciiTheme="majorHAnsi" w:hAnsiTheme="majorHAnsi" w:cstheme="majorHAnsi"/>
          <w:sz w:val="22"/>
          <w:szCs w:val="22"/>
        </w:rPr>
        <w:t xml:space="preserve"> </w:t>
      </w:r>
      <w:r w:rsidRPr="00B1580C">
        <w:rPr>
          <w:rFonts w:asciiTheme="majorHAnsi" w:hAnsiTheme="majorHAnsi" w:cstheme="majorHAnsi"/>
          <w:sz w:val="22"/>
          <w:szCs w:val="22"/>
        </w:rPr>
        <w:t>integration</w:t>
      </w:r>
      <w:r>
        <w:rPr>
          <w:rFonts w:asciiTheme="majorHAnsi" w:hAnsiTheme="majorHAnsi" w:cstheme="majorHAnsi"/>
          <w:sz w:val="22"/>
          <w:szCs w:val="22"/>
        </w:rPr>
        <w:t>,” noting that the idea of influence seems</w:t>
      </w:r>
      <w:r w:rsidRPr="00B1580C">
        <w:rPr>
          <w:rFonts w:asciiTheme="majorHAnsi" w:hAnsiTheme="majorHAnsi" w:cstheme="majorHAnsi"/>
          <w:sz w:val="22"/>
          <w:szCs w:val="22"/>
        </w:rPr>
        <w:t xml:space="preserve"> </w:t>
      </w:r>
      <w:r>
        <w:rPr>
          <w:rFonts w:asciiTheme="majorHAnsi" w:hAnsiTheme="majorHAnsi" w:cstheme="majorHAnsi"/>
          <w:sz w:val="22"/>
          <w:szCs w:val="22"/>
        </w:rPr>
        <w:t>‘</w:t>
      </w:r>
      <w:r w:rsidRPr="00B1580C">
        <w:rPr>
          <w:rFonts w:asciiTheme="majorHAnsi" w:hAnsiTheme="majorHAnsi" w:cstheme="majorHAnsi"/>
          <w:sz w:val="22"/>
          <w:szCs w:val="22"/>
        </w:rPr>
        <w:t>too crude a framing, requires proving</w:t>
      </w:r>
      <w:r>
        <w:rPr>
          <w:rFonts w:asciiTheme="majorHAnsi" w:hAnsiTheme="majorHAnsi" w:cstheme="majorHAnsi"/>
          <w:sz w:val="22"/>
          <w:szCs w:val="22"/>
        </w:rPr>
        <w:t>.’ Day 27 I noted ‘a response to a call.’ On d</w:t>
      </w:r>
      <w:r w:rsidRPr="00B1580C">
        <w:rPr>
          <w:rFonts w:asciiTheme="majorHAnsi" w:hAnsiTheme="majorHAnsi" w:cstheme="majorHAnsi"/>
          <w:sz w:val="22"/>
          <w:szCs w:val="22"/>
        </w:rPr>
        <w:t>ay 23</w:t>
      </w:r>
      <w:r>
        <w:rPr>
          <w:rFonts w:asciiTheme="majorHAnsi" w:hAnsiTheme="majorHAnsi" w:cstheme="majorHAnsi"/>
          <w:sz w:val="22"/>
          <w:szCs w:val="22"/>
        </w:rPr>
        <w:t xml:space="preserve">, the journal reads, </w:t>
      </w:r>
      <w:r w:rsidRPr="00B1580C">
        <w:rPr>
          <w:rFonts w:asciiTheme="majorHAnsi" w:hAnsiTheme="majorHAnsi" w:cstheme="majorHAnsi"/>
          <w:sz w:val="22"/>
          <w:szCs w:val="22"/>
        </w:rPr>
        <w:t xml:space="preserve">“I personify you but not stupidly” </w:t>
      </w:r>
    </w:p>
    <w:p w14:paraId="5B22C657" w14:textId="77777777" w:rsidR="003D77AE" w:rsidRPr="00B1580C"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What stands out about this final theme is the reciprocal element. The moon seemed to play an active part in the relationship. </w:t>
      </w:r>
    </w:p>
    <w:p w14:paraId="601FDA6F" w14:textId="77777777" w:rsidR="003D77AE" w:rsidRDefault="003D77AE" w:rsidP="003D77AE">
      <w:pPr>
        <w:rPr>
          <w:rFonts w:asciiTheme="majorHAnsi" w:hAnsiTheme="majorHAnsi" w:cstheme="majorHAnsi"/>
          <w:sz w:val="22"/>
          <w:szCs w:val="22"/>
        </w:rPr>
      </w:pPr>
    </w:p>
    <w:p w14:paraId="410BC491"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The practice of keeping a Sky Journal progressed from a disenchanted, even burdensome experience into a relational one – with other people, with the moon, and with myself - and finally to a fulfilling sense of exchange. Like Van Gogh’s words suggested, enchantment – in the sense of wonder and in the sense of communication – developed through the practice of paying close attention to the sky, in this case the moon rather than the stars. </w:t>
      </w:r>
    </w:p>
    <w:p w14:paraId="7B80CC42" w14:textId="77777777" w:rsidR="003D77AE" w:rsidRDefault="003D77AE" w:rsidP="003D77AE">
      <w:pPr>
        <w:ind w:firstLine="360"/>
        <w:rPr>
          <w:rFonts w:asciiTheme="majorHAnsi" w:hAnsiTheme="majorHAnsi" w:cstheme="majorHAnsi"/>
          <w:sz w:val="22"/>
          <w:szCs w:val="22"/>
        </w:rPr>
      </w:pPr>
    </w:p>
    <w:p w14:paraId="1728FB29" w14:textId="77777777" w:rsidR="003D77AE" w:rsidRDefault="003D77AE" w:rsidP="003D77AE">
      <w:pPr>
        <w:rPr>
          <w:rFonts w:asciiTheme="majorHAnsi" w:hAnsiTheme="majorHAnsi" w:cstheme="majorHAnsi"/>
          <w:sz w:val="22"/>
          <w:szCs w:val="22"/>
        </w:rPr>
      </w:pPr>
      <w:r>
        <w:rPr>
          <w:rFonts w:asciiTheme="majorHAnsi" w:hAnsiTheme="majorHAnsi" w:cstheme="majorHAnsi"/>
          <w:sz w:val="22"/>
          <w:szCs w:val="22"/>
        </w:rPr>
        <w:t>Ruggles</w:t>
      </w:r>
    </w:p>
    <w:p w14:paraId="1A381F0D" w14:textId="77777777" w:rsidR="003D77AE" w:rsidRDefault="003D77AE" w:rsidP="003D77AE">
      <w:pPr>
        <w:rPr>
          <w:rFonts w:asciiTheme="majorHAnsi" w:hAnsiTheme="majorHAnsi" w:cstheme="majorHAnsi"/>
          <w:color w:val="000000" w:themeColor="text1"/>
        </w:rPr>
      </w:pPr>
      <w:r>
        <w:rPr>
          <w:rFonts w:asciiTheme="majorHAnsi" w:hAnsiTheme="majorHAnsi" w:cstheme="majorHAnsi"/>
          <w:color w:val="000000" w:themeColor="text1"/>
        </w:rPr>
        <w:lastRenderedPageBreak/>
        <w:t>“being-in-the-world’ and ‘agent in the environment’ rather than passive observer,” rather than removed p 6</w:t>
      </w:r>
    </w:p>
    <w:p w14:paraId="760BF050" w14:textId="77777777" w:rsidR="003D77AE" w:rsidRDefault="003D77AE" w:rsidP="003D77AE">
      <w:pPr>
        <w:rPr>
          <w:rFonts w:asciiTheme="majorHAnsi" w:hAnsiTheme="majorHAnsi" w:cstheme="majorHAnsi"/>
          <w:color w:val="000000" w:themeColor="text1"/>
        </w:rPr>
      </w:pPr>
    </w:p>
    <w:p w14:paraId="430F2EEA" w14:textId="77777777" w:rsidR="003D77AE" w:rsidRDefault="003D77AE" w:rsidP="003D77AE">
      <w:pPr>
        <w:rPr>
          <w:rFonts w:asciiTheme="majorHAnsi" w:hAnsiTheme="majorHAnsi" w:cstheme="majorHAnsi"/>
          <w:color w:val="000000" w:themeColor="text1"/>
        </w:rPr>
      </w:pPr>
      <w:r>
        <w:rPr>
          <w:rFonts w:asciiTheme="majorHAnsi" w:hAnsiTheme="majorHAnsi" w:cstheme="majorHAnsi"/>
          <w:color w:val="000000" w:themeColor="text1"/>
        </w:rPr>
        <w:t xml:space="preserve">‘They do not use Cartesian dualities (mind/body, subject/object) of </w:t>
      </w:r>
      <w:proofErr w:type="spellStart"/>
      <w:r>
        <w:rPr>
          <w:rFonts w:asciiTheme="majorHAnsi" w:hAnsiTheme="majorHAnsi" w:cstheme="majorHAnsi"/>
          <w:color w:val="000000" w:themeColor="text1"/>
        </w:rPr>
        <w:t>Linnaenan</w:t>
      </w:r>
      <w:proofErr w:type="spellEnd"/>
      <w:r>
        <w:rPr>
          <w:rFonts w:asciiTheme="majorHAnsi" w:hAnsiTheme="majorHAnsi" w:cstheme="majorHAnsi"/>
          <w:color w:val="000000" w:themeColor="text1"/>
        </w:rPr>
        <w:t xml:space="preserve"> </w:t>
      </w:r>
      <w:proofErr w:type="spellStart"/>
      <w:r>
        <w:rPr>
          <w:rFonts w:asciiTheme="majorHAnsi" w:hAnsiTheme="majorHAnsi" w:cstheme="majorHAnsi"/>
          <w:color w:val="000000" w:themeColor="text1"/>
        </w:rPr>
        <w:t>categorisations’</w:t>
      </w:r>
      <w:proofErr w:type="spellEnd"/>
      <w:r>
        <w:rPr>
          <w:rFonts w:asciiTheme="majorHAnsi" w:hAnsiTheme="majorHAnsi" w:cstheme="majorHAnsi"/>
          <w:color w:val="000000" w:themeColor="text1"/>
        </w:rPr>
        <w:t xml:space="preserve"> So this removes the fixed conceptual dualism/split and the hierarchy of categories of being/nature. P 7</w:t>
      </w:r>
    </w:p>
    <w:p w14:paraId="3887989B" w14:textId="77777777" w:rsidR="003D77AE" w:rsidRPr="004161DF" w:rsidRDefault="003D77AE" w:rsidP="003D77AE">
      <w:pPr>
        <w:rPr>
          <w:rFonts w:asciiTheme="majorHAnsi" w:eastAsiaTheme="minorEastAsia" w:hAnsiTheme="majorHAnsi" w:cstheme="majorHAnsi"/>
          <w:color w:val="000000" w:themeColor="text1"/>
        </w:rPr>
      </w:pPr>
      <w:r>
        <w:rPr>
          <w:rFonts w:asciiTheme="majorHAnsi" w:hAnsiTheme="majorHAnsi" w:cstheme="majorHAnsi"/>
          <w:color w:val="000000" w:themeColor="text1"/>
        </w:rPr>
        <w:tab/>
        <w:t>This is true for my journal, which instead of separating me and moon, slides into a fusion of them (increasingly as the days and observations unfolded). Especially the subject/object pair of dualisms fused together, and I would in the same sentence write of the moon as a subject: “you, she” and an object: “the moon.”</w:t>
      </w:r>
    </w:p>
    <w:p w14:paraId="44F644BB" w14:textId="77777777" w:rsidR="003D77AE" w:rsidRDefault="003D77AE" w:rsidP="003D77AE">
      <w:pPr>
        <w:ind w:firstLine="360"/>
        <w:rPr>
          <w:rFonts w:asciiTheme="majorHAnsi" w:hAnsiTheme="majorHAnsi" w:cstheme="majorHAnsi"/>
          <w:sz w:val="22"/>
          <w:szCs w:val="22"/>
        </w:rPr>
      </w:pPr>
    </w:p>
    <w:p w14:paraId="36B78C48" w14:textId="77777777" w:rsidR="003D77AE" w:rsidRDefault="003D77AE" w:rsidP="003D77AE">
      <w:pPr>
        <w:ind w:firstLine="360"/>
        <w:rPr>
          <w:rFonts w:asciiTheme="majorHAnsi" w:hAnsiTheme="majorHAnsi" w:cstheme="majorHAnsi"/>
          <w:sz w:val="22"/>
          <w:szCs w:val="22"/>
        </w:rPr>
      </w:pPr>
      <w:r>
        <w:rPr>
          <w:rFonts w:asciiTheme="majorHAnsi" w:hAnsiTheme="majorHAnsi" w:cstheme="majorHAnsi"/>
          <w:sz w:val="22"/>
          <w:szCs w:val="22"/>
        </w:rPr>
        <w:t xml:space="preserve">This experience of enchantment that emerged through the sky journal does not easily reconcile with Max Weber’s declaration that the Western world is disenchanted. </w:t>
      </w:r>
    </w:p>
    <w:p w14:paraId="3A8D7189" w14:textId="77777777" w:rsidR="003D77AE" w:rsidRDefault="003D77AE" w:rsidP="003D77AE">
      <w:pPr>
        <w:rPr>
          <w:rFonts w:asciiTheme="majorHAnsi" w:hAnsiTheme="majorHAnsi" w:cstheme="majorHAnsi"/>
          <w:color w:val="538135" w:themeColor="accent6" w:themeShade="BF"/>
          <w:sz w:val="22"/>
          <w:szCs w:val="22"/>
        </w:rPr>
      </w:pPr>
    </w:p>
    <w:p w14:paraId="5F496444" w14:textId="77777777" w:rsidR="003D77AE" w:rsidRPr="00BC330D" w:rsidRDefault="003D77AE" w:rsidP="003D77AE">
      <w:pPr>
        <w:rPr>
          <w:rFonts w:asciiTheme="majorHAnsi" w:hAnsiTheme="majorHAnsi" w:cstheme="majorHAnsi"/>
          <w:b/>
          <w:bCs/>
          <w:color w:val="000000" w:themeColor="text1"/>
          <w:sz w:val="22"/>
          <w:szCs w:val="22"/>
        </w:rPr>
      </w:pPr>
      <w:r w:rsidRPr="00BC330D">
        <w:rPr>
          <w:rFonts w:asciiTheme="majorHAnsi" w:hAnsiTheme="majorHAnsi" w:cstheme="majorHAnsi"/>
          <w:b/>
          <w:bCs/>
          <w:color w:val="000000" w:themeColor="text1"/>
          <w:sz w:val="22"/>
          <w:szCs w:val="22"/>
        </w:rPr>
        <w:t xml:space="preserve">Weber’s disenchantment </w:t>
      </w:r>
    </w:p>
    <w:p w14:paraId="1D987A31" w14:textId="77777777" w:rsidR="003D77AE" w:rsidRPr="001D7FC0" w:rsidRDefault="003D77AE" w:rsidP="003D77AE">
      <w:pPr>
        <w:pStyle w:val="ListParagraph"/>
        <w:rPr>
          <w:rFonts w:asciiTheme="majorHAnsi" w:eastAsia="Times New Roman" w:hAnsiTheme="majorHAnsi" w:cstheme="majorHAnsi"/>
          <w:b/>
          <w:bCs/>
          <w:color w:val="000000" w:themeColor="text1"/>
          <w:sz w:val="22"/>
          <w:szCs w:val="22"/>
        </w:rPr>
      </w:pPr>
    </w:p>
    <w:p w14:paraId="7D947C71"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In </w:t>
      </w:r>
      <w:r w:rsidRPr="001D7FC0">
        <w:rPr>
          <w:rFonts w:asciiTheme="majorHAnsi" w:hAnsiTheme="majorHAnsi" w:cstheme="majorHAnsi"/>
          <w:color w:val="000000" w:themeColor="text1"/>
          <w:sz w:val="22"/>
          <w:szCs w:val="22"/>
        </w:rPr>
        <w:t>Weber made the case that intellectualism, rationalization, and science created a reality in which ‘there are no mysterious incalculable forces that come into play,’ so ‘one can, in principle, master all things by calculation.’</w:t>
      </w:r>
      <w:r w:rsidRPr="001D7FC0">
        <w:rPr>
          <w:rStyle w:val="FootnoteReference"/>
          <w:rFonts w:asciiTheme="majorHAnsi" w:hAnsiTheme="majorHAnsi" w:cstheme="majorHAnsi"/>
          <w:color w:val="000000" w:themeColor="text1"/>
          <w:sz w:val="22"/>
          <w:szCs w:val="22"/>
        </w:rPr>
        <w:footnoteReference w:id="6"/>
      </w:r>
      <w:r w:rsidRPr="001D7FC0">
        <w:rPr>
          <w:rFonts w:asciiTheme="majorHAnsi" w:hAnsiTheme="majorHAnsi" w:cstheme="majorHAnsi"/>
          <w:color w:val="000000" w:themeColor="text1"/>
          <w:sz w:val="22"/>
          <w:szCs w:val="22"/>
        </w:rPr>
        <w:t xml:space="preserve"> This is what Weber called disenchantment, which he </w:t>
      </w:r>
      <w:r>
        <w:rPr>
          <w:rFonts w:asciiTheme="majorHAnsi" w:hAnsiTheme="majorHAnsi" w:cstheme="majorHAnsi"/>
          <w:color w:val="000000" w:themeColor="text1"/>
          <w:sz w:val="22"/>
          <w:szCs w:val="22"/>
        </w:rPr>
        <w:t>thought</w:t>
      </w:r>
      <w:r w:rsidRPr="001D7FC0">
        <w:rPr>
          <w:rFonts w:asciiTheme="majorHAnsi" w:hAnsiTheme="majorHAnsi" w:cstheme="majorHAnsi"/>
          <w:color w:val="000000" w:themeColor="text1"/>
          <w:sz w:val="22"/>
          <w:szCs w:val="22"/>
        </w:rPr>
        <w:t xml:space="preserve"> had ‘continued to exist in Occidental culture for millennia.’</w:t>
      </w:r>
      <w:r w:rsidRPr="001D7FC0">
        <w:rPr>
          <w:rStyle w:val="FootnoteReference"/>
          <w:rFonts w:asciiTheme="majorHAnsi" w:hAnsiTheme="majorHAnsi" w:cstheme="majorHAnsi"/>
          <w:color w:val="000000" w:themeColor="text1"/>
          <w:sz w:val="22"/>
          <w:szCs w:val="22"/>
        </w:rPr>
        <w:footnoteReference w:id="7"/>
      </w:r>
    </w:p>
    <w:p w14:paraId="447708AA" w14:textId="77777777" w:rsidR="003D77AE" w:rsidRDefault="003D77AE" w:rsidP="003D77AE">
      <w:pPr>
        <w:rPr>
          <w:rFonts w:asciiTheme="majorHAnsi" w:hAnsiTheme="majorHAnsi" w:cstheme="majorHAnsi"/>
          <w:b/>
          <w:bCs/>
          <w:color w:val="000000" w:themeColor="text1"/>
          <w:sz w:val="22"/>
          <w:szCs w:val="22"/>
        </w:rPr>
      </w:pPr>
    </w:p>
    <w:p w14:paraId="2594474A" w14:textId="77777777" w:rsidR="003D77AE" w:rsidRDefault="003D77AE" w:rsidP="003D77AE">
      <w:pPr>
        <w:rPr>
          <w:rFonts w:asciiTheme="majorHAnsi" w:hAnsiTheme="majorHAnsi" w:cstheme="majorHAnsi"/>
          <w:i/>
          <w:iCs/>
          <w:color w:val="000000" w:themeColor="text1"/>
          <w:sz w:val="22"/>
          <w:szCs w:val="22"/>
        </w:rPr>
      </w:pPr>
      <w:r w:rsidRPr="00EF4F76">
        <w:rPr>
          <w:rFonts w:asciiTheme="majorHAnsi" w:hAnsiTheme="majorHAnsi" w:cstheme="majorHAnsi"/>
          <w:color w:val="000000" w:themeColor="text1"/>
          <w:sz w:val="22"/>
          <w:szCs w:val="22"/>
        </w:rPr>
        <w:t xml:space="preserve">The sky journal reflected enchantment </w:t>
      </w:r>
      <w:r>
        <w:rPr>
          <w:rFonts w:asciiTheme="majorHAnsi" w:hAnsiTheme="majorHAnsi" w:cstheme="majorHAnsi"/>
          <w:color w:val="000000" w:themeColor="text1"/>
          <w:sz w:val="22"/>
          <w:szCs w:val="22"/>
        </w:rPr>
        <w:t xml:space="preserve">and inter-relationality, not </w:t>
      </w:r>
      <w:r w:rsidRPr="00EF4F76">
        <w:rPr>
          <w:rFonts w:asciiTheme="majorHAnsi" w:hAnsiTheme="majorHAnsi" w:cstheme="majorHAnsi"/>
          <w:color w:val="000000" w:themeColor="text1"/>
          <w:sz w:val="22"/>
          <w:szCs w:val="22"/>
        </w:rPr>
        <w:t>disenchantment. How does enchantment emerge within a disenchanted wor</w:t>
      </w:r>
      <w:r>
        <w:rPr>
          <w:rFonts w:asciiTheme="majorHAnsi" w:hAnsiTheme="majorHAnsi" w:cstheme="majorHAnsi"/>
          <w:color w:val="000000" w:themeColor="text1"/>
          <w:sz w:val="22"/>
          <w:szCs w:val="22"/>
        </w:rPr>
        <w:t>l</w:t>
      </w:r>
      <w:r w:rsidRPr="00EF4F76">
        <w:rPr>
          <w:rFonts w:asciiTheme="majorHAnsi" w:hAnsiTheme="majorHAnsi" w:cstheme="majorHAnsi"/>
          <w:color w:val="000000" w:themeColor="text1"/>
          <w:sz w:val="22"/>
          <w:szCs w:val="22"/>
        </w:rPr>
        <w:t>d?</w:t>
      </w:r>
      <w:r>
        <w:rPr>
          <w:rFonts w:asciiTheme="majorHAnsi" w:hAnsiTheme="majorHAnsi" w:cstheme="majorHAnsi"/>
          <w:color w:val="000000" w:themeColor="text1"/>
          <w:sz w:val="22"/>
          <w:szCs w:val="22"/>
        </w:rPr>
        <w:t xml:space="preserve"> </w:t>
      </w:r>
      <w:r w:rsidRPr="00F65F20">
        <w:rPr>
          <w:rFonts w:asciiTheme="majorHAnsi" w:hAnsiTheme="majorHAnsi" w:cstheme="majorHAnsi"/>
          <w:i/>
          <w:iCs/>
          <w:color w:val="000000" w:themeColor="text1"/>
          <w:sz w:val="22"/>
          <w:szCs w:val="22"/>
        </w:rPr>
        <w:t xml:space="preserve">Where does it come from? </w:t>
      </w:r>
    </w:p>
    <w:p w14:paraId="447F9A14" w14:textId="77777777" w:rsidR="003D77AE" w:rsidRDefault="003D77AE" w:rsidP="003D77AE">
      <w:pPr>
        <w:rPr>
          <w:rFonts w:asciiTheme="majorHAnsi" w:hAnsiTheme="majorHAnsi" w:cstheme="majorHAnsi"/>
          <w:color w:val="000000" w:themeColor="text1"/>
          <w:sz w:val="22"/>
          <w:szCs w:val="22"/>
        </w:rPr>
      </w:pPr>
    </w:p>
    <w:p w14:paraId="6E46D3F2" w14:textId="77777777" w:rsidR="003D77AE" w:rsidRPr="000F7811"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Frist, levy-</w:t>
      </w:r>
      <w:proofErr w:type="spellStart"/>
      <w:r>
        <w:rPr>
          <w:rFonts w:asciiTheme="majorHAnsi" w:hAnsiTheme="majorHAnsi" w:cstheme="majorHAnsi"/>
          <w:color w:val="000000" w:themeColor="text1"/>
          <w:sz w:val="22"/>
          <w:szCs w:val="22"/>
        </w:rPr>
        <w:t>bruhl</w:t>
      </w:r>
      <w:proofErr w:type="spellEnd"/>
      <w:r>
        <w:rPr>
          <w:rFonts w:asciiTheme="majorHAnsi" w:hAnsiTheme="majorHAnsi" w:cstheme="majorHAnsi"/>
          <w:color w:val="000000" w:themeColor="text1"/>
          <w:sz w:val="22"/>
          <w:szCs w:val="22"/>
        </w:rPr>
        <w:t xml:space="preserve"> thinks it’s unthinkable to the western mind (like mine), that seems inconsistent from the ease with which this personifying, inter-relational, intimacy with nature kind of thinking emerged. So maybe it is ‘thinkable’</w:t>
      </w:r>
    </w:p>
    <w:p w14:paraId="2E3DCD39" w14:textId="77777777" w:rsidR="003D77AE" w:rsidRDefault="003D77AE" w:rsidP="003D77AE">
      <w:pPr>
        <w:rPr>
          <w:rFonts w:asciiTheme="majorHAnsi" w:hAnsiTheme="majorHAnsi" w:cstheme="majorHAnsi"/>
          <w:color w:val="000000" w:themeColor="text1"/>
          <w:sz w:val="22"/>
          <w:szCs w:val="22"/>
        </w:rPr>
      </w:pPr>
    </w:p>
    <w:p w14:paraId="13F6C32D" w14:textId="77777777" w:rsidR="003D77AE" w:rsidRDefault="003D77AE" w:rsidP="003D77AE">
      <w:pPr>
        <w:rPr>
          <w:rFonts w:asciiTheme="majorHAnsi" w:hAnsiTheme="majorHAnsi" w:cstheme="majorHAnsi"/>
          <w:color w:val="000000" w:themeColor="text1"/>
          <w:sz w:val="22"/>
          <w:szCs w:val="22"/>
        </w:rPr>
      </w:pPr>
      <w:r w:rsidRPr="00756A38">
        <w:rPr>
          <w:rFonts w:asciiTheme="majorHAnsi" w:hAnsiTheme="majorHAnsi" w:cstheme="majorHAnsi"/>
          <w:color w:val="000000" w:themeColor="text1"/>
          <w:sz w:val="22"/>
          <w:szCs w:val="22"/>
        </w:rPr>
        <w:t>More recently</w:t>
      </w:r>
      <w:r>
        <w:rPr>
          <w:rFonts w:asciiTheme="majorHAnsi" w:hAnsiTheme="majorHAnsi" w:cstheme="majorHAnsi"/>
          <w:color w:val="000000" w:themeColor="text1"/>
          <w:sz w:val="22"/>
          <w:szCs w:val="22"/>
        </w:rPr>
        <w:t xml:space="preserve">, scholars have been questioning the monolithic quality of Weber’s framework, revealing breaks in the imagined totality of disenchantment, and even discounting altogether its claim to have a hold on Western realities.  </w:t>
      </w:r>
    </w:p>
    <w:p w14:paraId="7CAA430D" w14:textId="77777777" w:rsidR="003D77AE" w:rsidRDefault="003D77AE" w:rsidP="003D77AE">
      <w:pPr>
        <w:rPr>
          <w:rFonts w:asciiTheme="majorHAnsi" w:hAnsiTheme="majorHAnsi" w:cstheme="majorHAnsi"/>
          <w:b/>
          <w:bCs/>
          <w:color w:val="000000" w:themeColor="text1"/>
          <w:sz w:val="22"/>
          <w:szCs w:val="22"/>
        </w:rPr>
      </w:pPr>
    </w:p>
    <w:p w14:paraId="2ADB4249" w14:textId="77777777" w:rsidR="003D77AE" w:rsidRDefault="003D77AE" w:rsidP="003D77AE">
      <w:pPr>
        <w:rPr>
          <w:rFonts w:asciiTheme="majorHAnsi" w:hAnsiTheme="majorHAnsi" w:cstheme="majorHAnsi"/>
          <w:b/>
          <w:bCs/>
          <w:color w:val="000000" w:themeColor="text1"/>
          <w:sz w:val="22"/>
          <w:szCs w:val="22"/>
        </w:rPr>
      </w:pPr>
      <w:r>
        <w:rPr>
          <w:rFonts w:asciiTheme="majorHAnsi" w:hAnsiTheme="majorHAnsi" w:cstheme="majorHAnsi"/>
          <w:b/>
          <w:bCs/>
          <w:color w:val="000000" w:themeColor="text1"/>
          <w:sz w:val="22"/>
          <w:szCs w:val="22"/>
        </w:rPr>
        <w:t xml:space="preserve">Doubting disenchantment </w:t>
      </w:r>
    </w:p>
    <w:p w14:paraId="388AA809" w14:textId="77777777" w:rsidR="003D77AE" w:rsidRDefault="003D77AE" w:rsidP="003D77AE">
      <w:pPr>
        <w:rPr>
          <w:rFonts w:asciiTheme="majorHAnsi" w:hAnsiTheme="majorHAnsi" w:cstheme="majorHAnsi"/>
          <w:color w:val="000000" w:themeColor="text1"/>
          <w:sz w:val="22"/>
          <w:szCs w:val="22"/>
        </w:rPr>
      </w:pPr>
      <w:r w:rsidRPr="000919D0">
        <w:rPr>
          <w:rFonts w:asciiTheme="majorHAnsi" w:hAnsiTheme="majorHAnsi" w:cstheme="majorHAnsi"/>
          <w:color w:val="000000" w:themeColor="text1"/>
          <w:sz w:val="22"/>
          <w:szCs w:val="22"/>
        </w:rPr>
        <w:t>The themes and experiences described in the sky journal can be set in the context of other scholars’ ideas about enchantment to contextualize the phenomenologically experiences that emerged.</w:t>
      </w:r>
      <w:r>
        <w:rPr>
          <w:rFonts w:asciiTheme="majorHAnsi" w:hAnsiTheme="majorHAnsi" w:cstheme="majorHAnsi"/>
          <w:color w:val="000000" w:themeColor="text1"/>
          <w:sz w:val="22"/>
          <w:szCs w:val="22"/>
        </w:rPr>
        <w:t xml:space="preserve"> Scholars take up the doubting disenchantment with different degrees of tentativeness and confidence. They describe the places enchantment has occupied within scientific or intellectualist society, and its relationship to disenchantment.</w:t>
      </w:r>
    </w:p>
    <w:p w14:paraId="3A5D3FFB" w14:textId="77777777" w:rsidR="003D77AE" w:rsidRDefault="003D77AE" w:rsidP="003D77AE">
      <w:pPr>
        <w:rPr>
          <w:rFonts w:asciiTheme="majorHAnsi" w:hAnsiTheme="majorHAnsi" w:cstheme="majorHAnsi"/>
          <w:color w:val="000000" w:themeColor="text1"/>
        </w:rPr>
      </w:pPr>
    </w:p>
    <w:p w14:paraId="266C4A70" w14:textId="77777777" w:rsidR="003D77AE" w:rsidRPr="00A52DA4"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In </w:t>
      </w:r>
      <w:r w:rsidRPr="00445EF3">
        <w:rPr>
          <w:rFonts w:asciiTheme="majorHAnsi" w:hAnsiTheme="majorHAnsi" w:cstheme="majorHAnsi"/>
          <w:i/>
          <w:iCs/>
          <w:color w:val="000000" w:themeColor="text1"/>
          <w:sz w:val="22"/>
          <w:szCs w:val="22"/>
        </w:rPr>
        <w:t>Esotericism and the Academy</w:t>
      </w:r>
      <w:r>
        <w:rPr>
          <w:rFonts w:asciiTheme="majorHAnsi" w:hAnsiTheme="majorHAnsi" w:cstheme="majorHAnsi"/>
          <w:color w:val="000000" w:themeColor="text1"/>
          <w:sz w:val="22"/>
          <w:szCs w:val="22"/>
        </w:rPr>
        <w:t xml:space="preserve">, </w:t>
      </w:r>
      <w:proofErr w:type="spellStart"/>
      <w:r w:rsidRPr="00445EF3">
        <w:rPr>
          <w:rFonts w:asciiTheme="majorHAnsi" w:hAnsiTheme="majorHAnsi" w:cstheme="majorHAnsi"/>
          <w:color w:val="000000" w:themeColor="text1"/>
          <w:sz w:val="22"/>
          <w:szCs w:val="22"/>
        </w:rPr>
        <w:t>Hanegraaff</w:t>
      </w:r>
      <w:proofErr w:type="spellEnd"/>
      <w:r w:rsidRPr="00445EF3">
        <w:rPr>
          <w:rFonts w:asciiTheme="majorHAnsi" w:hAnsiTheme="majorHAnsi" w:cstheme="majorHAnsi"/>
          <w:color w:val="000000" w:themeColor="text1"/>
          <w:sz w:val="22"/>
          <w:szCs w:val="22"/>
        </w:rPr>
        <w:t xml:space="preserve"> led </w:t>
      </w:r>
      <w:r>
        <w:rPr>
          <w:rFonts w:asciiTheme="majorHAnsi" w:hAnsiTheme="majorHAnsi" w:cstheme="majorHAnsi"/>
          <w:color w:val="000000" w:themeColor="text1"/>
          <w:sz w:val="22"/>
          <w:szCs w:val="22"/>
        </w:rPr>
        <w:t>curiously and indirectly</w:t>
      </w:r>
      <w:r w:rsidRPr="00445EF3">
        <w:rPr>
          <w:rFonts w:asciiTheme="majorHAnsi" w:hAnsiTheme="majorHAnsi" w:cstheme="majorHAnsi"/>
          <w:color w:val="000000" w:themeColor="text1"/>
          <w:sz w:val="22"/>
          <w:szCs w:val="22"/>
        </w:rPr>
        <w:t xml:space="preserve"> into a description of Western esotericism as that which, though ‘we would not be able to define,’ still ‘we are aware of its existence.’</w:t>
      </w:r>
      <w:r w:rsidRPr="00445EF3">
        <w:rPr>
          <w:rStyle w:val="FootnoteReference"/>
          <w:rFonts w:asciiTheme="majorHAnsi" w:hAnsiTheme="majorHAnsi" w:cstheme="majorHAnsi"/>
          <w:color w:val="000000" w:themeColor="text1"/>
          <w:sz w:val="22"/>
          <w:szCs w:val="22"/>
        </w:rPr>
        <w:footnoteReference w:id="8"/>
      </w:r>
      <w:r w:rsidRPr="00445EF3">
        <w:rPr>
          <w:rFonts w:asciiTheme="majorHAnsi" w:hAnsiTheme="majorHAnsi" w:cstheme="majorHAnsi"/>
          <w:color w:val="000000" w:themeColor="text1"/>
          <w:sz w:val="22"/>
          <w:szCs w:val="22"/>
        </w:rPr>
        <w:t xml:space="preserve"> </w:t>
      </w:r>
      <w:r w:rsidRPr="00445EF3">
        <w:rPr>
          <w:rFonts w:asciiTheme="majorHAnsi" w:hAnsiTheme="majorHAnsi" w:cstheme="majorHAnsi"/>
          <w:color w:val="000000" w:themeColor="text1"/>
          <w:sz w:val="22"/>
          <w:szCs w:val="22"/>
        </w:rPr>
        <w:lastRenderedPageBreak/>
        <w:t>The way he introduce</w:t>
      </w:r>
      <w:r>
        <w:rPr>
          <w:rFonts w:asciiTheme="majorHAnsi" w:hAnsiTheme="majorHAnsi" w:cstheme="majorHAnsi"/>
          <w:color w:val="000000" w:themeColor="text1"/>
          <w:sz w:val="22"/>
          <w:szCs w:val="22"/>
        </w:rPr>
        <w:t>d</w:t>
      </w:r>
      <w:r w:rsidRPr="00445EF3">
        <w:rPr>
          <w:rFonts w:asciiTheme="majorHAnsi" w:hAnsiTheme="majorHAnsi" w:cstheme="majorHAnsi"/>
          <w:color w:val="000000" w:themeColor="text1"/>
          <w:sz w:val="22"/>
          <w:szCs w:val="22"/>
        </w:rPr>
        <w:t xml:space="preserve"> the topic suggest</w:t>
      </w:r>
      <w:r>
        <w:rPr>
          <w:rFonts w:asciiTheme="majorHAnsi" w:hAnsiTheme="majorHAnsi" w:cstheme="majorHAnsi"/>
          <w:color w:val="000000" w:themeColor="text1"/>
          <w:sz w:val="22"/>
          <w:szCs w:val="22"/>
        </w:rPr>
        <w:t>s</w:t>
      </w:r>
      <w:r w:rsidRPr="00445EF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it </w:t>
      </w:r>
      <w:r w:rsidRPr="00445EF3">
        <w:rPr>
          <w:rFonts w:asciiTheme="majorHAnsi" w:hAnsiTheme="majorHAnsi" w:cstheme="majorHAnsi"/>
          <w:color w:val="000000" w:themeColor="text1"/>
          <w:sz w:val="22"/>
          <w:szCs w:val="22"/>
        </w:rPr>
        <w:t>has to be approached obliquely</w:t>
      </w:r>
      <w:r>
        <w:rPr>
          <w:rFonts w:asciiTheme="majorHAnsi" w:hAnsiTheme="majorHAnsi" w:cstheme="majorHAnsi"/>
          <w:color w:val="000000" w:themeColor="text1"/>
          <w:sz w:val="22"/>
          <w:szCs w:val="22"/>
        </w:rPr>
        <w:t xml:space="preserve">. According to </w:t>
      </w:r>
      <w:proofErr w:type="spellStart"/>
      <w:r>
        <w:rPr>
          <w:rFonts w:asciiTheme="majorHAnsi" w:hAnsiTheme="majorHAnsi" w:cstheme="majorHAnsi"/>
          <w:color w:val="000000" w:themeColor="text1"/>
          <w:sz w:val="22"/>
          <w:szCs w:val="22"/>
        </w:rPr>
        <w:t>Hanegraaff</w:t>
      </w:r>
      <w:proofErr w:type="spellEnd"/>
      <w:r>
        <w:rPr>
          <w:rFonts w:asciiTheme="majorHAnsi" w:hAnsiTheme="majorHAnsi" w:cstheme="majorHAnsi"/>
          <w:color w:val="000000" w:themeColor="text1"/>
          <w:sz w:val="22"/>
          <w:szCs w:val="22"/>
        </w:rPr>
        <w:t>, the</w:t>
      </w:r>
      <w:r w:rsidRPr="004F795B">
        <w:rPr>
          <w:rFonts w:asciiTheme="majorHAnsi" w:hAnsiTheme="majorHAnsi" w:cstheme="majorHAnsi"/>
          <w:i/>
          <w:iCs/>
          <w:color w:val="000000" w:themeColor="text1"/>
          <w:sz w:val="22"/>
          <w:szCs w:val="22"/>
        </w:rPr>
        <w:t xml:space="preserve"> </w:t>
      </w:r>
      <w:proofErr w:type="spellStart"/>
      <w:r w:rsidRPr="004F795B">
        <w:rPr>
          <w:rFonts w:asciiTheme="majorHAnsi" w:hAnsiTheme="majorHAnsi" w:cstheme="majorHAnsi"/>
          <w:i/>
          <w:iCs/>
          <w:color w:val="000000" w:themeColor="text1"/>
          <w:sz w:val="22"/>
          <w:szCs w:val="22"/>
        </w:rPr>
        <w:t>how</w:t>
      </w:r>
      <w:proofErr w:type="spellEnd"/>
      <w:r>
        <w:rPr>
          <w:rFonts w:asciiTheme="majorHAnsi" w:hAnsiTheme="majorHAnsi" w:cstheme="majorHAnsi"/>
          <w:color w:val="000000" w:themeColor="text1"/>
          <w:sz w:val="22"/>
          <w:szCs w:val="22"/>
        </w:rPr>
        <w:t xml:space="preserve"> of experiencing enchantment, then, is to not approach too directly. </w:t>
      </w:r>
      <w:r w:rsidRPr="00445EF3">
        <w:rPr>
          <w:rFonts w:asciiTheme="majorHAnsi" w:hAnsiTheme="majorHAnsi" w:cstheme="majorHAnsi"/>
          <w:color w:val="000000" w:themeColor="text1"/>
          <w:sz w:val="22"/>
          <w:szCs w:val="22"/>
        </w:rPr>
        <w:t>He</w:t>
      </w:r>
      <w:r>
        <w:rPr>
          <w:rFonts w:asciiTheme="majorHAnsi" w:hAnsiTheme="majorHAnsi" w:cstheme="majorHAnsi"/>
          <w:color w:val="000000" w:themeColor="text1"/>
          <w:sz w:val="22"/>
          <w:szCs w:val="22"/>
        </w:rPr>
        <w:t xml:space="preserve"> also </w:t>
      </w:r>
      <w:proofErr w:type="spellStart"/>
      <w:r>
        <w:rPr>
          <w:rFonts w:asciiTheme="majorHAnsi" w:hAnsiTheme="majorHAnsi" w:cstheme="majorHAnsi"/>
          <w:color w:val="000000" w:themeColor="text1"/>
          <w:sz w:val="22"/>
          <w:szCs w:val="22"/>
        </w:rPr>
        <w:t>discusseed</w:t>
      </w:r>
      <w:proofErr w:type="spellEnd"/>
      <w:r>
        <w:rPr>
          <w:rFonts w:asciiTheme="majorHAnsi" w:hAnsiTheme="majorHAnsi" w:cstheme="majorHAnsi"/>
          <w:color w:val="000000" w:themeColor="text1"/>
          <w:sz w:val="22"/>
          <w:szCs w:val="22"/>
        </w:rPr>
        <w:t xml:space="preserve"> where.</w:t>
      </w:r>
      <w:r w:rsidRPr="00445EF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He </w:t>
      </w:r>
      <w:r w:rsidRPr="00445EF3">
        <w:rPr>
          <w:rFonts w:asciiTheme="majorHAnsi" w:hAnsiTheme="majorHAnsi" w:cstheme="majorHAnsi"/>
          <w:color w:val="000000" w:themeColor="text1"/>
          <w:sz w:val="22"/>
          <w:szCs w:val="22"/>
        </w:rPr>
        <w:t>argue</w:t>
      </w:r>
      <w:r>
        <w:rPr>
          <w:rFonts w:asciiTheme="majorHAnsi" w:hAnsiTheme="majorHAnsi" w:cstheme="majorHAnsi"/>
          <w:color w:val="000000" w:themeColor="text1"/>
          <w:sz w:val="22"/>
          <w:szCs w:val="22"/>
        </w:rPr>
        <w:t>d</w:t>
      </w:r>
      <w:r w:rsidRPr="00445EF3">
        <w:rPr>
          <w:rFonts w:asciiTheme="majorHAnsi" w:hAnsiTheme="majorHAnsi" w:cstheme="majorHAnsi"/>
          <w:color w:val="000000" w:themeColor="text1"/>
          <w:sz w:val="22"/>
          <w:szCs w:val="22"/>
        </w:rPr>
        <w:t xml:space="preserve"> that esotericism, </w:t>
      </w:r>
      <w:r>
        <w:rPr>
          <w:rFonts w:asciiTheme="majorHAnsi" w:hAnsiTheme="majorHAnsi" w:cstheme="majorHAnsi"/>
          <w:color w:val="000000" w:themeColor="text1"/>
          <w:sz w:val="22"/>
          <w:szCs w:val="22"/>
        </w:rPr>
        <w:t>which includes ‘“the occult,” “magic</w:t>
      </w:r>
      <w:proofErr w:type="gramStart"/>
      <w:r>
        <w:rPr>
          <w:rFonts w:asciiTheme="majorHAnsi" w:hAnsiTheme="majorHAnsi" w:cstheme="majorHAnsi"/>
          <w:color w:val="000000" w:themeColor="text1"/>
          <w:sz w:val="22"/>
          <w:szCs w:val="22"/>
        </w:rPr>
        <w:t>,”…</w:t>
      </w:r>
      <w:proofErr w:type="gramEnd"/>
      <w:r>
        <w:rPr>
          <w:rFonts w:asciiTheme="majorHAnsi" w:hAnsiTheme="majorHAnsi" w:cstheme="majorHAnsi"/>
          <w:color w:val="000000" w:themeColor="text1"/>
          <w:sz w:val="22"/>
          <w:szCs w:val="22"/>
        </w:rPr>
        <w:t>“the irrational,” and so on,’</w:t>
      </w:r>
      <w:r>
        <w:rPr>
          <w:rStyle w:val="FootnoteReference"/>
          <w:rFonts w:asciiTheme="majorHAnsi" w:hAnsiTheme="majorHAnsi" w:cstheme="majorHAnsi"/>
          <w:color w:val="000000" w:themeColor="text1"/>
          <w:sz w:val="22"/>
          <w:szCs w:val="22"/>
        </w:rPr>
        <w:footnoteReference w:id="9"/>
      </w:r>
      <w:r>
        <w:rPr>
          <w:rFonts w:asciiTheme="majorHAnsi" w:hAnsiTheme="majorHAnsi" w:cstheme="majorHAnsi"/>
          <w:color w:val="000000" w:themeColor="text1"/>
          <w:sz w:val="22"/>
          <w:szCs w:val="22"/>
        </w:rPr>
        <w:t xml:space="preserve"> is the</w:t>
      </w:r>
      <w:r w:rsidRPr="00445EF3">
        <w:rPr>
          <w:rFonts w:asciiTheme="majorHAnsi" w:hAnsiTheme="majorHAnsi" w:cstheme="majorHAnsi"/>
          <w:color w:val="000000" w:themeColor="text1"/>
          <w:sz w:val="22"/>
          <w:szCs w:val="22"/>
        </w:rPr>
        <w:t xml:space="preserve"> ‘</w:t>
      </w:r>
      <w:r w:rsidRPr="00445EF3">
        <w:rPr>
          <w:rFonts w:asciiTheme="majorHAnsi" w:hAnsiTheme="majorHAnsi" w:cstheme="majorHAnsi"/>
          <w:i/>
          <w:iCs/>
          <w:color w:val="000000" w:themeColor="text1"/>
          <w:sz w:val="22"/>
          <w:szCs w:val="22"/>
        </w:rPr>
        <w:t>terra incognita’</w:t>
      </w:r>
      <w:r w:rsidRPr="00445EF3">
        <w:rPr>
          <w:rStyle w:val="FootnoteReference"/>
          <w:rFonts w:asciiTheme="majorHAnsi" w:hAnsiTheme="majorHAnsi" w:cstheme="majorHAnsi"/>
          <w:color w:val="000000" w:themeColor="text1"/>
          <w:sz w:val="22"/>
          <w:szCs w:val="22"/>
        </w:rPr>
        <w:footnoteReference w:id="10"/>
      </w:r>
      <w:r w:rsidRPr="00445EF3">
        <w:rPr>
          <w:rFonts w:asciiTheme="majorHAnsi" w:hAnsiTheme="majorHAnsi" w:cstheme="majorHAnsi"/>
          <w:i/>
          <w:iCs/>
          <w:color w:val="000000" w:themeColor="text1"/>
          <w:sz w:val="22"/>
          <w:szCs w:val="22"/>
        </w:rPr>
        <w:t xml:space="preserve"> </w:t>
      </w:r>
      <w:r w:rsidRPr="00445EF3">
        <w:rPr>
          <w:rFonts w:asciiTheme="majorHAnsi" w:hAnsiTheme="majorHAnsi" w:cstheme="majorHAnsi"/>
          <w:color w:val="000000" w:themeColor="text1"/>
          <w:sz w:val="22"/>
          <w:szCs w:val="22"/>
        </w:rPr>
        <w:t>in academic research</w:t>
      </w:r>
      <w:r>
        <w:rPr>
          <w:rFonts w:asciiTheme="majorHAnsi" w:hAnsiTheme="majorHAnsi" w:cstheme="majorHAnsi"/>
          <w:color w:val="000000" w:themeColor="text1"/>
          <w:sz w:val="22"/>
          <w:szCs w:val="22"/>
        </w:rPr>
        <w:t xml:space="preserve"> that </w:t>
      </w:r>
      <w:r w:rsidRPr="00445EF3">
        <w:rPr>
          <w:rFonts w:asciiTheme="majorHAnsi" w:hAnsiTheme="majorHAnsi" w:cstheme="majorHAnsi"/>
          <w:color w:val="000000" w:themeColor="text1"/>
          <w:sz w:val="22"/>
          <w:szCs w:val="22"/>
        </w:rPr>
        <w:t>presents ‘a challenge to our very identity</w:t>
      </w:r>
      <w:r>
        <w:rPr>
          <w:rFonts w:asciiTheme="majorHAnsi" w:hAnsiTheme="majorHAnsi" w:cstheme="majorHAnsi"/>
          <w:color w:val="000000" w:themeColor="text1"/>
          <w:sz w:val="22"/>
          <w:szCs w:val="22"/>
        </w:rPr>
        <w:t>.</w:t>
      </w:r>
      <w:r w:rsidRPr="00445EF3">
        <w:rPr>
          <w:rFonts w:asciiTheme="majorHAnsi" w:hAnsiTheme="majorHAnsi" w:cstheme="majorHAnsi"/>
          <w:color w:val="000000" w:themeColor="text1"/>
          <w:sz w:val="22"/>
          <w:szCs w:val="22"/>
        </w:rPr>
        <w:t>’</w:t>
      </w:r>
      <w:r w:rsidRPr="00445EF3">
        <w:rPr>
          <w:rStyle w:val="FootnoteReference"/>
          <w:rFonts w:asciiTheme="majorHAnsi" w:hAnsiTheme="majorHAnsi" w:cstheme="majorHAnsi"/>
          <w:color w:val="000000" w:themeColor="text1"/>
          <w:sz w:val="22"/>
          <w:szCs w:val="22"/>
        </w:rPr>
        <w:footnoteReference w:id="11"/>
      </w:r>
      <w:r w:rsidRPr="00445EF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Enchantment, within the category of esotericism, is part of the ‘strange country’ that ‘should be conquered or civilized, avoided and ignored, or emulated as a source of inspiration.’ He suggested esotericism and enchantment are found at the in-betweens. </w:t>
      </w:r>
      <w:proofErr w:type="spellStart"/>
      <w:r>
        <w:rPr>
          <w:rFonts w:asciiTheme="majorHAnsi" w:hAnsiTheme="majorHAnsi" w:cstheme="majorHAnsi"/>
          <w:color w:val="000000" w:themeColor="text1"/>
          <w:sz w:val="22"/>
          <w:szCs w:val="22"/>
        </w:rPr>
        <w:t>Hanegraaff</w:t>
      </w:r>
      <w:proofErr w:type="spellEnd"/>
      <w:r>
        <w:rPr>
          <w:rFonts w:asciiTheme="majorHAnsi" w:hAnsiTheme="majorHAnsi" w:cstheme="majorHAnsi"/>
          <w:color w:val="000000" w:themeColor="text1"/>
          <w:sz w:val="22"/>
          <w:szCs w:val="22"/>
        </w:rPr>
        <w:t xml:space="preserve">, here, identified the dualistic that characterize Western regard for esotericism. Enchantment is no exception. </w:t>
      </w:r>
      <w:r>
        <w:rPr>
          <w:rFonts w:asciiTheme="majorHAnsi" w:hAnsiTheme="majorHAnsi" w:cstheme="majorHAnsi"/>
          <w:color w:val="000000" w:themeColor="text1"/>
        </w:rPr>
        <w:t>Unlike Levy-</w:t>
      </w:r>
      <w:proofErr w:type="spellStart"/>
      <w:r>
        <w:rPr>
          <w:rFonts w:asciiTheme="majorHAnsi" w:hAnsiTheme="majorHAnsi" w:cstheme="majorHAnsi"/>
          <w:color w:val="000000" w:themeColor="text1"/>
        </w:rPr>
        <w:t>Bruhl</w:t>
      </w:r>
      <w:proofErr w:type="spellEnd"/>
      <w:r>
        <w:rPr>
          <w:rFonts w:asciiTheme="majorHAnsi" w:hAnsiTheme="majorHAnsi" w:cstheme="majorHAnsi"/>
          <w:color w:val="000000" w:themeColor="text1"/>
        </w:rPr>
        <w:t xml:space="preserve">, </w:t>
      </w:r>
      <w:proofErr w:type="spellStart"/>
      <w:r>
        <w:rPr>
          <w:rFonts w:asciiTheme="majorHAnsi" w:hAnsiTheme="majorHAnsi" w:cstheme="majorHAnsi"/>
          <w:color w:val="000000" w:themeColor="text1"/>
        </w:rPr>
        <w:t>Hanegraaff</w:t>
      </w:r>
      <w:proofErr w:type="spellEnd"/>
      <w:r>
        <w:rPr>
          <w:rFonts w:asciiTheme="majorHAnsi" w:hAnsiTheme="majorHAnsi" w:cstheme="majorHAnsi"/>
          <w:color w:val="000000" w:themeColor="text1"/>
        </w:rPr>
        <w:t xml:space="preserve"> described </w:t>
      </w:r>
      <w:proofErr w:type="gramStart"/>
      <w:r>
        <w:rPr>
          <w:rFonts w:asciiTheme="majorHAnsi" w:hAnsiTheme="majorHAnsi" w:cstheme="majorHAnsi"/>
          <w:color w:val="000000" w:themeColor="text1"/>
        </w:rPr>
        <w:t>an Other</w:t>
      </w:r>
      <w:proofErr w:type="gramEnd"/>
      <w:r>
        <w:rPr>
          <w:rFonts w:asciiTheme="majorHAnsi" w:hAnsiTheme="majorHAnsi" w:cstheme="majorHAnsi"/>
          <w:color w:val="000000" w:themeColor="text1"/>
        </w:rPr>
        <w:t xml:space="preserve"> within Western culture, an unexplored but internal feature of experience.</w:t>
      </w:r>
    </w:p>
    <w:p w14:paraId="237084C1" w14:textId="77777777" w:rsidR="003D77AE" w:rsidRPr="0032499B" w:rsidRDefault="003D77AE" w:rsidP="003D77AE">
      <w:pPr>
        <w:rPr>
          <w:rFonts w:asciiTheme="majorHAnsi" w:hAnsiTheme="majorHAnsi" w:cstheme="majorHAnsi"/>
          <w:color w:val="538135" w:themeColor="accent6" w:themeShade="BF"/>
          <w:sz w:val="22"/>
          <w:szCs w:val="22"/>
        </w:rPr>
      </w:pPr>
    </w:p>
    <w:p w14:paraId="2EA1A054" w14:textId="77777777" w:rsidR="003D77AE" w:rsidRPr="0032499B" w:rsidRDefault="003D77AE" w:rsidP="003D77AE">
      <w:pPr>
        <w:rPr>
          <w:rFonts w:asciiTheme="majorHAnsi" w:hAnsiTheme="majorHAnsi" w:cstheme="majorHAnsi"/>
          <w:color w:val="FF0000"/>
          <w:sz w:val="22"/>
          <w:szCs w:val="22"/>
        </w:rPr>
      </w:pPr>
      <w:r w:rsidRPr="0032499B">
        <w:rPr>
          <w:rFonts w:asciiTheme="majorHAnsi" w:hAnsiTheme="majorHAnsi" w:cstheme="majorHAnsi"/>
          <w:color w:val="000000" w:themeColor="text1"/>
          <w:sz w:val="22"/>
          <w:szCs w:val="22"/>
        </w:rPr>
        <w:t>Patrick Curry also writes of enchantment, focusing specifically on systems of divination which he noted ‘seems an excellent instance of what Max Weber described as “enchantment.”’</w:t>
      </w:r>
      <w:r w:rsidRPr="0032499B">
        <w:rPr>
          <w:rStyle w:val="FootnoteReference"/>
          <w:rFonts w:asciiTheme="majorHAnsi" w:hAnsiTheme="majorHAnsi" w:cstheme="majorHAnsi"/>
          <w:color w:val="000000" w:themeColor="text1"/>
          <w:sz w:val="22"/>
          <w:szCs w:val="22"/>
        </w:rPr>
        <w:footnoteReference w:id="12"/>
      </w:r>
      <w:r w:rsidRPr="0032499B">
        <w:rPr>
          <w:rFonts w:asciiTheme="majorHAnsi" w:hAnsiTheme="majorHAnsi" w:cstheme="majorHAnsi"/>
          <w:color w:val="000000" w:themeColor="text1"/>
          <w:sz w:val="22"/>
          <w:szCs w:val="22"/>
        </w:rPr>
        <w:t xml:space="preserve"> According to Curry, divination represents the survival of one worldview within another.</w:t>
      </w:r>
      <w:r w:rsidRPr="0032499B">
        <w:rPr>
          <w:rStyle w:val="FootnoteReference"/>
          <w:rFonts w:asciiTheme="majorHAnsi" w:hAnsiTheme="majorHAnsi" w:cstheme="majorHAnsi"/>
          <w:color w:val="000000" w:themeColor="text1"/>
          <w:sz w:val="22"/>
          <w:szCs w:val="22"/>
        </w:rPr>
        <w:footnoteReference w:id="13"/>
      </w:r>
      <w:r w:rsidRPr="0032499B">
        <w:rPr>
          <w:rFonts w:asciiTheme="majorHAnsi" w:hAnsiTheme="majorHAnsi" w:cstheme="majorHAnsi"/>
          <w:color w:val="000000" w:themeColor="text1"/>
          <w:sz w:val="22"/>
          <w:szCs w:val="22"/>
        </w:rPr>
        <w:t xml:space="preserve"> He suggests Neoplatonic astrology, and the divination it included, represents an historical ‘compromise between a dominant </w:t>
      </w:r>
      <w:r w:rsidRPr="0032499B">
        <w:rPr>
          <w:rFonts w:asciiTheme="majorHAnsi" w:hAnsiTheme="majorHAnsi" w:cstheme="majorHAnsi"/>
          <w:color w:val="FF0000"/>
          <w:sz w:val="22"/>
          <w:szCs w:val="22"/>
        </w:rPr>
        <w:t xml:space="preserve">[discourse] </w:t>
      </w:r>
      <w:r w:rsidRPr="0032499B">
        <w:rPr>
          <w:rFonts w:asciiTheme="majorHAnsi" w:hAnsiTheme="majorHAnsi" w:cstheme="majorHAnsi"/>
          <w:color w:val="000000" w:themeColor="text1"/>
          <w:sz w:val="22"/>
          <w:szCs w:val="22"/>
        </w:rPr>
        <w:t xml:space="preserve">whose mode entails disenchantment and a subaltern one whose </w:t>
      </w:r>
      <w:r w:rsidRPr="0032499B">
        <w:rPr>
          <w:rFonts w:asciiTheme="majorHAnsi" w:hAnsiTheme="majorHAnsi" w:cstheme="majorHAnsi"/>
          <w:i/>
          <w:iCs/>
          <w:color w:val="000000" w:themeColor="text1"/>
          <w:sz w:val="22"/>
          <w:szCs w:val="22"/>
        </w:rPr>
        <w:t>modus vivendi</w:t>
      </w:r>
      <w:r w:rsidRPr="0032499B">
        <w:rPr>
          <w:rFonts w:asciiTheme="majorHAnsi" w:hAnsiTheme="majorHAnsi" w:cstheme="majorHAnsi"/>
          <w:color w:val="000000" w:themeColor="text1"/>
          <w:sz w:val="22"/>
          <w:szCs w:val="22"/>
        </w:rPr>
        <w:t xml:space="preserve"> is enchantment.’</w:t>
      </w:r>
      <w:r w:rsidRPr="0032499B">
        <w:rPr>
          <w:rStyle w:val="FootnoteReference"/>
          <w:rFonts w:asciiTheme="majorHAnsi" w:hAnsiTheme="majorHAnsi" w:cstheme="majorHAnsi"/>
          <w:color w:val="000000" w:themeColor="text1"/>
          <w:sz w:val="22"/>
          <w:szCs w:val="22"/>
        </w:rPr>
        <w:footnoteReference w:id="14"/>
      </w:r>
      <w:r w:rsidRPr="0032499B">
        <w:rPr>
          <w:rFonts w:asciiTheme="majorHAnsi" w:hAnsiTheme="majorHAnsi" w:cstheme="majorHAnsi"/>
          <w:color w:val="000000" w:themeColor="text1"/>
          <w:sz w:val="22"/>
          <w:szCs w:val="22"/>
        </w:rPr>
        <w:t xml:space="preserve"> He shared examples of spontaneous, divinatory experiences from two separate individuals and instances, and from these, wrote, “I would venture to assert that divination is a </w:t>
      </w:r>
      <w:r w:rsidRPr="0032499B">
        <w:rPr>
          <w:rFonts w:asciiTheme="majorHAnsi" w:hAnsiTheme="majorHAnsi" w:cstheme="majorHAnsi"/>
          <w:i/>
          <w:iCs/>
          <w:color w:val="000000" w:themeColor="text1"/>
          <w:sz w:val="22"/>
          <w:szCs w:val="22"/>
        </w:rPr>
        <w:t xml:space="preserve">natural human faculty,’ </w:t>
      </w:r>
      <w:r w:rsidRPr="0032499B">
        <w:rPr>
          <w:rFonts w:asciiTheme="majorHAnsi" w:hAnsiTheme="majorHAnsi" w:cstheme="majorHAnsi"/>
          <w:color w:val="000000" w:themeColor="text1"/>
          <w:sz w:val="22"/>
          <w:szCs w:val="22"/>
        </w:rPr>
        <w:t>inherent within people.</w:t>
      </w:r>
      <w:r w:rsidRPr="0032499B">
        <w:rPr>
          <w:rStyle w:val="FootnoteReference"/>
          <w:rFonts w:asciiTheme="majorHAnsi" w:hAnsiTheme="majorHAnsi" w:cstheme="majorHAnsi"/>
          <w:color w:val="000000" w:themeColor="text1"/>
          <w:sz w:val="22"/>
          <w:szCs w:val="22"/>
        </w:rPr>
        <w:footnoteReference w:id="15"/>
      </w:r>
      <w:r w:rsidRPr="0032499B">
        <w:rPr>
          <w:rFonts w:asciiTheme="majorHAnsi" w:hAnsiTheme="majorHAnsi" w:cstheme="majorHAnsi"/>
          <w:color w:val="000000" w:themeColor="text1"/>
          <w:sz w:val="22"/>
          <w:szCs w:val="22"/>
        </w:rPr>
        <w:t xml:space="preserve"> Curry concluded that enchantment already exists as a ‘natural’ capacity still present within people, and that ‘Weber’s thousand years of rationalization…have failed to entirely suppress it.’</w:t>
      </w:r>
      <w:r w:rsidRPr="0032499B">
        <w:rPr>
          <w:rStyle w:val="FootnoteReference"/>
          <w:rFonts w:asciiTheme="majorHAnsi" w:hAnsiTheme="majorHAnsi" w:cstheme="majorHAnsi"/>
          <w:color w:val="000000" w:themeColor="text1"/>
          <w:sz w:val="22"/>
          <w:szCs w:val="22"/>
        </w:rPr>
        <w:footnoteReference w:id="16"/>
      </w:r>
      <w:r w:rsidRPr="0032499B">
        <w:rPr>
          <w:rFonts w:asciiTheme="majorHAnsi" w:hAnsiTheme="majorHAnsi" w:cstheme="majorHAnsi"/>
          <w:color w:val="000000" w:themeColor="text1"/>
          <w:sz w:val="22"/>
          <w:szCs w:val="22"/>
        </w:rPr>
        <w:t xml:space="preserve"> </w:t>
      </w:r>
    </w:p>
    <w:p w14:paraId="0990838C" w14:textId="77777777" w:rsidR="003D77AE" w:rsidRPr="0032499B" w:rsidRDefault="003D77AE" w:rsidP="003D77AE">
      <w:pPr>
        <w:rPr>
          <w:rFonts w:asciiTheme="majorHAnsi" w:eastAsiaTheme="minorEastAsia" w:hAnsiTheme="majorHAnsi" w:cstheme="majorHAnsi"/>
          <w:color w:val="000000" w:themeColor="text1"/>
          <w:sz w:val="22"/>
          <w:szCs w:val="22"/>
        </w:rPr>
      </w:pPr>
      <w:r w:rsidRPr="0032499B">
        <w:rPr>
          <w:rFonts w:asciiTheme="majorHAnsi" w:hAnsiTheme="majorHAnsi" w:cstheme="majorHAnsi"/>
          <w:color w:val="000000" w:themeColor="text1"/>
          <w:sz w:val="22"/>
          <w:szCs w:val="22"/>
        </w:rPr>
        <w:t>Curry offered a suggestion for both where and for how enchantment exists focusing on the example of divination specifically. He proposed that within social-cultural structure, enchantment has existed as a ‘subaltern’ or subordinate discourse within a dominant framework of disenchantment. Curry also proposed that the potential for enchantment exists within human faculty, even in a disenchanted. In terms of how, he offered that enchantment is spontaneous and naturally emerging, and he gave examples of cases when divination was both an intentional and an unintentional experience.</w:t>
      </w:r>
    </w:p>
    <w:p w14:paraId="08133AD9" w14:textId="77777777" w:rsidR="003D77AE" w:rsidRPr="0032499B" w:rsidRDefault="003D77AE" w:rsidP="003D77AE">
      <w:pPr>
        <w:rPr>
          <w:rFonts w:asciiTheme="majorHAnsi" w:hAnsiTheme="majorHAnsi" w:cstheme="majorHAnsi"/>
          <w:i/>
          <w:iCs/>
          <w:color w:val="000000" w:themeColor="text1"/>
          <w:sz w:val="22"/>
          <w:szCs w:val="22"/>
        </w:rPr>
      </w:pPr>
      <w:r w:rsidRPr="0032499B">
        <w:rPr>
          <w:rFonts w:asciiTheme="majorHAnsi" w:hAnsiTheme="majorHAnsi" w:cstheme="majorHAnsi"/>
          <w:color w:val="000000" w:themeColor="text1"/>
          <w:sz w:val="22"/>
          <w:szCs w:val="22"/>
        </w:rPr>
        <w:tab/>
      </w:r>
    </w:p>
    <w:p w14:paraId="64C55805"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Similarly, Alison </w:t>
      </w:r>
      <w:proofErr w:type="spellStart"/>
      <w:r w:rsidRPr="00815BB6">
        <w:rPr>
          <w:rFonts w:asciiTheme="majorHAnsi" w:hAnsiTheme="majorHAnsi" w:cstheme="majorHAnsi"/>
          <w:color w:val="000000" w:themeColor="text1"/>
          <w:sz w:val="22"/>
          <w:szCs w:val="22"/>
        </w:rPr>
        <w:t>Coudert</w:t>
      </w:r>
      <w:proofErr w:type="spellEnd"/>
      <w:r w:rsidRPr="00815BB6">
        <w:rPr>
          <w:rFonts w:asciiTheme="majorHAnsi" w:hAnsiTheme="majorHAnsi" w:cstheme="majorHAnsi"/>
          <w:color w:val="000000" w:themeColor="text1"/>
          <w:sz w:val="22"/>
          <w:szCs w:val="22"/>
        </w:rPr>
        <w:t xml:space="preserve"> argued that enchantment always existed in Western history, amidst enlightenment and scientism. The newness and wonder if science brought its own enchantment; many of the scientists who were considered responsible for disenchantment were not, in fact, disenchanted.</w:t>
      </w:r>
      <w:r>
        <w:rPr>
          <w:rFonts w:asciiTheme="majorHAnsi" w:hAnsiTheme="majorHAnsi" w:cstheme="majorHAnsi"/>
          <w:color w:val="000000" w:themeColor="text1"/>
          <w:sz w:val="22"/>
          <w:szCs w:val="22"/>
        </w:rPr>
        <w:t xml:space="preserve"> </w:t>
      </w:r>
      <w:r w:rsidRPr="00815BB6">
        <w:rPr>
          <w:rStyle w:val="FootnoteReference"/>
          <w:rFonts w:asciiTheme="majorHAnsi" w:hAnsiTheme="majorHAnsi" w:cstheme="majorHAnsi"/>
          <w:color w:val="000000" w:themeColor="text1"/>
          <w:sz w:val="22"/>
          <w:szCs w:val="22"/>
        </w:rPr>
        <w:footnoteReference w:id="17"/>
      </w:r>
      <w:r w:rsidRPr="00815BB6">
        <w:rPr>
          <w:rFonts w:asciiTheme="majorHAnsi" w:hAnsiTheme="majorHAnsi" w:cstheme="majorHAnsi"/>
          <w:color w:val="000000" w:themeColor="text1"/>
          <w:sz w:val="22"/>
          <w:szCs w:val="22"/>
        </w:rPr>
        <w:t>‘Boyle, Newton and Locke all practiced alchemy provides more evidence that mechanical philosophy was not triumphant.’ 722</w:t>
      </w:r>
    </w:p>
    <w:p w14:paraId="01CE92B5" w14:textId="77777777" w:rsidR="003D77AE" w:rsidRPr="00815BB6" w:rsidRDefault="003D77AE" w:rsidP="003D77AE">
      <w:pPr>
        <w:rPr>
          <w:rFonts w:asciiTheme="majorHAnsi" w:hAnsiTheme="majorHAnsi" w:cstheme="majorHAnsi"/>
          <w:color w:val="000000" w:themeColor="text1"/>
          <w:sz w:val="22"/>
          <w:szCs w:val="22"/>
        </w:rPr>
      </w:pPr>
    </w:p>
    <w:p w14:paraId="6CDEE9E4" w14:textId="77777777" w:rsidR="003D77AE" w:rsidRPr="0077081C"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Instead of lamenting a disenchanted Western reality, </w:t>
      </w:r>
      <w:proofErr w:type="spellStart"/>
      <w:r w:rsidRPr="00815BB6">
        <w:rPr>
          <w:rFonts w:asciiTheme="majorHAnsi" w:hAnsiTheme="majorHAnsi" w:cstheme="majorHAnsi"/>
          <w:color w:val="000000" w:themeColor="text1"/>
          <w:sz w:val="22"/>
          <w:szCs w:val="22"/>
        </w:rPr>
        <w:t>Coudert</w:t>
      </w:r>
      <w:proofErr w:type="spellEnd"/>
      <w:r w:rsidRPr="00815BB6">
        <w:rPr>
          <w:rFonts w:asciiTheme="majorHAnsi" w:hAnsiTheme="majorHAnsi" w:cstheme="majorHAnsi"/>
          <w:color w:val="000000" w:themeColor="text1"/>
          <w:sz w:val="22"/>
          <w:szCs w:val="22"/>
        </w:rPr>
        <w:t xml:space="preserve"> argued that ‘disenchantment cannot be a permanent feature of life in general</w:t>
      </w:r>
      <w:r>
        <w:rPr>
          <w:rFonts w:asciiTheme="majorHAnsi" w:hAnsiTheme="majorHAnsi" w:cstheme="majorHAnsi"/>
          <w:color w:val="000000" w:themeColor="text1"/>
          <w:sz w:val="22"/>
          <w:szCs w:val="22"/>
        </w:rPr>
        <w:t>.</w:t>
      </w:r>
      <w:r w:rsidRPr="00815BB6">
        <w:rPr>
          <w:rFonts w:asciiTheme="majorHAnsi" w:hAnsiTheme="majorHAnsi" w:cstheme="majorHAnsi"/>
          <w:color w:val="000000" w:themeColor="text1"/>
          <w:sz w:val="22"/>
          <w:szCs w:val="22"/>
        </w:rPr>
        <w:t>’</w:t>
      </w:r>
      <w:r w:rsidRPr="00815BB6">
        <w:rPr>
          <w:rStyle w:val="FootnoteReference"/>
          <w:rFonts w:asciiTheme="majorHAnsi" w:hAnsiTheme="majorHAnsi" w:cstheme="majorHAnsi"/>
          <w:color w:val="000000" w:themeColor="text1"/>
          <w:sz w:val="22"/>
          <w:szCs w:val="22"/>
        </w:rPr>
        <w:footnoteReference w:id="18"/>
      </w:r>
      <w:r>
        <w:rPr>
          <w:rFonts w:asciiTheme="majorHAnsi" w:hAnsiTheme="majorHAnsi" w:cstheme="majorHAnsi"/>
          <w:color w:val="000000" w:themeColor="text1"/>
          <w:sz w:val="22"/>
          <w:szCs w:val="22"/>
        </w:rPr>
        <w:t xml:space="preserve"> This claim directly opposes Weber’s theory of disenchantment. Taking a historical view, </w:t>
      </w:r>
      <w:proofErr w:type="spellStart"/>
      <w:r>
        <w:rPr>
          <w:rFonts w:asciiTheme="majorHAnsi" w:hAnsiTheme="majorHAnsi" w:cstheme="majorHAnsi"/>
          <w:color w:val="000000" w:themeColor="text1"/>
          <w:sz w:val="22"/>
          <w:szCs w:val="22"/>
        </w:rPr>
        <w:t>Coudert</w:t>
      </w:r>
      <w:proofErr w:type="spellEnd"/>
      <w:r>
        <w:rPr>
          <w:rFonts w:asciiTheme="majorHAnsi" w:hAnsiTheme="majorHAnsi" w:cstheme="majorHAnsi"/>
          <w:color w:val="000000" w:themeColor="text1"/>
          <w:sz w:val="22"/>
          <w:szCs w:val="22"/>
        </w:rPr>
        <w:t xml:space="preserve"> described how periods of disenchantment can take hold, but are </w:t>
      </w:r>
      <w:r>
        <w:rPr>
          <w:rFonts w:asciiTheme="majorHAnsi" w:hAnsiTheme="majorHAnsi" w:cstheme="majorHAnsi"/>
          <w:color w:val="000000" w:themeColor="text1"/>
          <w:sz w:val="22"/>
          <w:szCs w:val="22"/>
        </w:rPr>
        <w:lastRenderedPageBreak/>
        <w:t>followed by the return enchantment,</w:t>
      </w:r>
      <w:r>
        <w:rPr>
          <w:rStyle w:val="FootnoteReference"/>
          <w:rFonts w:asciiTheme="majorHAnsi" w:hAnsiTheme="majorHAnsi" w:cstheme="majorHAnsi"/>
          <w:color w:val="000000" w:themeColor="text1"/>
          <w:sz w:val="22"/>
          <w:szCs w:val="22"/>
        </w:rPr>
        <w:footnoteReference w:id="19"/>
      </w:r>
      <w:r>
        <w:rPr>
          <w:rFonts w:asciiTheme="majorHAnsi" w:hAnsiTheme="majorHAnsi" w:cstheme="majorHAnsi"/>
          <w:color w:val="000000" w:themeColor="text1"/>
          <w:sz w:val="22"/>
          <w:szCs w:val="22"/>
        </w:rPr>
        <w:t xml:space="preserve"> and noticed that </w:t>
      </w:r>
      <w:r w:rsidRPr="00815BB6">
        <w:rPr>
          <w:rFonts w:asciiTheme="majorHAnsi" w:hAnsiTheme="majorHAnsi" w:cstheme="majorHAnsi"/>
          <w:color w:val="000000" w:themeColor="text1"/>
          <w:sz w:val="22"/>
          <w:szCs w:val="22"/>
        </w:rPr>
        <w:t>‘disenchantment occurs historically at any time anyone envisions a previous age as being enchanted, unlike his or her own’</w:t>
      </w:r>
      <w:r>
        <w:rPr>
          <w:rStyle w:val="FootnoteReference"/>
          <w:rFonts w:asciiTheme="majorHAnsi" w:hAnsiTheme="majorHAnsi" w:cstheme="majorHAnsi"/>
          <w:color w:val="000000" w:themeColor="text1"/>
          <w:sz w:val="22"/>
          <w:szCs w:val="22"/>
        </w:rPr>
        <w:footnoteReference w:id="20"/>
      </w:r>
    </w:p>
    <w:p w14:paraId="3EBFBC41" w14:textId="77777777" w:rsidR="003D77AE" w:rsidRPr="0077081C" w:rsidRDefault="003D77AE" w:rsidP="003D77AE">
      <w:pPr>
        <w:rPr>
          <w:rFonts w:asciiTheme="majorHAnsi" w:hAnsiTheme="majorHAnsi" w:cstheme="majorHAnsi"/>
          <w:color w:val="AEAAAA" w:themeColor="background2" w:themeShade="BF"/>
          <w:sz w:val="22"/>
          <w:szCs w:val="22"/>
        </w:rPr>
      </w:pPr>
      <w:r w:rsidRPr="00815BB6">
        <w:rPr>
          <w:rFonts w:asciiTheme="majorHAnsi" w:hAnsiTheme="majorHAnsi" w:cstheme="majorHAnsi"/>
          <w:color w:val="000000" w:themeColor="text1"/>
          <w:sz w:val="22"/>
          <w:szCs w:val="22"/>
        </w:rPr>
        <w:tab/>
      </w:r>
      <w:r w:rsidRPr="0077081C">
        <w:rPr>
          <w:rFonts w:asciiTheme="majorHAnsi" w:hAnsiTheme="majorHAnsi" w:cstheme="majorHAnsi"/>
          <w:color w:val="AEAAAA" w:themeColor="background2" w:themeShade="BF"/>
          <w:sz w:val="22"/>
          <w:szCs w:val="22"/>
        </w:rPr>
        <w:t xml:space="preserve">This is at play in Levi </w:t>
      </w:r>
      <w:proofErr w:type="spellStart"/>
      <w:r w:rsidRPr="0077081C">
        <w:rPr>
          <w:rFonts w:asciiTheme="majorHAnsi" w:hAnsiTheme="majorHAnsi" w:cstheme="majorHAnsi"/>
          <w:color w:val="AEAAAA" w:themeColor="background2" w:themeShade="BF"/>
          <w:sz w:val="22"/>
          <w:szCs w:val="22"/>
        </w:rPr>
        <w:t>Bruhl</w:t>
      </w:r>
      <w:proofErr w:type="spellEnd"/>
      <w:r w:rsidRPr="0077081C">
        <w:rPr>
          <w:rFonts w:asciiTheme="majorHAnsi" w:hAnsiTheme="majorHAnsi" w:cstheme="majorHAnsi"/>
          <w:color w:val="AEAAAA" w:themeColor="background2" w:themeShade="BF"/>
          <w:sz w:val="22"/>
          <w:szCs w:val="22"/>
        </w:rPr>
        <w:t xml:space="preserve"> and maybe even Ruggles.</w:t>
      </w:r>
    </w:p>
    <w:p w14:paraId="5CA5CDB9" w14:textId="77777777" w:rsidR="003D77AE" w:rsidRPr="0077081C" w:rsidRDefault="003D77AE" w:rsidP="003D77AE">
      <w:pPr>
        <w:rPr>
          <w:rFonts w:asciiTheme="majorHAnsi" w:hAnsiTheme="majorHAnsi" w:cstheme="majorHAnsi"/>
          <w:color w:val="AEAAAA" w:themeColor="background2" w:themeShade="BF"/>
          <w:sz w:val="22"/>
          <w:szCs w:val="22"/>
        </w:rPr>
      </w:pPr>
      <w:r w:rsidRPr="0077081C">
        <w:rPr>
          <w:rFonts w:asciiTheme="majorHAnsi" w:hAnsiTheme="majorHAnsi" w:cstheme="majorHAnsi"/>
          <w:color w:val="AEAAAA" w:themeColor="background2" w:themeShade="BF"/>
          <w:sz w:val="22"/>
          <w:szCs w:val="22"/>
        </w:rPr>
        <w:tab/>
        <w:t xml:space="preserve">Looking for enchantment outside of – in contrast to – another time or place. </w:t>
      </w:r>
    </w:p>
    <w:p w14:paraId="5FD21051" w14:textId="77777777" w:rsidR="003D77AE" w:rsidRPr="0077081C" w:rsidRDefault="003D77AE" w:rsidP="003D77AE">
      <w:pPr>
        <w:rPr>
          <w:rFonts w:asciiTheme="majorHAnsi" w:hAnsiTheme="majorHAnsi" w:cstheme="majorHAnsi"/>
          <w:color w:val="AEAAAA" w:themeColor="background2" w:themeShade="BF"/>
          <w:sz w:val="22"/>
          <w:szCs w:val="22"/>
        </w:rPr>
      </w:pPr>
    </w:p>
    <w:p w14:paraId="18C8D2AA"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‘scientific and pseudo-scientific explanations of the same phenomena were often so similar made it all the more difficult for ordinary people to distinguish fact from fiction, and the fuzzy line between the two was itself a source of wonder and speculation.’ 723</w:t>
      </w:r>
    </w:p>
    <w:p w14:paraId="6B467210"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How: a choice.</w:t>
      </w:r>
    </w:p>
    <w:p w14:paraId="0892B365"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ab/>
        <w:t xml:space="preserve">In this, </w:t>
      </w:r>
      <w:proofErr w:type="spellStart"/>
      <w:r>
        <w:rPr>
          <w:rFonts w:asciiTheme="majorHAnsi" w:hAnsiTheme="majorHAnsi" w:cstheme="majorHAnsi"/>
          <w:color w:val="000000" w:themeColor="text1"/>
          <w:sz w:val="22"/>
          <w:szCs w:val="22"/>
        </w:rPr>
        <w:t>Coudert</w:t>
      </w:r>
      <w:proofErr w:type="spellEnd"/>
      <w:r>
        <w:rPr>
          <w:rFonts w:asciiTheme="majorHAnsi" w:hAnsiTheme="majorHAnsi" w:cstheme="majorHAnsi"/>
          <w:color w:val="000000" w:themeColor="text1"/>
          <w:sz w:val="22"/>
          <w:szCs w:val="22"/>
        </w:rPr>
        <w:t xml:space="preserve"> </w:t>
      </w:r>
    </w:p>
    <w:p w14:paraId="7EF8EC99"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This ‘fuzzy line’</w:t>
      </w:r>
    </w:p>
    <w:p w14:paraId="2E99B1A7" w14:textId="77777777" w:rsidR="003D77AE"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‘while people could distinguish fact from fiction, they took pleasure in the blurred of the boundary between the two’ (from During) </w:t>
      </w:r>
      <w:r>
        <w:rPr>
          <w:rFonts w:asciiTheme="majorHAnsi" w:hAnsiTheme="majorHAnsi" w:cstheme="majorHAnsi"/>
          <w:color w:val="000000" w:themeColor="text1"/>
          <w:sz w:val="22"/>
          <w:szCs w:val="22"/>
        </w:rPr>
        <w:t>p 737-739</w:t>
      </w:r>
    </w:p>
    <w:p w14:paraId="5941281C"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‘enchantment assumes joyful attachment to the point of love and reverance’739</w:t>
      </w:r>
    </w:p>
    <w:p w14:paraId="33ACAF36" w14:textId="77777777" w:rsidR="003D77AE" w:rsidRDefault="003D77AE" w:rsidP="003D77AE">
      <w:pPr>
        <w:rPr>
          <w:rFonts w:asciiTheme="majorHAnsi" w:hAnsiTheme="majorHAnsi" w:cstheme="majorHAnsi"/>
          <w:color w:val="FF0000"/>
          <w:sz w:val="22"/>
          <w:szCs w:val="22"/>
        </w:rPr>
      </w:pPr>
      <w:r>
        <w:rPr>
          <w:rFonts w:asciiTheme="majorHAnsi" w:hAnsiTheme="majorHAnsi" w:cstheme="majorHAnsi"/>
          <w:color w:val="FF0000"/>
          <w:sz w:val="22"/>
          <w:szCs w:val="22"/>
        </w:rPr>
        <w:t xml:space="preserve">My example – </w:t>
      </w:r>
    </w:p>
    <w:p w14:paraId="02CA79D2" w14:textId="77777777" w:rsidR="003D77AE" w:rsidRPr="0077081C" w:rsidRDefault="003D77AE" w:rsidP="003D77AE">
      <w:pPr>
        <w:rPr>
          <w:rFonts w:asciiTheme="majorHAnsi" w:hAnsiTheme="majorHAnsi" w:cstheme="majorHAnsi"/>
          <w:color w:val="FF0000"/>
          <w:sz w:val="22"/>
          <w:szCs w:val="22"/>
        </w:rPr>
      </w:pPr>
    </w:p>
    <w:p w14:paraId="2CB0208B"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How: emotions</w:t>
      </w:r>
    </w:p>
    <w:p w14:paraId="7BDD3143" w14:textId="77777777" w:rsidR="003D77AE" w:rsidRPr="00815BB6" w:rsidRDefault="003D77AE" w:rsidP="003D77AE">
      <w:pPr>
        <w:rPr>
          <w:rFonts w:asciiTheme="majorHAnsi" w:hAnsiTheme="majorHAnsi" w:cstheme="majorHAnsi"/>
          <w:color w:val="000000" w:themeColor="text1"/>
          <w:sz w:val="22"/>
          <w:szCs w:val="22"/>
        </w:rPr>
      </w:pPr>
      <w:proofErr w:type="spellStart"/>
      <w:r>
        <w:rPr>
          <w:rFonts w:asciiTheme="majorHAnsi" w:hAnsiTheme="majorHAnsi" w:cstheme="majorHAnsi"/>
          <w:color w:val="000000" w:themeColor="text1"/>
          <w:sz w:val="22"/>
          <w:szCs w:val="22"/>
        </w:rPr>
        <w:t>Coudert</w:t>
      </w:r>
      <w:proofErr w:type="spellEnd"/>
      <w:r>
        <w:rPr>
          <w:rFonts w:asciiTheme="majorHAnsi" w:hAnsiTheme="majorHAnsi" w:cstheme="majorHAnsi"/>
          <w:color w:val="000000" w:themeColor="text1"/>
          <w:sz w:val="22"/>
          <w:szCs w:val="22"/>
        </w:rPr>
        <w:t xml:space="preserve"> described the way enchantment was experienced though emotions, especially within the Romantic period. </w:t>
      </w:r>
    </w:p>
    <w:p w14:paraId="6FB7D418"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‘nature must be experienced through feeling” not numbers or abstract mathematics’</w:t>
      </w:r>
    </w:p>
    <w:p w14:paraId="7A508730"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ab/>
        <w:t>‘let the eyes be closed…so that a blind man…can still comprehend an infinite vitality by means of another organ’ 731</w:t>
      </w:r>
    </w:p>
    <w:p w14:paraId="7E5F40FB" w14:textId="77777777" w:rsidR="003D77AE"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“Romantics organic concept of nature” emphasizing </w:t>
      </w:r>
      <w:proofErr w:type="spellStart"/>
      <w:r w:rsidRPr="00815BB6">
        <w:rPr>
          <w:rFonts w:asciiTheme="majorHAnsi" w:hAnsiTheme="majorHAnsi" w:cstheme="majorHAnsi"/>
          <w:color w:val="000000" w:themeColor="text1"/>
          <w:sz w:val="22"/>
          <w:szCs w:val="22"/>
        </w:rPr>
        <w:t>reciptocity</w:t>
      </w:r>
      <w:proofErr w:type="spellEnd"/>
      <w:r w:rsidRPr="00815BB6">
        <w:rPr>
          <w:rFonts w:asciiTheme="majorHAnsi" w:hAnsiTheme="majorHAnsi" w:cstheme="majorHAnsi"/>
          <w:color w:val="000000" w:themeColor="text1"/>
          <w:sz w:val="22"/>
          <w:szCs w:val="22"/>
        </w:rPr>
        <w:t>. ‘man develops for the sake of nature as well as natura develops for the sake of man</w:t>
      </w:r>
      <w:proofErr w:type="gramStart"/>
      <w:r w:rsidRPr="00815BB6">
        <w:rPr>
          <w:rFonts w:asciiTheme="majorHAnsi" w:hAnsiTheme="majorHAnsi" w:cstheme="majorHAnsi"/>
          <w:color w:val="000000" w:themeColor="text1"/>
          <w:sz w:val="22"/>
          <w:szCs w:val="22"/>
        </w:rPr>
        <w:t>’  734</w:t>
      </w:r>
      <w:proofErr w:type="gramEnd"/>
      <w:r>
        <w:rPr>
          <w:rFonts w:asciiTheme="majorHAnsi" w:hAnsiTheme="majorHAnsi" w:cstheme="majorHAnsi"/>
          <w:color w:val="000000" w:themeColor="text1"/>
          <w:sz w:val="22"/>
          <w:szCs w:val="22"/>
        </w:rPr>
        <w:t xml:space="preserve"> </w:t>
      </w:r>
    </w:p>
    <w:p w14:paraId="274CE9D3" w14:textId="77777777" w:rsidR="003D77AE"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Called for integration and holisticness, interconnection is inherent</w:t>
      </w:r>
    </w:p>
    <w:p w14:paraId="4CB31B3E" w14:textId="77777777" w:rsidR="003D77AE" w:rsidRPr="0077081C" w:rsidRDefault="003D77AE" w:rsidP="003D77AE">
      <w:pPr>
        <w:rPr>
          <w:rFonts w:asciiTheme="majorHAnsi" w:hAnsiTheme="majorHAnsi" w:cstheme="majorHAnsi"/>
          <w:color w:val="FF0000"/>
          <w:sz w:val="22"/>
          <w:szCs w:val="22"/>
        </w:rPr>
      </w:pPr>
      <w:r>
        <w:rPr>
          <w:rFonts w:asciiTheme="majorHAnsi" w:hAnsiTheme="majorHAnsi" w:cstheme="majorHAnsi"/>
          <w:color w:val="FF0000"/>
          <w:sz w:val="22"/>
          <w:szCs w:val="22"/>
        </w:rPr>
        <w:t>My example – could I sense the moon without seeing it?</w:t>
      </w:r>
    </w:p>
    <w:p w14:paraId="0E290054" w14:textId="77777777" w:rsidR="003D77AE" w:rsidRDefault="003D77AE" w:rsidP="003D77AE">
      <w:pPr>
        <w:rPr>
          <w:rFonts w:asciiTheme="majorHAnsi" w:hAnsiTheme="majorHAnsi" w:cstheme="majorHAnsi"/>
          <w:color w:val="000000" w:themeColor="text1"/>
          <w:sz w:val="22"/>
          <w:szCs w:val="22"/>
        </w:rPr>
      </w:pPr>
    </w:p>
    <w:p w14:paraId="55FE5215" w14:textId="77777777" w:rsidR="003D77AE" w:rsidRPr="00815BB6" w:rsidRDefault="003D77AE" w:rsidP="003D77AE">
      <w:pPr>
        <w:rPr>
          <w:rFonts w:asciiTheme="majorHAnsi" w:hAnsiTheme="majorHAnsi" w:cstheme="majorHAnsi"/>
          <w:color w:val="000000" w:themeColor="text1"/>
          <w:sz w:val="22"/>
          <w:szCs w:val="22"/>
        </w:rPr>
      </w:pPr>
      <w:proofErr w:type="spellStart"/>
      <w:r>
        <w:rPr>
          <w:rFonts w:asciiTheme="majorHAnsi" w:hAnsiTheme="majorHAnsi" w:cstheme="majorHAnsi"/>
          <w:color w:val="000000" w:themeColor="text1"/>
          <w:sz w:val="22"/>
          <w:szCs w:val="22"/>
        </w:rPr>
        <w:t>Hanegraaff</w:t>
      </w:r>
      <w:proofErr w:type="spellEnd"/>
      <w:r>
        <w:rPr>
          <w:rFonts w:asciiTheme="majorHAnsi" w:hAnsiTheme="majorHAnsi" w:cstheme="majorHAnsi"/>
          <w:color w:val="000000" w:themeColor="text1"/>
          <w:sz w:val="22"/>
          <w:szCs w:val="22"/>
        </w:rPr>
        <w:t xml:space="preserve"> also discusses emotionality as a point of access for esotericism and enchantment. </w:t>
      </w:r>
    </w:p>
    <w:p w14:paraId="189FD8FB"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“dimly aware of an emotional response…” p 1 </w:t>
      </w:r>
      <w:proofErr w:type="spellStart"/>
      <w:r w:rsidRPr="00815BB6">
        <w:rPr>
          <w:rFonts w:asciiTheme="majorHAnsi" w:hAnsiTheme="majorHAnsi" w:cstheme="majorHAnsi"/>
          <w:color w:val="000000" w:themeColor="text1"/>
          <w:sz w:val="22"/>
          <w:szCs w:val="22"/>
        </w:rPr>
        <w:t>Hanegraaff</w:t>
      </w:r>
      <w:proofErr w:type="spellEnd"/>
    </w:p>
    <w:p w14:paraId="4753D77F"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 </w:t>
      </w:r>
    </w:p>
    <w:p w14:paraId="767EF375"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There seem to be not layers of meaning/layered frameworks or </w:t>
      </w:r>
      <w:proofErr w:type="gramStart"/>
      <w:r w:rsidRPr="00815BB6">
        <w:rPr>
          <w:rFonts w:asciiTheme="majorHAnsi" w:hAnsiTheme="majorHAnsi" w:cstheme="majorHAnsi"/>
          <w:color w:val="000000" w:themeColor="text1"/>
          <w:sz w:val="22"/>
          <w:szCs w:val="22"/>
        </w:rPr>
        <w:t>world-views</w:t>
      </w:r>
      <w:proofErr w:type="gramEnd"/>
      <w:r w:rsidRPr="00815BB6">
        <w:rPr>
          <w:rFonts w:asciiTheme="majorHAnsi" w:hAnsiTheme="majorHAnsi" w:cstheme="majorHAnsi"/>
          <w:color w:val="000000" w:themeColor="text1"/>
          <w:sz w:val="22"/>
          <w:szCs w:val="22"/>
        </w:rPr>
        <w:t xml:space="preserve">. </w:t>
      </w:r>
    </w:p>
    <w:p w14:paraId="7F4EC4EA"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Spectrum of objective to subjective \\ of discrete to participatory \\ of observation to accompaniment to conversation/communication (mutual) </w:t>
      </w:r>
    </w:p>
    <w:p w14:paraId="0BE53721" w14:textId="77777777" w:rsidR="003D77AE" w:rsidRPr="00815BB6" w:rsidRDefault="003D77AE" w:rsidP="003D77AE">
      <w:pPr>
        <w:ind w:firstLine="720"/>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This aligns with the way Romantics talked about we know the facts, and we also (choose to) </w:t>
      </w:r>
      <w:proofErr w:type="spellStart"/>
      <w:r w:rsidRPr="00815BB6">
        <w:rPr>
          <w:rFonts w:asciiTheme="majorHAnsi" w:hAnsiTheme="majorHAnsi" w:cstheme="majorHAnsi"/>
          <w:color w:val="000000" w:themeColor="text1"/>
          <w:sz w:val="22"/>
          <w:szCs w:val="22"/>
        </w:rPr>
        <w:t>know wonder</w:t>
      </w:r>
      <w:proofErr w:type="spellEnd"/>
      <w:r w:rsidRPr="00815BB6">
        <w:rPr>
          <w:rFonts w:asciiTheme="majorHAnsi" w:hAnsiTheme="majorHAnsi" w:cstheme="majorHAnsi"/>
          <w:color w:val="000000" w:themeColor="text1"/>
          <w:sz w:val="22"/>
          <w:szCs w:val="22"/>
        </w:rPr>
        <w:t>/imagination. (</w:t>
      </w:r>
      <w:proofErr w:type="spellStart"/>
      <w:r>
        <w:rPr>
          <w:rFonts w:asciiTheme="majorHAnsi" w:hAnsiTheme="majorHAnsi" w:cstheme="majorHAnsi"/>
          <w:color w:val="000000" w:themeColor="text1"/>
          <w:sz w:val="22"/>
          <w:szCs w:val="22"/>
        </w:rPr>
        <w:t>i</w:t>
      </w:r>
      <w:proofErr w:type="spellEnd"/>
      <w:r w:rsidRPr="00815BB6">
        <w:rPr>
          <w:rFonts w:asciiTheme="majorHAnsi" w:hAnsiTheme="majorHAnsi" w:cstheme="majorHAnsi"/>
          <w:color w:val="000000" w:themeColor="text1"/>
          <w:sz w:val="22"/>
          <w:szCs w:val="22"/>
        </w:rPr>
        <w:pgNum/>
      </w:r>
      <w:proofErr w:type="spellStart"/>
      <w:r w:rsidRPr="00815BB6">
        <w:rPr>
          <w:rFonts w:asciiTheme="majorHAnsi" w:hAnsiTheme="majorHAnsi" w:cstheme="majorHAnsi"/>
          <w:color w:val="000000" w:themeColor="text1"/>
          <w:sz w:val="22"/>
          <w:szCs w:val="22"/>
        </w:rPr>
        <w:t>ntegration</w:t>
      </w:r>
      <w:proofErr w:type="spellEnd"/>
      <w:r w:rsidRPr="00815BB6">
        <w:rPr>
          <w:rFonts w:asciiTheme="majorHAnsi" w:hAnsiTheme="majorHAnsi" w:cstheme="majorHAnsi"/>
          <w:color w:val="000000" w:themeColor="text1"/>
          <w:sz w:val="22"/>
          <w:szCs w:val="22"/>
        </w:rPr>
        <w:t>)</w:t>
      </w:r>
    </w:p>
    <w:p w14:paraId="738092AD" w14:textId="77777777" w:rsidR="003D77AE" w:rsidRDefault="003D77AE" w:rsidP="003D77AE">
      <w:pPr>
        <w:rPr>
          <w:rFonts w:asciiTheme="majorHAnsi" w:hAnsiTheme="majorHAnsi" w:cstheme="majorHAnsi"/>
          <w:color w:val="000000" w:themeColor="text1"/>
          <w:sz w:val="22"/>
          <w:szCs w:val="22"/>
        </w:rPr>
      </w:pPr>
    </w:p>
    <w:p w14:paraId="2687DEB3" w14:textId="77777777" w:rsidR="003D77AE" w:rsidRDefault="003D77AE" w:rsidP="003D77AE">
      <w:r>
        <w:t xml:space="preserve">“It is difficult to explain what one feels when discovering an astronomical phenomenon of this type: it is like receiving a message from the distant past, reliving an experience after centuries or millennia of being forgotten” – Esteban, César p 19. </w:t>
      </w:r>
    </w:p>
    <w:p w14:paraId="45774993" w14:textId="77777777" w:rsidR="003D77AE" w:rsidRPr="00815BB6" w:rsidRDefault="003D77AE" w:rsidP="003D77AE">
      <w:pPr>
        <w:rPr>
          <w:rFonts w:asciiTheme="majorHAnsi" w:hAnsiTheme="majorHAnsi" w:cstheme="majorHAnsi"/>
          <w:color w:val="000000" w:themeColor="text1"/>
          <w:sz w:val="22"/>
          <w:szCs w:val="22"/>
        </w:rPr>
      </w:pPr>
    </w:p>
    <w:p w14:paraId="0C4E705C"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To differing degrees, </w:t>
      </w:r>
      <w:proofErr w:type="spellStart"/>
      <w:r w:rsidRPr="00815BB6">
        <w:rPr>
          <w:rFonts w:asciiTheme="majorHAnsi" w:hAnsiTheme="majorHAnsi" w:cstheme="majorHAnsi"/>
          <w:color w:val="000000" w:themeColor="text1"/>
          <w:sz w:val="22"/>
          <w:szCs w:val="22"/>
        </w:rPr>
        <w:t>Hanegraaff</w:t>
      </w:r>
      <w:proofErr w:type="spellEnd"/>
      <w:r w:rsidRPr="00815BB6">
        <w:rPr>
          <w:rFonts w:asciiTheme="majorHAnsi" w:hAnsiTheme="majorHAnsi" w:cstheme="majorHAnsi"/>
          <w:color w:val="000000" w:themeColor="text1"/>
          <w:sz w:val="22"/>
          <w:szCs w:val="22"/>
        </w:rPr>
        <w:t xml:space="preserve">, Curry, and </w:t>
      </w:r>
      <w:proofErr w:type="spellStart"/>
      <w:r w:rsidRPr="00815BB6">
        <w:rPr>
          <w:rFonts w:asciiTheme="majorHAnsi" w:hAnsiTheme="majorHAnsi" w:cstheme="majorHAnsi"/>
          <w:color w:val="000000" w:themeColor="text1"/>
          <w:sz w:val="22"/>
          <w:szCs w:val="22"/>
        </w:rPr>
        <w:t>Coubert</w:t>
      </w:r>
      <w:proofErr w:type="spellEnd"/>
      <w:r w:rsidRPr="00815BB6">
        <w:rPr>
          <w:rFonts w:asciiTheme="majorHAnsi" w:hAnsiTheme="majorHAnsi" w:cstheme="majorHAnsi"/>
          <w:color w:val="000000" w:themeColor="text1"/>
          <w:sz w:val="22"/>
          <w:szCs w:val="22"/>
        </w:rPr>
        <w:t xml:space="preserve"> demonstrate the continuance of enchantment. </w:t>
      </w:r>
      <w:r>
        <w:rPr>
          <w:rFonts w:asciiTheme="majorHAnsi" w:hAnsiTheme="majorHAnsi" w:cstheme="majorHAnsi"/>
          <w:color w:val="000000" w:themeColor="text1"/>
          <w:sz w:val="22"/>
          <w:szCs w:val="22"/>
        </w:rPr>
        <w:t>To some</w:t>
      </w:r>
    </w:p>
    <w:p w14:paraId="383938BD" w14:textId="77777777" w:rsidR="003D77AE" w:rsidRDefault="003D77AE" w:rsidP="003D77AE">
      <w:pPr>
        <w:rPr>
          <w:rFonts w:asciiTheme="majorHAnsi" w:hAnsiTheme="majorHAnsi" w:cstheme="majorHAnsi"/>
          <w:color w:val="000000" w:themeColor="text1"/>
          <w:sz w:val="22"/>
          <w:szCs w:val="22"/>
        </w:rPr>
      </w:pPr>
    </w:p>
    <w:p w14:paraId="064270CC"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lastRenderedPageBreak/>
        <w:t xml:space="preserve">The authors discussed where enchantment is found within Western, scientific reality. Curry proposed it lived subaltern within a dominant disenchanted discourse. </w:t>
      </w:r>
      <w:proofErr w:type="spellStart"/>
      <w:r>
        <w:rPr>
          <w:rFonts w:asciiTheme="majorHAnsi" w:hAnsiTheme="majorHAnsi" w:cstheme="majorHAnsi"/>
          <w:color w:val="000000" w:themeColor="text1"/>
          <w:sz w:val="22"/>
          <w:szCs w:val="22"/>
        </w:rPr>
        <w:t>Coudert</w:t>
      </w:r>
      <w:proofErr w:type="spellEnd"/>
      <w:r>
        <w:rPr>
          <w:rFonts w:asciiTheme="majorHAnsi" w:hAnsiTheme="majorHAnsi" w:cstheme="majorHAnsi"/>
          <w:color w:val="000000" w:themeColor="text1"/>
          <w:sz w:val="22"/>
          <w:szCs w:val="22"/>
        </w:rPr>
        <w:t xml:space="preserve"> offered that enchantment has been a part of </w:t>
      </w:r>
      <w:proofErr w:type="spellStart"/>
      <w:r>
        <w:rPr>
          <w:rFonts w:asciiTheme="majorHAnsi" w:hAnsiTheme="majorHAnsi" w:cstheme="majorHAnsi"/>
          <w:color w:val="000000" w:themeColor="text1"/>
          <w:sz w:val="22"/>
          <w:szCs w:val="22"/>
        </w:rPr>
        <w:t>seicntific</w:t>
      </w:r>
      <w:proofErr w:type="spellEnd"/>
      <w:r>
        <w:rPr>
          <w:rFonts w:asciiTheme="majorHAnsi" w:hAnsiTheme="majorHAnsi" w:cstheme="majorHAnsi"/>
          <w:color w:val="000000" w:themeColor="text1"/>
          <w:sz w:val="22"/>
          <w:szCs w:val="22"/>
        </w:rPr>
        <w:t xml:space="preserve"> revolutions, and even that enchantment is </w:t>
      </w:r>
      <w:proofErr w:type="gramStart"/>
      <w:r>
        <w:rPr>
          <w:rFonts w:asciiTheme="majorHAnsi" w:hAnsiTheme="majorHAnsi" w:cstheme="majorHAnsi"/>
          <w:color w:val="000000" w:themeColor="text1"/>
          <w:sz w:val="22"/>
          <w:szCs w:val="22"/>
        </w:rPr>
        <w:t>a</w:t>
      </w:r>
      <w:proofErr w:type="gramEnd"/>
      <w:r>
        <w:rPr>
          <w:rFonts w:asciiTheme="majorHAnsi" w:hAnsiTheme="majorHAnsi" w:cstheme="majorHAnsi"/>
          <w:color w:val="000000" w:themeColor="text1"/>
          <w:sz w:val="22"/>
          <w:szCs w:val="22"/>
        </w:rPr>
        <w:t xml:space="preserve"> irremovable feature of life.</w:t>
      </w:r>
    </w:p>
    <w:p w14:paraId="3DEDF62F" w14:textId="77777777" w:rsidR="003D77AE" w:rsidRDefault="003D77AE" w:rsidP="003D77AE">
      <w:pPr>
        <w:rPr>
          <w:rFonts w:asciiTheme="majorHAnsi" w:hAnsiTheme="majorHAnsi" w:cstheme="majorHAnsi"/>
          <w:color w:val="000000" w:themeColor="text1"/>
          <w:sz w:val="22"/>
          <w:szCs w:val="22"/>
        </w:rPr>
      </w:pPr>
    </w:p>
    <w:p w14:paraId="6D0A4C21"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In addition to inquiring about enchantment with respect to place, the </w:t>
      </w:r>
      <w:r w:rsidRPr="007C5484">
        <w:rPr>
          <w:rFonts w:asciiTheme="majorHAnsi" w:hAnsiTheme="majorHAnsi" w:cstheme="majorHAnsi"/>
          <w:i/>
          <w:iCs/>
          <w:color w:val="000000" w:themeColor="text1"/>
          <w:sz w:val="22"/>
          <w:szCs w:val="22"/>
        </w:rPr>
        <w:t>where</w:t>
      </w:r>
      <w:r w:rsidRPr="007C5484">
        <w:rPr>
          <w:rFonts w:asciiTheme="majorHAnsi" w:hAnsiTheme="majorHAnsi" w:cstheme="majorHAnsi"/>
          <w:color w:val="000000" w:themeColor="text1"/>
          <w:sz w:val="22"/>
          <w:szCs w:val="22"/>
        </w:rPr>
        <w:t xml:space="preserve">, one can also </w:t>
      </w:r>
      <w:r>
        <w:rPr>
          <w:rFonts w:asciiTheme="majorHAnsi" w:hAnsiTheme="majorHAnsi" w:cstheme="majorHAnsi"/>
          <w:color w:val="000000" w:themeColor="text1"/>
          <w:sz w:val="22"/>
          <w:szCs w:val="22"/>
        </w:rPr>
        <w:t>inquire about the</w:t>
      </w:r>
      <w:r w:rsidRPr="007C5484">
        <w:rPr>
          <w:rFonts w:asciiTheme="majorHAnsi" w:hAnsiTheme="majorHAnsi" w:cstheme="majorHAnsi"/>
          <w:color w:val="000000" w:themeColor="text1"/>
          <w:sz w:val="22"/>
          <w:szCs w:val="22"/>
        </w:rPr>
        <w:t xml:space="preserve"> </w:t>
      </w:r>
      <w:proofErr w:type="spellStart"/>
      <w:r w:rsidRPr="007C5484">
        <w:rPr>
          <w:rFonts w:asciiTheme="majorHAnsi" w:hAnsiTheme="majorHAnsi" w:cstheme="majorHAnsi"/>
          <w:i/>
          <w:iCs/>
          <w:color w:val="000000" w:themeColor="text1"/>
          <w:sz w:val="22"/>
          <w:szCs w:val="22"/>
        </w:rPr>
        <w:t>how</w:t>
      </w:r>
      <w:proofErr w:type="spellEnd"/>
      <w:r>
        <w:rPr>
          <w:rFonts w:asciiTheme="majorHAnsi" w:hAnsiTheme="majorHAnsi" w:cstheme="majorHAnsi"/>
          <w:i/>
          <w:iCs/>
          <w:color w:val="000000" w:themeColor="text1"/>
          <w:sz w:val="22"/>
          <w:szCs w:val="22"/>
        </w:rPr>
        <w:t xml:space="preserve"> </w:t>
      </w:r>
      <w:r w:rsidRPr="007C5484">
        <w:rPr>
          <w:rFonts w:asciiTheme="majorHAnsi" w:hAnsiTheme="majorHAnsi" w:cstheme="majorHAnsi"/>
          <w:color w:val="000000" w:themeColor="text1"/>
          <w:sz w:val="22"/>
          <w:szCs w:val="22"/>
        </w:rPr>
        <w:t>of</w:t>
      </w:r>
      <w:r>
        <w:rPr>
          <w:rFonts w:asciiTheme="majorHAnsi" w:hAnsiTheme="majorHAnsi" w:cstheme="majorHAnsi"/>
          <w:i/>
          <w:iCs/>
          <w:color w:val="000000" w:themeColor="text1"/>
          <w:sz w:val="22"/>
          <w:szCs w:val="22"/>
        </w:rPr>
        <w:t xml:space="preserve"> </w:t>
      </w:r>
      <w:r w:rsidRPr="007C5484">
        <w:rPr>
          <w:rFonts w:asciiTheme="majorHAnsi" w:hAnsiTheme="majorHAnsi" w:cstheme="majorHAnsi"/>
          <w:color w:val="000000" w:themeColor="text1"/>
          <w:sz w:val="22"/>
          <w:szCs w:val="22"/>
        </w:rPr>
        <w:t>enchantment</w:t>
      </w:r>
      <w:r>
        <w:rPr>
          <w:rFonts w:asciiTheme="majorHAnsi" w:hAnsiTheme="majorHAnsi" w:cstheme="majorHAnsi"/>
          <w:color w:val="000000" w:themeColor="text1"/>
          <w:sz w:val="22"/>
          <w:szCs w:val="22"/>
        </w:rPr>
        <w:t xml:space="preserve">, or what ways of being, perceiving, and practicing. </w:t>
      </w:r>
    </w:p>
    <w:p w14:paraId="3F176CC6" w14:textId="77777777" w:rsidR="003D77AE" w:rsidRDefault="003D77AE" w:rsidP="003D77AE">
      <w:pPr>
        <w:rPr>
          <w:rFonts w:asciiTheme="majorHAnsi" w:hAnsiTheme="majorHAnsi" w:cstheme="majorHAnsi"/>
          <w:color w:val="000000" w:themeColor="text1"/>
          <w:sz w:val="22"/>
          <w:szCs w:val="22"/>
        </w:rPr>
      </w:pPr>
    </w:p>
    <w:p w14:paraId="00B4B93B" w14:textId="77777777" w:rsidR="003D77AE"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These scholars’ theories are consistent with the experiences of enchantment that emerged throughout the Sky Journal.</w:t>
      </w:r>
    </w:p>
    <w:p w14:paraId="3032C2FC" w14:textId="77777777" w:rsidR="003D77AE" w:rsidRDefault="003D77AE" w:rsidP="003D77AE">
      <w:pPr>
        <w:rPr>
          <w:rFonts w:asciiTheme="majorHAnsi" w:hAnsiTheme="majorHAnsi" w:cstheme="majorHAnsi"/>
          <w:color w:val="000000" w:themeColor="text1"/>
          <w:sz w:val="22"/>
          <w:szCs w:val="22"/>
        </w:rPr>
      </w:pPr>
    </w:p>
    <w:p w14:paraId="266EFA04" w14:textId="77777777" w:rsidR="003D77AE" w:rsidRPr="007C5484" w:rsidRDefault="003D77AE" w:rsidP="003D77AE">
      <w:pPr>
        <w:rPr>
          <w:rFonts w:asciiTheme="majorHAnsi" w:hAnsiTheme="majorHAnsi" w:cstheme="majorHAnsi"/>
          <w:i/>
          <w:iCs/>
          <w:color w:val="000000" w:themeColor="text1"/>
          <w:sz w:val="22"/>
          <w:szCs w:val="22"/>
        </w:rPr>
      </w:pPr>
      <w:proofErr w:type="spellStart"/>
      <w:r>
        <w:rPr>
          <w:rFonts w:asciiTheme="majorHAnsi" w:hAnsiTheme="majorHAnsi" w:cstheme="majorHAnsi"/>
          <w:color w:val="000000" w:themeColor="text1"/>
          <w:sz w:val="22"/>
          <w:szCs w:val="22"/>
        </w:rPr>
        <w:t>Hannegraaff</w:t>
      </w:r>
      <w:proofErr w:type="spellEnd"/>
      <w:r>
        <w:rPr>
          <w:rFonts w:asciiTheme="majorHAnsi" w:hAnsiTheme="majorHAnsi" w:cstheme="majorHAnsi"/>
          <w:color w:val="000000" w:themeColor="text1"/>
          <w:sz w:val="22"/>
          <w:szCs w:val="22"/>
        </w:rPr>
        <w:t xml:space="preserve"> and Curry addressed how enchantment can be </w:t>
      </w:r>
    </w:p>
    <w:p w14:paraId="0A7A40D6" w14:textId="77777777" w:rsidR="003D77AE" w:rsidRPr="00815BB6" w:rsidRDefault="003D77AE" w:rsidP="003D77AE">
      <w:pPr>
        <w:rPr>
          <w:rFonts w:asciiTheme="majorHAnsi" w:hAnsiTheme="majorHAnsi" w:cstheme="majorHAnsi"/>
          <w:color w:val="FF0000"/>
          <w:sz w:val="22"/>
          <w:szCs w:val="22"/>
        </w:rPr>
      </w:pPr>
      <w:proofErr w:type="spellStart"/>
      <w:r w:rsidRPr="00815BB6">
        <w:rPr>
          <w:rFonts w:asciiTheme="majorHAnsi" w:hAnsiTheme="majorHAnsi" w:cstheme="majorHAnsi"/>
          <w:color w:val="FF0000"/>
          <w:sz w:val="22"/>
          <w:szCs w:val="22"/>
        </w:rPr>
        <w:t>Hannegraff</w:t>
      </w:r>
      <w:proofErr w:type="spellEnd"/>
      <w:r w:rsidRPr="00815BB6">
        <w:rPr>
          <w:rFonts w:asciiTheme="majorHAnsi" w:hAnsiTheme="majorHAnsi" w:cstheme="majorHAnsi"/>
          <w:color w:val="FF0000"/>
          <w:sz w:val="22"/>
          <w:szCs w:val="22"/>
        </w:rPr>
        <w:t xml:space="preserve"> muses that esotericism cannot be defined …in terms recognizable to. But that does not mean it cannot </w:t>
      </w:r>
      <w:r w:rsidRPr="00815BB6">
        <w:rPr>
          <w:rFonts w:asciiTheme="majorHAnsi" w:hAnsiTheme="majorHAnsi" w:cstheme="majorHAnsi"/>
          <w:i/>
          <w:iCs/>
          <w:color w:val="FF0000"/>
          <w:sz w:val="22"/>
          <w:szCs w:val="22"/>
        </w:rPr>
        <w:t>be.</w:t>
      </w:r>
      <w:r>
        <w:rPr>
          <w:rFonts w:asciiTheme="majorHAnsi" w:hAnsiTheme="majorHAnsi" w:cstheme="majorHAnsi"/>
          <w:i/>
          <w:iCs/>
          <w:color w:val="FF0000"/>
          <w:sz w:val="22"/>
          <w:szCs w:val="22"/>
        </w:rPr>
        <w:t xml:space="preserve"> </w:t>
      </w:r>
    </w:p>
    <w:p w14:paraId="0F16179E" w14:textId="77777777" w:rsidR="003D77AE" w:rsidRPr="00815BB6" w:rsidRDefault="003D77AE" w:rsidP="003D77AE">
      <w:pPr>
        <w:rPr>
          <w:rFonts w:asciiTheme="majorHAnsi" w:hAnsiTheme="majorHAnsi" w:cstheme="majorHAnsi"/>
          <w:i/>
          <w:iCs/>
          <w:color w:val="000000" w:themeColor="text1"/>
          <w:sz w:val="22"/>
          <w:szCs w:val="22"/>
        </w:rPr>
      </w:pPr>
      <w:r w:rsidRPr="00815BB6">
        <w:rPr>
          <w:rFonts w:asciiTheme="majorHAnsi" w:hAnsiTheme="majorHAnsi" w:cstheme="majorHAnsi"/>
          <w:color w:val="000000" w:themeColor="text1"/>
          <w:sz w:val="22"/>
          <w:szCs w:val="22"/>
        </w:rPr>
        <w:t xml:space="preserve">Maybe it’s not lost at all, it just doesn’t live under the codifications or </w:t>
      </w:r>
      <w:proofErr w:type="spellStart"/>
      <w:r w:rsidRPr="00815BB6">
        <w:rPr>
          <w:rFonts w:asciiTheme="majorHAnsi" w:hAnsiTheme="majorHAnsi" w:cstheme="majorHAnsi"/>
          <w:color w:val="000000" w:themeColor="text1"/>
          <w:sz w:val="22"/>
          <w:szCs w:val="22"/>
        </w:rPr>
        <w:t>namings</w:t>
      </w:r>
      <w:proofErr w:type="spellEnd"/>
      <w:r w:rsidRPr="00815BB6">
        <w:rPr>
          <w:rFonts w:asciiTheme="majorHAnsi" w:hAnsiTheme="majorHAnsi" w:cstheme="majorHAnsi"/>
          <w:color w:val="000000" w:themeColor="text1"/>
          <w:sz w:val="22"/>
          <w:szCs w:val="22"/>
        </w:rPr>
        <w:t xml:space="preserve"> of science’s categorizations registers!! It lives…is it beyond? Is it </w:t>
      </w:r>
      <w:proofErr w:type="gramStart"/>
      <w:r w:rsidRPr="00815BB6">
        <w:rPr>
          <w:rFonts w:asciiTheme="majorHAnsi" w:hAnsiTheme="majorHAnsi" w:cstheme="majorHAnsi"/>
          <w:color w:val="000000" w:themeColor="text1"/>
          <w:sz w:val="22"/>
          <w:szCs w:val="22"/>
        </w:rPr>
        <w:t>between?...</w:t>
      </w:r>
      <w:proofErr w:type="gramEnd"/>
      <w:r w:rsidRPr="00815BB6">
        <w:rPr>
          <w:rFonts w:asciiTheme="majorHAnsi" w:hAnsiTheme="majorHAnsi" w:cstheme="majorHAnsi"/>
          <w:i/>
          <w:iCs/>
          <w:color w:val="000000" w:themeColor="text1"/>
          <w:sz w:val="22"/>
          <w:szCs w:val="22"/>
        </w:rPr>
        <w:t>This if there is another thing, a third thing, not beyond, but…between? In the midst?</w:t>
      </w:r>
    </w:p>
    <w:p w14:paraId="5D94B744" w14:textId="77777777" w:rsidR="003D77AE" w:rsidRPr="00815BB6" w:rsidRDefault="003D77AE" w:rsidP="003D77AE">
      <w:pPr>
        <w:rPr>
          <w:rFonts w:asciiTheme="majorHAnsi" w:hAnsiTheme="majorHAnsi" w:cstheme="majorHAnsi"/>
          <w:color w:val="000000" w:themeColor="text1"/>
          <w:sz w:val="22"/>
          <w:szCs w:val="22"/>
        </w:rPr>
      </w:pPr>
    </w:p>
    <w:p w14:paraId="2D478A00" w14:textId="77777777" w:rsidR="003D77AE" w:rsidRDefault="003D77AE" w:rsidP="003D77AE">
      <w:pPr>
        <w:rPr>
          <w:rFonts w:asciiTheme="majorHAnsi" w:hAnsiTheme="majorHAnsi" w:cstheme="majorHAnsi"/>
          <w:sz w:val="22"/>
          <w:szCs w:val="22"/>
        </w:rPr>
      </w:pPr>
      <w:r w:rsidRPr="00815BB6">
        <w:rPr>
          <w:rFonts w:asciiTheme="majorHAnsi" w:hAnsiTheme="majorHAnsi" w:cstheme="majorHAnsi"/>
          <w:color w:val="000000" w:themeColor="text1"/>
          <w:sz w:val="22"/>
          <w:szCs w:val="22"/>
        </w:rPr>
        <w:t xml:space="preserve">Maybe the divide itself is overemphasized, as </w:t>
      </w:r>
      <w:proofErr w:type="spellStart"/>
      <w:r w:rsidRPr="00815BB6">
        <w:rPr>
          <w:rFonts w:asciiTheme="majorHAnsi" w:hAnsiTheme="majorHAnsi" w:cstheme="majorHAnsi"/>
          <w:color w:val="000000" w:themeColor="text1"/>
          <w:sz w:val="22"/>
          <w:szCs w:val="22"/>
        </w:rPr>
        <w:t>Lehoux</w:t>
      </w:r>
      <w:proofErr w:type="spellEnd"/>
      <w:r w:rsidRPr="00815BB6">
        <w:rPr>
          <w:rFonts w:asciiTheme="majorHAnsi" w:hAnsiTheme="majorHAnsi" w:cstheme="majorHAnsi"/>
          <w:color w:val="000000" w:themeColor="text1"/>
          <w:sz w:val="22"/>
          <w:szCs w:val="22"/>
        </w:rPr>
        <w:t xml:space="preserve"> suggested. ‘</w:t>
      </w:r>
      <w:r w:rsidRPr="00815BB6">
        <w:rPr>
          <w:rFonts w:asciiTheme="majorHAnsi" w:hAnsiTheme="majorHAnsi" w:cstheme="majorHAnsi"/>
          <w:sz w:val="22"/>
          <w:szCs w:val="22"/>
        </w:rPr>
        <w:t>An important way in which many treatments of astrology have failed us is in their tendency to overemphasize a disjunction in the methodology and epistemological standards across the great modern/premodern, or science/pseudoscience divides.’</w:t>
      </w:r>
    </w:p>
    <w:p w14:paraId="2C85FF83" w14:textId="77777777" w:rsidR="003D77AE" w:rsidRDefault="003D77AE" w:rsidP="003D77AE">
      <w:pPr>
        <w:rPr>
          <w:rFonts w:asciiTheme="majorHAnsi" w:hAnsiTheme="majorHAnsi" w:cstheme="majorHAnsi"/>
          <w:sz w:val="22"/>
          <w:szCs w:val="22"/>
        </w:rPr>
      </w:pPr>
    </w:p>
    <w:p w14:paraId="2BA81271" w14:textId="77777777" w:rsidR="003D77AE" w:rsidRDefault="003D77AE" w:rsidP="003D77AE">
      <w:pPr>
        <w:rPr>
          <w:rFonts w:asciiTheme="majorHAnsi" w:hAnsiTheme="majorHAnsi" w:cstheme="majorHAnsi"/>
          <w:sz w:val="22"/>
          <w:szCs w:val="22"/>
        </w:rPr>
      </w:pPr>
      <w:proofErr w:type="spellStart"/>
      <w:r>
        <w:rPr>
          <w:rFonts w:asciiTheme="majorHAnsi" w:hAnsiTheme="majorHAnsi" w:cstheme="majorHAnsi"/>
          <w:sz w:val="22"/>
          <w:szCs w:val="22"/>
        </w:rPr>
        <w:t>Lehoux’s</w:t>
      </w:r>
      <w:proofErr w:type="spellEnd"/>
      <w:r>
        <w:rPr>
          <w:rFonts w:asciiTheme="majorHAnsi" w:hAnsiTheme="majorHAnsi" w:cstheme="majorHAnsi"/>
          <w:sz w:val="22"/>
          <w:szCs w:val="22"/>
        </w:rPr>
        <w:t xml:space="preserve"> comment loosely reflects </w:t>
      </w:r>
      <w:proofErr w:type="spellStart"/>
      <w:r>
        <w:rPr>
          <w:rFonts w:asciiTheme="majorHAnsi" w:hAnsiTheme="majorHAnsi" w:cstheme="majorHAnsi"/>
          <w:sz w:val="22"/>
          <w:szCs w:val="22"/>
        </w:rPr>
        <w:t>Hannegraaff’s</w:t>
      </w:r>
      <w:proofErr w:type="spellEnd"/>
      <w:r>
        <w:rPr>
          <w:rFonts w:asciiTheme="majorHAnsi" w:hAnsiTheme="majorHAnsi" w:cstheme="majorHAnsi"/>
          <w:sz w:val="22"/>
          <w:szCs w:val="22"/>
        </w:rPr>
        <w:t xml:space="preserve"> observations. Both point to a space in between dualisms, what could be considered a liminal space. </w:t>
      </w:r>
    </w:p>
    <w:p w14:paraId="69D84853" w14:textId="77777777" w:rsidR="003D77AE" w:rsidRPr="00815BB6" w:rsidRDefault="003D77AE" w:rsidP="003D77AE">
      <w:pPr>
        <w:rPr>
          <w:rFonts w:asciiTheme="majorHAnsi" w:hAnsiTheme="majorHAnsi" w:cstheme="majorHAnsi"/>
          <w:sz w:val="22"/>
          <w:szCs w:val="22"/>
        </w:rPr>
      </w:pPr>
      <w:r w:rsidRPr="00815BB6">
        <w:rPr>
          <w:rFonts w:asciiTheme="majorHAnsi" w:hAnsiTheme="majorHAnsi" w:cstheme="majorHAnsi"/>
          <w:sz w:val="22"/>
          <w:szCs w:val="22"/>
        </w:rPr>
        <w:t xml:space="preserve">Liminal space of you/me which then starts to require ideas of “influence” and “affect.” It’s not to say that we are the same. We are not, but we of a something that is the same. </w:t>
      </w:r>
    </w:p>
    <w:p w14:paraId="295B78BD" w14:textId="77777777" w:rsidR="003D77AE" w:rsidRPr="00815BB6" w:rsidRDefault="003D77AE" w:rsidP="003D77AE">
      <w:pPr>
        <w:rPr>
          <w:rFonts w:asciiTheme="majorHAnsi" w:hAnsiTheme="majorHAnsi" w:cstheme="majorHAnsi"/>
          <w:color w:val="000000" w:themeColor="text1"/>
          <w:sz w:val="22"/>
          <w:szCs w:val="22"/>
        </w:rPr>
      </w:pPr>
    </w:p>
    <w:p w14:paraId="3533A34F"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 xml:space="preserve">Maybe where it went has to do with the how, rather than the place. </w:t>
      </w:r>
    </w:p>
    <w:p w14:paraId="190CCD77" w14:textId="77777777" w:rsidR="003D77AE" w:rsidRPr="00815BB6" w:rsidRDefault="003D77AE" w:rsidP="003D77AE">
      <w:pPr>
        <w:rPr>
          <w:rFonts w:asciiTheme="majorHAnsi" w:hAnsiTheme="majorHAnsi" w:cstheme="majorHAnsi"/>
          <w:color w:val="000000" w:themeColor="text1"/>
          <w:sz w:val="22"/>
          <w:szCs w:val="22"/>
        </w:rPr>
      </w:pPr>
      <w:r w:rsidRPr="00815BB6">
        <w:rPr>
          <w:rFonts w:asciiTheme="majorHAnsi" w:hAnsiTheme="majorHAnsi" w:cstheme="majorHAnsi"/>
          <w:color w:val="000000" w:themeColor="text1"/>
          <w:sz w:val="22"/>
          <w:szCs w:val="22"/>
        </w:rPr>
        <w:t>It is exactly in all the places and the ways where the names don’t go. It lays before and after knowing.</w:t>
      </w:r>
    </w:p>
    <w:p w14:paraId="1B3317D0" w14:textId="77777777" w:rsidR="003D77AE" w:rsidRPr="00815BB6" w:rsidRDefault="003D77AE" w:rsidP="003D77AE">
      <w:pPr>
        <w:rPr>
          <w:rFonts w:asciiTheme="majorHAnsi" w:hAnsiTheme="majorHAnsi" w:cstheme="majorHAnsi"/>
          <w:color w:val="000000" w:themeColor="text1"/>
          <w:sz w:val="22"/>
          <w:szCs w:val="22"/>
        </w:rPr>
      </w:pPr>
    </w:p>
    <w:p w14:paraId="12254847" w14:textId="77777777" w:rsidR="003D77AE" w:rsidRPr="00C73F81" w:rsidRDefault="003D77AE" w:rsidP="003D77AE">
      <w:pPr>
        <w:rPr>
          <w:rFonts w:asciiTheme="majorHAnsi" w:hAnsiTheme="majorHAnsi" w:cstheme="majorHAnsi"/>
          <w:color w:val="000000" w:themeColor="text1" w:themeShade="BF"/>
          <w:sz w:val="22"/>
          <w:szCs w:val="22"/>
        </w:rPr>
      </w:pPr>
      <w:r w:rsidRPr="00815BB6">
        <w:rPr>
          <w:rFonts w:asciiTheme="majorHAnsi" w:hAnsiTheme="majorHAnsi" w:cstheme="majorHAnsi"/>
          <w:color w:val="000000" w:themeColor="text1"/>
          <w:sz w:val="22"/>
          <w:szCs w:val="22"/>
        </w:rPr>
        <w:t xml:space="preserve">This all, vaguely, seems to suggest that enchantment is right here, gone </w:t>
      </w:r>
      <w:proofErr w:type="spellStart"/>
      <w:r w:rsidRPr="00815BB6">
        <w:rPr>
          <w:rFonts w:asciiTheme="majorHAnsi" w:hAnsiTheme="majorHAnsi" w:cstheme="majorHAnsi"/>
          <w:color w:val="000000" w:themeColor="text1"/>
          <w:sz w:val="22"/>
          <w:szCs w:val="22"/>
        </w:rPr>
        <w:t>no where</w:t>
      </w:r>
      <w:proofErr w:type="spellEnd"/>
      <w:r w:rsidRPr="00815BB6">
        <w:rPr>
          <w:rFonts w:asciiTheme="majorHAnsi" w:hAnsiTheme="majorHAnsi" w:cstheme="majorHAnsi"/>
          <w:color w:val="000000" w:themeColor="text1"/>
          <w:sz w:val="22"/>
          <w:szCs w:val="22"/>
        </w:rPr>
        <w:t xml:space="preserve">, here in a praxis of sky journaling, of awe, of relational attention…which is consistent with the phenomenology of my sky journal, wherein the shift from disenchanted observations to a much more intimate relationship </w:t>
      </w:r>
      <w:r w:rsidRPr="00815BB6">
        <w:rPr>
          <w:rFonts w:asciiTheme="majorHAnsi" w:hAnsiTheme="majorHAnsi" w:cstheme="majorHAnsi"/>
          <w:color w:val="FF0000"/>
          <w:sz w:val="22"/>
          <w:szCs w:val="22"/>
        </w:rPr>
        <w:t xml:space="preserve">Maybe quote the day 23 of my journal that says: this question seems too crude. With these musings, a sense is that is it known not through mastery or encapsulation, as a scientific approach may direct, but through a suggestive, vaguer kind of pointing. Maybe then, in the sky journal, the enchantment presents itself. </w:t>
      </w:r>
    </w:p>
    <w:p w14:paraId="3B528ABC" w14:textId="77777777" w:rsidR="003D77AE" w:rsidRDefault="003D77AE" w:rsidP="003D77AE">
      <w:pPr>
        <w:rPr>
          <w:rFonts w:asciiTheme="majorHAnsi" w:hAnsiTheme="majorHAnsi" w:cstheme="majorHAnsi"/>
          <w:color w:val="000000" w:themeColor="text1"/>
          <w:sz w:val="22"/>
          <w:szCs w:val="22"/>
        </w:rPr>
      </w:pPr>
    </w:p>
    <w:p w14:paraId="68A117F3" w14:textId="77777777" w:rsidR="003D77AE" w:rsidRPr="0008558F"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In the moon journal, it was the regular attention to the sky that seemed to bring about </w:t>
      </w:r>
      <w:proofErr w:type="spellStart"/>
      <w:r>
        <w:rPr>
          <w:rFonts w:asciiTheme="majorHAnsi" w:hAnsiTheme="majorHAnsi" w:cstheme="majorHAnsi"/>
          <w:color w:val="000000" w:themeColor="text1"/>
          <w:sz w:val="22"/>
          <w:szCs w:val="22"/>
        </w:rPr>
        <w:t>enchamtnemtn</w:t>
      </w:r>
      <w:proofErr w:type="spellEnd"/>
      <w:r>
        <w:rPr>
          <w:rFonts w:asciiTheme="majorHAnsi" w:hAnsiTheme="majorHAnsi" w:cstheme="majorHAnsi"/>
          <w:color w:val="000000" w:themeColor="text1"/>
          <w:sz w:val="22"/>
          <w:szCs w:val="22"/>
        </w:rPr>
        <w:t xml:space="preserve">. </w:t>
      </w:r>
      <w:proofErr w:type="spellStart"/>
      <w:r>
        <w:rPr>
          <w:rFonts w:asciiTheme="majorHAnsi" w:hAnsiTheme="majorHAnsi" w:cstheme="majorHAnsi"/>
          <w:color w:val="000000" w:themeColor="text1"/>
          <w:sz w:val="22"/>
          <w:szCs w:val="22"/>
        </w:rPr>
        <w:t>Wherwas</w:t>
      </w:r>
      <w:proofErr w:type="spellEnd"/>
      <w:r>
        <w:rPr>
          <w:rFonts w:asciiTheme="majorHAnsi" w:hAnsiTheme="majorHAnsi" w:cstheme="majorHAnsi"/>
          <w:color w:val="000000" w:themeColor="text1"/>
          <w:sz w:val="22"/>
          <w:szCs w:val="22"/>
        </w:rPr>
        <w:t xml:space="preserve"> this, at first, was experienced as a discipline, by the end, it was a much deeper sense of wonder and connection with the moon.</w:t>
      </w:r>
      <w:r w:rsidRPr="00815BB6">
        <w:rPr>
          <w:rFonts w:asciiTheme="majorHAnsi" w:hAnsiTheme="majorHAnsi" w:cstheme="majorHAnsi"/>
          <w:color w:val="000000" w:themeColor="text1"/>
          <w:sz w:val="22"/>
          <w:szCs w:val="22"/>
        </w:rPr>
        <w:t xml:space="preserve"> </w:t>
      </w:r>
      <w:r>
        <w:rPr>
          <w:rFonts w:asciiTheme="majorHAnsi" w:hAnsiTheme="majorHAnsi" w:cstheme="majorHAnsi"/>
          <w:color w:val="538135" w:themeColor="accent6" w:themeShade="BF"/>
          <w:sz w:val="22"/>
          <w:szCs w:val="22"/>
        </w:rPr>
        <w:t>The sky journal realized Van Gogh’s idea that to be ‘clearly aware’ of celestial sphere generates the sense that ‘life seems almost enchanted.’</w:t>
      </w:r>
      <w:r>
        <w:rPr>
          <w:rStyle w:val="FootnoteReference"/>
          <w:rFonts w:asciiTheme="majorHAnsi" w:hAnsiTheme="majorHAnsi" w:cstheme="majorHAnsi"/>
          <w:color w:val="538135" w:themeColor="accent6" w:themeShade="BF"/>
          <w:sz w:val="22"/>
          <w:szCs w:val="22"/>
        </w:rPr>
        <w:footnoteReference w:id="21"/>
      </w:r>
    </w:p>
    <w:p w14:paraId="0720B453" w14:textId="77777777" w:rsidR="003D77AE" w:rsidRDefault="003D77AE" w:rsidP="003D77AE">
      <w:pPr>
        <w:rPr>
          <w:rFonts w:asciiTheme="majorHAnsi" w:hAnsiTheme="majorHAnsi" w:cstheme="majorHAnsi"/>
          <w:b/>
          <w:bCs/>
          <w:color w:val="000000" w:themeColor="text1"/>
          <w:sz w:val="22"/>
          <w:szCs w:val="22"/>
        </w:rPr>
      </w:pPr>
    </w:p>
    <w:p w14:paraId="0CB28EF9" w14:textId="77777777" w:rsidR="003D77AE" w:rsidRPr="00C20D0B" w:rsidRDefault="003D77AE" w:rsidP="003D77AE">
      <w:pPr>
        <w:rPr>
          <w:rFonts w:asciiTheme="majorHAnsi" w:hAnsiTheme="majorHAnsi" w:cstheme="majorHAnsi"/>
          <w:b/>
          <w:bCs/>
          <w:color w:val="000000" w:themeColor="text1"/>
          <w:sz w:val="22"/>
          <w:szCs w:val="22"/>
        </w:rPr>
      </w:pPr>
      <w:r w:rsidRPr="00C20D0B">
        <w:rPr>
          <w:rFonts w:asciiTheme="majorHAnsi" w:hAnsiTheme="majorHAnsi" w:cstheme="majorHAnsi"/>
          <w:b/>
          <w:bCs/>
          <w:color w:val="000000" w:themeColor="text1"/>
          <w:sz w:val="22"/>
          <w:szCs w:val="22"/>
        </w:rPr>
        <w:t>Conclusion</w:t>
      </w:r>
    </w:p>
    <w:p w14:paraId="3923B07D" w14:textId="77777777" w:rsidR="003D77AE" w:rsidRPr="00C20D0B" w:rsidRDefault="003D77AE" w:rsidP="003D77AE">
      <w:pPr>
        <w:rPr>
          <w:rFonts w:asciiTheme="majorHAnsi" w:hAnsiTheme="majorHAnsi" w:cstheme="majorHAnsi"/>
          <w:color w:val="000000" w:themeColor="text1"/>
          <w:sz w:val="22"/>
          <w:szCs w:val="22"/>
        </w:rPr>
      </w:pPr>
    </w:p>
    <w:p w14:paraId="29367092" w14:textId="77777777" w:rsidR="003D77AE" w:rsidRPr="00C20D0B" w:rsidRDefault="003D77AE" w:rsidP="003D77AE">
      <w:pPr>
        <w:rPr>
          <w:rFonts w:asciiTheme="majorHAnsi" w:hAnsiTheme="majorHAnsi" w:cstheme="majorHAnsi"/>
          <w:color w:val="000000" w:themeColor="text1"/>
          <w:sz w:val="22"/>
          <w:szCs w:val="22"/>
        </w:rPr>
      </w:pPr>
      <w:r w:rsidRPr="00C20D0B">
        <w:rPr>
          <w:rFonts w:asciiTheme="majorHAnsi" w:hAnsiTheme="majorHAnsi" w:cstheme="majorHAnsi"/>
          <w:color w:val="000000" w:themeColor="text1"/>
          <w:sz w:val="22"/>
          <w:szCs w:val="22"/>
        </w:rPr>
        <w:lastRenderedPageBreak/>
        <w:t xml:space="preserve">The conclusion is: there are many counterexamples to Weber’s theory of disenchantment. Scholars discuss both where enchantment is found within modern, Western, scientistic realities, and also how it is found. The sky journal descriptions also suggest </w:t>
      </w:r>
    </w:p>
    <w:p w14:paraId="28895D9E" w14:textId="77777777" w:rsidR="003D77AE" w:rsidRPr="00C20D0B" w:rsidRDefault="003D77AE" w:rsidP="003D77AE">
      <w:pPr>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Max Weber himself lamented the loss of enchantment, and implied that a societal re-enchantment was needed. Following this, the idea restoring sacredness, reendowing experience with awe and re-enchanting became common. However, the way enchantment was described in the moon journal, together with scholar’s observations of </w:t>
      </w:r>
      <w:r w:rsidRPr="00C20D0B">
        <w:rPr>
          <w:rFonts w:asciiTheme="majorHAnsi" w:hAnsiTheme="majorHAnsi" w:cstheme="majorHAnsi"/>
          <w:i/>
          <w:iCs/>
          <w:color w:val="000000" w:themeColor="text1"/>
          <w:sz w:val="22"/>
          <w:szCs w:val="22"/>
        </w:rPr>
        <w:t xml:space="preserve">how </w:t>
      </w:r>
      <w:r>
        <w:rPr>
          <w:rFonts w:asciiTheme="majorHAnsi" w:hAnsiTheme="majorHAnsi" w:cstheme="majorHAnsi"/>
          <w:color w:val="000000" w:themeColor="text1"/>
          <w:sz w:val="22"/>
          <w:szCs w:val="22"/>
        </w:rPr>
        <w:t xml:space="preserve">enchantment is experienced, suggest that enchantment has not been lost. Rather, a relevant question might be </w:t>
      </w:r>
      <w:r w:rsidRPr="0008558F">
        <w:rPr>
          <w:rFonts w:asciiTheme="majorHAnsi" w:hAnsiTheme="majorHAnsi" w:cstheme="majorHAnsi"/>
          <w:i/>
          <w:iCs/>
          <w:color w:val="000000" w:themeColor="text1"/>
          <w:sz w:val="22"/>
          <w:szCs w:val="22"/>
        </w:rPr>
        <w:t xml:space="preserve">how </w:t>
      </w:r>
      <w:r>
        <w:rPr>
          <w:rFonts w:asciiTheme="majorHAnsi" w:hAnsiTheme="majorHAnsi" w:cstheme="majorHAnsi"/>
          <w:color w:val="000000" w:themeColor="text1"/>
          <w:sz w:val="22"/>
          <w:szCs w:val="22"/>
        </w:rPr>
        <w:t xml:space="preserve">enchantment is being sought. </w:t>
      </w:r>
    </w:p>
    <w:p w14:paraId="38D9424D" w14:textId="77777777" w:rsidR="003D77AE" w:rsidRPr="00815BB6" w:rsidRDefault="003D77AE" w:rsidP="003D77AE">
      <w:pPr>
        <w:rPr>
          <w:rFonts w:asciiTheme="majorHAnsi" w:hAnsiTheme="majorHAnsi" w:cstheme="majorHAnsi"/>
          <w:color w:val="000000" w:themeColor="text1"/>
          <w:sz w:val="22"/>
          <w:szCs w:val="22"/>
        </w:rPr>
      </w:pPr>
    </w:p>
    <w:p w14:paraId="01D15DE4" w14:textId="77777777" w:rsidR="003D77AE" w:rsidRDefault="003D77AE" w:rsidP="003D77AE">
      <w:pPr>
        <w:rPr>
          <w:rFonts w:asciiTheme="majorHAnsi" w:hAnsiTheme="majorHAnsi" w:cstheme="majorHAnsi"/>
          <w:color w:val="000000" w:themeColor="text1"/>
        </w:rPr>
      </w:pPr>
      <w:r>
        <w:rPr>
          <w:rFonts w:asciiTheme="majorHAnsi" w:hAnsiTheme="majorHAnsi" w:cstheme="majorHAnsi"/>
          <w:color w:val="000000" w:themeColor="text1"/>
        </w:rPr>
        <w:br/>
      </w:r>
    </w:p>
    <w:p w14:paraId="580BA61B" w14:textId="77777777" w:rsidR="003D77AE" w:rsidRDefault="003D77AE" w:rsidP="003D77AE">
      <w:pPr>
        <w:rPr>
          <w:rFonts w:asciiTheme="majorHAnsi" w:hAnsiTheme="majorHAnsi" w:cstheme="majorHAnsi"/>
          <w:color w:val="000000" w:themeColor="text1"/>
        </w:rPr>
      </w:pPr>
    </w:p>
    <w:p w14:paraId="51F02F14" w14:textId="77777777" w:rsidR="003D77AE" w:rsidRDefault="003D77AE" w:rsidP="003D77AE">
      <w:pPr>
        <w:rPr>
          <w:rFonts w:asciiTheme="majorHAnsi" w:hAnsiTheme="majorHAnsi" w:cstheme="majorHAnsi"/>
          <w:color w:val="000000" w:themeColor="text1"/>
        </w:rPr>
      </w:pPr>
    </w:p>
    <w:p w14:paraId="064AF7DF" w14:textId="77777777" w:rsidR="003D77AE" w:rsidRDefault="003D77AE" w:rsidP="003D77AE">
      <w:pPr>
        <w:rPr>
          <w:rFonts w:asciiTheme="majorHAnsi" w:hAnsiTheme="majorHAnsi" w:cstheme="majorHAnsi"/>
          <w:color w:val="000000" w:themeColor="text1"/>
        </w:rPr>
      </w:pPr>
    </w:p>
    <w:p w14:paraId="0513E52E" w14:textId="77777777" w:rsidR="003D77AE" w:rsidRDefault="003D77AE" w:rsidP="003D77AE">
      <w:pPr>
        <w:rPr>
          <w:rFonts w:asciiTheme="majorHAnsi" w:hAnsiTheme="majorHAnsi" w:cstheme="majorHAnsi"/>
          <w:color w:val="000000" w:themeColor="text1"/>
        </w:rPr>
      </w:pPr>
      <w:r>
        <w:rPr>
          <w:rFonts w:asciiTheme="majorHAnsi" w:hAnsiTheme="majorHAnsi" w:cstheme="majorHAnsi"/>
          <w:color w:val="000000" w:themeColor="text1"/>
        </w:rPr>
        <w:t>Bibliography</w:t>
      </w:r>
    </w:p>
    <w:p w14:paraId="674BCDE8" w14:textId="77777777" w:rsidR="003D77AE" w:rsidRPr="0041012B" w:rsidRDefault="003D77AE" w:rsidP="003D77AE">
      <w:pPr>
        <w:rPr>
          <w:rFonts w:asciiTheme="majorHAnsi" w:hAnsiTheme="majorHAnsi" w:cstheme="majorHAnsi"/>
          <w:color w:val="000000" w:themeColor="text1"/>
          <w:sz w:val="22"/>
          <w:szCs w:val="22"/>
        </w:rPr>
      </w:pPr>
    </w:p>
    <w:p w14:paraId="62271FF6" w14:textId="77777777" w:rsidR="003D77AE" w:rsidRPr="003D2C94" w:rsidRDefault="003D77AE" w:rsidP="003D77AE">
      <w:pPr>
        <w:rPr>
          <w:rFonts w:asciiTheme="majorHAnsi" w:hAnsiTheme="majorHAnsi" w:cstheme="majorHAnsi"/>
          <w:color w:val="000000" w:themeColor="text1"/>
          <w:sz w:val="22"/>
          <w:szCs w:val="22"/>
        </w:rPr>
      </w:pPr>
      <w:proofErr w:type="spellStart"/>
      <w:r w:rsidRPr="0041012B">
        <w:rPr>
          <w:rFonts w:asciiTheme="majorHAnsi" w:hAnsiTheme="majorHAnsi" w:cstheme="majorHAnsi"/>
          <w:color w:val="000000" w:themeColor="text1"/>
          <w:sz w:val="22"/>
          <w:szCs w:val="22"/>
        </w:rPr>
        <w:t>Coudert</w:t>
      </w:r>
      <w:proofErr w:type="spellEnd"/>
      <w:r w:rsidRPr="0041012B">
        <w:rPr>
          <w:rFonts w:asciiTheme="majorHAnsi" w:hAnsiTheme="majorHAnsi" w:cstheme="majorHAnsi"/>
          <w:color w:val="000000" w:themeColor="text1"/>
          <w:sz w:val="22"/>
          <w:szCs w:val="22"/>
        </w:rPr>
        <w:t>, Allison, P. ‘Rethinking Max Weber’s Theory of Disenchantment’ in</w:t>
      </w:r>
      <w:r w:rsidRPr="0041012B">
        <w:rPr>
          <w:rFonts w:asciiTheme="majorHAnsi" w:hAnsiTheme="majorHAnsi" w:cstheme="majorHAnsi"/>
          <w:i/>
          <w:iCs/>
          <w:color w:val="000000" w:themeColor="text1"/>
          <w:sz w:val="22"/>
          <w:szCs w:val="22"/>
        </w:rPr>
        <w:t xml:space="preserve"> </w:t>
      </w:r>
      <w:r w:rsidRPr="003D2C94">
        <w:rPr>
          <w:rFonts w:asciiTheme="majorHAnsi" w:hAnsiTheme="majorHAnsi" w:cstheme="majorHAnsi"/>
          <w:i/>
          <w:iCs/>
          <w:color w:val="000000" w:themeColor="text1"/>
          <w:sz w:val="22"/>
          <w:szCs w:val="22"/>
        </w:rPr>
        <w:t>Magic and Magicians in the Middle Ages and the Early Modern Time: The Occult in Pre-Modern Sciences, Medicine, Literature, Religion, and Astrology</w:t>
      </w:r>
      <w:r w:rsidRPr="003D2C94">
        <w:rPr>
          <w:rFonts w:asciiTheme="majorHAnsi" w:hAnsiTheme="majorHAnsi" w:cstheme="majorHAnsi"/>
          <w:color w:val="000000" w:themeColor="text1"/>
          <w:sz w:val="22"/>
          <w:szCs w:val="22"/>
        </w:rPr>
        <w:t>, edited by Albrecht Classen, Walter de Gruyter GmbH, 2017.</w:t>
      </w:r>
      <w:r w:rsidRPr="003D2C94">
        <w:rPr>
          <w:rFonts w:asciiTheme="majorHAnsi" w:hAnsiTheme="majorHAnsi" w:cstheme="majorHAnsi"/>
          <w:i/>
          <w:iCs/>
          <w:color w:val="000000" w:themeColor="text1"/>
          <w:sz w:val="22"/>
          <w:szCs w:val="22"/>
        </w:rPr>
        <w:t xml:space="preserve"> ProQuest </w:t>
      </w:r>
      <w:proofErr w:type="spellStart"/>
      <w:r w:rsidRPr="003D2C94">
        <w:rPr>
          <w:rFonts w:asciiTheme="majorHAnsi" w:hAnsiTheme="majorHAnsi" w:cstheme="majorHAnsi"/>
          <w:i/>
          <w:iCs/>
          <w:color w:val="000000" w:themeColor="text1"/>
          <w:sz w:val="22"/>
          <w:szCs w:val="22"/>
        </w:rPr>
        <w:t>Ebook</w:t>
      </w:r>
      <w:proofErr w:type="spellEnd"/>
      <w:r w:rsidRPr="003D2C94">
        <w:rPr>
          <w:rFonts w:asciiTheme="majorHAnsi" w:hAnsiTheme="majorHAnsi" w:cstheme="majorHAnsi"/>
          <w:i/>
          <w:iCs/>
          <w:color w:val="000000" w:themeColor="text1"/>
          <w:sz w:val="22"/>
          <w:szCs w:val="22"/>
        </w:rPr>
        <w:t xml:space="preserve"> Central</w:t>
      </w:r>
      <w:r w:rsidRPr="003D2C94">
        <w:rPr>
          <w:rFonts w:asciiTheme="majorHAnsi" w:hAnsiTheme="majorHAnsi" w:cstheme="majorHAnsi"/>
          <w:color w:val="000000" w:themeColor="text1"/>
          <w:sz w:val="22"/>
          <w:szCs w:val="22"/>
        </w:rPr>
        <w:t>, https://ebookcentral.proquest.com/lib/brynmawr/detail.action?docID=5116172.</w:t>
      </w:r>
    </w:p>
    <w:p w14:paraId="120202AD" w14:textId="77777777" w:rsidR="003D77AE" w:rsidRPr="0041012B" w:rsidRDefault="003D77AE" w:rsidP="003D77AE">
      <w:pPr>
        <w:rPr>
          <w:rFonts w:asciiTheme="majorHAnsi" w:hAnsiTheme="majorHAnsi" w:cstheme="majorHAnsi"/>
          <w:color w:val="000000" w:themeColor="text1"/>
          <w:sz w:val="22"/>
          <w:szCs w:val="22"/>
        </w:rPr>
      </w:pPr>
    </w:p>
    <w:p w14:paraId="722D664F" w14:textId="77777777" w:rsidR="003D77AE" w:rsidRDefault="003D77AE" w:rsidP="003D77AE">
      <w:pPr>
        <w:rPr>
          <w:rFonts w:asciiTheme="majorHAnsi" w:hAnsiTheme="majorHAnsi" w:cstheme="majorHAnsi"/>
          <w:color w:val="000000" w:themeColor="text1"/>
          <w:sz w:val="22"/>
          <w:szCs w:val="22"/>
        </w:rPr>
      </w:pPr>
      <w:r w:rsidRPr="0041012B">
        <w:rPr>
          <w:rFonts w:asciiTheme="majorHAnsi" w:hAnsiTheme="majorHAnsi" w:cstheme="majorHAnsi"/>
          <w:color w:val="000000" w:themeColor="text1"/>
          <w:sz w:val="22"/>
          <w:szCs w:val="22"/>
        </w:rPr>
        <w:t xml:space="preserve">Curry, Patrick. </w:t>
      </w:r>
    </w:p>
    <w:p w14:paraId="52BADF22" w14:textId="77777777" w:rsidR="003D77AE" w:rsidRPr="0041012B" w:rsidRDefault="003D77AE" w:rsidP="003D77AE">
      <w:pPr>
        <w:rPr>
          <w:rFonts w:asciiTheme="majorHAnsi" w:hAnsiTheme="majorHAnsi" w:cstheme="majorHAnsi"/>
          <w:color w:val="000000" w:themeColor="text1"/>
          <w:sz w:val="22"/>
          <w:szCs w:val="22"/>
        </w:rPr>
      </w:pPr>
      <w:r w:rsidRPr="0041361E">
        <w:rPr>
          <w:rFonts w:asciiTheme="majorHAnsi" w:hAnsiTheme="majorHAnsi" w:cstheme="majorHAnsi"/>
          <w:color w:val="000000" w:themeColor="text1"/>
          <w:sz w:val="22"/>
          <w:szCs w:val="22"/>
        </w:rPr>
        <w:t>http://www.patrickcurry.co.uk/papers/Divination.pdf</w:t>
      </w:r>
    </w:p>
    <w:p w14:paraId="660EEDB2" w14:textId="77777777" w:rsidR="003D77AE" w:rsidRDefault="003D77AE" w:rsidP="003D77AE">
      <w:pPr>
        <w:rPr>
          <w:rFonts w:asciiTheme="majorHAnsi" w:hAnsiTheme="majorHAnsi" w:cstheme="majorHAnsi"/>
          <w:color w:val="000000" w:themeColor="text1"/>
          <w:sz w:val="22"/>
          <w:szCs w:val="22"/>
        </w:rPr>
      </w:pPr>
    </w:p>
    <w:p w14:paraId="65C1B767" w14:textId="77777777" w:rsidR="003D77AE" w:rsidRPr="003E05D5" w:rsidRDefault="003D77AE" w:rsidP="003D77AE">
      <w:proofErr w:type="spellStart"/>
      <w:r>
        <w:rPr>
          <w:rFonts w:asciiTheme="majorHAnsi" w:hAnsiTheme="majorHAnsi" w:cstheme="majorHAnsi"/>
          <w:color w:val="000000" w:themeColor="text1"/>
          <w:sz w:val="22"/>
          <w:szCs w:val="22"/>
        </w:rPr>
        <w:t>Lehoux</w:t>
      </w:r>
      <w:proofErr w:type="spellEnd"/>
      <w:r>
        <w:rPr>
          <w:rFonts w:asciiTheme="majorHAnsi" w:hAnsiTheme="majorHAnsi" w:cstheme="majorHAnsi"/>
          <w:color w:val="000000" w:themeColor="text1"/>
          <w:sz w:val="22"/>
          <w:szCs w:val="22"/>
        </w:rPr>
        <w:t xml:space="preserve">, </w:t>
      </w:r>
      <w:proofErr w:type="spellStart"/>
      <w:r>
        <w:rPr>
          <w:rFonts w:asciiTheme="majorHAnsi" w:hAnsiTheme="majorHAnsi" w:cstheme="majorHAnsi"/>
          <w:color w:val="000000" w:themeColor="text1"/>
          <w:sz w:val="22"/>
          <w:szCs w:val="22"/>
        </w:rPr>
        <w:t>Daryn</w:t>
      </w:r>
      <w:proofErr w:type="spellEnd"/>
      <w:r>
        <w:rPr>
          <w:rFonts w:asciiTheme="majorHAnsi" w:hAnsiTheme="majorHAnsi" w:cstheme="majorHAnsi"/>
          <w:color w:val="000000" w:themeColor="text1"/>
          <w:sz w:val="22"/>
          <w:szCs w:val="22"/>
        </w:rPr>
        <w:t xml:space="preserve">. ‘Tomorrow’s News Today: Astrology, Fate, and the Way Out,’ </w:t>
      </w:r>
      <w:r w:rsidRPr="003E05D5">
        <w:rPr>
          <w:rFonts w:asciiTheme="majorHAnsi" w:hAnsiTheme="majorHAnsi" w:cstheme="majorHAnsi"/>
          <w:i/>
          <w:iCs/>
          <w:color w:val="000000" w:themeColor="text1"/>
          <w:sz w:val="22"/>
          <w:szCs w:val="22"/>
        </w:rPr>
        <w:t>Representations</w:t>
      </w:r>
      <w:r>
        <w:rPr>
          <w:rFonts w:asciiTheme="majorHAnsi" w:hAnsiTheme="majorHAnsi" w:cstheme="majorHAnsi"/>
          <w:color w:val="000000" w:themeColor="text1"/>
          <w:sz w:val="22"/>
          <w:szCs w:val="22"/>
        </w:rPr>
        <w:t xml:space="preserve">. </w:t>
      </w:r>
      <w:r w:rsidRPr="003E05D5">
        <w:rPr>
          <w:rFonts w:ascii="Helvetica" w:hAnsi="Helvetica"/>
          <w:color w:val="000000"/>
          <w:spacing w:val="-5"/>
          <w:sz w:val="21"/>
          <w:szCs w:val="21"/>
        </w:rPr>
        <w:t>Vol. 95, No. 1 (Summer 2006), pp. 105-122 </w:t>
      </w:r>
    </w:p>
    <w:p w14:paraId="53A5E047" w14:textId="77777777" w:rsidR="003D77AE" w:rsidRPr="0041012B" w:rsidRDefault="003D77AE" w:rsidP="003D77AE">
      <w:pPr>
        <w:rPr>
          <w:rFonts w:asciiTheme="majorHAnsi" w:hAnsiTheme="majorHAnsi" w:cstheme="majorHAnsi"/>
          <w:color w:val="000000" w:themeColor="text1"/>
          <w:sz w:val="22"/>
          <w:szCs w:val="22"/>
        </w:rPr>
      </w:pPr>
    </w:p>
    <w:p w14:paraId="1D99F948" w14:textId="77777777" w:rsidR="003D77AE" w:rsidRPr="0041012B" w:rsidRDefault="003D77AE" w:rsidP="003D77AE">
      <w:pPr>
        <w:rPr>
          <w:rFonts w:asciiTheme="majorHAnsi" w:hAnsiTheme="majorHAnsi" w:cstheme="majorHAnsi"/>
          <w:color w:val="000000" w:themeColor="text1"/>
          <w:sz w:val="22"/>
          <w:szCs w:val="22"/>
        </w:rPr>
      </w:pPr>
      <w:r w:rsidRPr="0041012B">
        <w:rPr>
          <w:rFonts w:asciiTheme="majorHAnsi" w:hAnsiTheme="majorHAnsi" w:cstheme="majorHAnsi"/>
          <w:color w:val="000000" w:themeColor="text1"/>
          <w:sz w:val="22"/>
          <w:szCs w:val="22"/>
        </w:rPr>
        <w:t xml:space="preserve">Weber, Max, </w:t>
      </w:r>
      <w:proofErr w:type="spellStart"/>
      <w:r w:rsidRPr="0041012B">
        <w:rPr>
          <w:rFonts w:asciiTheme="majorHAnsi" w:hAnsiTheme="majorHAnsi" w:cstheme="majorHAnsi"/>
          <w:color w:val="000000" w:themeColor="text1"/>
          <w:sz w:val="22"/>
          <w:szCs w:val="22"/>
        </w:rPr>
        <w:t>Gerth</w:t>
      </w:r>
      <w:proofErr w:type="spellEnd"/>
      <w:r w:rsidRPr="0041012B">
        <w:rPr>
          <w:rFonts w:asciiTheme="majorHAnsi" w:hAnsiTheme="majorHAnsi" w:cstheme="majorHAnsi"/>
          <w:color w:val="000000" w:themeColor="text1"/>
          <w:sz w:val="22"/>
          <w:szCs w:val="22"/>
        </w:rPr>
        <w:t>, H. H., and Mills, Wright from Max Weber: Essays in Sociology</w:t>
      </w:r>
    </w:p>
    <w:p w14:paraId="36FD11CE" w14:textId="77777777" w:rsidR="003D77AE" w:rsidRPr="0041012B" w:rsidRDefault="003D77AE" w:rsidP="003D77AE">
      <w:pPr>
        <w:rPr>
          <w:rFonts w:asciiTheme="majorHAnsi" w:hAnsiTheme="majorHAnsi" w:cstheme="majorHAnsi"/>
          <w:color w:val="000000" w:themeColor="text1"/>
          <w:sz w:val="22"/>
          <w:szCs w:val="22"/>
        </w:rPr>
      </w:pPr>
    </w:p>
    <w:p w14:paraId="25A0CCBA" w14:textId="77777777" w:rsidR="003D77AE" w:rsidRDefault="003D77AE" w:rsidP="003D77AE">
      <w:pPr>
        <w:rPr>
          <w:rFonts w:asciiTheme="majorHAnsi" w:hAnsiTheme="majorHAnsi" w:cstheme="majorHAnsi"/>
          <w:color w:val="000000" w:themeColor="text1"/>
        </w:rPr>
      </w:pPr>
      <w:proofErr w:type="spellStart"/>
      <w:r w:rsidRPr="00183483">
        <w:rPr>
          <w:rFonts w:asciiTheme="majorHAnsi" w:hAnsiTheme="majorHAnsi" w:cstheme="majorHAnsi"/>
          <w:sz w:val="22"/>
          <w:szCs w:val="22"/>
        </w:rPr>
        <w:t>Wouter</w:t>
      </w:r>
      <w:proofErr w:type="spellEnd"/>
      <w:r w:rsidRPr="00183483">
        <w:rPr>
          <w:rFonts w:asciiTheme="majorHAnsi" w:hAnsiTheme="majorHAnsi" w:cstheme="majorHAnsi"/>
          <w:sz w:val="22"/>
          <w:szCs w:val="22"/>
        </w:rPr>
        <w:t xml:space="preserve"> J. </w:t>
      </w:r>
      <w:proofErr w:type="spellStart"/>
      <w:r w:rsidRPr="00183483">
        <w:rPr>
          <w:rFonts w:asciiTheme="majorHAnsi" w:hAnsiTheme="majorHAnsi" w:cstheme="majorHAnsi"/>
          <w:sz w:val="22"/>
          <w:szCs w:val="22"/>
        </w:rPr>
        <w:t>Hanegr</w:t>
      </w:r>
      <w:r>
        <w:rPr>
          <w:rFonts w:asciiTheme="majorHAnsi" w:hAnsiTheme="majorHAnsi" w:cstheme="majorHAnsi"/>
          <w:sz w:val="22"/>
          <w:szCs w:val="22"/>
        </w:rPr>
        <w:t>a</w:t>
      </w:r>
      <w:r w:rsidRPr="00183483">
        <w:rPr>
          <w:rFonts w:asciiTheme="majorHAnsi" w:hAnsiTheme="majorHAnsi" w:cstheme="majorHAnsi"/>
          <w:sz w:val="22"/>
          <w:szCs w:val="22"/>
        </w:rPr>
        <w:t>aff</w:t>
      </w:r>
      <w:proofErr w:type="spellEnd"/>
      <w:r>
        <w:rPr>
          <w:rFonts w:asciiTheme="majorHAnsi" w:hAnsiTheme="majorHAnsi" w:cstheme="majorHAnsi"/>
          <w:sz w:val="22"/>
          <w:szCs w:val="22"/>
        </w:rPr>
        <w:t>,</w:t>
      </w:r>
      <w:r w:rsidRPr="00183483">
        <w:rPr>
          <w:rFonts w:asciiTheme="majorHAnsi" w:hAnsiTheme="majorHAnsi" w:cstheme="majorHAnsi"/>
          <w:sz w:val="22"/>
          <w:szCs w:val="22"/>
        </w:rPr>
        <w:t xml:space="preserve"> Esotericism and the Academy: Rejected Knowledge in Western Culture. </w:t>
      </w:r>
      <w:r>
        <w:rPr>
          <w:rFonts w:asciiTheme="majorHAnsi" w:hAnsiTheme="majorHAnsi" w:cstheme="majorHAnsi"/>
          <w:sz w:val="22"/>
          <w:szCs w:val="22"/>
        </w:rPr>
        <w:t>(</w:t>
      </w:r>
      <w:r w:rsidRPr="00183483">
        <w:rPr>
          <w:rFonts w:asciiTheme="majorHAnsi" w:hAnsiTheme="majorHAnsi" w:cstheme="majorHAnsi"/>
          <w:sz w:val="22"/>
          <w:szCs w:val="22"/>
        </w:rPr>
        <w:t>Cambridge University Press</w:t>
      </w:r>
      <w:r>
        <w:rPr>
          <w:rFonts w:asciiTheme="majorHAnsi" w:hAnsiTheme="majorHAnsi" w:cstheme="majorHAnsi"/>
          <w:sz w:val="22"/>
          <w:szCs w:val="22"/>
        </w:rPr>
        <w:t>:</w:t>
      </w:r>
      <w:r w:rsidRPr="00183483">
        <w:rPr>
          <w:rFonts w:asciiTheme="majorHAnsi" w:hAnsiTheme="majorHAnsi" w:cstheme="majorHAnsi"/>
          <w:sz w:val="22"/>
          <w:szCs w:val="22"/>
        </w:rPr>
        <w:t xml:space="preserve"> 2012</w:t>
      </w:r>
      <w:r>
        <w:rPr>
          <w:rFonts w:asciiTheme="majorHAnsi" w:hAnsiTheme="majorHAnsi" w:cstheme="majorHAnsi"/>
          <w:sz w:val="22"/>
          <w:szCs w:val="22"/>
        </w:rPr>
        <w:t>).</w:t>
      </w:r>
      <w:r w:rsidRPr="00183483">
        <w:rPr>
          <w:rFonts w:asciiTheme="majorHAnsi" w:hAnsiTheme="majorHAnsi" w:cstheme="majorHAnsi"/>
          <w:sz w:val="22"/>
          <w:szCs w:val="22"/>
        </w:rPr>
        <w:t xml:space="preserve"> </w:t>
      </w:r>
      <w:r>
        <w:rPr>
          <w:rFonts w:asciiTheme="majorHAnsi" w:hAnsiTheme="majorHAnsi" w:cstheme="majorHAnsi"/>
          <w:sz w:val="22"/>
          <w:szCs w:val="22"/>
        </w:rPr>
        <w:t xml:space="preserve">p. 1. </w:t>
      </w:r>
      <w:hyperlink r:id="rId7" w:history="1">
        <w:r w:rsidRPr="002C4991">
          <w:rPr>
            <w:rStyle w:val="Hyperlink"/>
            <w:rFonts w:asciiTheme="majorHAnsi" w:hAnsiTheme="majorHAnsi" w:cstheme="majorHAnsi"/>
            <w:sz w:val="22"/>
            <w:szCs w:val="22"/>
            <w:bdr w:val="none" w:sz="0" w:space="0" w:color="auto" w:frame="1"/>
            <w:shd w:val="clear" w:color="auto" w:fill="FFFFFF"/>
          </w:rPr>
          <w:t>https://doi-org.proxy.brynmawr.edu/10.1017/CBO9781139048064</w:t>
        </w:r>
      </w:hyperlink>
    </w:p>
    <w:p w14:paraId="24DABA96" w14:textId="77777777" w:rsidR="003D77AE" w:rsidRDefault="003D77AE" w:rsidP="003D77AE">
      <w:pPr>
        <w:rPr>
          <w:rFonts w:asciiTheme="majorHAnsi" w:hAnsiTheme="majorHAnsi" w:cstheme="majorHAnsi"/>
          <w:color w:val="000000" w:themeColor="text1"/>
        </w:rPr>
      </w:pPr>
    </w:p>
    <w:p w14:paraId="7634DD1D" w14:textId="77777777" w:rsidR="003D77AE" w:rsidRDefault="003D77AE" w:rsidP="003D77AE">
      <w:pPr>
        <w:rPr>
          <w:rFonts w:asciiTheme="majorHAnsi" w:hAnsiTheme="majorHAnsi" w:cstheme="majorHAnsi"/>
          <w:color w:val="000000" w:themeColor="text1"/>
        </w:rPr>
      </w:pPr>
      <w:r>
        <w:rPr>
          <w:rFonts w:asciiTheme="majorHAnsi" w:hAnsiTheme="majorHAnsi" w:cstheme="majorHAnsi"/>
          <w:color w:val="000000" w:themeColor="text1"/>
        </w:rPr>
        <w:t xml:space="preserve">Van Gogh. </w:t>
      </w:r>
    </w:p>
    <w:p w14:paraId="65138C75" w14:textId="77777777" w:rsidR="003D77AE" w:rsidRDefault="003D77AE" w:rsidP="003D77AE">
      <w:pPr>
        <w:rPr>
          <w:rFonts w:asciiTheme="majorHAnsi" w:hAnsiTheme="majorHAnsi" w:cstheme="majorHAnsi"/>
          <w:color w:val="000000" w:themeColor="text1"/>
        </w:rPr>
      </w:pPr>
    </w:p>
    <w:p w14:paraId="3A004623" w14:textId="77777777" w:rsidR="003D77AE" w:rsidRDefault="003D77AE" w:rsidP="003D77AE">
      <w:pPr>
        <w:rPr>
          <w:rFonts w:asciiTheme="majorHAnsi" w:hAnsiTheme="majorHAnsi" w:cstheme="majorHAnsi"/>
          <w:color w:val="000000" w:themeColor="text1"/>
        </w:rPr>
      </w:pPr>
    </w:p>
    <w:p w14:paraId="2C83A980" w14:textId="77777777" w:rsidR="00FA1E87" w:rsidRDefault="00FA1E87"/>
    <w:sectPr w:rsidR="00FA1E87" w:rsidSect="000A2FE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3AFCDC" w14:textId="77777777" w:rsidR="00A41715" w:rsidRDefault="00A41715" w:rsidP="003D77AE">
      <w:r>
        <w:separator/>
      </w:r>
    </w:p>
  </w:endnote>
  <w:endnote w:type="continuationSeparator" w:id="0">
    <w:p w14:paraId="09C315E6" w14:textId="77777777" w:rsidR="00A41715" w:rsidRDefault="00A41715" w:rsidP="003D77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8EFD80" w14:textId="77777777" w:rsidR="00A41715" w:rsidRDefault="00A41715" w:rsidP="003D77AE">
      <w:r>
        <w:separator/>
      </w:r>
    </w:p>
  </w:footnote>
  <w:footnote w:type="continuationSeparator" w:id="0">
    <w:p w14:paraId="03936F78" w14:textId="77777777" w:rsidR="00A41715" w:rsidRDefault="00A41715" w:rsidP="003D77AE">
      <w:r>
        <w:continuationSeparator/>
      </w:r>
    </w:p>
  </w:footnote>
  <w:footnote w:id="1">
    <w:p w14:paraId="378F7A31" w14:textId="77777777" w:rsidR="003D77AE" w:rsidRDefault="003D77AE" w:rsidP="003D77AE">
      <w:pPr>
        <w:pStyle w:val="FootnoteText"/>
      </w:pPr>
      <w:r>
        <w:rPr>
          <w:rStyle w:val="FootnoteReference"/>
        </w:rPr>
        <w:footnoteRef/>
      </w:r>
      <w:r>
        <w:t xml:space="preserve"> </w:t>
      </w:r>
      <w:r w:rsidRPr="00580265">
        <w:rPr>
          <w:rFonts w:asciiTheme="majorHAnsi" w:eastAsia="Times New Roman" w:hAnsiTheme="majorHAnsi" w:cstheme="majorHAnsi"/>
          <w:color w:val="538135" w:themeColor="accent6" w:themeShade="BF"/>
        </w:rPr>
        <w:t>Gogh, Vincent van, and Ronald de Leeuw. The Letters of Vincent Van Gogh. London: Penguin Books, 1997, p.392</w:t>
      </w:r>
    </w:p>
  </w:footnote>
  <w:footnote w:id="2">
    <w:p w14:paraId="164F7C99" w14:textId="77777777" w:rsidR="003D77AE" w:rsidRDefault="003D77AE" w:rsidP="003D77AE">
      <w:pPr>
        <w:pStyle w:val="FootnoteText"/>
      </w:pPr>
      <w:r>
        <w:rPr>
          <w:rStyle w:val="FootnoteReference"/>
        </w:rPr>
        <w:footnoteRef/>
      </w:r>
      <w:r>
        <w:t xml:space="preserve"> </w:t>
      </w:r>
      <w:r w:rsidRPr="00E957A7">
        <w:t>https://www.etymonline.com/word/enchantment</w:t>
      </w:r>
    </w:p>
  </w:footnote>
  <w:footnote w:id="3">
    <w:p w14:paraId="026BC869" w14:textId="77777777" w:rsidR="003D77AE" w:rsidRPr="00E957A7" w:rsidRDefault="003D77AE" w:rsidP="003D77AE">
      <w:pPr>
        <w:pStyle w:val="FootnoteText"/>
      </w:pPr>
      <w:r>
        <w:rPr>
          <w:rStyle w:val="FootnoteReference"/>
        </w:rPr>
        <w:footnoteRef/>
      </w:r>
      <w:r w:rsidRPr="00E957A7">
        <w:t>https://www.vocabulary.com/dictionary/enchanted#:~:text=The%20Latin%20root%2C%20incantare%2C%20means,introduced%20to%20a%20beautiful%20woman.</w:t>
      </w:r>
    </w:p>
  </w:footnote>
  <w:footnote w:id="4">
    <w:p w14:paraId="7BF41AEA" w14:textId="77777777" w:rsidR="003D77AE" w:rsidRPr="00687021" w:rsidRDefault="003D77AE" w:rsidP="003D77AE">
      <w:pPr>
        <w:pStyle w:val="FootnoteText"/>
        <w:rPr>
          <w:color w:val="FF0000"/>
        </w:rPr>
      </w:pPr>
      <w:r>
        <w:rPr>
          <w:rStyle w:val="FootnoteReference"/>
        </w:rPr>
        <w:footnoteRef/>
      </w:r>
      <w:r>
        <w:t xml:space="preserve"> </w:t>
      </w:r>
      <w:proofErr w:type="spellStart"/>
      <w:r>
        <w:t>Coudert</w:t>
      </w:r>
      <w:proofErr w:type="spellEnd"/>
      <w:r>
        <w:t xml:space="preserve">, Alison </w:t>
      </w:r>
      <w:r>
        <w:rPr>
          <w:color w:val="FF0000"/>
        </w:rPr>
        <w:t xml:space="preserve">page number needed. </w:t>
      </w:r>
    </w:p>
  </w:footnote>
  <w:footnote w:id="5">
    <w:p w14:paraId="5EB97ABE" w14:textId="77777777" w:rsidR="003D77AE" w:rsidRDefault="003D77AE" w:rsidP="003D77AE">
      <w:pPr>
        <w:pStyle w:val="FootnoteText"/>
      </w:pPr>
      <w:r>
        <w:rPr>
          <w:rStyle w:val="FootnoteReference"/>
        </w:rPr>
        <w:footnoteRef/>
      </w:r>
      <w:r>
        <w:t xml:space="preserve"> Pseudonyms used</w:t>
      </w:r>
    </w:p>
  </w:footnote>
  <w:footnote w:id="6">
    <w:p w14:paraId="0CA6C5FC" w14:textId="77777777" w:rsidR="003D77AE" w:rsidRPr="0041012B" w:rsidRDefault="003D77AE" w:rsidP="003D77AE">
      <w:pPr>
        <w:pStyle w:val="FootnoteText"/>
        <w:rPr>
          <w:rFonts w:asciiTheme="majorHAnsi" w:hAnsiTheme="majorHAnsi" w:cstheme="majorHAnsi"/>
          <w:sz w:val="22"/>
          <w:szCs w:val="22"/>
        </w:rPr>
      </w:pPr>
      <w:r w:rsidRPr="0041012B">
        <w:rPr>
          <w:rStyle w:val="FootnoteReference"/>
          <w:rFonts w:asciiTheme="majorHAnsi" w:hAnsiTheme="majorHAnsi" w:cstheme="majorHAnsi"/>
          <w:sz w:val="22"/>
          <w:szCs w:val="22"/>
        </w:rPr>
        <w:footnoteRef/>
      </w:r>
      <w:r w:rsidRPr="0041012B">
        <w:rPr>
          <w:rFonts w:asciiTheme="majorHAnsi" w:hAnsiTheme="majorHAnsi" w:cstheme="majorHAnsi"/>
          <w:sz w:val="22"/>
          <w:szCs w:val="22"/>
        </w:rPr>
        <w:t xml:space="preserve"> </w:t>
      </w:r>
      <w:r w:rsidRPr="0041012B">
        <w:rPr>
          <w:rFonts w:asciiTheme="majorHAnsi" w:hAnsiTheme="majorHAnsi" w:cstheme="majorHAnsi"/>
          <w:color w:val="555555"/>
          <w:sz w:val="22"/>
          <w:szCs w:val="22"/>
          <w:shd w:val="clear" w:color="auto" w:fill="F8F8F8"/>
        </w:rPr>
        <w:t xml:space="preserve">Max Weber, H. H. </w:t>
      </w:r>
      <w:proofErr w:type="spellStart"/>
      <w:r w:rsidRPr="0041012B">
        <w:rPr>
          <w:rFonts w:asciiTheme="majorHAnsi" w:hAnsiTheme="majorHAnsi" w:cstheme="majorHAnsi"/>
          <w:color w:val="555555"/>
          <w:sz w:val="22"/>
          <w:szCs w:val="22"/>
          <w:shd w:val="clear" w:color="auto" w:fill="F8F8F8"/>
        </w:rPr>
        <w:t>Gerth</w:t>
      </w:r>
      <w:proofErr w:type="spellEnd"/>
      <w:r w:rsidRPr="0041012B">
        <w:rPr>
          <w:rFonts w:asciiTheme="majorHAnsi" w:hAnsiTheme="majorHAnsi" w:cstheme="majorHAnsi"/>
          <w:color w:val="555555"/>
          <w:sz w:val="22"/>
          <w:szCs w:val="22"/>
          <w:shd w:val="clear" w:color="auto" w:fill="F8F8F8"/>
        </w:rPr>
        <w:t xml:space="preserve">, and Wright Mills from </w:t>
      </w:r>
      <w:r w:rsidRPr="0041012B">
        <w:rPr>
          <w:rFonts w:asciiTheme="majorHAnsi" w:eastAsia="Times New Roman" w:hAnsiTheme="majorHAnsi" w:cstheme="majorHAnsi"/>
          <w:color w:val="5759A5"/>
          <w:sz w:val="22"/>
          <w:szCs w:val="22"/>
          <w:shd w:val="clear" w:color="auto" w:fill="F8F8F8"/>
        </w:rPr>
        <w:t xml:space="preserve">Max </w:t>
      </w:r>
      <w:proofErr w:type="gramStart"/>
      <w:r w:rsidRPr="0041012B">
        <w:rPr>
          <w:rFonts w:asciiTheme="majorHAnsi" w:eastAsia="Times New Roman" w:hAnsiTheme="majorHAnsi" w:cstheme="majorHAnsi"/>
          <w:color w:val="5759A5"/>
          <w:sz w:val="22"/>
          <w:szCs w:val="22"/>
          <w:shd w:val="clear" w:color="auto" w:fill="F8F8F8"/>
        </w:rPr>
        <w:t>Weber :</w:t>
      </w:r>
      <w:proofErr w:type="gramEnd"/>
      <w:r w:rsidRPr="0041012B">
        <w:rPr>
          <w:rFonts w:asciiTheme="majorHAnsi" w:eastAsia="Times New Roman" w:hAnsiTheme="majorHAnsi" w:cstheme="majorHAnsi"/>
          <w:color w:val="5759A5"/>
          <w:sz w:val="22"/>
          <w:szCs w:val="22"/>
          <w:shd w:val="clear" w:color="auto" w:fill="F8F8F8"/>
        </w:rPr>
        <w:t xml:space="preserve"> Essays in Sociology</w:t>
      </w:r>
      <w:r w:rsidRPr="0041012B">
        <w:rPr>
          <w:rFonts w:asciiTheme="majorHAnsi" w:eastAsia="Times New Roman" w:hAnsiTheme="majorHAnsi" w:cstheme="majorHAnsi"/>
          <w:sz w:val="22"/>
          <w:szCs w:val="22"/>
        </w:rPr>
        <w:t xml:space="preserve"> p 139</w:t>
      </w:r>
    </w:p>
  </w:footnote>
  <w:footnote w:id="7">
    <w:p w14:paraId="75060ACB" w14:textId="77777777" w:rsidR="003D77AE" w:rsidRDefault="003D77AE" w:rsidP="003D77AE">
      <w:pPr>
        <w:pStyle w:val="FootnoteText"/>
      </w:pPr>
      <w:r w:rsidRPr="0041012B">
        <w:rPr>
          <w:rStyle w:val="FootnoteReference"/>
          <w:rFonts w:asciiTheme="majorHAnsi" w:hAnsiTheme="majorHAnsi" w:cstheme="majorHAnsi"/>
          <w:sz w:val="22"/>
          <w:szCs w:val="22"/>
        </w:rPr>
        <w:footnoteRef/>
      </w:r>
      <w:r w:rsidRPr="0041012B">
        <w:rPr>
          <w:rFonts w:asciiTheme="majorHAnsi" w:hAnsiTheme="majorHAnsi" w:cstheme="majorHAnsi"/>
          <w:sz w:val="22"/>
          <w:szCs w:val="22"/>
        </w:rPr>
        <w:t xml:space="preserve"> </w:t>
      </w:r>
      <w:r w:rsidRPr="0041012B">
        <w:rPr>
          <w:rFonts w:asciiTheme="majorHAnsi" w:hAnsiTheme="majorHAnsi" w:cstheme="majorHAnsi"/>
          <w:color w:val="555555"/>
          <w:sz w:val="22"/>
          <w:szCs w:val="22"/>
          <w:shd w:val="clear" w:color="auto" w:fill="F8F8F8"/>
        </w:rPr>
        <w:t xml:space="preserve">Max Weber, H. H. </w:t>
      </w:r>
      <w:proofErr w:type="spellStart"/>
      <w:r w:rsidRPr="0041012B">
        <w:rPr>
          <w:rFonts w:asciiTheme="majorHAnsi" w:hAnsiTheme="majorHAnsi" w:cstheme="majorHAnsi"/>
          <w:color w:val="555555"/>
          <w:sz w:val="22"/>
          <w:szCs w:val="22"/>
          <w:shd w:val="clear" w:color="auto" w:fill="F8F8F8"/>
        </w:rPr>
        <w:t>Gerth</w:t>
      </w:r>
      <w:proofErr w:type="spellEnd"/>
      <w:r w:rsidRPr="0041012B">
        <w:rPr>
          <w:rFonts w:asciiTheme="majorHAnsi" w:hAnsiTheme="majorHAnsi" w:cstheme="majorHAnsi"/>
          <w:color w:val="555555"/>
          <w:sz w:val="22"/>
          <w:szCs w:val="22"/>
          <w:shd w:val="clear" w:color="auto" w:fill="F8F8F8"/>
        </w:rPr>
        <w:t xml:space="preserve">, and Wright Mills from </w:t>
      </w:r>
      <w:r w:rsidRPr="0041012B">
        <w:rPr>
          <w:rFonts w:asciiTheme="majorHAnsi" w:eastAsia="Times New Roman" w:hAnsiTheme="majorHAnsi" w:cstheme="majorHAnsi"/>
          <w:color w:val="5759A5"/>
          <w:sz w:val="22"/>
          <w:szCs w:val="22"/>
          <w:shd w:val="clear" w:color="auto" w:fill="F8F8F8"/>
        </w:rPr>
        <w:t xml:space="preserve">Max </w:t>
      </w:r>
      <w:proofErr w:type="gramStart"/>
      <w:r w:rsidRPr="0041012B">
        <w:rPr>
          <w:rFonts w:asciiTheme="majorHAnsi" w:eastAsia="Times New Roman" w:hAnsiTheme="majorHAnsi" w:cstheme="majorHAnsi"/>
          <w:color w:val="5759A5"/>
          <w:sz w:val="22"/>
          <w:szCs w:val="22"/>
          <w:shd w:val="clear" w:color="auto" w:fill="F8F8F8"/>
        </w:rPr>
        <w:t>Weber :</w:t>
      </w:r>
      <w:proofErr w:type="gramEnd"/>
      <w:r w:rsidRPr="0041012B">
        <w:rPr>
          <w:rFonts w:asciiTheme="majorHAnsi" w:eastAsia="Times New Roman" w:hAnsiTheme="majorHAnsi" w:cstheme="majorHAnsi"/>
          <w:color w:val="5759A5"/>
          <w:sz w:val="22"/>
          <w:szCs w:val="22"/>
          <w:shd w:val="clear" w:color="auto" w:fill="F8F8F8"/>
        </w:rPr>
        <w:t xml:space="preserve"> Essays in Sociology</w:t>
      </w:r>
      <w:r w:rsidRPr="0041012B">
        <w:rPr>
          <w:rFonts w:asciiTheme="majorHAnsi" w:eastAsia="Times New Roman" w:hAnsiTheme="majorHAnsi" w:cstheme="majorHAnsi"/>
          <w:sz w:val="22"/>
          <w:szCs w:val="22"/>
        </w:rPr>
        <w:t xml:space="preserve"> p 139</w:t>
      </w:r>
    </w:p>
  </w:footnote>
  <w:footnote w:id="8">
    <w:p w14:paraId="03D8FB12" w14:textId="77777777" w:rsidR="003D77AE" w:rsidRPr="003D77AE" w:rsidRDefault="003D77AE" w:rsidP="003D77AE">
      <w:pPr>
        <w:rPr>
          <w:rFonts w:asciiTheme="majorHAnsi" w:hAnsiTheme="majorHAnsi" w:cstheme="majorHAnsi"/>
          <w:sz w:val="22"/>
          <w:szCs w:val="22"/>
        </w:rPr>
      </w:pPr>
      <w:r w:rsidRPr="00183483">
        <w:rPr>
          <w:rStyle w:val="FootnoteReference"/>
          <w:rFonts w:asciiTheme="majorHAnsi" w:hAnsiTheme="majorHAnsi" w:cstheme="majorHAnsi"/>
          <w:sz w:val="22"/>
          <w:szCs w:val="22"/>
        </w:rPr>
        <w:footnoteRef/>
      </w:r>
      <w:r w:rsidRPr="00183483">
        <w:rPr>
          <w:rFonts w:asciiTheme="majorHAnsi" w:hAnsiTheme="majorHAnsi" w:cstheme="majorHAnsi"/>
          <w:sz w:val="22"/>
          <w:szCs w:val="22"/>
        </w:rPr>
        <w:t xml:space="preserve"> </w:t>
      </w:r>
      <w:proofErr w:type="spellStart"/>
      <w:r w:rsidRPr="00183483">
        <w:rPr>
          <w:rFonts w:asciiTheme="majorHAnsi" w:hAnsiTheme="majorHAnsi" w:cstheme="majorHAnsi"/>
          <w:sz w:val="22"/>
          <w:szCs w:val="22"/>
        </w:rPr>
        <w:t>Wouter</w:t>
      </w:r>
      <w:proofErr w:type="spellEnd"/>
      <w:r w:rsidRPr="00183483">
        <w:rPr>
          <w:rFonts w:asciiTheme="majorHAnsi" w:hAnsiTheme="majorHAnsi" w:cstheme="majorHAnsi"/>
          <w:sz w:val="22"/>
          <w:szCs w:val="22"/>
        </w:rPr>
        <w:t xml:space="preserve"> J. </w:t>
      </w:r>
      <w:proofErr w:type="spellStart"/>
      <w:r w:rsidRPr="00183483">
        <w:rPr>
          <w:rFonts w:asciiTheme="majorHAnsi" w:hAnsiTheme="majorHAnsi" w:cstheme="majorHAnsi"/>
          <w:sz w:val="22"/>
          <w:szCs w:val="22"/>
        </w:rPr>
        <w:t>Hanegr</w:t>
      </w:r>
      <w:r>
        <w:rPr>
          <w:rFonts w:asciiTheme="majorHAnsi" w:hAnsiTheme="majorHAnsi" w:cstheme="majorHAnsi"/>
          <w:sz w:val="22"/>
          <w:szCs w:val="22"/>
        </w:rPr>
        <w:t>a</w:t>
      </w:r>
      <w:r w:rsidRPr="00183483">
        <w:rPr>
          <w:rFonts w:asciiTheme="majorHAnsi" w:hAnsiTheme="majorHAnsi" w:cstheme="majorHAnsi"/>
          <w:sz w:val="22"/>
          <w:szCs w:val="22"/>
        </w:rPr>
        <w:t>aff</w:t>
      </w:r>
      <w:proofErr w:type="spellEnd"/>
      <w:r>
        <w:rPr>
          <w:rFonts w:asciiTheme="majorHAnsi" w:hAnsiTheme="majorHAnsi" w:cstheme="majorHAnsi"/>
          <w:sz w:val="22"/>
          <w:szCs w:val="22"/>
        </w:rPr>
        <w:t>,</w:t>
      </w:r>
      <w:r w:rsidRPr="00183483">
        <w:rPr>
          <w:rFonts w:asciiTheme="majorHAnsi" w:hAnsiTheme="majorHAnsi" w:cstheme="majorHAnsi"/>
          <w:sz w:val="22"/>
          <w:szCs w:val="22"/>
        </w:rPr>
        <w:t xml:space="preserve"> Esotericism and the Academy: Rejected Knowledge in Western Culture. </w:t>
      </w:r>
      <w:r>
        <w:rPr>
          <w:rFonts w:asciiTheme="majorHAnsi" w:hAnsiTheme="majorHAnsi" w:cstheme="majorHAnsi"/>
          <w:sz w:val="22"/>
          <w:szCs w:val="22"/>
        </w:rPr>
        <w:t>(</w:t>
      </w:r>
      <w:r w:rsidRPr="00183483">
        <w:rPr>
          <w:rFonts w:asciiTheme="majorHAnsi" w:hAnsiTheme="majorHAnsi" w:cstheme="majorHAnsi"/>
          <w:sz w:val="22"/>
          <w:szCs w:val="22"/>
        </w:rPr>
        <w:t>Cambridge University Press</w:t>
      </w:r>
      <w:r>
        <w:rPr>
          <w:rFonts w:asciiTheme="majorHAnsi" w:hAnsiTheme="majorHAnsi" w:cstheme="majorHAnsi"/>
          <w:sz w:val="22"/>
          <w:szCs w:val="22"/>
        </w:rPr>
        <w:t>:</w:t>
      </w:r>
      <w:r w:rsidRPr="00183483">
        <w:rPr>
          <w:rFonts w:asciiTheme="majorHAnsi" w:hAnsiTheme="majorHAnsi" w:cstheme="majorHAnsi"/>
          <w:sz w:val="22"/>
          <w:szCs w:val="22"/>
        </w:rPr>
        <w:t xml:space="preserve"> 2012</w:t>
      </w:r>
      <w:r>
        <w:rPr>
          <w:rFonts w:asciiTheme="majorHAnsi" w:hAnsiTheme="majorHAnsi" w:cstheme="majorHAnsi"/>
          <w:sz w:val="22"/>
          <w:szCs w:val="22"/>
        </w:rPr>
        <w:t>).</w:t>
      </w:r>
      <w:r w:rsidRPr="00183483">
        <w:rPr>
          <w:rFonts w:asciiTheme="majorHAnsi" w:hAnsiTheme="majorHAnsi" w:cstheme="majorHAnsi"/>
          <w:sz w:val="22"/>
          <w:szCs w:val="22"/>
        </w:rPr>
        <w:t xml:space="preserve"> </w:t>
      </w:r>
      <w:r>
        <w:rPr>
          <w:rFonts w:asciiTheme="majorHAnsi" w:hAnsiTheme="majorHAnsi" w:cstheme="majorHAnsi"/>
          <w:sz w:val="22"/>
          <w:szCs w:val="22"/>
        </w:rPr>
        <w:t xml:space="preserve">p. 1. </w:t>
      </w:r>
      <w:hyperlink r:id="rId1" w:history="1">
        <w:r w:rsidRPr="003D77AE">
          <w:rPr>
            <w:rStyle w:val="Hyperlink"/>
            <w:rFonts w:asciiTheme="majorHAnsi" w:hAnsiTheme="majorHAnsi" w:cstheme="majorHAnsi"/>
            <w:sz w:val="22"/>
            <w:szCs w:val="22"/>
            <w:bdr w:val="none" w:sz="0" w:space="0" w:color="auto" w:frame="1"/>
            <w:shd w:val="clear" w:color="auto" w:fill="FFFFFF"/>
          </w:rPr>
          <w:t>https://doi-org.proxy.brynmawr.edu/10.1017/CBO9781139048064</w:t>
        </w:r>
      </w:hyperlink>
    </w:p>
  </w:footnote>
  <w:footnote w:id="9">
    <w:p w14:paraId="3624959D" w14:textId="77777777" w:rsidR="003D77AE" w:rsidRDefault="003D77AE" w:rsidP="003D77AE">
      <w:pPr>
        <w:pStyle w:val="FootnoteText"/>
      </w:pPr>
      <w:r>
        <w:rPr>
          <w:rStyle w:val="FootnoteReference"/>
        </w:rPr>
        <w:footnoteRef/>
      </w:r>
      <w:r>
        <w:t xml:space="preserve"> </w:t>
      </w:r>
      <w:proofErr w:type="spellStart"/>
      <w:r w:rsidRPr="00183483">
        <w:rPr>
          <w:rFonts w:asciiTheme="majorHAnsi" w:hAnsiTheme="majorHAnsi" w:cstheme="majorHAnsi"/>
          <w:sz w:val="22"/>
          <w:szCs w:val="22"/>
        </w:rPr>
        <w:t>Wouter</w:t>
      </w:r>
      <w:proofErr w:type="spellEnd"/>
      <w:r w:rsidRPr="00183483">
        <w:rPr>
          <w:rFonts w:asciiTheme="majorHAnsi" w:hAnsiTheme="majorHAnsi" w:cstheme="majorHAnsi"/>
          <w:sz w:val="22"/>
          <w:szCs w:val="22"/>
        </w:rPr>
        <w:t xml:space="preserve"> J. </w:t>
      </w:r>
      <w:proofErr w:type="spellStart"/>
      <w:r w:rsidRPr="00183483">
        <w:rPr>
          <w:rFonts w:asciiTheme="majorHAnsi" w:hAnsiTheme="majorHAnsi" w:cstheme="majorHAnsi"/>
          <w:sz w:val="22"/>
          <w:szCs w:val="22"/>
        </w:rPr>
        <w:t>Hanegr</w:t>
      </w:r>
      <w:r>
        <w:rPr>
          <w:rFonts w:asciiTheme="majorHAnsi" w:hAnsiTheme="majorHAnsi" w:cstheme="majorHAnsi"/>
          <w:sz w:val="22"/>
          <w:szCs w:val="22"/>
        </w:rPr>
        <w:t>a</w:t>
      </w:r>
      <w:r w:rsidRPr="00183483">
        <w:rPr>
          <w:rFonts w:asciiTheme="majorHAnsi" w:hAnsiTheme="majorHAnsi" w:cstheme="majorHAnsi"/>
          <w:sz w:val="22"/>
          <w:szCs w:val="22"/>
        </w:rPr>
        <w:t>aff</w:t>
      </w:r>
      <w:proofErr w:type="spellEnd"/>
      <w:r>
        <w:rPr>
          <w:rFonts w:asciiTheme="majorHAnsi" w:hAnsiTheme="majorHAnsi" w:cstheme="majorHAnsi"/>
          <w:sz w:val="22"/>
          <w:szCs w:val="22"/>
        </w:rPr>
        <w:t xml:space="preserve">, </w:t>
      </w:r>
      <w:r w:rsidRPr="00183483">
        <w:rPr>
          <w:rFonts w:asciiTheme="majorHAnsi" w:hAnsiTheme="majorHAnsi" w:cstheme="majorHAnsi"/>
          <w:sz w:val="22"/>
          <w:szCs w:val="22"/>
        </w:rPr>
        <w:t>Esotericism and the Academy: Rejected Knowledge in Western Culture</w:t>
      </w:r>
      <w:r>
        <w:rPr>
          <w:rFonts w:asciiTheme="majorHAnsi" w:hAnsiTheme="majorHAnsi" w:cstheme="majorHAnsi"/>
          <w:sz w:val="22"/>
          <w:szCs w:val="22"/>
        </w:rPr>
        <w:t>, p 1.</w:t>
      </w:r>
    </w:p>
  </w:footnote>
  <w:footnote w:id="10">
    <w:p w14:paraId="348C8B17" w14:textId="77777777" w:rsidR="003D77AE" w:rsidRPr="00183483" w:rsidRDefault="003D77AE" w:rsidP="003D77AE">
      <w:pPr>
        <w:pStyle w:val="FootnoteText"/>
      </w:pPr>
      <w:r>
        <w:rPr>
          <w:rStyle w:val="FootnoteReference"/>
        </w:rPr>
        <w:footnoteRef/>
      </w:r>
      <w:r w:rsidRPr="00183483">
        <w:t xml:space="preserve"> </w:t>
      </w:r>
      <w:proofErr w:type="spellStart"/>
      <w:r w:rsidRPr="00183483">
        <w:rPr>
          <w:rFonts w:asciiTheme="majorHAnsi" w:hAnsiTheme="majorHAnsi" w:cstheme="majorHAnsi"/>
          <w:sz w:val="22"/>
          <w:szCs w:val="22"/>
        </w:rPr>
        <w:t>Wouter</w:t>
      </w:r>
      <w:proofErr w:type="spellEnd"/>
      <w:r w:rsidRPr="00183483">
        <w:rPr>
          <w:rFonts w:asciiTheme="majorHAnsi" w:hAnsiTheme="majorHAnsi" w:cstheme="majorHAnsi"/>
          <w:sz w:val="22"/>
          <w:szCs w:val="22"/>
        </w:rPr>
        <w:t xml:space="preserve"> J. </w:t>
      </w:r>
      <w:proofErr w:type="spellStart"/>
      <w:r w:rsidRPr="00183483">
        <w:rPr>
          <w:rFonts w:asciiTheme="majorHAnsi" w:hAnsiTheme="majorHAnsi" w:cstheme="majorHAnsi"/>
          <w:sz w:val="22"/>
          <w:szCs w:val="22"/>
        </w:rPr>
        <w:t>Hanegr</w:t>
      </w:r>
      <w:r>
        <w:rPr>
          <w:rFonts w:asciiTheme="majorHAnsi" w:hAnsiTheme="majorHAnsi" w:cstheme="majorHAnsi"/>
          <w:sz w:val="22"/>
          <w:szCs w:val="22"/>
        </w:rPr>
        <w:t>a</w:t>
      </w:r>
      <w:r w:rsidRPr="00183483">
        <w:rPr>
          <w:rFonts w:asciiTheme="majorHAnsi" w:hAnsiTheme="majorHAnsi" w:cstheme="majorHAnsi"/>
          <w:sz w:val="22"/>
          <w:szCs w:val="22"/>
        </w:rPr>
        <w:t>aff</w:t>
      </w:r>
      <w:proofErr w:type="spellEnd"/>
      <w:r>
        <w:rPr>
          <w:rFonts w:asciiTheme="majorHAnsi" w:hAnsiTheme="majorHAnsi" w:cstheme="majorHAnsi"/>
          <w:sz w:val="22"/>
          <w:szCs w:val="22"/>
        </w:rPr>
        <w:t xml:space="preserve">, </w:t>
      </w:r>
      <w:r w:rsidRPr="00183483">
        <w:rPr>
          <w:rFonts w:asciiTheme="majorHAnsi" w:hAnsiTheme="majorHAnsi" w:cstheme="majorHAnsi"/>
          <w:sz w:val="22"/>
          <w:szCs w:val="22"/>
        </w:rPr>
        <w:t>Esotericism and the Academy: Rejected Knowledge in Western Culture</w:t>
      </w:r>
      <w:r>
        <w:rPr>
          <w:rFonts w:asciiTheme="majorHAnsi" w:hAnsiTheme="majorHAnsi" w:cstheme="majorHAnsi"/>
          <w:sz w:val="22"/>
          <w:szCs w:val="22"/>
        </w:rPr>
        <w:t>, p 2.</w:t>
      </w:r>
    </w:p>
  </w:footnote>
  <w:footnote w:id="11">
    <w:p w14:paraId="0EC0D025" w14:textId="77777777" w:rsidR="003D77AE" w:rsidRPr="003D77AE" w:rsidRDefault="003D77AE" w:rsidP="003D77AE">
      <w:pPr>
        <w:pStyle w:val="FootnoteText"/>
      </w:pPr>
      <w:r>
        <w:rPr>
          <w:rStyle w:val="FootnoteReference"/>
        </w:rPr>
        <w:footnoteRef/>
      </w:r>
      <w:r w:rsidRPr="003D77AE">
        <w:t xml:space="preserve"> </w:t>
      </w:r>
      <w:r w:rsidRPr="003D77AE">
        <w:rPr>
          <w:rFonts w:asciiTheme="majorHAnsi" w:hAnsiTheme="majorHAnsi" w:cstheme="majorHAnsi"/>
          <w:sz w:val="22"/>
          <w:szCs w:val="22"/>
        </w:rPr>
        <w:t>Ibis. p 3.</w:t>
      </w:r>
    </w:p>
  </w:footnote>
  <w:footnote w:id="12">
    <w:p w14:paraId="15FDC64E" w14:textId="77777777" w:rsidR="003D77AE" w:rsidRPr="00862758" w:rsidRDefault="003D77AE" w:rsidP="003D77AE">
      <w:pPr>
        <w:pStyle w:val="FootnoteText"/>
      </w:pPr>
      <w:r>
        <w:rPr>
          <w:rStyle w:val="FootnoteReference"/>
        </w:rPr>
        <w:footnoteRef/>
      </w:r>
      <w:r w:rsidRPr="00862758">
        <w:t xml:space="preserve"> Patrick Curry, Divination, Enchantment, and Platonism.</w:t>
      </w:r>
      <w:r>
        <w:t xml:space="preserve"> P 3. </w:t>
      </w:r>
    </w:p>
  </w:footnote>
  <w:footnote w:id="13">
    <w:p w14:paraId="43AD4DEA" w14:textId="77777777" w:rsidR="003D77AE" w:rsidRDefault="003D77AE" w:rsidP="003D77AE">
      <w:pPr>
        <w:pStyle w:val="FootnoteText"/>
      </w:pPr>
      <w:r>
        <w:rPr>
          <w:rStyle w:val="FootnoteReference"/>
        </w:rPr>
        <w:footnoteRef/>
      </w:r>
      <w:r>
        <w:t xml:space="preserve"> </w:t>
      </w:r>
      <w:r w:rsidRPr="00862758">
        <w:t>Patrick Curry, Divination, Enchantment, and Platonism.</w:t>
      </w:r>
      <w:r>
        <w:t xml:space="preserve"> P 7.</w:t>
      </w:r>
    </w:p>
  </w:footnote>
  <w:footnote w:id="14">
    <w:p w14:paraId="6A92F0F5" w14:textId="77777777" w:rsidR="003D77AE" w:rsidRPr="003D77AE" w:rsidRDefault="003D77AE" w:rsidP="003D77AE">
      <w:pPr>
        <w:pStyle w:val="FootnoteText"/>
      </w:pPr>
      <w:r>
        <w:rPr>
          <w:rStyle w:val="FootnoteReference"/>
        </w:rPr>
        <w:footnoteRef/>
      </w:r>
      <w:r w:rsidRPr="003D77AE">
        <w:t xml:space="preserve"> </w:t>
      </w:r>
      <w:r w:rsidRPr="003D77AE">
        <w:t>Ibis P 7.</w:t>
      </w:r>
    </w:p>
  </w:footnote>
  <w:footnote w:id="15">
    <w:p w14:paraId="2232D6E0" w14:textId="77777777" w:rsidR="003D77AE" w:rsidRPr="003D77AE" w:rsidRDefault="003D77AE" w:rsidP="003D77AE">
      <w:pPr>
        <w:pStyle w:val="FootnoteText"/>
      </w:pPr>
      <w:r>
        <w:rPr>
          <w:rStyle w:val="FootnoteReference"/>
        </w:rPr>
        <w:footnoteRef/>
      </w:r>
      <w:r w:rsidRPr="003D77AE">
        <w:t xml:space="preserve"> Ibis p 11.</w:t>
      </w:r>
    </w:p>
  </w:footnote>
  <w:footnote w:id="16">
    <w:p w14:paraId="136A0A1F" w14:textId="77777777" w:rsidR="003D77AE" w:rsidRPr="003D77AE" w:rsidRDefault="003D77AE" w:rsidP="003D77AE">
      <w:pPr>
        <w:pStyle w:val="FootnoteText"/>
      </w:pPr>
      <w:r>
        <w:rPr>
          <w:rStyle w:val="FootnoteReference"/>
        </w:rPr>
        <w:footnoteRef/>
      </w:r>
      <w:r w:rsidRPr="003D77AE">
        <w:t xml:space="preserve"> Ibis p 11.</w:t>
      </w:r>
    </w:p>
  </w:footnote>
  <w:footnote w:id="17">
    <w:p w14:paraId="66130A52" w14:textId="77777777" w:rsidR="003D77AE" w:rsidRPr="00BD1507" w:rsidRDefault="003D77AE" w:rsidP="003D77AE">
      <w:pPr>
        <w:pStyle w:val="FootnoteText"/>
        <w:rPr>
          <w:lang w:val="fr-FR"/>
        </w:rPr>
      </w:pPr>
      <w:r>
        <w:rPr>
          <w:rStyle w:val="FootnoteReference"/>
        </w:rPr>
        <w:footnoteRef/>
      </w:r>
      <w:r w:rsidRPr="00BD1507">
        <w:rPr>
          <w:lang w:val="fr-FR"/>
        </w:rPr>
        <w:t xml:space="preserve"> Alison </w:t>
      </w:r>
      <w:proofErr w:type="spellStart"/>
      <w:r w:rsidRPr="00BD1507">
        <w:rPr>
          <w:lang w:val="fr-FR"/>
        </w:rPr>
        <w:t>Coudert</w:t>
      </w:r>
      <w:proofErr w:type="spellEnd"/>
      <w:r w:rsidRPr="00BD1507">
        <w:rPr>
          <w:lang w:val="fr-FR"/>
        </w:rPr>
        <w:t xml:space="preserve"> p 720.</w:t>
      </w:r>
    </w:p>
  </w:footnote>
  <w:footnote w:id="18">
    <w:p w14:paraId="037FDB70" w14:textId="77777777" w:rsidR="003D77AE" w:rsidRPr="002C4991" w:rsidRDefault="003D77AE" w:rsidP="003D77AE">
      <w:pPr>
        <w:rPr>
          <w:rFonts w:asciiTheme="majorHAnsi" w:hAnsiTheme="majorHAnsi" w:cstheme="majorHAnsi"/>
          <w:color w:val="000000" w:themeColor="text1"/>
          <w:sz w:val="22"/>
          <w:szCs w:val="22"/>
          <w:lang w:val="fr-FR"/>
        </w:rPr>
      </w:pPr>
      <w:r w:rsidRPr="002C4991">
        <w:rPr>
          <w:rStyle w:val="FootnoteReference"/>
          <w:sz w:val="22"/>
          <w:szCs w:val="22"/>
        </w:rPr>
        <w:footnoteRef/>
      </w:r>
      <w:r w:rsidRPr="002C4991">
        <w:rPr>
          <w:sz w:val="22"/>
          <w:szCs w:val="22"/>
          <w:lang w:val="fr-FR"/>
        </w:rPr>
        <w:t xml:space="preserve"> </w:t>
      </w:r>
      <w:r w:rsidRPr="002C4991">
        <w:rPr>
          <w:rFonts w:asciiTheme="majorHAnsi" w:hAnsiTheme="majorHAnsi" w:cstheme="majorHAnsi"/>
          <w:color w:val="000000" w:themeColor="text1"/>
          <w:sz w:val="22"/>
          <w:szCs w:val="22"/>
          <w:lang w:val="fr-FR"/>
        </w:rPr>
        <w:t xml:space="preserve">Allison </w:t>
      </w:r>
      <w:proofErr w:type="spellStart"/>
      <w:r w:rsidRPr="002C4991">
        <w:rPr>
          <w:rFonts w:asciiTheme="majorHAnsi" w:hAnsiTheme="majorHAnsi" w:cstheme="majorHAnsi"/>
          <w:color w:val="000000" w:themeColor="text1"/>
          <w:sz w:val="22"/>
          <w:szCs w:val="22"/>
          <w:lang w:val="fr-FR"/>
        </w:rPr>
        <w:t>Coudert</w:t>
      </w:r>
      <w:proofErr w:type="spellEnd"/>
      <w:r w:rsidRPr="002C4991">
        <w:rPr>
          <w:rFonts w:asciiTheme="majorHAnsi" w:hAnsiTheme="majorHAnsi" w:cstheme="majorHAnsi"/>
          <w:color w:val="000000" w:themeColor="text1"/>
          <w:sz w:val="22"/>
          <w:szCs w:val="22"/>
          <w:lang w:val="fr-FR"/>
        </w:rPr>
        <w:t>, p 708</w:t>
      </w:r>
    </w:p>
  </w:footnote>
  <w:footnote w:id="19">
    <w:p w14:paraId="5B11FD86" w14:textId="77777777" w:rsidR="003D77AE" w:rsidRPr="0032499B" w:rsidRDefault="003D77AE" w:rsidP="003D77AE">
      <w:pPr>
        <w:pStyle w:val="FootnoteText"/>
        <w:rPr>
          <w:lang w:val="fr-FR"/>
        </w:rPr>
      </w:pPr>
      <w:r w:rsidRPr="002C4991">
        <w:rPr>
          <w:rStyle w:val="FootnoteReference"/>
          <w:sz w:val="22"/>
          <w:szCs w:val="22"/>
        </w:rPr>
        <w:footnoteRef/>
      </w:r>
      <w:r w:rsidRPr="002C4991">
        <w:rPr>
          <w:sz w:val="22"/>
          <w:szCs w:val="22"/>
          <w:lang w:val="fr-FR"/>
        </w:rPr>
        <w:t xml:space="preserve"> </w:t>
      </w:r>
      <w:r w:rsidRPr="002C4991">
        <w:rPr>
          <w:rFonts w:asciiTheme="majorHAnsi" w:hAnsiTheme="majorHAnsi" w:cstheme="majorHAnsi"/>
          <w:color w:val="000000" w:themeColor="text1"/>
          <w:sz w:val="22"/>
          <w:szCs w:val="22"/>
          <w:lang w:val="fr-FR"/>
        </w:rPr>
        <w:t xml:space="preserve">Allison </w:t>
      </w:r>
      <w:proofErr w:type="spellStart"/>
      <w:r w:rsidRPr="002C4991">
        <w:rPr>
          <w:rFonts w:asciiTheme="majorHAnsi" w:hAnsiTheme="majorHAnsi" w:cstheme="majorHAnsi"/>
          <w:color w:val="000000" w:themeColor="text1"/>
          <w:sz w:val="22"/>
          <w:szCs w:val="22"/>
          <w:lang w:val="fr-FR"/>
        </w:rPr>
        <w:t>Coudert</w:t>
      </w:r>
      <w:proofErr w:type="spellEnd"/>
      <w:r w:rsidRPr="002C4991">
        <w:rPr>
          <w:sz w:val="22"/>
          <w:szCs w:val="22"/>
          <w:lang w:val="fr-FR"/>
        </w:rPr>
        <w:t xml:space="preserve"> P 707</w:t>
      </w:r>
    </w:p>
  </w:footnote>
  <w:footnote w:id="20">
    <w:p w14:paraId="5C37F377" w14:textId="77777777" w:rsidR="003D77AE" w:rsidRPr="003D77AE" w:rsidRDefault="003D77AE" w:rsidP="003D77AE">
      <w:pPr>
        <w:pStyle w:val="FootnoteText"/>
        <w:rPr>
          <w:lang w:val="fr-FR"/>
        </w:rPr>
      </w:pPr>
      <w:r>
        <w:rPr>
          <w:rStyle w:val="FootnoteReference"/>
        </w:rPr>
        <w:footnoteRef/>
      </w:r>
      <w:r w:rsidRPr="003D77AE">
        <w:rPr>
          <w:lang w:val="fr-FR"/>
        </w:rPr>
        <w:t xml:space="preserve"> </w:t>
      </w:r>
      <w:r w:rsidRPr="003D77AE">
        <w:rPr>
          <w:rFonts w:asciiTheme="majorHAnsi" w:hAnsiTheme="majorHAnsi" w:cstheme="majorHAnsi"/>
          <w:color w:val="000000" w:themeColor="text1"/>
          <w:lang w:val="fr-FR"/>
        </w:rPr>
        <w:t>Ibis p 708.</w:t>
      </w:r>
    </w:p>
  </w:footnote>
  <w:footnote w:id="21">
    <w:p w14:paraId="69840ABF" w14:textId="77777777" w:rsidR="003D77AE" w:rsidRPr="00BE3B44" w:rsidRDefault="003D77AE" w:rsidP="003D77AE">
      <w:pPr>
        <w:pStyle w:val="FootnoteText"/>
        <w:rPr>
          <w:lang w:val="es-ES"/>
        </w:rPr>
      </w:pPr>
      <w:r>
        <w:rPr>
          <w:rStyle w:val="FootnoteReference"/>
        </w:rPr>
        <w:footnoteRef/>
      </w:r>
      <w:r w:rsidRPr="00BE3B44">
        <w:rPr>
          <w:lang w:val="es-ES"/>
        </w:rPr>
        <w:t xml:space="preserve"> Van </w:t>
      </w:r>
      <w:r>
        <w:rPr>
          <w:lang w:val="es-ES"/>
        </w:rPr>
        <w:t>Gogh.</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C1FBF"/>
    <w:multiLevelType w:val="hybridMultilevel"/>
    <w:tmpl w:val="61B4C3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8618B5"/>
    <w:multiLevelType w:val="hybridMultilevel"/>
    <w:tmpl w:val="D6A641F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444707D"/>
    <w:multiLevelType w:val="hybridMultilevel"/>
    <w:tmpl w:val="E75A278E"/>
    <w:lvl w:ilvl="0" w:tplc="657E1CB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7AE"/>
    <w:rsid w:val="000A2FE2"/>
    <w:rsid w:val="003D77AE"/>
    <w:rsid w:val="00A41715"/>
    <w:rsid w:val="00FA1E8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28211C3"/>
  <w15:chartTrackingRefBased/>
  <w15:docId w15:val="{5B6A211E-01A1-184C-AD0F-FB7E5EF58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77A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D77AE"/>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semiHidden/>
    <w:rsid w:val="003D77AE"/>
    <w:rPr>
      <w:sz w:val="20"/>
      <w:szCs w:val="20"/>
    </w:rPr>
  </w:style>
  <w:style w:type="character" w:styleId="FootnoteReference">
    <w:name w:val="footnote reference"/>
    <w:basedOn w:val="DefaultParagraphFont"/>
    <w:uiPriority w:val="99"/>
    <w:semiHidden/>
    <w:unhideWhenUsed/>
    <w:rsid w:val="003D77AE"/>
    <w:rPr>
      <w:vertAlign w:val="superscript"/>
    </w:rPr>
  </w:style>
  <w:style w:type="paragraph" w:styleId="ListParagraph">
    <w:name w:val="List Paragraph"/>
    <w:basedOn w:val="Normal"/>
    <w:uiPriority w:val="34"/>
    <w:qFormat/>
    <w:rsid w:val="003D77AE"/>
    <w:pPr>
      <w:ind w:left="720"/>
      <w:contextualSpacing/>
    </w:pPr>
    <w:rPr>
      <w:rFonts w:asciiTheme="minorHAnsi" w:eastAsiaTheme="minorEastAsia" w:hAnsiTheme="minorHAnsi" w:cstheme="minorBidi"/>
    </w:rPr>
  </w:style>
  <w:style w:type="character" w:styleId="Hyperlink">
    <w:name w:val="Hyperlink"/>
    <w:basedOn w:val="DefaultParagraphFont"/>
    <w:uiPriority w:val="99"/>
    <w:unhideWhenUsed/>
    <w:rsid w:val="003D77AE"/>
    <w:rPr>
      <w:color w:val="0563C1" w:themeColor="hyperlink"/>
      <w:u w:val="single"/>
    </w:rPr>
  </w:style>
  <w:style w:type="character" w:styleId="UnresolvedMention">
    <w:name w:val="Unresolved Mention"/>
    <w:basedOn w:val="DefaultParagraphFont"/>
    <w:uiPriority w:val="99"/>
    <w:semiHidden/>
    <w:unhideWhenUsed/>
    <w:rsid w:val="003D77AE"/>
    <w:rPr>
      <w:color w:val="605E5C"/>
      <w:shd w:val="clear" w:color="auto" w:fill="E1DFDD"/>
    </w:rPr>
  </w:style>
  <w:style w:type="character" w:styleId="FollowedHyperlink">
    <w:name w:val="FollowedHyperlink"/>
    <w:basedOn w:val="DefaultParagraphFont"/>
    <w:uiPriority w:val="99"/>
    <w:semiHidden/>
    <w:unhideWhenUsed/>
    <w:rsid w:val="003D77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proxy.brynmawr.edu/10.1017/CBO978113904806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doi-org.proxy.brynmawr.edu/10.1017/CBO9781139048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3348</Words>
  <Characters>19756</Characters>
  <Application>Microsoft Office Word</Application>
  <DocSecurity>0</DocSecurity>
  <Lines>411</Lines>
  <Paragraphs>136</Paragraphs>
  <ScaleCrop>false</ScaleCrop>
  <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2022-11-26T16:07:00Z</dcterms:created>
  <dcterms:modified xsi:type="dcterms:W3CDTF">2022-11-26T16:08:00Z</dcterms:modified>
</cp:coreProperties>
</file>