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E4836" w:rsidR="006E4836" w:rsidP="6194064B" w:rsidRDefault="006E4836" w14:paraId="046FE1B3" w14:textId="653A5FDB">
      <w:pPr>
        <w:pStyle w:val="Normal"/>
        <w:jc w:val="center"/>
        <w:rPr>
          <w:b w:val="1"/>
          <w:bCs w:val="1"/>
        </w:rPr>
      </w:pPr>
    </w:p>
    <w:p w:rsidRPr="006E4836" w:rsidR="006E4836" w:rsidP="6194064B" w:rsidRDefault="006E4836" w14:paraId="2E1CC018" w14:textId="222BF2EF">
      <w:pPr>
        <w:jc w:val="center"/>
        <w:rPr>
          <w:b w:val="1"/>
          <w:bCs w:val="1"/>
        </w:rPr>
      </w:pPr>
      <w:r w:rsidRPr="6194064B" w:rsidR="4A1932BB">
        <w:rPr>
          <w:b w:val="1"/>
          <w:bCs w:val="1"/>
        </w:rPr>
        <w:t>Student Name:</w:t>
      </w:r>
      <w:r w:rsidRPr="6194064B" w:rsidR="4A1932BB">
        <w:rPr>
          <w:b w:val="1"/>
          <w:bCs w:val="1"/>
        </w:rPr>
        <w:t xml:space="preserve"> </w:t>
      </w:r>
      <w:r w:rsidR="4A1932BB">
        <w:rPr/>
        <w:t>Ruheb Ahmed</w:t>
      </w:r>
      <w:r>
        <w:br/>
      </w:r>
      <w:r w:rsidRPr="6194064B" w:rsidR="4A1932BB">
        <w:rPr>
          <w:b w:val="1"/>
          <w:bCs w:val="1"/>
        </w:rPr>
        <w:t>Student ID: 2519552</w:t>
      </w:r>
    </w:p>
    <w:p w:rsidRPr="006E4836" w:rsidR="006E4836" w:rsidP="6194064B" w:rsidRDefault="006E4836" w14:paraId="3D0D8BE5" w14:textId="50F15A93">
      <w:pPr>
        <w:pStyle w:val="Normal"/>
        <w:jc w:val="center"/>
      </w:pPr>
      <w:r w:rsidRPr="6194064B" w:rsidR="4A1932BB">
        <w:rPr>
          <w:b w:val="1"/>
          <w:bCs w:val="1"/>
          <w:lang w:val="fr-FR"/>
        </w:rPr>
        <w:t>Programme:</w:t>
      </w:r>
      <w:r w:rsidRPr="6194064B" w:rsidR="4A1932BB">
        <w:rPr>
          <w:b w:val="1"/>
          <w:bCs w:val="1"/>
          <w:lang w:val="fr-FR"/>
        </w:rPr>
        <w:t xml:space="preserve"> </w:t>
      </w:r>
      <w:r w:rsidRPr="6194064B" w:rsidR="4A1932BB">
        <w:rPr>
          <w:b w:val="1"/>
          <w:bCs w:val="1"/>
          <w:lang w:val="fr-FR"/>
        </w:rPr>
        <w:t>Certificate</w:t>
      </w:r>
      <w:r w:rsidRPr="6194064B" w:rsidR="4A1932BB">
        <w:rPr>
          <w:b w:val="1"/>
          <w:bCs w:val="1"/>
          <w:lang w:val="fr-FR"/>
        </w:rPr>
        <w:t xml:space="preserve"> of </w:t>
      </w:r>
      <w:r w:rsidRPr="6194064B" w:rsidR="4A1932BB">
        <w:rPr>
          <w:b w:val="1"/>
          <w:bCs w:val="1"/>
          <w:lang w:val="fr-FR"/>
        </w:rPr>
        <w:t>Higher</w:t>
      </w:r>
      <w:r w:rsidRPr="6194064B" w:rsidR="4A1932BB">
        <w:rPr>
          <w:b w:val="1"/>
          <w:bCs w:val="1"/>
          <w:lang w:val="fr-FR"/>
        </w:rPr>
        <w:t xml:space="preserve"> Education </w:t>
      </w:r>
      <w:r w:rsidRPr="6194064B" w:rsidR="4A1932BB">
        <w:rPr>
          <w:b w:val="1"/>
          <w:bCs w:val="1"/>
          <w:lang w:val="fr-FR"/>
        </w:rPr>
        <w:t>Skills</w:t>
      </w:r>
      <w:r w:rsidRPr="6194064B" w:rsidR="4A1932BB">
        <w:rPr>
          <w:b w:val="1"/>
          <w:bCs w:val="1"/>
          <w:lang w:val="fr-FR"/>
        </w:rPr>
        <w:t xml:space="preserve"> for the Workplace (Health s Social Ca</w:t>
      </w:r>
      <w:r w:rsidRPr="6194064B" w:rsidR="2E3E9BC7">
        <w:rPr>
          <w:b w:val="1"/>
          <w:bCs w:val="1"/>
          <w:lang w:val="fr-FR"/>
        </w:rPr>
        <w:t>r</w:t>
      </w:r>
      <w:r w:rsidRPr="6194064B" w:rsidR="4A1932BB">
        <w:rPr>
          <w:b w:val="1"/>
          <w:bCs w:val="1"/>
          <w:lang w:val="fr-FR"/>
        </w:rPr>
        <w:t>e)</w:t>
      </w:r>
    </w:p>
    <w:p w:rsidRPr="006E4836" w:rsidR="006E4836" w:rsidP="6194064B" w:rsidRDefault="006E4836" w14:paraId="214DE47E" w14:textId="63887096">
      <w:pPr>
        <w:pStyle w:val="Normal"/>
        <w:jc w:val="center"/>
      </w:pPr>
      <w:r w:rsidRPr="6194064B" w:rsidR="006E4836">
        <w:rPr>
          <w:b w:val="1"/>
          <w:bCs w:val="1"/>
        </w:rPr>
        <w:t>Module:</w:t>
      </w:r>
      <w:r w:rsidR="00122562">
        <w:rPr/>
        <w:t xml:space="preserve"> Introduction to Health and Social Care</w:t>
      </w:r>
    </w:p>
    <w:p w:rsidR="6202329F" w:rsidP="6194064B" w:rsidRDefault="6202329F" w14:paraId="7640D822" w14:textId="58CB73FA">
      <w:pPr>
        <w:pStyle w:val="Normal"/>
        <w:jc w:val="center"/>
        <w:rPr>
          <w:b w:val="1"/>
          <w:bCs w:val="1"/>
        </w:rPr>
      </w:pPr>
      <w:r w:rsidRPr="6194064B" w:rsidR="6202329F">
        <w:rPr>
          <w:b w:val="1"/>
          <w:bCs w:val="1"/>
        </w:rPr>
        <w:t>Module Code:</w:t>
      </w:r>
      <w:r w:rsidRPr="6194064B" w:rsidR="6202329F">
        <w:rPr>
          <w:b w:val="1"/>
          <w:bCs w:val="1"/>
        </w:rPr>
        <w:t xml:space="preserve"> </w:t>
      </w:r>
      <w:r w:rsidR="6202329F">
        <w:rPr/>
        <w:t>LCHS4003</w:t>
      </w:r>
    </w:p>
    <w:p w:rsidRPr="006E4836" w:rsidR="006E4836" w:rsidP="006E4836" w:rsidRDefault="006E4836" w14:paraId="2578751B" w14:textId="798DDA43">
      <w:pPr>
        <w:jc w:val="center"/>
        <w:rPr>
          <w:b w:val="1"/>
          <w:bCs w:val="1"/>
        </w:rPr>
      </w:pPr>
      <w:r w:rsidRPr="6194064B" w:rsidR="006E4836">
        <w:rPr>
          <w:b w:val="1"/>
          <w:bCs w:val="1"/>
        </w:rPr>
        <w:t xml:space="preserve">Lecturer’s </w:t>
      </w:r>
      <w:r w:rsidRPr="6194064B" w:rsidR="4339D965">
        <w:rPr>
          <w:b w:val="1"/>
          <w:bCs w:val="1"/>
        </w:rPr>
        <w:t>N</w:t>
      </w:r>
      <w:r w:rsidRPr="6194064B" w:rsidR="006E4836">
        <w:rPr>
          <w:b w:val="1"/>
          <w:bCs w:val="1"/>
        </w:rPr>
        <w:t>ame:</w:t>
      </w:r>
      <w:r w:rsidRPr="6194064B" w:rsidR="00122562">
        <w:rPr>
          <w:b w:val="1"/>
          <w:bCs w:val="1"/>
        </w:rPr>
        <w:t xml:space="preserve"> </w:t>
      </w:r>
      <w:r w:rsidR="00122562">
        <w:rPr/>
        <w:t>Dr Helen Parsons</w:t>
      </w:r>
    </w:p>
    <w:p w:rsidRPr="006E4836" w:rsidR="006E4836" w:rsidP="006E4836" w:rsidRDefault="006E4836" w14:paraId="198D46F0" w14:textId="5745F41F">
      <w:pPr>
        <w:jc w:val="center"/>
        <w:rPr>
          <w:b w:val="1"/>
          <w:bCs w:val="1"/>
        </w:rPr>
        <w:sectPr w:rsidRPr="006E4836" w:rsidR="006E4836">
          <w:footerReference w:type="default" r:id="rId7"/>
          <w:pgSz w:w="12240" w:h="15840" w:orient="portrait"/>
          <w:pgMar w:top="720" w:right="720" w:bottom="720" w:left="720" w:header="720" w:footer="720" w:gutter="0"/>
          <w:cols w:space="720"/>
          <w:docGrid w:linePitch="360"/>
          <w:headerReference w:type="default" r:id="R800114b286f64703"/>
        </w:sectPr>
      </w:pPr>
    </w:p>
    <w:sdt>
      <w:sdtPr>
        <w:id w:val="-698548639"/>
        <w:docPartObj>
          <w:docPartGallery w:val="Table of Contents"/>
          <w:docPartUnique/>
        </w:docPartObj>
        <w:rPr>
          <w:rFonts w:ascii="Arial" w:hAnsi="Arial" w:eastAsia="Calibri" w:cs="" w:eastAsiaTheme="minorAscii" w:cstheme="minorBidi"/>
          <w:color w:val="auto"/>
          <w:kern w:val="2"/>
          <w:sz w:val="22"/>
          <w:szCs w:val="22"/>
          <w:lang w:val="en-GB"/>
          <w14:ligatures w14:val="standardContextual"/>
        </w:rPr>
      </w:sdtPr>
      <w:sdtEndPr>
        <w:rPr>
          <w:rFonts w:ascii="Arial" w:hAnsi="Arial" w:eastAsia="Calibri" w:cs="" w:eastAsiaTheme="minorAscii" w:cstheme="minorBidi"/>
          <w:b w:val="1"/>
          <w:bCs w:val="1"/>
          <w:noProof/>
          <w:color w:val="auto"/>
          <w:sz w:val="22"/>
          <w:szCs w:val="22"/>
          <w:lang w:val="en-GB"/>
        </w:rPr>
      </w:sdtEndPr>
      <w:sdtContent>
        <w:p w:rsidRPr="00122562" w:rsidR="00122562" w:rsidRDefault="00122562" w14:paraId="1E6CBE54" w14:textId="220D6000">
          <w:pPr>
            <w:pStyle w:val="TOCHeading"/>
            <w:rPr>
              <w:rFonts w:ascii="Arial" w:hAnsi="Arial" w:cs="Arial"/>
            </w:rPr>
          </w:pPr>
          <w:r w:rsidRPr="00122562">
            <w:rPr>
              <w:rFonts w:ascii="Arial" w:hAnsi="Arial" w:cs="Arial"/>
            </w:rPr>
            <w:t>Table of Contents</w:t>
          </w:r>
        </w:p>
        <w:p w:rsidR="00122562" w:rsidRDefault="00122562" w14:paraId="6004A104" w14:textId="7355B321">
          <w:pPr>
            <w:pStyle w:val="TOC1"/>
            <w:tabs>
              <w:tab w:val="right" w:leader="dot" w:pos="9350"/>
            </w:tabs>
            <w:rPr>
              <w:rFonts w:asciiTheme="minorHAnsi" w:hAnsiTheme="minorHAnsi" w:eastAsiaTheme="minorEastAsia"/>
              <w:noProof/>
              <w:sz w:val="24"/>
              <w:szCs w:val="24"/>
              <w:lang w:val="en-US"/>
            </w:rPr>
          </w:pPr>
          <w:r>
            <w:fldChar w:fldCharType="begin"/>
          </w:r>
          <w:r>
            <w:instrText xml:space="preserve"> TOC \o "1-3" \h \z \u </w:instrText>
          </w:r>
          <w:r>
            <w:fldChar w:fldCharType="separate"/>
          </w:r>
          <w:hyperlink w:history="1" w:anchor="_Toc234494036">
            <w:r w:rsidRPr="003210A4">
              <w:rPr>
                <w:rStyle w:val="Hyperlink"/>
                <w:noProof/>
              </w:rPr>
              <w:t>Introduction</w:t>
            </w:r>
            <w:r>
              <w:rPr>
                <w:noProof/>
                <w:webHidden/>
              </w:rPr>
              <w:tab/>
            </w:r>
            <w:r>
              <w:rPr>
                <w:noProof/>
                <w:webHidden/>
              </w:rPr>
              <w:fldChar w:fldCharType="begin"/>
            </w:r>
            <w:r>
              <w:rPr>
                <w:noProof/>
                <w:webHidden/>
              </w:rPr>
              <w:instrText xml:space="preserve"> PAGEREF _Toc234494036 \h </w:instrText>
            </w:r>
            <w:r>
              <w:rPr>
                <w:noProof/>
                <w:webHidden/>
              </w:rPr>
            </w:r>
            <w:r>
              <w:rPr>
                <w:noProof/>
                <w:webHidden/>
              </w:rPr>
              <w:fldChar w:fldCharType="separate"/>
            </w:r>
            <w:r>
              <w:rPr>
                <w:noProof/>
                <w:webHidden/>
              </w:rPr>
              <w:t>1</w:t>
            </w:r>
            <w:r>
              <w:rPr>
                <w:noProof/>
                <w:webHidden/>
              </w:rPr>
              <w:fldChar w:fldCharType="end"/>
            </w:r>
          </w:hyperlink>
        </w:p>
        <w:p w:rsidR="00122562" w:rsidRDefault="00122562" w14:paraId="2CA20A85" w14:textId="7B8B17D2">
          <w:pPr>
            <w:pStyle w:val="TOC1"/>
            <w:tabs>
              <w:tab w:val="right" w:leader="dot" w:pos="9350"/>
            </w:tabs>
            <w:rPr>
              <w:rFonts w:asciiTheme="minorHAnsi" w:hAnsiTheme="minorHAnsi" w:eastAsiaTheme="minorEastAsia"/>
              <w:noProof/>
              <w:sz w:val="24"/>
              <w:szCs w:val="24"/>
              <w:lang w:val="en-US"/>
            </w:rPr>
          </w:pPr>
          <w:hyperlink w:history="1" w:anchor="_Toc234494037">
            <w:r w:rsidRPr="003210A4">
              <w:rPr>
                <w:rStyle w:val="Hyperlink"/>
                <w:noProof/>
              </w:rPr>
              <w:t>Effective Communication</w:t>
            </w:r>
            <w:r>
              <w:rPr>
                <w:noProof/>
                <w:webHidden/>
              </w:rPr>
              <w:tab/>
            </w:r>
            <w:r>
              <w:rPr>
                <w:noProof/>
                <w:webHidden/>
              </w:rPr>
              <w:fldChar w:fldCharType="begin"/>
            </w:r>
            <w:r>
              <w:rPr>
                <w:noProof/>
                <w:webHidden/>
              </w:rPr>
              <w:instrText xml:space="preserve"> PAGEREF _Toc234494037 \h </w:instrText>
            </w:r>
            <w:r>
              <w:rPr>
                <w:noProof/>
                <w:webHidden/>
              </w:rPr>
            </w:r>
            <w:r>
              <w:rPr>
                <w:noProof/>
                <w:webHidden/>
              </w:rPr>
              <w:fldChar w:fldCharType="separate"/>
            </w:r>
            <w:r>
              <w:rPr>
                <w:noProof/>
                <w:webHidden/>
              </w:rPr>
              <w:t>1</w:t>
            </w:r>
            <w:r>
              <w:rPr>
                <w:noProof/>
                <w:webHidden/>
              </w:rPr>
              <w:fldChar w:fldCharType="end"/>
            </w:r>
          </w:hyperlink>
        </w:p>
        <w:p w:rsidR="00122562" w:rsidRDefault="00122562" w14:paraId="5F7A51A7" w14:textId="6AE31624">
          <w:pPr>
            <w:pStyle w:val="TOC2"/>
            <w:tabs>
              <w:tab w:val="right" w:leader="dot" w:pos="9350"/>
            </w:tabs>
            <w:rPr>
              <w:rFonts w:asciiTheme="minorHAnsi" w:hAnsiTheme="minorHAnsi" w:eastAsiaTheme="minorEastAsia"/>
              <w:noProof/>
              <w:sz w:val="24"/>
              <w:szCs w:val="24"/>
              <w:lang w:val="en-US"/>
            </w:rPr>
          </w:pPr>
          <w:hyperlink w:history="1" w:anchor="_Toc234494038">
            <w:r w:rsidRPr="003210A4">
              <w:rPr>
                <w:rStyle w:val="Hyperlink"/>
                <w:noProof/>
              </w:rPr>
              <w:t>Equality Act 2010 Principles</w:t>
            </w:r>
            <w:r>
              <w:rPr>
                <w:noProof/>
                <w:webHidden/>
              </w:rPr>
              <w:tab/>
            </w:r>
            <w:r>
              <w:rPr>
                <w:noProof/>
                <w:webHidden/>
              </w:rPr>
              <w:fldChar w:fldCharType="begin"/>
            </w:r>
            <w:r>
              <w:rPr>
                <w:noProof/>
                <w:webHidden/>
              </w:rPr>
              <w:instrText xml:space="preserve"> PAGEREF _Toc234494038 \h </w:instrText>
            </w:r>
            <w:r>
              <w:rPr>
                <w:noProof/>
                <w:webHidden/>
              </w:rPr>
            </w:r>
            <w:r>
              <w:rPr>
                <w:noProof/>
                <w:webHidden/>
              </w:rPr>
              <w:fldChar w:fldCharType="separate"/>
            </w:r>
            <w:r>
              <w:rPr>
                <w:noProof/>
                <w:webHidden/>
              </w:rPr>
              <w:t>1</w:t>
            </w:r>
            <w:r>
              <w:rPr>
                <w:noProof/>
                <w:webHidden/>
              </w:rPr>
              <w:fldChar w:fldCharType="end"/>
            </w:r>
          </w:hyperlink>
        </w:p>
        <w:p w:rsidR="00122562" w:rsidRDefault="00122562" w14:paraId="729B5C7D" w14:textId="24E4E5CE">
          <w:pPr>
            <w:pStyle w:val="TOC2"/>
            <w:tabs>
              <w:tab w:val="right" w:leader="dot" w:pos="9350"/>
            </w:tabs>
            <w:rPr>
              <w:rFonts w:asciiTheme="minorHAnsi" w:hAnsiTheme="minorHAnsi" w:eastAsiaTheme="minorEastAsia"/>
              <w:noProof/>
              <w:sz w:val="24"/>
              <w:szCs w:val="24"/>
              <w:lang w:val="en-US"/>
            </w:rPr>
          </w:pPr>
          <w:hyperlink w:history="1" w:anchor="_Toc234494039">
            <w:r w:rsidRPr="003210A4">
              <w:rPr>
                <w:rStyle w:val="Hyperlink"/>
                <w:noProof/>
              </w:rPr>
              <w:t>Transactional Model of Communication</w:t>
            </w:r>
            <w:r>
              <w:rPr>
                <w:noProof/>
                <w:webHidden/>
              </w:rPr>
              <w:tab/>
            </w:r>
            <w:r>
              <w:rPr>
                <w:noProof/>
                <w:webHidden/>
              </w:rPr>
              <w:fldChar w:fldCharType="begin"/>
            </w:r>
            <w:r>
              <w:rPr>
                <w:noProof/>
                <w:webHidden/>
              </w:rPr>
              <w:instrText xml:space="preserve"> PAGEREF _Toc234494039 \h </w:instrText>
            </w:r>
            <w:r>
              <w:rPr>
                <w:noProof/>
                <w:webHidden/>
              </w:rPr>
            </w:r>
            <w:r>
              <w:rPr>
                <w:noProof/>
                <w:webHidden/>
              </w:rPr>
              <w:fldChar w:fldCharType="separate"/>
            </w:r>
            <w:r>
              <w:rPr>
                <w:noProof/>
                <w:webHidden/>
              </w:rPr>
              <w:t>2</w:t>
            </w:r>
            <w:r>
              <w:rPr>
                <w:noProof/>
                <w:webHidden/>
              </w:rPr>
              <w:fldChar w:fldCharType="end"/>
            </w:r>
          </w:hyperlink>
        </w:p>
        <w:p w:rsidR="00122562" w:rsidRDefault="00122562" w14:paraId="4D382C08" w14:textId="44A6201A">
          <w:pPr>
            <w:pStyle w:val="TOC1"/>
            <w:tabs>
              <w:tab w:val="right" w:leader="dot" w:pos="9350"/>
            </w:tabs>
            <w:rPr>
              <w:rFonts w:asciiTheme="minorHAnsi" w:hAnsiTheme="minorHAnsi" w:eastAsiaTheme="minorEastAsia"/>
              <w:noProof/>
              <w:sz w:val="24"/>
              <w:szCs w:val="24"/>
              <w:lang w:val="en-US"/>
            </w:rPr>
          </w:pPr>
          <w:hyperlink w:history="1" w:anchor="_Toc234494040">
            <w:r w:rsidRPr="003210A4">
              <w:rPr>
                <w:rStyle w:val="Hyperlink"/>
                <w:noProof/>
              </w:rPr>
              <w:t>Good Administrative Skills and Record Keeping</w:t>
            </w:r>
            <w:r>
              <w:rPr>
                <w:noProof/>
                <w:webHidden/>
              </w:rPr>
              <w:tab/>
            </w:r>
            <w:r>
              <w:rPr>
                <w:noProof/>
                <w:webHidden/>
              </w:rPr>
              <w:fldChar w:fldCharType="begin"/>
            </w:r>
            <w:r>
              <w:rPr>
                <w:noProof/>
                <w:webHidden/>
              </w:rPr>
              <w:instrText xml:space="preserve"> PAGEREF _Toc234494040 \h </w:instrText>
            </w:r>
            <w:r>
              <w:rPr>
                <w:noProof/>
                <w:webHidden/>
              </w:rPr>
            </w:r>
            <w:r>
              <w:rPr>
                <w:noProof/>
                <w:webHidden/>
              </w:rPr>
              <w:fldChar w:fldCharType="separate"/>
            </w:r>
            <w:r>
              <w:rPr>
                <w:noProof/>
                <w:webHidden/>
              </w:rPr>
              <w:t>3</w:t>
            </w:r>
            <w:r>
              <w:rPr>
                <w:noProof/>
                <w:webHidden/>
              </w:rPr>
              <w:fldChar w:fldCharType="end"/>
            </w:r>
          </w:hyperlink>
        </w:p>
        <w:p w:rsidR="00122562" w:rsidRDefault="00122562" w14:paraId="7EFE1C39" w14:textId="5709970A">
          <w:pPr>
            <w:pStyle w:val="TOC2"/>
            <w:tabs>
              <w:tab w:val="right" w:leader="dot" w:pos="9350"/>
            </w:tabs>
            <w:rPr>
              <w:rFonts w:asciiTheme="minorHAnsi" w:hAnsiTheme="minorHAnsi" w:eastAsiaTheme="minorEastAsia"/>
              <w:noProof/>
              <w:sz w:val="24"/>
              <w:szCs w:val="24"/>
              <w:lang w:val="en-US"/>
            </w:rPr>
          </w:pPr>
          <w:hyperlink w:history="1" w:anchor="_Toc234494041">
            <w:r w:rsidRPr="003210A4">
              <w:rPr>
                <w:rStyle w:val="Hyperlink"/>
                <w:noProof/>
              </w:rPr>
              <w:t>Prominence of Good Administrative Skills</w:t>
            </w:r>
            <w:r>
              <w:rPr>
                <w:noProof/>
                <w:webHidden/>
              </w:rPr>
              <w:tab/>
            </w:r>
            <w:r>
              <w:rPr>
                <w:noProof/>
                <w:webHidden/>
              </w:rPr>
              <w:fldChar w:fldCharType="begin"/>
            </w:r>
            <w:r>
              <w:rPr>
                <w:noProof/>
                <w:webHidden/>
              </w:rPr>
              <w:instrText xml:space="preserve"> PAGEREF _Toc234494041 \h </w:instrText>
            </w:r>
            <w:r>
              <w:rPr>
                <w:noProof/>
                <w:webHidden/>
              </w:rPr>
            </w:r>
            <w:r>
              <w:rPr>
                <w:noProof/>
                <w:webHidden/>
              </w:rPr>
              <w:fldChar w:fldCharType="separate"/>
            </w:r>
            <w:r>
              <w:rPr>
                <w:noProof/>
                <w:webHidden/>
              </w:rPr>
              <w:t>3</w:t>
            </w:r>
            <w:r>
              <w:rPr>
                <w:noProof/>
                <w:webHidden/>
              </w:rPr>
              <w:fldChar w:fldCharType="end"/>
            </w:r>
          </w:hyperlink>
        </w:p>
        <w:p w:rsidR="00122562" w:rsidRDefault="00122562" w14:paraId="758DB76E" w14:textId="2379E40C">
          <w:pPr>
            <w:pStyle w:val="TOC2"/>
            <w:tabs>
              <w:tab w:val="right" w:leader="dot" w:pos="9350"/>
            </w:tabs>
            <w:rPr>
              <w:rFonts w:asciiTheme="minorHAnsi" w:hAnsiTheme="minorHAnsi" w:eastAsiaTheme="minorEastAsia"/>
              <w:noProof/>
              <w:sz w:val="24"/>
              <w:szCs w:val="24"/>
              <w:lang w:val="en-US"/>
            </w:rPr>
          </w:pPr>
          <w:hyperlink w:history="1" w:anchor="_Toc234494042">
            <w:r w:rsidRPr="003210A4">
              <w:rPr>
                <w:rStyle w:val="Hyperlink"/>
                <w:noProof/>
              </w:rPr>
              <w:t>Keeping Records and the Data Protection Act 2018</w:t>
            </w:r>
            <w:r>
              <w:rPr>
                <w:noProof/>
                <w:webHidden/>
              </w:rPr>
              <w:tab/>
            </w:r>
            <w:r>
              <w:rPr>
                <w:noProof/>
                <w:webHidden/>
              </w:rPr>
              <w:fldChar w:fldCharType="begin"/>
            </w:r>
            <w:r>
              <w:rPr>
                <w:noProof/>
                <w:webHidden/>
              </w:rPr>
              <w:instrText xml:space="preserve"> PAGEREF _Toc234494042 \h </w:instrText>
            </w:r>
            <w:r>
              <w:rPr>
                <w:noProof/>
                <w:webHidden/>
              </w:rPr>
            </w:r>
            <w:r>
              <w:rPr>
                <w:noProof/>
                <w:webHidden/>
              </w:rPr>
              <w:fldChar w:fldCharType="separate"/>
            </w:r>
            <w:r>
              <w:rPr>
                <w:noProof/>
                <w:webHidden/>
              </w:rPr>
              <w:t>3</w:t>
            </w:r>
            <w:r>
              <w:rPr>
                <w:noProof/>
                <w:webHidden/>
              </w:rPr>
              <w:fldChar w:fldCharType="end"/>
            </w:r>
          </w:hyperlink>
        </w:p>
        <w:p w:rsidR="00122562" w:rsidRDefault="00122562" w14:paraId="58C2F98F" w14:textId="0C0DB680">
          <w:pPr>
            <w:pStyle w:val="TOC1"/>
            <w:tabs>
              <w:tab w:val="right" w:leader="dot" w:pos="9350"/>
            </w:tabs>
            <w:rPr>
              <w:rFonts w:asciiTheme="minorHAnsi" w:hAnsiTheme="minorHAnsi" w:eastAsiaTheme="minorEastAsia"/>
              <w:noProof/>
              <w:sz w:val="24"/>
              <w:szCs w:val="24"/>
              <w:lang w:val="en-US"/>
            </w:rPr>
          </w:pPr>
          <w:hyperlink w:history="1" w:anchor="_Toc234494043">
            <w:r w:rsidRPr="003210A4">
              <w:rPr>
                <w:rStyle w:val="Hyperlink"/>
                <w:noProof/>
              </w:rPr>
              <w:t>Multi-Agency Collaboration</w:t>
            </w:r>
            <w:r>
              <w:rPr>
                <w:noProof/>
                <w:webHidden/>
              </w:rPr>
              <w:tab/>
            </w:r>
            <w:r>
              <w:rPr>
                <w:noProof/>
                <w:webHidden/>
              </w:rPr>
              <w:fldChar w:fldCharType="begin"/>
            </w:r>
            <w:r>
              <w:rPr>
                <w:noProof/>
                <w:webHidden/>
              </w:rPr>
              <w:instrText xml:space="preserve"> PAGEREF _Toc234494043 \h </w:instrText>
            </w:r>
            <w:r>
              <w:rPr>
                <w:noProof/>
                <w:webHidden/>
              </w:rPr>
            </w:r>
            <w:r>
              <w:rPr>
                <w:noProof/>
                <w:webHidden/>
              </w:rPr>
              <w:fldChar w:fldCharType="separate"/>
            </w:r>
            <w:r>
              <w:rPr>
                <w:noProof/>
                <w:webHidden/>
              </w:rPr>
              <w:t>4</w:t>
            </w:r>
            <w:r>
              <w:rPr>
                <w:noProof/>
                <w:webHidden/>
              </w:rPr>
              <w:fldChar w:fldCharType="end"/>
            </w:r>
          </w:hyperlink>
        </w:p>
        <w:p w:rsidR="00122562" w:rsidRDefault="00122562" w14:paraId="4AECD3DE" w14:textId="13DE4E02">
          <w:pPr>
            <w:pStyle w:val="TOC1"/>
            <w:tabs>
              <w:tab w:val="right" w:leader="dot" w:pos="9350"/>
            </w:tabs>
            <w:rPr>
              <w:rFonts w:asciiTheme="minorHAnsi" w:hAnsiTheme="minorHAnsi" w:eastAsiaTheme="minorEastAsia"/>
              <w:noProof/>
              <w:sz w:val="24"/>
              <w:szCs w:val="24"/>
              <w:lang w:val="en-US"/>
            </w:rPr>
          </w:pPr>
          <w:hyperlink w:history="1" w:anchor="_Toc234494044">
            <w:r w:rsidRPr="003210A4">
              <w:rPr>
                <w:rStyle w:val="Hyperlink"/>
                <w:noProof/>
              </w:rPr>
              <w:t>Conclusion</w:t>
            </w:r>
            <w:r>
              <w:rPr>
                <w:noProof/>
                <w:webHidden/>
              </w:rPr>
              <w:tab/>
            </w:r>
            <w:r>
              <w:rPr>
                <w:noProof/>
                <w:webHidden/>
              </w:rPr>
              <w:fldChar w:fldCharType="begin"/>
            </w:r>
            <w:r>
              <w:rPr>
                <w:noProof/>
                <w:webHidden/>
              </w:rPr>
              <w:instrText xml:space="preserve"> PAGEREF _Toc234494044 \h </w:instrText>
            </w:r>
            <w:r>
              <w:rPr>
                <w:noProof/>
                <w:webHidden/>
              </w:rPr>
            </w:r>
            <w:r>
              <w:rPr>
                <w:noProof/>
                <w:webHidden/>
              </w:rPr>
              <w:fldChar w:fldCharType="separate"/>
            </w:r>
            <w:r>
              <w:rPr>
                <w:noProof/>
                <w:webHidden/>
              </w:rPr>
              <w:t>4</w:t>
            </w:r>
            <w:r>
              <w:rPr>
                <w:noProof/>
                <w:webHidden/>
              </w:rPr>
              <w:fldChar w:fldCharType="end"/>
            </w:r>
          </w:hyperlink>
        </w:p>
        <w:p w:rsidR="00122562" w:rsidRDefault="00122562" w14:paraId="7A88BB38" w14:textId="4AC8F9B7">
          <w:pPr>
            <w:pStyle w:val="TOC1"/>
            <w:tabs>
              <w:tab w:val="right" w:leader="dot" w:pos="9350"/>
            </w:tabs>
            <w:rPr>
              <w:rFonts w:asciiTheme="minorHAnsi" w:hAnsiTheme="minorHAnsi" w:eastAsiaTheme="minorEastAsia"/>
              <w:noProof/>
              <w:sz w:val="24"/>
              <w:szCs w:val="24"/>
              <w:lang w:val="en-US"/>
            </w:rPr>
          </w:pPr>
          <w:hyperlink w:history="1" w:anchor="_Toc234494045">
            <w:r w:rsidRPr="003210A4">
              <w:rPr>
                <w:rStyle w:val="Hyperlink"/>
                <w:noProof/>
              </w:rPr>
              <w:t>References</w:t>
            </w:r>
            <w:r>
              <w:rPr>
                <w:noProof/>
                <w:webHidden/>
              </w:rPr>
              <w:tab/>
            </w:r>
            <w:r>
              <w:rPr>
                <w:noProof/>
                <w:webHidden/>
              </w:rPr>
              <w:fldChar w:fldCharType="begin"/>
            </w:r>
            <w:r>
              <w:rPr>
                <w:noProof/>
                <w:webHidden/>
              </w:rPr>
              <w:instrText xml:space="preserve"> PAGEREF _Toc234494045 \h </w:instrText>
            </w:r>
            <w:r>
              <w:rPr>
                <w:noProof/>
                <w:webHidden/>
              </w:rPr>
            </w:r>
            <w:r>
              <w:rPr>
                <w:noProof/>
                <w:webHidden/>
              </w:rPr>
              <w:fldChar w:fldCharType="separate"/>
            </w:r>
            <w:r>
              <w:rPr>
                <w:noProof/>
                <w:webHidden/>
              </w:rPr>
              <w:t>6</w:t>
            </w:r>
            <w:r>
              <w:rPr>
                <w:noProof/>
                <w:webHidden/>
              </w:rPr>
              <w:fldChar w:fldCharType="end"/>
            </w:r>
          </w:hyperlink>
        </w:p>
        <w:p w:rsidR="00122562" w:rsidRDefault="00122562" w14:paraId="4CCE4D4B" w14:textId="6A834FCC">
          <w:r>
            <w:rPr>
              <w:b/>
              <w:bCs/>
              <w:noProof/>
            </w:rPr>
            <w:fldChar w:fldCharType="end"/>
          </w:r>
        </w:p>
      </w:sdtContent>
    </w:sdt>
    <w:p w:rsidR="006E4836" w:rsidP="001C69ED" w:rsidRDefault="006E4836" w14:paraId="5BE72D7E" w14:textId="77777777">
      <w:pPr>
        <w:pStyle w:val="Heading1"/>
        <w:sectPr w:rsidR="006E4836">
          <w:pgSz w:w="12240" w:h="15840" w:orient="portrait"/>
          <w:pgMar w:top="1440" w:right="1440" w:bottom="1440" w:left="1440" w:header="720" w:footer="720" w:gutter="0"/>
          <w:cols w:space="720"/>
          <w:docGrid w:linePitch="360"/>
          <w:headerReference w:type="default" r:id="Rac861edcb8ed4062"/>
        </w:sectPr>
      </w:pPr>
    </w:p>
    <w:p w:rsidR="00446A7C" w:rsidP="001C69ED" w:rsidRDefault="001C69ED" w14:paraId="44238C38" w14:textId="285739AF">
      <w:pPr>
        <w:pStyle w:val="Heading1"/>
      </w:pPr>
      <w:bookmarkStart w:name="_Toc234494036" w:id="0"/>
      <w:r w:rsidRPr="001C69ED">
        <w:t>Introduction</w:t>
      </w:r>
      <w:bookmarkEnd w:id="0"/>
    </w:p>
    <w:p w:rsidR="001C69ED" w:rsidP="001C69ED" w:rsidRDefault="001C69ED" w14:paraId="59EB87A2" w14:textId="5F462C88">
      <w:r w:rsidRPr="001C69ED">
        <w:t>Health and social care</w:t>
      </w:r>
      <w:r>
        <w:t xml:space="preserve"> are considered a system of support, thereby assisting individuals with medical requirements and daily living activities</w:t>
      </w:r>
      <w:r w:rsidR="006E4836">
        <w:t xml:space="preserve"> </w:t>
      </w:r>
      <w:r w:rsidRPr="006E4836" w:rsidR="006E4836">
        <w:t>(Clarke, 2022)</w:t>
      </w:r>
      <w:r>
        <w:t xml:space="preserve">. The delivery of high-quality and safe health and social care depends on the integration of proper communication and transparent administrative approaches with collaborative teamwork. The report considers the case study of </w:t>
      </w:r>
      <w:r w:rsidRPr="001C69ED">
        <w:t>Mrs Thompson, an 84-year-old woman</w:t>
      </w:r>
      <w:r>
        <w:t xml:space="preserve"> facing complications after discharge with </w:t>
      </w:r>
      <w:r w:rsidRPr="001C69ED">
        <w:t>pneumonia</w:t>
      </w:r>
      <w:r>
        <w:t xml:space="preserve">. The case presented that the person lives in a sheltered home alone and receives domiciliary care regularly with mild dementia. However, the contemporary challenges that are noticeable involve medication that increases confusion, with the person wandering outside of the house in improper clothing. This leads to ethical concerns and signifies the challenge related to health and well-being. The report aims to discuss the </w:t>
      </w:r>
      <w:r w:rsidR="00B510B4">
        <w:t>importance</w:t>
      </w:r>
      <w:r>
        <w:t xml:space="preserve"> of proper communication under the </w:t>
      </w:r>
      <w:r w:rsidRPr="001C69ED">
        <w:t>Equality Act 2010</w:t>
      </w:r>
      <w:r>
        <w:t xml:space="preserve"> along with the </w:t>
      </w:r>
      <w:r w:rsidRPr="001C69ED">
        <w:t>Data Protection Act 2018</w:t>
      </w:r>
      <w:r>
        <w:t xml:space="preserve"> for avoiding the risks and confirming the safety of the personnel. Therefore, the report will consist of </w:t>
      </w:r>
      <w:r w:rsidRPr="001C69ED">
        <w:t>administrative skills</w:t>
      </w:r>
      <w:r>
        <w:t xml:space="preserve"> in </w:t>
      </w:r>
      <w:r w:rsidRPr="001C69ED">
        <w:t>professional practice</w:t>
      </w:r>
      <w:r>
        <w:t xml:space="preserve">, the </w:t>
      </w:r>
      <w:r w:rsidRPr="001C69ED">
        <w:t>importance of effective communication</w:t>
      </w:r>
      <w:r>
        <w:t xml:space="preserve"> and </w:t>
      </w:r>
      <w:r w:rsidRPr="001C69ED">
        <w:t>working collaboratively with other professionals</w:t>
      </w:r>
      <w:r>
        <w:t>.</w:t>
      </w:r>
    </w:p>
    <w:p w:rsidR="001C69ED" w:rsidP="00D8215F" w:rsidRDefault="00D8215F" w14:paraId="45811BAC" w14:textId="7D9000A2">
      <w:pPr>
        <w:pStyle w:val="Heading1"/>
      </w:pPr>
      <w:bookmarkStart w:name="_Toc234494037" w:id="1"/>
      <w:r w:rsidRPr="00D8215F">
        <w:t>Effective Communication</w:t>
      </w:r>
      <w:bookmarkEnd w:id="1"/>
    </w:p>
    <w:p w:rsidR="00D8215F" w:rsidP="00D8215F" w:rsidRDefault="00D8215F" w14:paraId="62B89DEC" w14:textId="14E8838C">
      <w:r>
        <w:t xml:space="preserve">Effective communication can confirm the safety and maintenance of Mrs Thompson’s safety with the multi-agency </w:t>
      </w:r>
      <w:r w:rsidR="00672A42">
        <w:t>responses</w:t>
      </w:r>
      <w:r w:rsidR="006E4836">
        <w:t xml:space="preserve"> </w:t>
      </w:r>
      <w:r w:rsidRPr="006E4836" w:rsidR="006E4836">
        <w:t>(Gedela et al., 2025)</w:t>
      </w:r>
      <w:r>
        <w:t xml:space="preserve">. The approach can promote well-being and avoid emergencies like missed medications and wandering in cold water. There, effective communication among the clinical and service team can foster understanding and make proper </w:t>
      </w:r>
      <w:r w:rsidR="00672A42">
        <w:t>plans</w:t>
      </w:r>
      <w:r>
        <w:t xml:space="preserve"> with the family and local council about the person’s care delivery.</w:t>
      </w:r>
    </w:p>
    <w:p w:rsidR="00672A42" w:rsidP="00672A42" w:rsidRDefault="00672A42" w14:paraId="7B2203F2" w14:textId="6DB7C9BA">
      <w:pPr>
        <w:pStyle w:val="Heading2"/>
      </w:pPr>
      <w:bookmarkStart w:name="_Toc234494038" w:id="2"/>
      <w:r w:rsidRPr="00672A42">
        <w:t>Equality Act 2010 Principles</w:t>
      </w:r>
      <w:bookmarkEnd w:id="2"/>
    </w:p>
    <w:p w:rsidR="00672A42" w:rsidP="00672A42" w:rsidRDefault="00672A42" w14:paraId="312587B6" w14:textId="5A75C465">
      <w:r>
        <w:t xml:space="preserve">Here, the </w:t>
      </w:r>
      <w:r w:rsidRPr="00672A42">
        <w:t>Equality Act 2010</w:t>
      </w:r>
      <w:r>
        <w:t xml:space="preserve"> legally </w:t>
      </w:r>
      <w:r w:rsidR="00B510B4">
        <w:t>secures</w:t>
      </w:r>
      <w:r>
        <w:t xml:space="preserve"> personnel from discrimination depending on the protected traits, including disability and age</w:t>
      </w:r>
      <w:r w:rsidR="006E4836">
        <w:t xml:space="preserve"> </w:t>
      </w:r>
      <w:r w:rsidRPr="006E4836" w:rsidR="006E4836">
        <w:t>(Glasby, 2026)</w:t>
      </w:r>
      <w:r>
        <w:t>. In the selected case, these principles are required to be followed.</w:t>
      </w:r>
    </w:p>
    <w:p w:rsidR="00672A42" w:rsidP="00672A42" w:rsidRDefault="00672A42" w14:paraId="56DADB4C" w14:textId="3DBA676F">
      <w:r w:rsidRPr="00672A42">
        <w:rPr>
          <w:b/>
          <w:bCs/>
        </w:rPr>
        <w:t xml:space="preserve">Age and Disability: </w:t>
      </w:r>
      <w:r>
        <w:t>The caregivers need to make changes to confirm that the person’s mild dementia does not affect the person's ability to remember her health care plan</w:t>
      </w:r>
      <w:r w:rsidR="006E4836">
        <w:t xml:space="preserve"> </w:t>
      </w:r>
      <w:r w:rsidRPr="006E4836" w:rsidR="006E4836">
        <w:t>(Hedberg et al., 2022)</w:t>
      </w:r>
      <w:r>
        <w:t>. Hence, they need to alter the communication pace with the avoidance of complicated terminology and offer data in formats that she can understand easily.</w:t>
      </w:r>
    </w:p>
    <w:p w:rsidR="003237F9" w:rsidP="00672A42" w:rsidRDefault="003237F9" w14:paraId="6B1D0DD5" w14:textId="2B0E1FD6">
      <w:r w:rsidRPr="003237F9">
        <w:rPr>
          <w:b/>
          <w:bCs/>
        </w:rPr>
        <w:t>Respect and Fairness:</w:t>
      </w:r>
      <w:r>
        <w:rPr>
          <w:b/>
          <w:bCs/>
        </w:rPr>
        <w:t xml:space="preserve"> </w:t>
      </w:r>
      <w:r>
        <w:t>The communication with Mrs Thompson should be made by respecting her privacy, autonomy and dignity. In this context, the care providers need to make contact with her directly, which involves respecting her preferences about the medication</w:t>
      </w:r>
      <w:r w:rsidR="006E4836">
        <w:t>,</w:t>
      </w:r>
      <w:r>
        <w:t xml:space="preserve"> </w:t>
      </w:r>
      <w:r w:rsidR="006E4836">
        <w:t>avoiding</w:t>
      </w:r>
      <w:r>
        <w:t xml:space="preserve"> patronising language and ensuring the absence of her mental capability. </w:t>
      </w:r>
    </w:p>
    <w:p w:rsidR="003237F9" w:rsidP="00672A42" w:rsidRDefault="003237F9" w14:paraId="41482839" w14:textId="28393E17">
      <w:r w:rsidRPr="003237F9">
        <w:rPr>
          <w:b/>
          <w:bCs/>
        </w:rPr>
        <w:t xml:space="preserve">Family Presence: </w:t>
      </w:r>
      <w:r>
        <w:t>The Equity Act 2010 suggests delivering fair and equal treatment, where the communication with the patient’s family includes sharing of their updates about the recent hospital discharge and reassessing the actions for delivering best support</w:t>
      </w:r>
      <w:r w:rsidR="006E4836">
        <w:t xml:space="preserve"> </w:t>
      </w:r>
      <w:r w:rsidRPr="006E4836" w:rsidR="006E4836">
        <w:t>(Hujala and Laihonen, 2023)</w:t>
      </w:r>
      <w:r>
        <w:t>. That also mandates obtaining the consent of the patient about sharing data and securing privacy.</w:t>
      </w:r>
    </w:p>
    <w:p w:rsidR="003237F9" w:rsidP="003237F9" w:rsidRDefault="003237F9" w14:paraId="0A033FED" w14:textId="63A14DD7">
      <w:pPr>
        <w:pStyle w:val="Heading2"/>
      </w:pPr>
      <w:bookmarkStart w:name="_Toc234494039" w:id="3"/>
      <w:r>
        <w:t>Transactional</w:t>
      </w:r>
      <w:r w:rsidRPr="003237F9">
        <w:t xml:space="preserve"> Model of Communication</w:t>
      </w:r>
      <w:bookmarkEnd w:id="3"/>
      <w:r w:rsidRPr="003237F9">
        <w:t xml:space="preserve"> </w:t>
      </w:r>
    </w:p>
    <w:p w:rsidR="003237F9" w:rsidP="003237F9" w:rsidRDefault="003237F9" w14:paraId="1BE91B1A" w14:textId="3C17FACF">
      <w:pPr>
        <w:jc w:val="center"/>
      </w:pPr>
      <w:r>
        <w:rPr>
          <w:noProof/>
        </w:rPr>
        <w:drawing>
          <wp:inline distT="0" distB="0" distL="0" distR="0" wp14:anchorId="6B2AD0C1" wp14:editId="4CF9DF0E">
            <wp:extent cx="4407368" cy="2752725"/>
            <wp:effectExtent l="0" t="0" r="0" b="0"/>
            <wp:docPr id="2147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9323" cy="2753946"/>
                    </a:xfrm>
                    <a:prstGeom prst="rect">
                      <a:avLst/>
                    </a:prstGeom>
                    <a:noFill/>
                  </pic:spPr>
                </pic:pic>
              </a:graphicData>
            </a:graphic>
          </wp:inline>
        </w:drawing>
      </w:r>
    </w:p>
    <w:p w:rsidR="003237F9" w:rsidP="003237F9" w:rsidRDefault="003237F9" w14:paraId="708E8B97" w14:textId="2B0F1444">
      <w:pPr>
        <w:jc w:val="center"/>
      </w:pPr>
      <w:r>
        <w:t xml:space="preserve">Figure 1: </w:t>
      </w:r>
      <w:r w:rsidRPr="003237F9">
        <w:t>Transactional Model of Communication</w:t>
      </w:r>
      <w:r>
        <w:t>.</w:t>
      </w:r>
    </w:p>
    <w:p w:rsidR="003237F9" w:rsidP="003237F9" w:rsidRDefault="003237F9" w14:paraId="38AE5227" w14:textId="0E196ECB">
      <w:pPr>
        <w:jc w:val="center"/>
      </w:pPr>
      <w:r>
        <w:t>Source:</w:t>
      </w:r>
      <w:r w:rsidR="006E4836">
        <w:t xml:space="preserve"> </w:t>
      </w:r>
      <w:r w:rsidRPr="006E4836" w:rsidR="006E4836">
        <w:t>(Bhandari, 2024)</w:t>
      </w:r>
      <w:r w:rsidR="006E4836">
        <w:t>.</w:t>
      </w:r>
    </w:p>
    <w:p w:rsidR="003237F9" w:rsidP="003237F9" w:rsidRDefault="003237F9" w14:paraId="3DF157CE" w14:textId="52CA0174">
      <w:r>
        <w:t>The model signifies conversation as a continual and dynamic process, where the participants can serve constantly as the senders and receivers</w:t>
      </w:r>
      <w:r w:rsidR="006E4836">
        <w:t xml:space="preserve"> </w:t>
      </w:r>
      <w:r w:rsidRPr="006E4836" w:rsidR="006E4836">
        <w:t>(Rasheed, 2020)</w:t>
      </w:r>
      <w:r>
        <w:t xml:space="preserve">. The model indicates about the </w:t>
      </w:r>
      <w:r w:rsidR="00B510B4">
        <w:t>personnel's</w:t>
      </w:r>
      <w:r>
        <w:t xml:space="preserve"> mutual action of delivering real-time feedback rather than l</w:t>
      </w:r>
      <w:r w:rsidRPr="003237F9">
        <w:t>inear transmission of data</w:t>
      </w:r>
      <w:r>
        <w:t>. Here, both the care provider and Mrs Thompson as a patient are performing the role of receiver and sender</w:t>
      </w:r>
      <w:r w:rsidR="00134B7D">
        <w:t xml:space="preserve"> with the constant exchange of verbal and non-verbal messages</w:t>
      </w:r>
      <w:r w:rsidR="006E4836">
        <w:t xml:space="preserve"> </w:t>
      </w:r>
      <w:r w:rsidRPr="006E4836" w:rsidR="006E4836">
        <w:t>(Moonie, 2020)</w:t>
      </w:r>
      <w:r w:rsidR="00134B7D">
        <w:t xml:space="preserve">. The model can be largely appropriate for Mrs Thompson’s because of her dementia. Following the model, the care providers can deliver </w:t>
      </w:r>
      <w:r w:rsidRPr="00134B7D" w:rsidR="00134B7D">
        <w:rPr>
          <w:b/>
          <w:bCs/>
          <w:i/>
          <w:iCs/>
        </w:rPr>
        <w:t>simultaneous messages</w:t>
      </w:r>
      <w:r w:rsidR="00134B7D">
        <w:rPr>
          <w:b/>
          <w:bCs/>
          <w:i/>
          <w:iCs/>
        </w:rPr>
        <w:t xml:space="preserve"> </w:t>
      </w:r>
      <w:r w:rsidR="00134B7D">
        <w:t>about the medication schedules with constant observation of the patient’s body language and facial expressions</w:t>
      </w:r>
      <w:r w:rsidR="006E4836">
        <w:t xml:space="preserve"> </w:t>
      </w:r>
      <w:r w:rsidRPr="006E4836" w:rsidR="006E4836">
        <w:t>(Selander, Nikunlaakso and Laitinen, 2022)</w:t>
      </w:r>
      <w:r w:rsidR="00134B7D">
        <w:t xml:space="preserve">. There, the constant feedback loop can help the carer to learn about the confusion and be stunned by the data. Moreover, </w:t>
      </w:r>
      <w:r w:rsidRPr="00134B7D" w:rsidR="00134B7D">
        <w:rPr>
          <w:b/>
          <w:bCs/>
          <w:i/>
          <w:iCs/>
        </w:rPr>
        <w:t>constant feedback</w:t>
      </w:r>
      <w:r w:rsidR="00134B7D">
        <w:rPr>
          <w:b/>
          <w:bCs/>
          <w:i/>
          <w:iCs/>
        </w:rPr>
        <w:t xml:space="preserve"> </w:t>
      </w:r>
      <w:r w:rsidR="00134B7D">
        <w:t xml:space="preserve">can be delivered. While the patient will showcase </w:t>
      </w:r>
      <w:r w:rsidRPr="00134B7D" w:rsidR="00134B7D">
        <w:t>non-verbal signs of</w:t>
      </w:r>
      <w:r w:rsidR="00134B7D">
        <w:t xml:space="preserve"> confusion, the care providers may instantly alter the method and restructure the instructions. The model accounts for the horizon, connections and psychological state, indicating its </w:t>
      </w:r>
      <w:r w:rsidRPr="00134B7D" w:rsidR="00134B7D">
        <w:rPr>
          <w:b/>
          <w:bCs/>
          <w:i/>
          <w:iCs/>
        </w:rPr>
        <w:t>contextual influence.</w:t>
      </w:r>
      <w:r w:rsidR="00134B7D">
        <w:rPr>
          <w:b/>
          <w:bCs/>
          <w:i/>
          <w:iCs/>
        </w:rPr>
        <w:t xml:space="preserve"> </w:t>
      </w:r>
      <w:r w:rsidR="00134B7D">
        <w:t xml:space="preserve">The example of determining the patient’s </w:t>
      </w:r>
      <w:r w:rsidRPr="00134B7D" w:rsidR="00134B7D">
        <w:t>medication,</w:t>
      </w:r>
      <w:r w:rsidR="00134B7D">
        <w:t xml:space="preserve"> </w:t>
      </w:r>
      <w:r w:rsidRPr="00134B7D" w:rsidR="00134B7D">
        <w:t>confusion</w:t>
      </w:r>
      <w:r w:rsidR="00134B7D">
        <w:t xml:space="preserve">, </w:t>
      </w:r>
      <w:r w:rsidRPr="00134B7D" w:rsidR="00134B7D">
        <w:t xml:space="preserve">pneumonia recovery, </w:t>
      </w:r>
      <w:r w:rsidR="00134B7D">
        <w:t xml:space="preserve">and </w:t>
      </w:r>
      <w:r w:rsidRPr="00134B7D" w:rsidR="00134B7D">
        <w:t>strangeness with new care</w:t>
      </w:r>
      <w:r w:rsidR="00134B7D">
        <w:t xml:space="preserve"> providers </w:t>
      </w:r>
      <w:r w:rsidR="00CA172E">
        <w:t>may affect communication</w:t>
      </w:r>
      <w:r w:rsidR="006E4836">
        <w:t xml:space="preserve"> </w:t>
      </w:r>
      <w:r w:rsidRPr="006E4836" w:rsidR="006E4836">
        <w:t>(Terkamo-Moisio et al., 2024)</w:t>
      </w:r>
      <w:r w:rsidR="00CA172E">
        <w:t>.</w:t>
      </w:r>
    </w:p>
    <w:p w:rsidR="00CA172E" w:rsidP="00CA172E" w:rsidRDefault="00CA172E" w14:paraId="54E6F0D6" w14:textId="2E2971DB">
      <w:pPr>
        <w:pStyle w:val="Heading1"/>
      </w:pPr>
      <w:bookmarkStart w:name="_Toc234494040" w:id="4"/>
      <w:r w:rsidRPr="00CA172E">
        <w:t>Good Administrative Skills and Record Keeping</w:t>
      </w:r>
      <w:bookmarkEnd w:id="4"/>
    </w:p>
    <w:p w:rsidR="00CA172E" w:rsidP="00CA172E" w:rsidRDefault="00CA172E" w14:paraId="0A75B90B" w14:textId="6F7D0A02">
      <w:r>
        <w:t>Proper administrative and record-keeping skills are crucial for confirming continuity of care and securing vulnerable adults such as Mrs</w:t>
      </w:r>
      <w:r w:rsidRPr="00CA172E">
        <w:t xml:space="preserve"> Thompson.</w:t>
      </w:r>
      <w:r>
        <w:t xml:space="preserve"> The detailed logs may track the medication and adherence to the wandering accident. That will help the teams be part of this case along with the local authorities to reassess the risks and employ targeted safety interventions. </w:t>
      </w:r>
    </w:p>
    <w:p w:rsidR="00CA172E" w:rsidP="00CA172E" w:rsidRDefault="00CA172E" w14:paraId="689EF910" w14:textId="74900E83">
      <w:pPr>
        <w:pStyle w:val="Heading2"/>
      </w:pPr>
      <w:bookmarkStart w:name="_Toc234494041" w:id="5"/>
      <w:r>
        <w:t>Prominence of Good Administrative Skills</w:t>
      </w:r>
      <w:bookmarkEnd w:id="5"/>
    </w:p>
    <w:p w:rsidRPr="00CA172E" w:rsidR="00CA172E" w:rsidP="00CA172E" w:rsidRDefault="00CA172E" w14:paraId="32D28002" w14:textId="08DA8D56">
      <w:r>
        <w:t xml:space="preserve">In professional practice, administrative skills are </w:t>
      </w:r>
      <w:r w:rsidR="005756E5">
        <w:t>considered</w:t>
      </w:r>
      <w:r>
        <w:t xml:space="preserve"> the backbone, </w:t>
      </w:r>
      <w:r w:rsidR="005756E5">
        <w:t>especially</w:t>
      </w:r>
      <w:r>
        <w:t xml:space="preserve"> </w:t>
      </w:r>
      <w:r w:rsidRPr="00DD1C97" w:rsidR="00DD1C97">
        <w:t xml:space="preserve">in the health and social care sector. </w:t>
      </w:r>
      <w:r w:rsidR="00DD1C97">
        <w:t xml:space="preserve">In the given case study, such skills can confirm the complicated data with the mild </w:t>
      </w:r>
      <w:r w:rsidR="001C45FB">
        <w:t>dementia</w:t>
      </w:r>
      <w:r w:rsidR="00DD1C97">
        <w:t xml:space="preserve">, recent wandering and missed </w:t>
      </w:r>
      <w:r w:rsidR="00E97D22">
        <w:t>medication</w:t>
      </w:r>
      <w:r w:rsidR="00DD1C97">
        <w:t xml:space="preserve">, </w:t>
      </w:r>
      <w:r w:rsidR="00E97D22">
        <w:t xml:space="preserve">and </w:t>
      </w:r>
      <w:r w:rsidR="00DD1C97">
        <w:t xml:space="preserve">precisely communicate among the </w:t>
      </w:r>
      <w:r w:rsidR="005756E5">
        <w:t>discharge</w:t>
      </w:r>
      <w:r w:rsidR="00DD1C97">
        <w:t xml:space="preserve"> team and domiciliary carers with the local council</w:t>
      </w:r>
      <w:r w:rsidR="006E4836">
        <w:t xml:space="preserve"> </w:t>
      </w:r>
      <w:r w:rsidRPr="006E4836" w:rsidR="006E4836">
        <w:t>(Clarke, 2022)</w:t>
      </w:r>
      <w:r w:rsidR="00DD1C97">
        <w:t>.</w:t>
      </w:r>
      <w:r w:rsidR="001C45FB">
        <w:t xml:space="preserve"> Proper administrative practice can avoid fragmentation of care with the meticulous documentation of times that she missed medication </w:t>
      </w:r>
      <w:r w:rsidR="005756E5">
        <w:t>and</w:t>
      </w:r>
      <w:r w:rsidR="001C45FB">
        <w:t xml:space="preserve"> care </w:t>
      </w:r>
      <w:r w:rsidR="005756E5">
        <w:t>deliveries</w:t>
      </w:r>
      <w:r w:rsidR="001C45FB">
        <w:t xml:space="preserve"> and trigger the crucial interventions. Along with this, clear scheduling and incident reporting can confirm the risk assessment </w:t>
      </w:r>
      <w:r w:rsidR="005756E5">
        <w:t xml:space="preserve">in a timely way. That secures Mrs Thompson from </w:t>
      </w:r>
      <w:r w:rsidR="00E97D22">
        <w:t>further</w:t>
      </w:r>
      <w:r w:rsidR="005756E5">
        <w:t xml:space="preserve"> harm</w:t>
      </w:r>
      <w:r w:rsidR="00E97D22">
        <w:t>, such as</w:t>
      </w:r>
      <w:r w:rsidR="005756E5">
        <w:t xml:space="preserve"> going outside without proper clothing in the unfavourable weather. That also supports coordination to make decisions with the local council. </w:t>
      </w:r>
    </w:p>
    <w:p w:rsidR="003237F9" w:rsidP="005756E5" w:rsidRDefault="005756E5" w14:paraId="7780DF01" w14:textId="4E5FF259">
      <w:pPr>
        <w:pStyle w:val="Heading2"/>
      </w:pPr>
      <w:bookmarkStart w:name="_Toc234494042" w:id="6"/>
      <w:r w:rsidRPr="005756E5">
        <w:t xml:space="preserve">Keeping </w:t>
      </w:r>
      <w:r>
        <w:t xml:space="preserve">Records and the </w:t>
      </w:r>
      <w:r w:rsidRPr="005756E5">
        <w:t>Data Protection Act 2018</w:t>
      </w:r>
      <w:bookmarkEnd w:id="6"/>
    </w:p>
    <w:p w:rsidRPr="00E97D22" w:rsidR="00E97D22" w:rsidP="00E97D22" w:rsidRDefault="00E97D22" w14:paraId="1C6C27A2" w14:textId="54A3A2B7">
      <w:r>
        <w:t xml:space="preserve">In health and social care, record keeping is maintained with strict professional and legal models, initially the </w:t>
      </w:r>
      <w:r w:rsidRPr="00E97D22">
        <w:t>Data Protection Act 2018</w:t>
      </w:r>
      <w:r>
        <w:t xml:space="preserve"> along with the GDPR or </w:t>
      </w:r>
      <w:r w:rsidRPr="00E97D22">
        <w:t>General Data Protection Regulation</w:t>
      </w:r>
      <w:r w:rsidR="006E4836">
        <w:t xml:space="preserve"> </w:t>
      </w:r>
      <w:r w:rsidRPr="006E4836" w:rsidR="006E4836">
        <w:t>(Hujala and Laihonen, 2023)</w:t>
      </w:r>
      <w:r>
        <w:t xml:space="preserve">. The </w:t>
      </w:r>
      <w:r w:rsidRPr="00E97D22">
        <w:t>Data Protection Act 2018</w:t>
      </w:r>
      <w:r>
        <w:t xml:space="preserve"> indicates the maintenance of sensitive and personal data, mostly referring to the specialised category data in healthcare, which is shared and stored. The </w:t>
      </w:r>
      <w:r w:rsidRPr="005756E5">
        <w:t>Data Protection Act 2018</w:t>
      </w:r>
      <w:r>
        <w:t xml:space="preserve"> principles </w:t>
      </w:r>
      <w:r w:rsidR="00B510B4">
        <w:t>require</w:t>
      </w:r>
      <w:r>
        <w:t xml:space="preserve"> care providers to have a valid and legal basis for the procedures of the patient’s data such as delivering care and securing the necessary interests</w:t>
      </w:r>
      <w:r w:rsidR="006E4836">
        <w:t xml:space="preserve"> </w:t>
      </w:r>
      <w:r w:rsidRPr="006E4836" w:rsidR="006E4836">
        <w:t>(Moonie, 2020)</w:t>
      </w:r>
      <w:r>
        <w:t xml:space="preserve">. Moreover, data recorded by domiciliary carers should be used to maintain the care plan and support health. In addition, carers must document data related to the care. All the records should reflect the current situation of Mrs Thompson. </w:t>
      </w:r>
      <w:r w:rsidR="00C22AEE">
        <w:t>This</w:t>
      </w:r>
      <w:r>
        <w:t xml:space="preserve"> helps to confirm that the agencies have a proper picture of the physical and cognitive health. Following the DPA 2018, the carers must record the patient's data to prevent unauthorised access or accidental </w:t>
      </w:r>
      <w:r w:rsidR="00C22AEE">
        <w:t>loss</w:t>
      </w:r>
      <w:r w:rsidR="006E4836">
        <w:t xml:space="preserve"> </w:t>
      </w:r>
      <w:r w:rsidRPr="006E4836" w:rsidR="006E4836">
        <w:t>(Selander, Nikunlaakso and Laitinen, 2022)</w:t>
      </w:r>
      <w:r>
        <w:t xml:space="preserve">. Implementing these principles in practice indicates that the care workers should maintain legible and clear records, while the action is not recorded. That is legally determined not to </w:t>
      </w:r>
      <w:r w:rsidR="00C22AEE">
        <w:t>be maintained</w:t>
      </w:r>
      <w:r>
        <w:t xml:space="preserve"> under </w:t>
      </w:r>
      <w:r w:rsidR="00C22AEE">
        <w:t>these circumstances</w:t>
      </w:r>
      <w:r>
        <w:t xml:space="preserve">. That is why the documentation </w:t>
      </w:r>
      <w:r w:rsidR="00C22AEE">
        <w:t>of the medical history is crucial.</w:t>
      </w:r>
    </w:p>
    <w:p w:rsidR="005756E5" w:rsidP="00C22AEE" w:rsidRDefault="00C22AEE" w14:paraId="5D34B980" w14:textId="215BDEF8">
      <w:pPr>
        <w:pStyle w:val="Heading1"/>
      </w:pPr>
      <w:bookmarkStart w:name="_Toc234494043" w:id="7"/>
      <w:r w:rsidRPr="00C22AEE">
        <w:t>Multi-Agency Collaboration</w:t>
      </w:r>
      <w:bookmarkEnd w:id="7"/>
    </w:p>
    <w:p w:rsidR="00C22AEE" w:rsidP="00C22AEE" w:rsidRDefault="00C22AEE" w14:paraId="26C5F2E7" w14:textId="7E4F280C">
      <w:r>
        <w:t>Working participatively with other professionals in the healthcare sector is crucial. That can also contribute to maintaining Mrs</w:t>
      </w:r>
      <w:r w:rsidRPr="00C22AEE">
        <w:t xml:space="preserve"> Thompson's</w:t>
      </w:r>
      <w:r>
        <w:t xml:space="preserve"> complicated requirements. There, the care team involves the g</w:t>
      </w:r>
      <w:r w:rsidRPr="00C22AEE">
        <w:t>eneral practitioner</w:t>
      </w:r>
      <w:r>
        <w:t xml:space="preserve">, domiciliary care workers and </w:t>
      </w:r>
      <w:r w:rsidRPr="00C22AEE">
        <w:t>community nurses</w:t>
      </w:r>
      <w:r>
        <w:t xml:space="preserve">. The participation confirms that no single agency can operate in isolation to meet the risks, which are maintained historically. In this context, the example of </w:t>
      </w:r>
      <w:r w:rsidRPr="00C22AEE">
        <w:t>domiciliary care worker</w:t>
      </w:r>
      <w:r>
        <w:t xml:space="preserve">s can be delivered who can be appointed to observe the daily habits of </w:t>
      </w:r>
      <w:r w:rsidRPr="00C22AEE">
        <w:t>Mrs Thompson</w:t>
      </w:r>
      <w:r>
        <w:t xml:space="preserve"> and ensure compliance of medication</w:t>
      </w:r>
      <w:r w:rsidR="006E4836">
        <w:t xml:space="preserve"> </w:t>
      </w:r>
      <w:r w:rsidRPr="006E4836" w:rsidR="006E4836">
        <w:t>(Hujala and Laihonen, 2023).</w:t>
      </w:r>
      <w:r>
        <w:t xml:space="preserve"> Afterwards, they can report the data to the GP and community nurse in their medication reviews and update the local council on wandering incidents. There, the actions to foster proper participation involve </w:t>
      </w:r>
      <w:r w:rsidRPr="00C22AEE">
        <w:t>steady multidisciplinary team (MDT)</w:t>
      </w:r>
      <w:r>
        <w:t xml:space="preserve"> meetings with </w:t>
      </w:r>
      <w:r w:rsidRPr="00C22AEE">
        <w:t>standardi</w:t>
      </w:r>
      <w:r>
        <w:t>s</w:t>
      </w:r>
      <w:r w:rsidRPr="00C22AEE">
        <w:t>ed handovers</w:t>
      </w:r>
      <w:r>
        <w:t xml:space="preserve"> and shared electronic care records. These approaches can ensure that all </w:t>
      </w:r>
      <w:r w:rsidRPr="00C22AEE">
        <w:t>practitioners</w:t>
      </w:r>
      <w:r>
        <w:t xml:space="preserve"> have real accessibility to the current status and reduce the risk of treatment</w:t>
      </w:r>
      <w:r w:rsidR="006E4836">
        <w:t xml:space="preserve"> </w:t>
      </w:r>
      <w:r w:rsidRPr="006E4836" w:rsidR="006E4836">
        <w:t>(Selander, Nikunlaakso and Laitinen, 2022)</w:t>
      </w:r>
      <w:r>
        <w:t>. Conversely, multi-agency working presents possible complications like poor communication between the software application and mismatched organisational preferences, with role ambiguity.</w:t>
      </w:r>
      <w:r w:rsidR="00C672DF">
        <w:t xml:space="preserve"> To resolve these challenges, the care providers must form proper communication protocols with the designated lead professional and maintain coordinated care and serve as the major point of contact for the patient and her family</w:t>
      </w:r>
      <w:r w:rsidR="006E4836">
        <w:t xml:space="preserve"> </w:t>
      </w:r>
      <w:r w:rsidRPr="006E4836" w:rsidR="006E4836">
        <w:t>(Hujala and Laihonen, 2023)</w:t>
      </w:r>
      <w:r w:rsidR="00C672DF">
        <w:t xml:space="preserve">. Additionally, the promotion of a culture where shared personality and mutual respect will be maintained can ensure that all the team members are prioritised. Overall, that will lead to a more cohesive, proactive and person-centric support system. </w:t>
      </w:r>
    </w:p>
    <w:p w:rsidR="00C672DF" w:rsidP="00C672DF" w:rsidRDefault="00C672DF" w14:paraId="7F119B97" w14:textId="218DF58F">
      <w:pPr>
        <w:pStyle w:val="Heading1"/>
      </w:pPr>
      <w:bookmarkStart w:name="_Toc234494044" w:id="8"/>
      <w:r>
        <w:t>Conclusion</w:t>
      </w:r>
      <w:bookmarkEnd w:id="8"/>
    </w:p>
    <w:p w:rsidR="00C672DF" w:rsidP="00C672DF" w:rsidRDefault="00C672DF" w14:paraId="7BAADFA4" w14:textId="4D527081">
      <w:r>
        <w:t xml:space="preserve">In summary, the delivery of safe and </w:t>
      </w:r>
      <w:r w:rsidRPr="00C672DF">
        <w:t>high-quality</w:t>
      </w:r>
      <w:r>
        <w:t xml:space="preserve"> care to </w:t>
      </w:r>
      <w:r w:rsidRPr="00C672DF">
        <w:t>Mrs Thompson</w:t>
      </w:r>
      <w:r>
        <w:t xml:space="preserve"> necessitates proper </w:t>
      </w:r>
      <w:r w:rsidRPr="00C672DF">
        <w:t>administration, Effective communication</w:t>
      </w:r>
      <w:r>
        <w:t xml:space="preserve"> and teamwork. Using the </w:t>
      </w:r>
      <w:r w:rsidRPr="003237F9">
        <w:t>Transactional Model of Communication</w:t>
      </w:r>
      <w:r>
        <w:t xml:space="preserve">, it was showcased that the care providers can deliver </w:t>
      </w:r>
      <w:r w:rsidRPr="00C672DF">
        <w:t>simultaneous messages</w:t>
      </w:r>
      <w:r>
        <w:rPr>
          <w:b/>
          <w:bCs/>
          <w:i/>
          <w:iCs/>
        </w:rPr>
        <w:t xml:space="preserve"> </w:t>
      </w:r>
      <w:r>
        <w:t xml:space="preserve">about the medication schedules with constant observation of the patient’s body language and facial expressions. Moreover, the </w:t>
      </w:r>
      <w:r w:rsidRPr="00E97D22">
        <w:t>Data Protection Act 2018</w:t>
      </w:r>
      <w:r>
        <w:t xml:space="preserve"> along with the GDPR were recognised as important for reflecting that the agencies have a proper picture of the physical and cognitive health. Again, the </w:t>
      </w:r>
      <w:r w:rsidRPr="00C672DF">
        <w:t>multi-agency collaboration</w:t>
      </w:r>
      <w:r>
        <w:t xml:space="preserve"> was determined as important for observing the daily habits of </w:t>
      </w:r>
      <w:r w:rsidRPr="00C22AEE">
        <w:t>Mrs Thompson</w:t>
      </w:r>
      <w:r>
        <w:t xml:space="preserve">, fostering proper participation, sharing electronic care records, real accessibility to the current status and reducing the risk of treatment. In the meantime, the challenges presented in multi-agency working were suggested to be avoided with proper communication protocols, shared personality and mutual respect culture promotion and </w:t>
      </w:r>
      <w:r w:rsidR="00C93C9B">
        <w:t>maintaining coordinated care.</w:t>
      </w:r>
    </w:p>
    <w:p w:rsidR="00C93C9B" w:rsidRDefault="00C93C9B" w14:paraId="41522DD9" w14:textId="77777777">
      <w:pPr>
        <w:spacing w:line="259" w:lineRule="auto"/>
        <w:jc w:val="left"/>
        <w:rPr>
          <w:rFonts w:eastAsiaTheme="majorEastAsia" w:cstheme="majorBidi"/>
          <w:color w:val="2F5496" w:themeColor="accent1" w:themeShade="BF"/>
          <w:sz w:val="32"/>
          <w:szCs w:val="32"/>
        </w:rPr>
      </w:pPr>
      <w:r>
        <w:br w:type="page"/>
      </w:r>
    </w:p>
    <w:p w:rsidR="00C93C9B" w:rsidP="006E4836" w:rsidRDefault="00C93C9B" w14:paraId="61275944" w14:textId="6B80A54B">
      <w:pPr>
        <w:pStyle w:val="Heading1"/>
      </w:pPr>
      <w:bookmarkStart w:name="_Toc234494045" w:id="9"/>
      <w:r>
        <w:t>References</w:t>
      </w:r>
      <w:bookmarkEnd w:id="9"/>
    </w:p>
    <w:p w:rsidR="00122562" w:rsidP="00122562" w:rsidRDefault="00122562" w14:paraId="22751884" w14:textId="77777777">
      <w:pPr>
        <w:spacing w:after="0"/>
        <w:ind w:left="720" w:hanging="720"/>
        <w:rPr>
          <w:sz w:val="24"/>
          <w:szCs w:val="24"/>
        </w:rPr>
      </w:pPr>
      <w:r>
        <w:t xml:space="preserve">Bhandari, S. (2024). </w:t>
      </w:r>
      <w:r>
        <w:rPr>
          <w:i/>
          <w:iCs/>
        </w:rPr>
        <w:t>Transactional Model of Communication</w:t>
      </w:r>
      <w:r>
        <w:t>. [online] Businesstopia. Available at: https://www.businesstopia.net/communication/transactional-model [Accessed 9 July 2026].</w:t>
      </w:r>
    </w:p>
    <w:p w:rsidR="00122562" w:rsidP="00122562" w:rsidRDefault="00122562" w14:paraId="013A383A" w14:textId="77777777">
      <w:pPr>
        <w:spacing w:after="0"/>
        <w:ind w:left="720" w:hanging="720"/>
      </w:pPr>
      <w:r>
        <w:t xml:space="preserve">Clarke, L. (2022). </w:t>
      </w:r>
      <w:r>
        <w:rPr>
          <w:i/>
          <w:iCs/>
        </w:rPr>
        <w:t>Health and social care</w:t>
      </w:r>
      <w:r>
        <w:t>. Cheltenham: Nelson Thornes.</w:t>
      </w:r>
    </w:p>
    <w:p w:rsidR="00122562" w:rsidP="00122562" w:rsidRDefault="00122562" w14:paraId="318BCC5B" w14:textId="631D2039">
      <w:pPr>
        <w:spacing w:after="0"/>
        <w:ind w:left="720" w:hanging="720"/>
      </w:pPr>
      <w:r>
        <w:t xml:space="preserve">Gedela, K., Wong, R., Balendra, S., Chita, S., Jones, H., Golombek, R. and Murray, K.-K. (2025). Embedding equity, diversity and inclusion processes within clinical trials and health and social care research. </w:t>
      </w:r>
      <w:r>
        <w:rPr>
          <w:i/>
          <w:iCs/>
        </w:rPr>
        <w:t>BMJ Open</w:t>
      </w:r>
      <w:r>
        <w:t xml:space="preserve">, 15(3), p.e091807. </w:t>
      </w:r>
    </w:p>
    <w:p w:rsidR="00122562" w:rsidP="00122562" w:rsidRDefault="00122562" w14:paraId="5B2B9D3E" w14:textId="77777777">
      <w:pPr>
        <w:spacing w:after="0"/>
        <w:ind w:left="720" w:hanging="720"/>
      </w:pPr>
      <w:r>
        <w:t xml:space="preserve">Glasby, J. (2026). Understanding Health and Social Care. </w:t>
      </w:r>
      <w:r>
        <w:rPr>
          <w:i/>
          <w:iCs/>
        </w:rPr>
        <w:t>Bristol University Press</w:t>
      </w:r>
      <w:r>
        <w:t>. [online] doi:10.51952/9781447379430.</w:t>
      </w:r>
    </w:p>
    <w:p w:rsidR="00122562" w:rsidP="00122562" w:rsidRDefault="00122562" w14:paraId="333C453A" w14:textId="6F6A1A0C">
      <w:pPr>
        <w:spacing w:after="0"/>
        <w:ind w:left="720" w:hanging="720"/>
      </w:pPr>
      <w:r>
        <w:t xml:space="preserve">Hedberg, B., Wijk, H., Andersson Gäre, B. and Petersson, C. (2022). Shared decision making and person-centred care in Sweden – Exploring coproduction of health and social care services. </w:t>
      </w:r>
      <w:r>
        <w:rPr>
          <w:i/>
          <w:iCs/>
        </w:rPr>
        <w:t>Zeitschrift für Evidenz, Fortbildung und Qualität im Gesundheitswesen</w:t>
      </w:r>
      <w:r>
        <w:t>, 171. .</w:t>
      </w:r>
    </w:p>
    <w:p w:rsidR="00122562" w:rsidP="00122562" w:rsidRDefault="00122562" w14:paraId="2A38A13B" w14:textId="56D2317D">
      <w:pPr>
        <w:spacing w:after="0"/>
        <w:ind w:left="720" w:hanging="720"/>
      </w:pPr>
      <w:r>
        <w:t xml:space="preserve">Hujala, T. and Laihonen, H. (2023). Knowledge management in a regional integrated health and social care system. </w:t>
      </w:r>
      <w:r>
        <w:rPr>
          <w:i/>
          <w:iCs/>
        </w:rPr>
        <w:t>Journal of Integrated Care</w:t>
      </w:r>
      <w:r>
        <w:t xml:space="preserve">, 31(5), pp.15–28. </w:t>
      </w:r>
    </w:p>
    <w:p w:rsidR="00122562" w:rsidP="00122562" w:rsidRDefault="00122562" w14:paraId="598E2222" w14:textId="77777777">
      <w:pPr>
        <w:spacing w:after="0"/>
        <w:ind w:left="720" w:hanging="720"/>
      </w:pPr>
      <w:r>
        <w:t xml:space="preserve">Moonie, N. (2020). </w:t>
      </w:r>
      <w:r>
        <w:rPr>
          <w:i/>
          <w:iCs/>
        </w:rPr>
        <w:t>Advanced health and social care</w:t>
      </w:r>
      <w:r>
        <w:t>. Oxford: Heinemann Educational.</w:t>
      </w:r>
    </w:p>
    <w:p w:rsidR="00122562" w:rsidP="00122562" w:rsidRDefault="00122562" w14:paraId="3CC05A0E" w14:textId="77777777">
      <w:pPr>
        <w:spacing w:after="0"/>
        <w:ind w:left="720" w:hanging="720"/>
      </w:pPr>
      <w:r>
        <w:t xml:space="preserve">Rasheed, E. (2020). </w:t>
      </w:r>
      <w:r>
        <w:rPr>
          <w:i/>
          <w:iCs/>
        </w:rPr>
        <w:t>Health and social care</w:t>
      </w:r>
      <w:r>
        <w:t>. London: Hodder Education.</w:t>
      </w:r>
    </w:p>
    <w:p w:rsidR="00122562" w:rsidP="00122562" w:rsidRDefault="00122562" w14:paraId="3A4B8D8C" w14:textId="77777777">
      <w:pPr>
        <w:spacing w:after="0"/>
        <w:ind w:left="720" w:hanging="720"/>
      </w:pPr>
      <w:r>
        <w:t xml:space="preserve">Selander, K., Nikunlaakso, R. and Laitinen, J. (2022). Association between work ability and work stressors: Cross-sectional survey of elderly services and health and social care service employees. </w:t>
      </w:r>
      <w:r>
        <w:rPr>
          <w:i/>
          <w:iCs/>
        </w:rPr>
        <w:t>Archives of Public Health</w:t>
      </w:r>
      <w:r>
        <w:t>, 80(1). doi:10.1186/s13690-022-00841-2.</w:t>
      </w:r>
    </w:p>
    <w:p w:rsidR="00122562" w:rsidP="00122562" w:rsidRDefault="00122562" w14:paraId="7F82121E" w14:textId="11CE35CA">
      <w:pPr>
        <w:spacing w:after="0"/>
        <w:ind w:left="720" w:hanging="720"/>
      </w:pPr>
      <w:r>
        <w:t xml:space="preserve">Terkamo-Moisio, A., Paronen, E., Häggman-Laitila, A. and Lammintakanen, J. (2024). Health and social care leaders’ and employees’ perceptions of remote leadership and the associated factors. </w:t>
      </w:r>
      <w:r>
        <w:rPr>
          <w:i/>
          <w:iCs/>
        </w:rPr>
        <w:t>Leadership in Health Services</w:t>
      </w:r>
      <w:r>
        <w:t xml:space="preserve">, 37(5), pp.169–184. </w:t>
      </w:r>
    </w:p>
    <w:p w:rsidRPr="00122562" w:rsidR="00122562" w:rsidP="00122562" w:rsidRDefault="00122562" w14:paraId="31CFB0C5" w14:textId="77777777"/>
    <w:sectPr w:rsidRPr="00122562" w:rsidR="00122562" w:rsidSect="00122562">
      <w:footerReference w:type="default" r:id="rId9"/>
      <w:pgSz w:w="12240" w:h="15840" w:orient="portrait"/>
      <w:pgMar w:top="1440" w:right="1440" w:bottom="1440" w:left="1440" w:header="720" w:footer="720" w:gutter="0"/>
      <w:pgNumType w:start="1"/>
      <w:cols w:space="720"/>
      <w:docGrid w:linePitch="360"/>
      <w:headerReference w:type="default" r:id="R60af57b827db424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722A" w:rsidP="00122562" w:rsidRDefault="00BC722A" w14:paraId="461FEF05" w14:textId="77777777">
      <w:pPr>
        <w:spacing w:after="0" w:line="240" w:lineRule="auto"/>
      </w:pPr>
      <w:r>
        <w:separator/>
      </w:r>
    </w:p>
  </w:endnote>
  <w:endnote w:type="continuationSeparator" w:id="0">
    <w:p w:rsidR="00BC722A" w:rsidP="00122562" w:rsidRDefault="00BC722A" w14:paraId="6607A99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194064B" w:rsidP="6194064B" w:rsidRDefault="6194064B" w14:paraId="28EB4093" w14:textId="39B141C3">
    <w:pPr>
      <w:pStyle w:val="Footer"/>
      <w:jc w:val="right"/>
    </w:pPr>
  </w:p>
  <w:p w:rsidR="00122562" w:rsidRDefault="00122562" w14:paraId="33B40BAF" w14:textId="5D66B7B9">
    <w:pPr>
      <w:pStyle w:val="Footer"/>
      <w:jc w:val="right"/>
    </w:pPr>
  </w:p>
  <w:p w:rsidR="00122562" w:rsidRDefault="00122562" w14:paraId="5BB29F2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194064B" w:rsidP="6194064B" w:rsidRDefault="6194064B" w14:paraId="6047912F" w14:textId="2BF12F1A">
    <w:pPr>
      <w:pStyle w:val="Footer"/>
      <w:jc w:val="right"/>
    </w:pPr>
    <w:r>
      <w:fldChar w:fldCharType="begin"/>
    </w:r>
    <w:r>
      <w:instrText xml:space="preserve">PAGE</w:instrText>
    </w:r>
    <w:r>
      <w:fldChar w:fldCharType="separate"/>
    </w:r>
    <w:r>
      <w:fldChar w:fldCharType="end"/>
    </w:r>
  </w:p>
  <w:sdt>
    <w:sdtPr>
      <w:id w:val="-2094695284"/>
      <w:docPartObj>
        <w:docPartGallery w:val="Page Numbers (Bottom of Page)"/>
        <w:docPartUnique/>
      </w:docPartObj>
      <w:showingPlcHdr/>
    </w:sdtPr>
    <w:sdtEndPr>
      <w:rPr>
        <w:noProof/>
      </w:rPr>
    </w:sdtEndPr>
    <w:sdtContent>
      <w:p w:rsidR="00122562" w:rsidP="6194064B" w:rsidRDefault="00122562" w14:paraId="2BD1C36C" w14:textId="0A5205D5">
        <w:pPr>
          <w:pStyle w:val="Footer"/>
          <w:jc w:val="right"/>
          <w:rPr>
            <w:noProof/>
          </w:rPr>
        </w:pPr>
        <w:r w:rsidRPr="6194064B" w:rsidR="6194064B">
          <w:rPr>
            <w:rStyle w:val="PlaceholderText"/>
          </w:rPr>
          <w:t xml:space="preserve">     </w:t>
        </w:r>
      </w:p>
    </w:sdtContent>
  </w:sdt>
  <w:p w:rsidR="00122562" w:rsidRDefault="00122562" w14:paraId="2942DF5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722A" w:rsidP="00122562" w:rsidRDefault="00BC722A" w14:paraId="09DEF4EA" w14:textId="77777777">
      <w:pPr>
        <w:spacing w:after="0" w:line="240" w:lineRule="auto"/>
      </w:pPr>
      <w:r>
        <w:separator/>
      </w:r>
    </w:p>
  </w:footnote>
  <w:footnote w:type="continuationSeparator" w:id="0">
    <w:p w:rsidR="00BC722A" w:rsidP="00122562" w:rsidRDefault="00BC722A" w14:paraId="7941A906"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6194064B" w:rsidTr="6194064B" w14:paraId="6A1E1442">
      <w:trPr>
        <w:trHeight w:val="300"/>
      </w:trPr>
      <w:tc>
        <w:tcPr>
          <w:tcW w:w="3600" w:type="dxa"/>
          <w:tcMar/>
        </w:tcPr>
        <w:p w:rsidR="6194064B" w:rsidP="6194064B" w:rsidRDefault="6194064B" w14:paraId="36FD144C" w14:textId="113BB265">
          <w:pPr>
            <w:pStyle w:val="Header"/>
            <w:bidi w:val="0"/>
            <w:ind w:left="-115"/>
            <w:jc w:val="left"/>
          </w:pPr>
        </w:p>
      </w:tc>
      <w:tc>
        <w:tcPr>
          <w:tcW w:w="3600" w:type="dxa"/>
          <w:tcMar/>
        </w:tcPr>
        <w:p w:rsidR="6194064B" w:rsidP="6194064B" w:rsidRDefault="6194064B" w14:paraId="7E490236" w14:textId="103146F9">
          <w:pPr>
            <w:pStyle w:val="Header"/>
            <w:bidi w:val="0"/>
            <w:jc w:val="center"/>
          </w:pPr>
        </w:p>
      </w:tc>
      <w:tc>
        <w:tcPr>
          <w:tcW w:w="3600" w:type="dxa"/>
          <w:tcMar/>
        </w:tcPr>
        <w:p w:rsidR="6194064B" w:rsidP="6194064B" w:rsidRDefault="6194064B" w14:paraId="6ED455E8" w14:textId="5ED7A006">
          <w:pPr>
            <w:pStyle w:val="Header"/>
            <w:bidi w:val="0"/>
            <w:ind w:right="-115"/>
            <w:jc w:val="right"/>
          </w:pPr>
        </w:p>
      </w:tc>
    </w:tr>
  </w:tbl>
  <w:p w:rsidR="6194064B" w:rsidP="6194064B" w:rsidRDefault="6194064B" w14:paraId="0AA8293C" w14:textId="5246C59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194064B" w:rsidTr="6194064B" w14:paraId="6FED877D">
      <w:trPr>
        <w:trHeight w:val="300"/>
      </w:trPr>
      <w:tc>
        <w:tcPr>
          <w:tcW w:w="3120" w:type="dxa"/>
          <w:tcMar/>
        </w:tcPr>
        <w:p w:rsidR="6194064B" w:rsidP="6194064B" w:rsidRDefault="6194064B" w14:paraId="2059C9DA" w14:textId="6E01B983">
          <w:pPr>
            <w:pStyle w:val="Header"/>
            <w:bidi w:val="0"/>
            <w:ind w:left="-115"/>
            <w:jc w:val="left"/>
          </w:pPr>
        </w:p>
      </w:tc>
      <w:tc>
        <w:tcPr>
          <w:tcW w:w="3120" w:type="dxa"/>
          <w:tcMar/>
        </w:tcPr>
        <w:p w:rsidR="6194064B" w:rsidP="6194064B" w:rsidRDefault="6194064B" w14:paraId="3EA4FE53" w14:textId="509C6948">
          <w:pPr>
            <w:pStyle w:val="Header"/>
            <w:bidi w:val="0"/>
            <w:jc w:val="center"/>
          </w:pPr>
        </w:p>
      </w:tc>
      <w:tc>
        <w:tcPr>
          <w:tcW w:w="3120" w:type="dxa"/>
          <w:tcMar/>
        </w:tcPr>
        <w:p w:rsidR="6194064B" w:rsidP="6194064B" w:rsidRDefault="6194064B" w14:paraId="2D1E5AA5" w14:textId="6545AB0C">
          <w:pPr>
            <w:pStyle w:val="Header"/>
            <w:bidi w:val="0"/>
            <w:ind w:right="-115"/>
            <w:jc w:val="right"/>
          </w:pPr>
        </w:p>
      </w:tc>
    </w:tr>
  </w:tbl>
  <w:p w:rsidR="6194064B" w:rsidP="6194064B" w:rsidRDefault="6194064B" w14:paraId="76B8E996" w14:textId="6DC0AA08">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194064B" w:rsidTr="6194064B" w14:paraId="012C9803">
      <w:trPr>
        <w:trHeight w:val="300"/>
      </w:trPr>
      <w:tc>
        <w:tcPr>
          <w:tcW w:w="3120" w:type="dxa"/>
          <w:tcMar/>
        </w:tcPr>
        <w:p w:rsidR="6194064B" w:rsidP="6194064B" w:rsidRDefault="6194064B" w14:paraId="408297A8" w14:textId="0F6F4662">
          <w:pPr>
            <w:pStyle w:val="Header"/>
            <w:bidi w:val="0"/>
            <w:ind w:left="-115"/>
            <w:jc w:val="left"/>
          </w:pPr>
        </w:p>
      </w:tc>
      <w:tc>
        <w:tcPr>
          <w:tcW w:w="3120" w:type="dxa"/>
          <w:tcMar/>
        </w:tcPr>
        <w:p w:rsidR="6194064B" w:rsidP="6194064B" w:rsidRDefault="6194064B" w14:paraId="6B2FCF45" w14:textId="613E4629">
          <w:pPr>
            <w:pStyle w:val="Header"/>
            <w:bidi w:val="0"/>
            <w:jc w:val="center"/>
          </w:pPr>
        </w:p>
      </w:tc>
      <w:tc>
        <w:tcPr>
          <w:tcW w:w="3120" w:type="dxa"/>
          <w:tcMar/>
        </w:tcPr>
        <w:p w:rsidR="6194064B" w:rsidP="6194064B" w:rsidRDefault="6194064B" w14:paraId="61D8E3E7" w14:textId="7BA09B2D">
          <w:pPr>
            <w:pStyle w:val="Header"/>
            <w:bidi w:val="0"/>
            <w:ind w:right="-115"/>
            <w:jc w:val="right"/>
          </w:pPr>
        </w:p>
      </w:tc>
    </w:tr>
  </w:tbl>
  <w:p w:rsidR="6194064B" w:rsidP="6194064B" w:rsidRDefault="6194064B" w14:paraId="768BB60E" w14:textId="1BE43BDE">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22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611"/>
    <w:rsid w:val="000B7F57"/>
    <w:rsid w:val="00122562"/>
    <w:rsid w:val="00134B7D"/>
    <w:rsid w:val="001737A6"/>
    <w:rsid w:val="001B3666"/>
    <w:rsid w:val="001C45FB"/>
    <w:rsid w:val="001C69ED"/>
    <w:rsid w:val="00212409"/>
    <w:rsid w:val="003237F9"/>
    <w:rsid w:val="003E4498"/>
    <w:rsid w:val="00446A7C"/>
    <w:rsid w:val="004748F0"/>
    <w:rsid w:val="00512AFD"/>
    <w:rsid w:val="005756E5"/>
    <w:rsid w:val="006268AF"/>
    <w:rsid w:val="00672A42"/>
    <w:rsid w:val="006E4836"/>
    <w:rsid w:val="007100F9"/>
    <w:rsid w:val="007B1358"/>
    <w:rsid w:val="00800302"/>
    <w:rsid w:val="00810611"/>
    <w:rsid w:val="00902654"/>
    <w:rsid w:val="00A05E56"/>
    <w:rsid w:val="00A31174"/>
    <w:rsid w:val="00B510B4"/>
    <w:rsid w:val="00BC722A"/>
    <w:rsid w:val="00C22AEE"/>
    <w:rsid w:val="00C478C8"/>
    <w:rsid w:val="00C672DF"/>
    <w:rsid w:val="00C93C9B"/>
    <w:rsid w:val="00CA172E"/>
    <w:rsid w:val="00D2144D"/>
    <w:rsid w:val="00D36A48"/>
    <w:rsid w:val="00D8215F"/>
    <w:rsid w:val="00DD1C97"/>
    <w:rsid w:val="00E97D22"/>
    <w:rsid w:val="00F60578"/>
    <w:rsid w:val="0A7E4A99"/>
    <w:rsid w:val="0E0EE875"/>
    <w:rsid w:val="11C2C6C7"/>
    <w:rsid w:val="2E3E9BC7"/>
    <w:rsid w:val="3A8F4E41"/>
    <w:rsid w:val="4083FEF2"/>
    <w:rsid w:val="4339D965"/>
    <w:rsid w:val="439CA1D0"/>
    <w:rsid w:val="445A94F9"/>
    <w:rsid w:val="4677DB63"/>
    <w:rsid w:val="4A1932BB"/>
    <w:rsid w:val="4B3DB3B2"/>
    <w:rsid w:val="51530979"/>
    <w:rsid w:val="6194064B"/>
    <w:rsid w:val="6202329F"/>
    <w:rsid w:val="6F00240C"/>
    <w:rsid w:val="73B60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886AA"/>
  <w15:chartTrackingRefBased/>
  <w15:docId w15:val="{01B80838-7458-4DBF-BCE6-0458F592F2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4836"/>
    <w:pPr>
      <w:spacing w:line="360" w:lineRule="auto"/>
      <w:jc w:val="both"/>
    </w:pPr>
    <w:rPr>
      <w:rFonts w:ascii="Arial" w:hAnsi="Arial"/>
      <w:lang w:val="en-GB"/>
    </w:rPr>
  </w:style>
  <w:style w:type="paragraph" w:styleId="Heading1">
    <w:name w:val="heading 1"/>
    <w:basedOn w:val="Normal"/>
    <w:next w:val="Normal"/>
    <w:link w:val="Heading1Char"/>
    <w:uiPriority w:val="9"/>
    <w:qFormat/>
    <w:rsid w:val="00D36A4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6A48"/>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212409"/>
    <w:pPr>
      <w:keepNext/>
      <w:keepLines/>
      <w:spacing w:before="160" w:after="12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810611"/>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0611"/>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0611"/>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611"/>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611"/>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611"/>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36A48"/>
    <w:rPr>
      <w:rFonts w:ascii="Times New Roman" w:hAnsi="Times New Roman"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D36A48"/>
    <w:rPr>
      <w:rFonts w:ascii="Times New Roman" w:hAnsi="Times New Roman"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rsid w:val="00212409"/>
    <w:rPr>
      <w:rFonts w:ascii="Times New Roman" w:hAnsi="Times New Roman"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810611"/>
    <w:rPr>
      <w:rFonts w:eastAsiaTheme="majorEastAsia" w:cstheme="majorBidi"/>
      <w:i/>
      <w:iCs/>
      <w:color w:val="2F5496" w:themeColor="accent1" w:themeShade="BF"/>
      <w:sz w:val="24"/>
      <w:lang w:val="en-GB"/>
    </w:rPr>
  </w:style>
  <w:style w:type="character" w:styleId="Heading5Char" w:customStyle="1">
    <w:name w:val="Heading 5 Char"/>
    <w:basedOn w:val="DefaultParagraphFont"/>
    <w:link w:val="Heading5"/>
    <w:uiPriority w:val="9"/>
    <w:semiHidden/>
    <w:rsid w:val="00810611"/>
    <w:rPr>
      <w:rFonts w:eastAsiaTheme="majorEastAsia" w:cstheme="majorBidi"/>
      <w:color w:val="2F5496" w:themeColor="accent1" w:themeShade="BF"/>
      <w:sz w:val="24"/>
      <w:lang w:val="en-GB"/>
    </w:rPr>
  </w:style>
  <w:style w:type="character" w:styleId="Heading6Char" w:customStyle="1">
    <w:name w:val="Heading 6 Char"/>
    <w:basedOn w:val="DefaultParagraphFont"/>
    <w:link w:val="Heading6"/>
    <w:uiPriority w:val="9"/>
    <w:semiHidden/>
    <w:rsid w:val="00810611"/>
    <w:rPr>
      <w:rFonts w:eastAsiaTheme="majorEastAsia" w:cstheme="majorBidi"/>
      <w:i/>
      <w:iCs/>
      <w:color w:val="595959" w:themeColor="text1" w:themeTint="A6"/>
      <w:sz w:val="24"/>
      <w:lang w:val="en-GB"/>
    </w:rPr>
  </w:style>
  <w:style w:type="character" w:styleId="Heading7Char" w:customStyle="1">
    <w:name w:val="Heading 7 Char"/>
    <w:basedOn w:val="DefaultParagraphFont"/>
    <w:link w:val="Heading7"/>
    <w:uiPriority w:val="9"/>
    <w:semiHidden/>
    <w:rsid w:val="00810611"/>
    <w:rPr>
      <w:rFonts w:eastAsiaTheme="majorEastAsia" w:cstheme="majorBidi"/>
      <w:color w:val="595959" w:themeColor="text1" w:themeTint="A6"/>
      <w:sz w:val="24"/>
      <w:lang w:val="en-GB"/>
    </w:rPr>
  </w:style>
  <w:style w:type="character" w:styleId="Heading8Char" w:customStyle="1">
    <w:name w:val="Heading 8 Char"/>
    <w:basedOn w:val="DefaultParagraphFont"/>
    <w:link w:val="Heading8"/>
    <w:uiPriority w:val="9"/>
    <w:semiHidden/>
    <w:rsid w:val="00810611"/>
    <w:rPr>
      <w:rFonts w:eastAsiaTheme="majorEastAsia" w:cstheme="majorBidi"/>
      <w:i/>
      <w:iCs/>
      <w:color w:val="272727" w:themeColor="text1" w:themeTint="D8"/>
      <w:sz w:val="24"/>
      <w:lang w:val="en-GB"/>
    </w:rPr>
  </w:style>
  <w:style w:type="character" w:styleId="Heading9Char" w:customStyle="1">
    <w:name w:val="Heading 9 Char"/>
    <w:basedOn w:val="DefaultParagraphFont"/>
    <w:link w:val="Heading9"/>
    <w:uiPriority w:val="9"/>
    <w:semiHidden/>
    <w:rsid w:val="00810611"/>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81061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10611"/>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810611"/>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106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0611"/>
    <w:pPr>
      <w:spacing w:before="160"/>
      <w:jc w:val="center"/>
    </w:pPr>
    <w:rPr>
      <w:i/>
      <w:iCs/>
      <w:color w:val="404040" w:themeColor="text1" w:themeTint="BF"/>
    </w:rPr>
  </w:style>
  <w:style w:type="character" w:styleId="QuoteChar" w:customStyle="1">
    <w:name w:val="Quote Char"/>
    <w:basedOn w:val="DefaultParagraphFont"/>
    <w:link w:val="Quote"/>
    <w:uiPriority w:val="29"/>
    <w:rsid w:val="00810611"/>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810611"/>
    <w:pPr>
      <w:ind w:left="720"/>
      <w:contextualSpacing/>
    </w:pPr>
  </w:style>
  <w:style w:type="character" w:styleId="IntenseEmphasis">
    <w:name w:val="Intense Emphasis"/>
    <w:basedOn w:val="DefaultParagraphFont"/>
    <w:uiPriority w:val="21"/>
    <w:qFormat/>
    <w:rsid w:val="00810611"/>
    <w:rPr>
      <w:i/>
      <w:iCs/>
      <w:color w:val="2F5496" w:themeColor="accent1" w:themeShade="BF"/>
    </w:rPr>
  </w:style>
  <w:style w:type="paragraph" w:styleId="IntenseQuote">
    <w:name w:val="Intense Quote"/>
    <w:basedOn w:val="Normal"/>
    <w:next w:val="Normal"/>
    <w:link w:val="IntenseQuoteChar"/>
    <w:uiPriority w:val="30"/>
    <w:qFormat/>
    <w:rsid w:val="00810611"/>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10611"/>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810611"/>
    <w:rPr>
      <w:b/>
      <w:bCs/>
      <w:smallCaps/>
      <w:color w:val="2F5496" w:themeColor="accent1" w:themeShade="BF"/>
      <w:spacing w:val="5"/>
    </w:rPr>
  </w:style>
  <w:style w:type="paragraph" w:styleId="NormalWeb">
    <w:name w:val="Normal (Web)"/>
    <w:basedOn w:val="Normal"/>
    <w:uiPriority w:val="99"/>
    <w:semiHidden/>
    <w:unhideWhenUsed/>
    <w:rsid w:val="00122562"/>
    <w:pPr>
      <w:spacing w:before="100" w:beforeAutospacing="1" w:after="100" w:afterAutospacing="1" w:line="240" w:lineRule="auto"/>
      <w:jc w:val="left"/>
    </w:pPr>
    <w:rPr>
      <w:rFonts w:ascii="Times New Roman" w:hAnsi="Times New Roman" w:eastAsia="Times New Roman" w:cs="Times New Roman"/>
      <w:kern w:val="0"/>
      <w:sz w:val="24"/>
      <w:szCs w:val="24"/>
      <w:lang w:val="en-US"/>
      <w14:ligatures w14:val="none"/>
    </w:rPr>
  </w:style>
  <w:style w:type="paragraph" w:styleId="TOCHeading">
    <w:name w:val="TOC Heading"/>
    <w:basedOn w:val="Heading1"/>
    <w:next w:val="Normal"/>
    <w:uiPriority w:val="39"/>
    <w:unhideWhenUsed/>
    <w:qFormat/>
    <w:rsid w:val="00122562"/>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122562"/>
    <w:pPr>
      <w:spacing w:after="100"/>
    </w:pPr>
  </w:style>
  <w:style w:type="paragraph" w:styleId="TOC2">
    <w:name w:val="toc 2"/>
    <w:basedOn w:val="Normal"/>
    <w:next w:val="Normal"/>
    <w:autoRedefine/>
    <w:uiPriority w:val="39"/>
    <w:unhideWhenUsed/>
    <w:rsid w:val="00122562"/>
    <w:pPr>
      <w:spacing w:after="100"/>
      <w:ind w:left="220"/>
    </w:pPr>
  </w:style>
  <w:style w:type="character" w:styleId="Hyperlink">
    <w:name w:val="Hyperlink"/>
    <w:basedOn w:val="DefaultParagraphFont"/>
    <w:uiPriority w:val="99"/>
    <w:unhideWhenUsed/>
    <w:rsid w:val="00122562"/>
    <w:rPr>
      <w:color w:val="0563C1" w:themeColor="hyperlink"/>
      <w:u w:val="single"/>
    </w:rPr>
  </w:style>
  <w:style w:type="paragraph" w:styleId="Header">
    <w:name w:val="header"/>
    <w:basedOn w:val="Normal"/>
    <w:link w:val="HeaderChar"/>
    <w:uiPriority w:val="99"/>
    <w:unhideWhenUsed/>
    <w:rsid w:val="00122562"/>
    <w:pPr>
      <w:tabs>
        <w:tab w:val="center" w:pos="4680"/>
        <w:tab w:val="right" w:pos="9360"/>
      </w:tabs>
      <w:spacing w:after="0" w:line="240" w:lineRule="auto"/>
    </w:pPr>
  </w:style>
  <w:style w:type="character" w:styleId="HeaderChar" w:customStyle="1">
    <w:name w:val="Header Char"/>
    <w:basedOn w:val="DefaultParagraphFont"/>
    <w:link w:val="Header"/>
    <w:uiPriority w:val="99"/>
    <w:rsid w:val="00122562"/>
    <w:rPr>
      <w:rFonts w:ascii="Arial" w:hAnsi="Arial"/>
      <w:lang w:val="en-GB"/>
    </w:rPr>
  </w:style>
  <w:style w:type="paragraph" w:styleId="Footer">
    <w:name w:val="footer"/>
    <w:basedOn w:val="Normal"/>
    <w:link w:val="FooterChar"/>
    <w:uiPriority w:val="99"/>
    <w:unhideWhenUsed/>
    <w:rsid w:val="00122562"/>
    <w:pPr>
      <w:tabs>
        <w:tab w:val="center" w:pos="4680"/>
        <w:tab w:val="right" w:pos="9360"/>
      </w:tabs>
      <w:spacing w:after="0" w:line="240" w:lineRule="auto"/>
    </w:pPr>
  </w:style>
  <w:style w:type="character" w:styleId="FooterChar" w:customStyle="1">
    <w:name w:val="Footer Char"/>
    <w:basedOn w:val="DefaultParagraphFont"/>
    <w:link w:val="Footer"/>
    <w:uiPriority w:val="99"/>
    <w:rsid w:val="00122562"/>
    <w:rPr>
      <w:rFonts w:ascii="Arial" w:hAnsi="Arial"/>
      <w:lang w:val="en-GB"/>
    </w:rPr>
  </w:style>
  <w:style w:type="character" w:styleId="PlaceholderText">
    <w:uiPriority w:val="99"/>
    <w:name w:val="Placeholder Text"/>
    <w:basedOn w:val="DefaultParagraphFont"/>
    <w:semiHidden/>
    <w:rsid w:val="6194064B"/>
    <w:rPr>
      <w:color w:val="66666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header" Target="header.xml" Id="R800114b286f64703" /><Relationship Type="http://schemas.openxmlformats.org/officeDocument/2006/relationships/header" Target="header2.xml" Id="Rac861edcb8ed4062" /><Relationship Type="http://schemas.openxmlformats.org/officeDocument/2006/relationships/header" Target="header3.xml" Id="R60af57b827db424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C0E77-CA8C-4CC7-AC6A-7D00AFD5028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Moshahid Hussain</lastModifiedBy>
  <revision>2</revision>
  <dcterms:created xsi:type="dcterms:W3CDTF">2026-07-17T22:43:00.0000000Z</dcterms:created>
  <dcterms:modified xsi:type="dcterms:W3CDTF">2026-07-17T22:52:34.1827893Z</dcterms:modified>
</coreProperties>
</file>