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00F0D9" w14:textId="44A1AB02" w:rsidR="007C1186" w:rsidRPr="007C1186" w:rsidRDefault="007C1186">
      <w:pPr>
        <w:rPr>
          <w:sz w:val="24"/>
          <w:u w:val="single"/>
        </w:rPr>
      </w:pPr>
      <w:r w:rsidRPr="007C1186">
        <w:rPr>
          <w:sz w:val="24"/>
          <w:u w:val="single"/>
        </w:rPr>
        <w:t>Ancient Erotic Poetry: Gobbet 1: Catullus 68:</w:t>
      </w:r>
    </w:p>
    <w:p w14:paraId="7CFE40F5" w14:textId="65AEC3F6" w:rsidR="002D334F" w:rsidRDefault="00DD3233">
      <w:r>
        <w:t>Catullus, writing in the 1</w:t>
      </w:r>
      <w:r w:rsidRPr="00DD3233">
        <w:rPr>
          <w:vertAlign w:val="superscript"/>
        </w:rPr>
        <w:t>st</w:t>
      </w:r>
      <w:r>
        <w:t xml:space="preserve"> century BCE, is perhaps one of the greatest and most celebrated Latin love elegists. His major success as a love poet </w:t>
      </w:r>
      <w:r w:rsidR="005D2A51">
        <w:t>has enabled</w:t>
      </w:r>
      <w:r>
        <w:t xml:space="preserve"> Catullus</w:t>
      </w:r>
      <w:r w:rsidR="005D2A51">
        <w:t xml:space="preserve"> to</w:t>
      </w:r>
      <w:r>
        <w:t xml:space="preserve"> remain</w:t>
      </w:r>
      <w:r w:rsidR="005D2A51">
        <w:t xml:space="preserve"> </w:t>
      </w:r>
      <w:r>
        <w:t>as highly regarded now</w:t>
      </w:r>
      <w:r w:rsidR="005D2A51">
        <w:t>,</w:t>
      </w:r>
      <w:r>
        <w:t xml:space="preserve"> </w:t>
      </w:r>
      <w:r w:rsidR="005D2A51">
        <w:t xml:space="preserve">by modern audiences, as he was back in the ancient world </w:t>
      </w:r>
      <w:r>
        <w:t xml:space="preserve">by </w:t>
      </w:r>
      <w:r w:rsidR="005D2A51">
        <w:t>those such as</w:t>
      </w:r>
      <w:r>
        <w:t xml:space="preserve"> Martial and Pliny.</w:t>
      </w:r>
      <w:r>
        <w:rPr>
          <w:rStyle w:val="FootnoteReference"/>
        </w:rPr>
        <w:footnoteReference w:id="1"/>
      </w:r>
      <w:r w:rsidR="005D2A51">
        <w:t xml:space="preserve"> This is indeed a sentiment shown by the comment that his work consists of, “probably the</w:t>
      </w:r>
      <w:r>
        <w:t xml:space="preserve"> most extraordinary poem in Latin”</w:t>
      </w:r>
      <w:r w:rsidR="005D2A51">
        <w:t>, Poem 68.</w:t>
      </w:r>
      <w:r w:rsidR="005D2A51">
        <w:rPr>
          <w:rStyle w:val="FootnoteReference"/>
        </w:rPr>
        <w:footnoteReference w:id="2"/>
      </w:r>
      <w:r w:rsidR="005D2A51">
        <w:t xml:space="preserve"> The passage </w:t>
      </w:r>
      <w:r w:rsidR="002D334F">
        <w:t xml:space="preserve">which will be subsequently analysed </w:t>
      </w:r>
      <w:r w:rsidR="005D2A51">
        <w:t>comes from lines 51-76 of said poem.</w:t>
      </w:r>
    </w:p>
    <w:p w14:paraId="5BC4E237" w14:textId="7E3ECAAB" w:rsidR="00D20DE3" w:rsidRDefault="00D20DE3">
      <w:r>
        <w:t xml:space="preserve">In order to best understand the contents of the passage, it is first necessary to give an indication of the poem as a whole. Poem 68 consists of two </w:t>
      </w:r>
      <w:r w:rsidR="00DD073E">
        <w:t xml:space="preserve">letters written by Catullus. The first, know as 68A, is addressed to one Manlius in response to his request for love poetry. It is his hope that such a poem will assist him in finding solace in his grief at sea. Catullus states that he is simply unable to provide such a thing following his own grief at the death of his recently deceased brother. However, the immediate letter following this is that of 68B, consisting of a poem recounting special memories of amorous times shared with his beloved. </w:t>
      </w:r>
      <w:r w:rsidR="00F2576B">
        <w:t>This exposes an apparent, “paradox that lies at the heart of this challenging poem”.</w:t>
      </w:r>
      <w:r w:rsidR="00F2576B">
        <w:rPr>
          <w:rStyle w:val="FootnoteReference"/>
        </w:rPr>
        <w:footnoteReference w:id="3"/>
      </w:r>
      <w:r w:rsidR="00F2576B">
        <w:t xml:space="preserve"> As such these two </w:t>
      </w:r>
      <w:r w:rsidR="002D334F">
        <w:t xml:space="preserve">seemingly opposing </w:t>
      </w:r>
      <w:r w:rsidR="007D1E66">
        <w:t xml:space="preserve">letters </w:t>
      </w:r>
      <w:r w:rsidR="00DD073E">
        <w:t xml:space="preserve">set the tone for the poem in full as the themes of grief, </w:t>
      </w:r>
      <w:r w:rsidR="007D1E66">
        <w:t>contrast and variant forms of love remain central throughout. Such themes are intricately layered and woven between both letters so that the readers understanding is postponed until the poem has been read in its entirety, perhaps even until having been read multiple times over.</w:t>
      </w:r>
      <w:r w:rsidR="007D1E66">
        <w:rPr>
          <w:rStyle w:val="FootnoteReference"/>
        </w:rPr>
        <w:footnoteReference w:id="4"/>
      </w:r>
    </w:p>
    <w:p w14:paraId="092A3336" w14:textId="4A86639A" w:rsidR="007C1186" w:rsidRDefault="00D20DE3">
      <w:r>
        <w:t xml:space="preserve">Directly prior to where our passage begins Catullus addresses his friend </w:t>
      </w:r>
      <w:proofErr w:type="spellStart"/>
      <w:r>
        <w:t>Allius</w:t>
      </w:r>
      <w:proofErr w:type="spellEnd"/>
      <w:r>
        <w:t xml:space="preserve">, </w:t>
      </w:r>
      <w:r w:rsidR="007D1E66">
        <w:t xml:space="preserve">stating </w:t>
      </w:r>
      <w:r w:rsidR="007D1E66">
        <w:t xml:space="preserve">that in </w:t>
      </w:r>
      <w:r w:rsidR="007D1E66">
        <w:t>producing</w:t>
      </w:r>
      <w:r w:rsidR="007D1E66">
        <w:t xml:space="preserve"> the </w:t>
      </w:r>
      <w:r w:rsidR="002D334F">
        <w:t xml:space="preserve">included </w:t>
      </w:r>
      <w:r w:rsidR="007D1E66">
        <w:t xml:space="preserve">poem </w:t>
      </w:r>
      <w:r w:rsidR="007D1E66">
        <w:t xml:space="preserve">it is his hope </w:t>
      </w:r>
      <w:r w:rsidR="007D1E66">
        <w:t xml:space="preserve">his friend may, “live on in verse even after death” (45-50). </w:t>
      </w:r>
      <w:r w:rsidR="007D1E66">
        <w:t xml:space="preserve">It is made clear that the poem is offered as </w:t>
      </w:r>
      <w:r>
        <w:t>both a display of gratitude and</w:t>
      </w:r>
      <w:r w:rsidR="002D334F">
        <w:t xml:space="preserve"> in</w:t>
      </w:r>
      <w:r>
        <w:t xml:space="preserve"> payment </w:t>
      </w:r>
      <w:r w:rsidR="002D334F">
        <w:t>to</w:t>
      </w:r>
      <w:r w:rsidR="007D1E66">
        <w:t xml:space="preserve"> </w:t>
      </w:r>
      <w:proofErr w:type="spellStart"/>
      <w:r w:rsidR="007D1E66">
        <w:t>Allius</w:t>
      </w:r>
      <w:proofErr w:type="spellEnd"/>
      <w:r w:rsidR="002D334F">
        <w:t xml:space="preserve"> for having</w:t>
      </w:r>
      <w:r>
        <w:t xml:space="preserve">, “greatly” (40-45) </w:t>
      </w:r>
      <w:r w:rsidR="002D334F">
        <w:t>assisted</w:t>
      </w:r>
      <w:r>
        <w:t xml:space="preserve"> Catullus in his time of need</w:t>
      </w:r>
      <w:r w:rsidR="007D1E66">
        <w:t>, which he then goes on to define in the set passage.</w:t>
      </w:r>
      <w:r w:rsidR="00C33617" w:rsidRPr="00C33617">
        <w:t xml:space="preserve"> </w:t>
      </w:r>
      <w:r w:rsidR="00C33617">
        <w:t xml:space="preserve">He has a mistress whom he could not meet with until </w:t>
      </w:r>
      <w:proofErr w:type="spellStart"/>
      <w:r w:rsidR="00C33617">
        <w:t>Allius</w:t>
      </w:r>
      <w:proofErr w:type="spellEnd"/>
      <w:r w:rsidR="00C33617">
        <w:t xml:space="preserve"> offered him use of a home.</w:t>
      </w:r>
    </w:p>
    <w:p w14:paraId="029C8F86" w14:textId="031F8CEB" w:rsidR="007D1E66" w:rsidRDefault="002D334F">
      <w:r>
        <w:t xml:space="preserve">After gifting such a high degree of praise to </w:t>
      </w:r>
      <w:proofErr w:type="spellStart"/>
      <w:r>
        <w:t>Allius</w:t>
      </w:r>
      <w:proofErr w:type="spellEnd"/>
      <w:r>
        <w:t xml:space="preserve">, Catullus then goes on describe the, “sorrow of heart” (51) </w:t>
      </w:r>
      <w:r w:rsidR="00614F28">
        <w:t>from</w:t>
      </w:r>
      <w:r w:rsidR="00614F28">
        <w:t xml:space="preserve"> </w:t>
      </w:r>
      <w:r>
        <w:t>which his friend has ultimately granted him, “sweet solace” (61).</w:t>
      </w:r>
      <w:r w:rsidR="00C33617">
        <w:t xml:space="preserve"> </w:t>
      </w:r>
      <w:r w:rsidR="00614F28">
        <w:t xml:space="preserve"> He begins with a mention of the goddess </w:t>
      </w:r>
      <w:proofErr w:type="spellStart"/>
      <w:r w:rsidR="00614F28">
        <w:t>Amathus</w:t>
      </w:r>
      <w:proofErr w:type="spellEnd"/>
      <w:r w:rsidR="00614F28">
        <w:t xml:space="preserve"> (Venus) and identifies her as having, “scorched” (52) him.</w:t>
      </w:r>
      <w:r w:rsidR="00F2576B">
        <w:t xml:space="preserve"> This sparks </w:t>
      </w:r>
      <w:r w:rsidR="00B07DD3">
        <w:t>what then becomes the main focus of the passage</w:t>
      </w:r>
      <w:r w:rsidR="006660C3">
        <w:t xml:space="preserve">, </w:t>
      </w:r>
      <w:r w:rsidR="006660C3">
        <w:t>Catullus</w:t>
      </w:r>
      <w:r w:rsidR="006660C3">
        <w:t>’</w:t>
      </w:r>
      <w:r w:rsidR="006660C3">
        <w:t xml:space="preserve"> use of various elements and imagery to illustrate his emotions. </w:t>
      </w:r>
      <w:r w:rsidR="006660C3">
        <w:t>In doing so a</w:t>
      </w:r>
      <w:r w:rsidR="00B07DD3">
        <w:t xml:space="preserve"> comparison of the poet’s own feelings</w:t>
      </w:r>
      <w:r w:rsidR="006660C3">
        <w:t>,</w:t>
      </w:r>
      <w:r w:rsidR="00B07DD3">
        <w:t xml:space="preserve"> and the various similes and metaphors used to explore them</w:t>
      </w:r>
      <w:r w:rsidR="006660C3">
        <w:t>, is made</w:t>
      </w:r>
      <w:r w:rsidR="00B07DD3">
        <w:t>.</w:t>
      </w:r>
    </w:p>
    <w:p w14:paraId="29DB14AA" w14:textId="649BA207" w:rsidR="00634A1F" w:rsidRDefault="00474D63" w:rsidP="00483913">
      <w:r>
        <w:t xml:space="preserve">Catullus first uses </w:t>
      </w:r>
      <w:r w:rsidR="00984FBC">
        <w:t>the simile of himself as having been, “burning as hotly as the Trinacrian rock and the Malian water at Oetean</w:t>
      </w:r>
      <w:r>
        <w:t xml:space="preserve"> Thermopylae</w:t>
      </w:r>
      <w:r w:rsidR="00984FBC">
        <w:t>” (53-55)</w:t>
      </w:r>
      <w:r w:rsidR="00EF485A">
        <w:t xml:space="preserve">. </w:t>
      </w:r>
      <w:r w:rsidR="00EF485A">
        <w:t>Whilst ordinarily the notions of “burning” and “water”</w:t>
      </w:r>
      <w:r w:rsidR="00EF485A">
        <w:t xml:space="preserve"> would appear contrasting</w:t>
      </w:r>
      <w:r w:rsidR="00F464E2">
        <w:t>,</w:t>
      </w:r>
      <w:r w:rsidR="00EF485A">
        <w:t xml:space="preserve"> what Catullus is actually </w:t>
      </w:r>
      <w:r w:rsidR="006660C3">
        <w:t>referring</w:t>
      </w:r>
      <w:r w:rsidR="00984FBC">
        <w:t xml:space="preserve"> to</w:t>
      </w:r>
      <w:r w:rsidR="00EF485A">
        <w:t xml:space="preserve"> is</w:t>
      </w:r>
      <w:r w:rsidR="00984FBC">
        <w:t xml:space="preserve"> both the heat of a volcano and the heat of </w:t>
      </w:r>
      <w:r w:rsidR="00F464E2">
        <w:t xml:space="preserve">a </w:t>
      </w:r>
      <w:r w:rsidR="00984FBC">
        <w:t>hot springs.</w:t>
      </w:r>
      <w:r w:rsidR="00EF485A">
        <w:t xml:space="preserve"> The use of </w:t>
      </w:r>
      <w:r w:rsidR="00F464E2">
        <w:t>these</w:t>
      </w:r>
      <w:r w:rsidR="00EF485A">
        <w:t xml:space="preserve"> factors within the simile </w:t>
      </w:r>
      <w:r w:rsidR="00F464E2">
        <w:t>allows for an, “apparent fusion of opposites”.</w:t>
      </w:r>
      <w:r w:rsidR="00F464E2">
        <w:rPr>
          <w:rStyle w:val="FootnoteReference"/>
        </w:rPr>
        <w:footnoteReference w:id="5"/>
      </w:r>
      <w:r w:rsidR="00F464E2">
        <w:t xml:space="preserve"> T</w:t>
      </w:r>
      <w:r w:rsidR="006660C3">
        <w:t xml:space="preserve">his </w:t>
      </w:r>
      <w:r w:rsidR="00F464E2">
        <w:t xml:space="preserve">simile when investigated further </w:t>
      </w:r>
      <w:r>
        <w:t xml:space="preserve">offers mythic </w:t>
      </w:r>
      <w:r w:rsidR="006660C3">
        <w:t>connotations for an ancient audience and so too a modern classicist. It is the nature of the poem after all to offer narrative strands which, “once pulled reveal connections”.</w:t>
      </w:r>
      <w:r w:rsidR="006660C3">
        <w:rPr>
          <w:rStyle w:val="FootnoteReference"/>
        </w:rPr>
        <w:footnoteReference w:id="6"/>
      </w:r>
      <w:r w:rsidR="006660C3">
        <w:t xml:space="preserve"> </w:t>
      </w:r>
      <w:r w:rsidR="00C340ED">
        <w:t>Mount Oeta</w:t>
      </w:r>
      <w:r>
        <w:t xml:space="preserve"> in particular is of interest given that this</w:t>
      </w:r>
      <w:r w:rsidR="006660C3">
        <w:t xml:space="preserve"> named location </w:t>
      </w:r>
      <w:r>
        <w:t xml:space="preserve">can be linked </w:t>
      </w:r>
      <w:r w:rsidR="006660C3">
        <w:t xml:space="preserve">to </w:t>
      </w:r>
      <w:r>
        <w:t xml:space="preserve">Heracles, a figure who </w:t>
      </w:r>
      <w:r w:rsidR="00C340ED">
        <w:t>is alluded to</w:t>
      </w:r>
      <w:r>
        <w:t xml:space="preserve"> multiple times </w:t>
      </w:r>
      <w:r>
        <w:lastRenderedPageBreak/>
        <w:t>within the entire poem</w:t>
      </w:r>
      <w:r w:rsidR="00C340ED">
        <w:t xml:space="preserve"> (109, 115-116)</w:t>
      </w:r>
      <w:r>
        <w:t xml:space="preserve">. By referencing both extreme heat and Oetean </w:t>
      </w:r>
      <w:r w:rsidR="00C340ED">
        <w:t xml:space="preserve">Thermopylae </w:t>
      </w:r>
      <w:r>
        <w:t>Catullus invokes the imagery of Heracles</w:t>
      </w:r>
      <w:r w:rsidR="00C340ED">
        <w:t xml:space="preserve"> burning upon his funeral pyre.</w:t>
      </w:r>
      <w:r w:rsidR="00C340ED">
        <w:rPr>
          <w:rStyle w:val="FootnoteReference"/>
        </w:rPr>
        <w:footnoteReference w:id="7"/>
      </w:r>
      <w:r w:rsidR="00C340ED">
        <w:t xml:space="preserve"> </w:t>
      </w:r>
      <w:r w:rsidR="007066A6">
        <w:t xml:space="preserve">Here </w:t>
      </w:r>
      <w:r w:rsidR="00C340ED">
        <w:t>a clear link to the theme of death and grieving is established</w:t>
      </w:r>
      <w:r w:rsidR="00F464E2">
        <w:t xml:space="preserve"> along with that of initial opposites uniting in a tethering similarity.</w:t>
      </w:r>
      <w:r w:rsidR="00483913">
        <w:t xml:space="preserve"> </w:t>
      </w:r>
    </w:p>
    <w:p w14:paraId="3D9C4C27" w14:textId="77777777" w:rsidR="00565B34" w:rsidRDefault="00634A1F">
      <w:r>
        <w:t>Next t</w:t>
      </w:r>
      <w:r w:rsidR="00483913">
        <w:t>he</w:t>
      </w:r>
      <w:r w:rsidR="00362757">
        <w:t xml:space="preserve"> poem shifts </w:t>
      </w:r>
      <w:r w:rsidR="00483913">
        <w:t xml:space="preserve">to the physical </w:t>
      </w:r>
      <w:r w:rsidR="00362757">
        <w:t>symptoms of loves suffering</w:t>
      </w:r>
      <w:r w:rsidR="00483913">
        <w:t xml:space="preserve">. </w:t>
      </w:r>
      <w:r w:rsidR="00483913">
        <w:t>The motif of water is maintained</w:t>
      </w:r>
      <w:r w:rsidR="00483913">
        <w:t xml:space="preserve"> as the poet takes note of his, </w:t>
      </w:r>
      <w:r w:rsidR="00483913">
        <w:t>“perpetual tears” (55).</w:t>
      </w:r>
      <w:r w:rsidR="00483913">
        <w:t xml:space="preserve"> </w:t>
      </w:r>
      <w:r>
        <w:t>Perhaps the most confusing, at the very least misleading, section of the passage then follows. Catullus mentions these tears as having kept his cheeks, “streaming</w:t>
      </w:r>
      <w:r w:rsidR="00C33617">
        <w:t>” (56) and then goes on to begin a discussion</w:t>
      </w:r>
      <w:r>
        <w:t xml:space="preserve"> of</w:t>
      </w:r>
      <w:r w:rsidR="00C33617">
        <w:t xml:space="preserve"> a, “bright</w:t>
      </w:r>
      <w:r>
        <w:t xml:space="preserve"> stream</w:t>
      </w:r>
      <w:r w:rsidR="00C33617">
        <w:t xml:space="preserve">” (57) </w:t>
      </w:r>
      <w:r>
        <w:t xml:space="preserve">down a mountain. For the reader it initially seems as though this </w:t>
      </w:r>
      <w:r w:rsidR="00C33617">
        <w:t>simile is corresponding to the lines</w:t>
      </w:r>
      <w:r w:rsidR="00DE3943">
        <w:t>,</w:t>
      </w:r>
      <w:r w:rsidR="00C33617">
        <w:t xml:space="preserve"> and therefore the tears, mentioned just before</w:t>
      </w:r>
      <w:r w:rsidR="00DE3943">
        <w:t>,</w:t>
      </w:r>
      <w:r w:rsidR="00C33617">
        <w:t xml:space="preserve"> this is however not the case. </w:t>
      </w:r>
      <w:r w:rsidR="00DE3943">
        <w:t xml:space="preserve">The stream is, “thronged by the people” (58) halfway on its journey down the mountain and it is to the relief of the people, as a result, </w:t>
      </w:r>
      <w:r w:rsidR="00DE3943">
        <w:t>which Catullus is referring</w:t>
      </w:r>
      <w:r w:rsidR="00DE3943">
        <w:t>.</w:t>
      </w:r>
      <w:r w:rsidR="00DE3943" w:rsidRPr="00DE3943">
        <w:t xml:space="preserve"> </w:t>
      </w:r>
      <w:r w:rsidR="00DE3943">
        <w:t>Only upon reaching the end of the simile is this made clea</w:t>
      </w:r>
      <w:r w:rsidR="00DE3943">
        <w:t xml:space="preserve">r when Catullus brings focus back to </w:t>
      </w:r>
      <w:proofErr w:type="spellStart"/>
      <w:r w:rsidR="00DE3943">
        <w:t>Allius</w:t>
      </w:r>
      <w:proofErr w:type="spellEnd"/>
      <w:r w:rsidR="00DE3943">
        <w:t xml:space="preserve"> and his aid and the relief he himself gained form such assistance. </w:t>
      </w:r>
    </w:p>
    <w:p w14:paraId="74277E30" w14:textId="2DC01463" w:rsidR="00483913" w:rsidRDefault="00DE3943">
      <w:r>
        <w:t>This simile has caused many issues for the translation and interpretation of the poem</w:t>
      </w:r>
      <w:r w:rsidR="00565B34">
        <w:t xml:space="preserve"> due to its multifunctionality. Within the structure of the poem it is placed after the mention of Catullus’ tears and before the reference to his relief. Because of this the simile may refer to either one alone or both simultaneously. As such this section has been referred to as, “the most vexed and vexing passages of all”.</w:t>
      </w:r>
      <w:r w:rsidR="00565B34">
        <w:rPr>
          <w:rStyle w:val="FootnoteReference"/>
        </w:rPr>
        <w:footnoteReference w:id="8"/>
      </w:r>
    </w:p>
    <w:p w14:paraId="0C37646A" w14:textId="74268F21" w:rsidR="001C483D" w:rsidRDefault="00565B34">
      <w:r>
        <w:t>Finally, the passage ends with the appearance of Catullus’ lover at the door.</w:t>
      </w:r>
      <w:r w:rsidR="001C483D">
        <w:t xml:space="preserve"> He </w:t>
      </w:r>
      <w:r w:rsidR="005C0D23">
        <w:t xml:space="preserve">likens her arrival to that of </w:t>
      </w:r>
      <w:proofErr w:type="spellStart"/>
      <w:r w:rsidR="005C0D23">
        <w:t>Laodamia’s</w:t>
      </w:r>
      <w:proofErr w:type="spellEnd"/>
      <w:r w:rsidR="005C0D23">
        <w:t xml:space="preserve"> to </w:t>
      </w:r>
      <w:proofErr w:type="spellStart"/>
      <w:r w:rsidR="005C0D23">
        <w:t>Protesilaus</w:t>
      </w:r>
      <w:proofErr w:type="spellEnd"/>
      <w:r w:rsidR="005C0D23">
        <w:t>’ home.</w:t>
      </w:r>
      <w:r w:rsidR="001C483D">
        <w:t xml:space="preserve"> In doing so he </w:t>
      </w:r>
      <w:r w:rsidR="001C483D">
        <w:t>introduc</w:t>
      </w:r>
      <w:r w:rsidR="001C483D">
        <w:t xml:space="preserve">es </w:t>
      </w:r>
      <w:r w:rsidR="001C483D">
        <w:t xml:space="preserve">he main content of Poem 68, an extended simile of </w:t>
      </w:r>
      <w:proofErr w:type="spellStart"/>
      <w:r w:rsidR="001C483D">
        <w:t>Lesbia</w:t>
      </w:r>
      <w:proofErr w:type="spellEnd"/>
      <w:r w:rsidR="001C483D">
        <w:t xml:space="preserve"> and </w:t>
      </w:r>
      <w:proofErr w:type="spellStart"/>
      <w:r w:rsidR="001C483D">
        <w:t>Laodamia</w:t>
      </w:r>
      <w:proofErr w:type="spellEnd"/>
      <w:r w:rsidR="001C483D">
        <w:t>.</w:t>
      </w:r>
      <w:r w:rsidR="001C483D" w:rsidRPr="001C483D">
        <w:t xml:space="preserve"> </w:t>
      </w:r>
      <w:r w:rsidR="001C483D">
        <w:t>Whilst this is an extremely interesting and intricate aspect of the poem</w:t>
      </w:r>
      <w:r w:rsidR="001C483D">
        <w:t>,</w:t>
      </w:r>
      <w:r w:rsidR="001C483D">
        <w:t xml:space="preserve"> alas </w:t>
      </w:r>
      <w:r w:rsidR="002951B6">
        <w:t xml:space="preserve">it </w:t>
      </w:r>
      <w:r w:rsidR="001C483D">
        <w:t>falls outside the parameters of the passage and so will not be analysed here.</w:t>
      </w:r>
      <w:r w:rsidR="002951B6">
        <w:t xml:space="preserve"> What can be noted </w:t>
      </w:r>
      <w:r w:rsidR="001C483D">
        <w:t>however</w:t>
      </w:r>
      <w:r w:rsidR="002951B6">
        <w:t xml:space="preserve">, is the implication that </w:t>
      </w:r>
      <w:r w:rsidR="001C483D">
        <w:t xml:space="preserve">Catullus views </w:t>
      </w:r>
      <w:r w:rsidR="002951B6">
        <w:t>this meeting with</w:t>
      </w:r>
      <w:r w:rsidR="001C483D">
        <w:t xml:space="preserve"> </w:t>
      </w:r>
      <w:proofErr w:type="spellStart"/>
      <w:r w:rsidR="001C483D">
        <w:t>Lesbia</w:t>
      </w:r>
      <w:proofErr w:type="spellEnd"/>
      <w:r w:rsidR="001C483D">
        <w:t xml:space="preserve"> as being a marriage, if only symbolically.</w:t>
      </w:r>
      <w:r w:rsidR="002951B6">
        <w:t xml:space="preserve"> </w:t>
      </w:r>
    </w:p>
    <w:p w14:paraId="064DCCEB" w14:textId="71BB0472" w:rsidR="002951B6" w:rsidRPr="002951B6" w:rsidRDefault="002951B6">
      <w:pPr>
        <w:rPr>
          <w:u w:val="single"/>
        </w:rPr>
      </w:pPr>
    </w:p>
    <w:p w14:paraId="2EA688A5" w14:textId="2E2BEB52" w:rsidR="002951B6" w:rsidRPr="002951B6" w:rsidRDefault="002951B6">
      <w:pPr>
        <w:rPr>
          <w:sz w:val="24"/>
          <w:u w:val="single"/>
        </w:rPr>
      </w:pPr>
      <w:r w:rsidRPr="002951B6">
        <w:rPr>
          <w:sz w:val="24"/>
          <w:u w:val="single"/>
        </w:rPr>
        <w:t>Bibliography:</w:t>
      </w:r>
    </w:p>
    <w:p w14:paraId="65EF8061" w14:textId="79C8DBF1" w:rsidR="002951B6" w:rsidRDefault="002951B6">
      <w:pPr>
        <w:rPr>
          <w:u w:val="single"/>
        </w:rPr>
      </w:pPr>
      <w:r w:rsidRPr="002951B6">
        <w:rPr>
          <w:u w:val="single"/>
        </w:rPr>
        <w:t>Ancient Sources:</w:t>
      </w:r>
    </w:p>
    <w:p w14:paraId="29AAA111" w14:textId="6960F881" w:rsidR="002951B6" w:rsidRDefault="002951B6">
      <w:r>
        <w:t xml:space="preserve">Catullus, </w:t>
      </w:r>
      <w:r>
        <w:rPr>
          <w:i/>
        </w:rPr>
        <w:t xml:space="preserve">Poems. </w:t>
      </w:r>
      <w:r>
        <w:t xml:space="preserve">F.W. Cornish; J.P. Postgate; J.W. </w:t>
      </w:r>
      <w:proofErr w:type="spellStart"/>
      <w:r>
        <w:t>Mackail</w:t>
      </w:r>
      <w:proofErr w:type="spellEnd"/>
      <w:r>
        <w:t xml:space="preserve">. (trans.). 1913. Cambridge, MA: Harvard University Press. </w:t>
      </w:r>
    </w:p>
    <w:p w14:paraId="482A62CD" w14:textId="614FADF5" w:rsidR="002951B6" w:rsidRDefault="002951B6">
      <w:pPr>
        <w:rPr>
          <w:u w:val="single"/>
        </w:rPr>
      </w:pPr>
      <w:r>
        <w:rPr>
          <w:u w:val="single"/>
        </w:rPr>
        <w:t>Modern Scholarship:</w:t>
      </w:r>
    </w:p>
    <w:p w14:paraId="48D183B1" w14:textId="45FB5629" w:rsidR="002951B6" w:rsidRDefault="002951B6">
      <w:proofErr w:type="spellStart"/>
      <w:r>
        <w:t>Clauss</w:t>
      </w:r>
      <w:proofErr w:type="spellEnd"/>
      <w:r>
        <w:t xml:space="preserve">, J.J. (1995). ‘A Delicate Foot on the Well-Worn Threshold: Paradoxical Imagery in Catullus 68b’, </w:t>
      </w:r>
      <w:r>
        <w:rPr>
          <w:i/>
        </w:rPr>
        <w:t xml:space="preserve">The American Journal of Philology. </w:t>
      </w:r>
      <w:r>
        <w:t>116. 2. 237-253.</w:t>
      </w:r>
    </w:p>
    <w:p w14:paraId="5625493F" w14:textId="0504E07F" w:rsidR="002951B6" w:rsidRDefault="002951B6">
      <w:r>
        <w:t xml:space="preserve">Feeney, D.C. (1992). </w:t>
      </w:r>
      <w:r w:rsidR="0078412B">
        <w:t>’</w:t>
      </w:r>
      <w:r w:rsidR="0078412B">
        <w:rPr>
          <w:i/>
        </w:rPr>
        <w:t>25: Shall I Compare Thee…? Catullus 68B and the Limits of Analogy’,</w:t>
      </w:r>
      <w:r w:rsidR="0078412B">
        <w:t xml:space="preserve"> in </w:t>
      </w:r>
      <w:proofErr w:type="spellStart"/>
      <w:r w:rsidR="0078412B">
        <w:t>Gaisser</w:t>
      </w:r>
      <w:proofErr w:type="spellEnd"/>
      <w:r w:rsidR="0078412B">
        <w:t xml:space="preserve">, J.H. (ed.). </w:t>
      </w:r>
      <w:r w:rsidR="0078412B">
        <w:rPr>
          <w:i/>
        </w:rPr>
        <w:t xml:space="preserve">Catullus: Oxford Readings in Classical Studies. </w:t>
      </w:r>
      <w:r w:rsidR="0078412B">
        <w:t xml:space="preserve">Oxford: Oxford University Press. </w:t>
      </w:r>
    </w:p>
    <w:p w14:paraId="27250DD4" w14:textId="5174C563" w:rsidR="0078412B" w:rsidRDefault="0078412B">
      <w:r>
        <w:t xml:space="preserve">Hornblower, S.; </w:t>
      </w:r>
      <w:proofErr w:type="spellStart"/>
      <w:r>
        <w:t>Spawforth</w:t>
      </w:r>
      <w:proofErr w:type="spellEnd"/>
      <w:r>
        <w:t xml:space="preserve">, A.; </w:t>
      </w:r>
      <w:proofErr w:type="spellStart"/>
      <w:r>
        <w:t>Eidinow</w:t>
      </w:r>
      <w:proofErr w:type="spellEnd"/>
      <w:r>
        <w:t xml:space="preserve">, E. (2012). </w:t>
      </w:r>
      <w:r>
        <w:rPr>
          <w:i/>
        </w:rPr>
        <w:t xml:space="preserve">The Oxford Classical Dictionary. </w:t>
      </w:r>
      <w:r>
        <w:t xml:space="preserve">Oxford: Oxford University Press. </w:t>
      </w:r>
    </w:p>
    <w:p w14:paraId="07C55770" w14:textId="139C49EA" w:rsidR="0078412B" w:rsidRDefault="0078412B">
      <w:r>
        <w:t xml:space="preserve">Lyne, R.O.A.M. (1980). </w:t>
      </w:r>
      <w:r>
        <w:rPr>
          <w:i/>
        </w:rPr>
        <w:t xml:space="preserve">Latin Love Poets: From Catullus to Horace. </w:t>
      </w:r>
      <w:r>
        <w:t>Oxford: Oxford University Press.</w:t>
      </w:r>
    </w:p>
    <w:p w14:paraId="6DCC5864" w14:textId="1A6C89C0" w:rsidR="0078412B" w:rsidRDefault="0078412B">
      <w:r>
        <w:lastRenderedPageBreak/>
        <w:t xml:space="preserve">Vandiver, E. (2000). ‘Hot Springs, Cool Rivers, and Hidden Fires: Heracles in Catullus 68.51-66’. </w:t>
      </w:r>
      <w:r>
        <w:rPr>
          <w:i/>
        </w:rPr>
        <w:t xml:space="preserve">Classical Philology. </w:t>
      </w:r>
      <w:r>
        <w:t>95. 2. 151-159.</w:t>
      </w:r>
    </w:p>
    <w:p w14:paraId="50ED4CD6" w14:textId="5B5C0B97" w:rsidR="0078412B" w:rsidRDefault="0078412B">
      <w:r>
        <w:t xml:space="preserve">Villiers, A.D. (2008). ‘The </w:t>
      </w:r>
      <w:proofErr w:type="spellStart"/>
      <w:r>
        <w:t>Laodamia</w:t>
      </w:r>
      <w:proofErr w:type="spellEnd"/>
      <w:r>
        <w:t xml:space="preserve"> Simile in Catullus 68: Reflections on Love and Loss’. </w:t>
      </w:r>
      <w:proofErr w:type="spellStart"/>
      <w:r>
        <w:rPr>
          <w:i/>
        </w:rPr>
        <w:t>Akroterion</w:t>
      </w:r>
      <w:proofErr w:type="spellEnd"/>
      <w:r>
        <w:rPr>
          <w:i/>
        </w:rPr>
        <w:t xml:space="preserve">. </w:t>
      </w:r>
      <w:r>
        <w:t>53. 57-65.</w:t>
      </w:r>
    </w:p>
    <w:p w14:paraId="75358288" w14:textId="772E4934" w:rsidR="0078412B" w:rsidRPr="0078412B" w:rsidRDefault="0078412B">
      <w:r>
        <w:t>Wiseman, T.P.; Benz, L. ‘</w:t>
      </w:r>
      <w:r>
        <w:rPr>
          <w:i/>
        </w:rPr>
        <w:t xml:space="preserve">Catullus’, </w:t>
      </w:r>
      <w:r>
        <w:t xml:space="preserve">in </w:t>
      </w:r>
      <w:proofErr w:type="spellStart"/>
      <w:r>
        <w:t>Cancik</w:t>
      </w:r>
      <w:proofErr w:type="spellEnd"/>
      <w:r>
        <w:t xml:space="preserve">, H. (ed.). </w:t>
      </w:r>
      <w:r>
        <w:rPr>
          <w:i/>
        </w:rPr>
        <w:t xml:space="preserve">Brill’s New Pauly. </w:t>
      </w:r>
      <w:r>
        <w:t xml:space="preserve">Brills Reference Online. </w:t>
      </w:r>
      <w:hyperlink r:id="rId6" w:history="1">
        <w:r>
          <w:rPr>
            <w:rStyle w:val="Hyperlink"/>
          </w:rPr>
          <w:t>https://referenceworks.brillonline.com/entries/brill-s-new-pauly/catullus-e229290?s.num=0&amp;s.f.s2_parent=s.f.book.brill-s-new-pauly&amp;s.q=catullus</w:t>
        </w:r>
      </w:hyperlink>
      <w:r>
        <w:t>. [Accessed on: 11.05.2019].</w:t>
      </w:r>
      <w:bookmarkStart w:id="0" w:name="_GoBack"/>
      <w:bookmarkEnd w:id="0"/>
    </w:p>
    <w:p w14:paraId="3CDADA7B" w14:textId="2355DF90" w:rsidR="00565B34" w:rsidRPr="002951B6" w:rsidRDefault="005C0D23">
      <w:pPr>
        <w:rPr>
          <w:u w:val="single"/>
        </w:rPr>
      </w:pPr>
      <w:r w:rsidRPr="002951B6">
        <w:rPr>
          <w:u w:val="single"/>
        </w:rPr>
        <w:t xml:space="preserve"> </w:t>
      </w:r>
    </w:p>
    <w:sectPr w:rsidR="00565B34" w:rsidRPr="002951B6">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BAA6EE" w14:textId="77777777" w:rsidR="00725184" w:rsidRDefault="00725184" w:rsidP="007C1186">
      <w:pPr>
        <w:spacing w:after="0" w:line="240" w:lineRule="auto"/>
      </w:pPr>
      <w:r>
        <w:separator/>
      </w:r>
    </w:p>
  </w:endnote>
  <w:endnote w:type="continuationSeparator" w:id="0">
    <w:p w14:paraId="27E1DC6D" w14:textId="77777777" w:rsidR="00725184" w:rsidRDefault="00725184" w:rsidP="007C11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3C6838" w14:textId="77777777" w:rsidR="00725184" w:rsidRDefault="00725184" w:rsidP="007C1186">
      <w:pPr>
        <w:spacing w:after="0" w:line="240" w:lineRule="auto"/>
      </w:pPr>
      <w:r>
        <w:separator/>
      </w:r>
    </w:p>
  </w:footnote>
  <w:footnote w:type="continuationSeparator" w:id="0">
    <w:p w14:paraId="5C8A164B" w14:textId="77777777" w:rsidR="00725184" w:rsidRDefault="00725184" w:rsidP="007C1186">
      <w:pPr>
        <w:spacing w:after="0" w:line="240" w:lineRule="auto"/>
      </w:pPr>
      <w:r>
        <w:continuationSeparator/>
      </w:r>
    </w:p>
  </w:footnote>
  <w:footnote w:id="1">
    <w:p w14:paraId="494AFEBE" w14:textId="13CFA370" w:rsidR="00DD3233" w:rsidRDefault="00DD3233">
      <w:pPr>
        <w:pStyle w:val="FootnoteText"/>
      </w:pPr>
      <w:r>
        <w:rPr>
          <w:rStyle w:val="FootnoteReference"/>
        </w:rPr>
        <w:footnoteRef/>
      </w:r>
      <w:r>
        <w:t xml:space="preserve"> Wiseman; Benz</w:t>
      </w:r>
      <w:r w:rsidR="005D2A51">
        <w:t>,</w:t>
      </w:r>
      <w:r>
        <w:t xml:space="preserve"> (2019)</w:t>
      </w:r>
      <w:r w:rsidR="005D2A51">
        <w:t>,</w:t>
      </w:r>
      <w:r>
        <w:t xml:space="preserve"> ‘Catullus’. </w:t>
      </w:r>
    </w:p>
  </w:footnote>
  <w:footnote w:id="2">
    <w:p w14:paraId="40F6FA0E" w14:textId="1319D876" w:rsidR="005D2A51" w:rsidRDefault="005D2A51">
      <w:pPr>
        <w:pStyle w:val="FootnoteText"/>
      </w:pPr>
      <w:r>
        <w:rPr>
          <w:rStyle w:val="FootnoteReference"/>
        </w:rPr>
        <w:footnoteRef/>
      </w:r>
      <w:r>
        <w:t xml:space="preserve"> Lyne, (1980), 52.</w:t>
      </w:r>
    </w:p>
  </w:footnote>
  <w:footnote w:id="3">
    <w:p w14:paraId="6BDF1063" w14:textId="1AFD67B7" w:rsidR="00F2576B" w:rsidRDefault="00F2576B">
      <w:pPr>
        <w:pStyle w:val="FootnoteText"/>
      </w:pPr>
      <w:r>
        <w:rPr>
          <w:rStyle w:val="FootnoteReference"/>
        </w:rPr>
        <w:footnoteRef/>
      </w:r>
      <w:r>
        <w:t xml:space="preserve"> </w:t>
      </w:r>
      <w:proofErr w:type="spellStart"/>
      <w:r>
        <w:t>Clauss</w:t>
      </w:r>
      <w:proofErr w:type="spellEnd"/>
      <w:r>
        <w:t>, (1995), 237.</w:t>
      </w:r>
    </w:p>
  </w:footnote>
  <w:footnote w:id="4">
    <w:p w14:paraId="2EDC8EFD" w14:textId="10270020" w:rsidR="007D1E66" w:rsidRDefault="007D1E66">
      <w:pPr>
        <w:pStyle w:val="FootnoteText"/>
      </w:pPr>
      <w:r>
        <w:rPr>
          <w:rStyle w:val="FootnoteReference"/>
        </w:rPr>
        <w:footnoteRef/>
      </w:r>
      <w:r>
        <w:t xml:space="preserve"> Villiers, (2008), </w:t>
      </w:r>
      <w:r w:rsidR="002D334F">
        <w:t>61.</w:t>
      </w:r>
    </w:p>
  </w:footnote>
  <w:footnote w:id="5">
    <w:p w14:paraId="36962120" w14:textId="3C30000F" w:rsidR="00F464E2" w:rsidRDefault="00F464E2">
      <w:pPr>
        <w:pStyle w:val="FootnoteText"/>
      </w:pPr>
      <w:r>
        <w:rPr>
          <w:rStyle w:val="FootnoteReference"/>
        </w:rPr>
        <w:footnoteRef/>
      </w:r>
      <w:r>
        <w:t>Feeney, (1992), 437.</w:t>
      </w:r>
    </w:p>
  </w:footnote>
  <w:footnote w:id="6">
    <w:p w14:paraId="142B3039" w14:textId="74D216FD" w:rsidR="006660C3" w:rsidRDefault="006660C3">
      <w:pPr>
        <w:pStyle w:val="FootnoteText"/>
      </w:pPr>
      <w:r>
        <w:rPr>
          <w:rStyle w:val="FootnoteReference"/>
        </w:rPr>
        <w:footnoteRef/>
      </w:r>
      <w:r>
        <w:t xml:space="preserve"> Vandiver, (2000), 151.</w:t>
      </w:r>
    </w:p>
  </w:footnote>
  <w:footnote w:id="7">
    <w:p w14:paraId="54111FAC" w14:textId="012C2243" w:rsidR="00C340ED" w:rsidRDefault="00C340ED">
      <w:pPr>
        <w:pStyle w:val="FootnoteText"/>
      </w:pPr>
      <w:r>
        <w:rPr>
          <w:rStyle w:val="FootnoteReference"/>
        </w:rPr>
        <w:footnoteRef/>
      </w:r>
      <w:r>
        <w:t xml:space="preserve"> Hornblower; </w:t>
      </w:r>
      <w:proofErr w:type="spellStart"/>
      <w:r>
        <w:t>Spawforth</w:t>
      </w:r>
      <w:proofErr w:type="spellEnd"/>
      <w:r>
        <w:t xml:space="preserve">; </w:t>
      </w:r>
      <w:proofErr w:type="spellStart"/>
      <w:r>
        <w:t>Eidinow</w:t>
      </w:r>
      <w:proofErr w:type="spellEnd"/>
      <w:r>
        <w:t>, (2012), ‘Heracles’.</w:t>
      </w:r>
    </w:p>
  </w:footnote>
  <w:footnote w:id="8">
    <w:p w14:paraId="788860DD" w14:textId="03995E37" w:rsidR="00565B34" w:rsidRDefault="00565B34">
      <w:pPr>
        <w:pStyle w:val="FootnoteText"/>
      </w:pPr>
      <w:r>
        <w:rPr>
          <w:rStyle w:val="FootnoteReference"/>
        </w:rPr>
        <w:footnoteRef/>
      </w:r>
      <w:r>
        <w:t xml:space="preserve"> Vandiver, (2000), 151.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37B062" w14:textId="7A0446AA" w:rsidR="007C1186" w:rsidRDefault="007C1186">
    <w:pPr>
      <w:pStyle w:val="Header"/>
    </w:pPr>
    <w:r>
      <w:ptab w:relativeTo="margin" w:alignment="center" w:leader="none"/>
    </w:r>
    <w:r>
      <w:ptab w:relativeTo="margin" w:alignment="right" w:leader="none"/>
    </w:r>
    <w:r>
      <w:t>Sophie Taylor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186"/>
    <w:rsid w:val="001C483D"/>
    <w:rsid w:val="002951B6"/>
    <w:rsid w:val="002D334F"/>
    <w:rsid w:val="00362757"/>
    <w:rsid w:val="00474D63"/>
    <w:rsid w:val="00483913"/>
    <w:rsid w:val="00565B34"/>
    <w:rsid w:val="005C0D23"/>
    <w:rsid w:val="005D2A51"/>
    <w:rsid w:val="00614F28"/>
    <w:rsid w:val="00634A1F"/>
    <w:rsid w:val="006660C3"/>
    <w:rsid w:val="006A4433"/>
    <w:rsid w:val="007066A6"/>
    <w:rsid w:val="00725184"/>
    <w:rsid w:val="0078412B"/>
    <w:rsid w:val="007C1186"/>
    <w:rsid w:val="007D1E66"/>
    <w:rsid w:val="00984FBC"/>
    <w:rsid w:val="00B07DD3"/>
    <w:rsid w:val="00C33617"/>
    <w:rsid w:val="00C340ED"/>
    <w:rsid w:val="00D20DE3"/>
    <w:rsid w:val="00DD073E"/>
    <w:rsid w:val="00DD3233"/>
    <w:rsid w:val="00DE3943"/>
    <w:rsid w:val="00EF485A"/>
    <w:rsid w:val="00F2576B"/>
    <w:rsid w:val="00F464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93"/>
    </o:shapedefaults>
    <o:shapelayout v:ext="edit">
      <o:idmap v:ext="edit" data="1"/>
    </o:shapelayout>
  </w:shapeDefaults>
  <w:decimalSymbol w:val="."/>
  <w:listSeparator w:val=","/>
  <w14:docId w14:val="19693A10"/>
  <w15:chartTrackingRefBased/>
  <w15:docId w15:val="{147BE06E-1682-41BC-984C-7EF7849F9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11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1186"/>
  </w:style>
  <w:style w:type="paragraph" w:styleId="Footer">
    <w:name w:val="footer"/>
    <w:basedOn w:val="Normal"/>
    <w:link w:val="FooterChar"/>
    <w:uiPriority w:val="99"/>
    <w:unhideWhenUsed/>
    <w:rsid w:val="007C11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1186"/>
  </w:style>
  <w:style w:type="paragraph" w:styleId="FootnoteText">
    <w:name w:val="footnote text"/>
    <w:basedOn w:val="Normal"/>
    <w:link w:val="FootnoteTextChar"/>
    <w:uiPriority w:val="99"/>
    <w:semiHidden/>
    <w:unhideWhenUsed/>
    <w:rsid w:val="00DD323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D3233"/>
    <w:rPr>
      <w:sz w:val="20"/>
      <w:szCs w:val="20"/>
    </w:rPr>
  </w:style>
  <w:style w:type="character" w:styleId="FootnoteReference">
    <w:name w:val="footnote reference"/>
    <w:basedOn w:val="DefaultParagraphFont"/>
    <w:uiPriority w:val="99"/>
    <w:semiHidden/>
    <w:unhideWhenUsed/>
    <w:rsid w:val="00DD3233"/>
    <w:rPr>
      <w:vertAlign w:val="superscript"/>
    </w:rPr>
  </w:style>
  <w:style w:type="character" w:styleId="Hyperlink">
    <w:name w:val="Hyperlink"/>
    <w:basedOn w:val="DefaultParagraphFont"/>
    <w:uiPriority w:val="99"/>
    <w:semiHidden/>
    <w:unhideWhenUsed/>
    <w:rsid w:val="0078412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referenceworks.brillonline.com/entries/brill-s-new-pauly/catullus-e229290?s.num=0&amp;s.f.s2_parent=s.f.book.brill-s-new-pauly&amp;s.q=catullus"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283</TotalTime>
  <Pages>3</Pages>
  <Words>1062</Words>
  <Characters>6054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Taylor</dc:creator>
  <cp:keywords/>
  <dc:description/>
  <cp:lastModifiedBy>Sophie Taylor</cp:lastModifiedBy>
  <cp:revision>1</cp:revision>
  <dcterms:created xsi:type="dcterms:W3CDTF">2019-05-17T12:37:00Z</dcterms:created>
  <dcterms:modified xsi:type="dcterms:W3CDTF">2019-05-17T17:20:00Z</dcterms:modified>
</cp:coreProperties>
</file>