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rPr>
          <w:rFonts w:ascii="Times New Roman"/>
          <w:sz w:val="20"/>
        </w:rPr>
      </w:pPr>
    </w:p>
    <w:p>
      <w:pPr>
        <w:pStyle w:val="3"/>
        <w:rPr>
          <w:rFonts w:ascii="Times New Roman"/>
          <w:sz w:val="20"/>
        </w:rPr>
      </w:pPr>
    </w:p>
    <w:p>
      <w:pPr>
        <w:pStyle w:val="3"/>
        <w:rPr>
          <w:rFonts w:ascii="Times New Roman"/>
          <w:sz w:val="20"/>
        </w:rPr>
      </w:pPr>
    </w:p>
    <w:p>
      <w:pPr>
        <w:pStyle w:val="3"/>
        <w:rPr>
          <w:rFonts w:ascii="Times New Roman"/>
          <w:sz w:val="20"/>
        </w:rPr>
      </w:pPr>
    </w:p>
    <w:p>
      <w:pPr>
        <w:pStyle w:val="3"/>
        <w:rPr>
          <w:rFonts w:ascii="Times New Roman"/>
          <w:sz w:val="20"/>
        </w:rPr>
      </w:pPr>
    </w:p>
    <w:p>
      <w:pPr>
        <w:pStyle w:val="3"/>
        <w:rPr>
          <w:rFonts w:ascii="Times New Roman"/>
          <w:sz w:val="20"/>
        </w:rPr>
      </w:pPr>
    </w:p>
    <w:p>
      <w:pPr>
        <w:pStyle w:val="3"/>
        <w:rPr>
          <w:rFonts w:ascii="Times New Roman"/>
          <w:sz w:val="20"/>
        </w:rPr>
      </w:pPr>
    </w:p>
    <w:p>
      <w:pPr>
        <w:pStyle w:val="3"/>
        <w:rPr>
          <w:rFonts w:ascii="Times New Roman"/>
          <w:sz w:val="20"/>
        </w:rPr>
      </w:pPr>
    </w:p>
    <w:p>
      <w:pPr>
        <w:pStyle w:val="3"/>
        <w:rPr>
          <w:rFonts w:ascii="Times New Roman"/>
          <w:sz w:val="20"/>
        </w:rPr>
      </w:pPr>
    </w:p>
    <w:p>
      <w:pPr>
        <w:pStyle w:val="3"/>
        <w:rPr>
          <w:rFonts w:ascii="Times New Roman"/>
          <w:sz w:val="20"/>
        </w:rPr>
      </w:pPr>
    </w:p>
    <w:p>
      <w:pPr>
        <w:pStyle w:val="3"/>
        <w:rPr>
          <w:rFonts w:ascii="Times New Roman"/>
          <w:sz w:val="20"/>
        </w:rPr>
      </w:pPr>
    </w:p>
    <w:p>
      <w:pPr>
        <w:pStyle w:val="3"/>
        <w:jc w:val="center"/>
        <w:rPr>
          <w:b/>
          <w:sz w:val="26"/>
        </w:rPr>
      </w:pPr>
      <w:r>
        <w:rPr>
          <w:rFonts w:ascii="Times New Roman" w:hAnsi="Times New Roman" w:eastAsia="DengXian" w:cs="Times New Roman"/>
          <w:color w:val="000000" w:themeColor="text1"/>
          <w:sz w:val="24"/>
          <w:szCs w:val="24"/>
          <w14:textFill>
            <w14:solidFill>
              <w14:schemeClr w14:val="tx1"/>
            </w14:solidFill>
          </w14:textFill>
        </w:rPr>
        <w:drawing>
          <wp:inline distT="0" distB="0" distL="0" distR="0">
            <wp:extent cx="2494280" cy="818515"/>
            <wp:effectExtent l="0" t="0" r="20320" b="19685"/>
            <wp:docPr id="15" name="图片 15" descr="文本&#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文本&#10;&#10;中度可信度描述已自动生成"/>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2494280" cy="818515"/>
                    </a:xfrm>
                    <a:prstGeom prst="rect">
                      <a:avLst/>
                    </a:prstGeom>
                  </pic:spPr>
                </pic:pic>
              </a:graphicData>
            </a:graphic>
          </wp:inline>
        </w:drawing>
      </w:r>
    </w:p>
    <w:p>
      <w:pPr>
        <w:pStyle w:val="3"/>
        <w:rPr>
          <w:b/>
          <w:sz w:val="26"/>
        </w:rPr>
      </w:pPr>
    </w:p>
    <w:p>
      <w:pPr>
        <w:pStyle w:val="3"/>
        <w:rPr>
          <w:b/>
          <w:sz w:val="26"/>
        </w:rPr>
      </w:pPr>
    </w:p>
    <w:p>
      <w:pPr>
        <w:pStyle w:val="3"/>
        <w:spacing w:before="9"/>
        <w:rPr>
          <w:b/>
          <w:sz w:val="21"/>
        </w:rPr>
      </w:pPr>
    </w:p>
    <w:p>
      <w:pPr>
        <w:pStyle w:val="3"/>
        <w:spacing w:before="9"/>
        <w:rPr>
          <w:b/>
          <w:sz w:val="21"/>
        </w:rPr>
      </w:pPr>
    </w:p>
    <w:p>
      <w:pPr>
        <w:pStyle w:val="3"/>
        <w:spacing w:before="9"/>
        <w:rPr>
          <w:b/>
          <w:sz w:val="21"/>
        </w:rPr>
      </w:pPr>
    </w:p>
    <w:p>
      <w:pPr>
        <w:pStyle w:val="3"/>
        <w:spacing w:before="9"/>
        <w:rPr>
          <w:b/>
          <w:sz w:val="21"/>
        </w:rPr>
      </w:pPr>
    </w:p>
    <w:p>
      <w:pPr>
        <w:pStyle w:val="3"/>
        <w:jc w:val="center"/>
        <w:rPr>
          <w:b/>
          <w:sz w:val="26"/>
        </w:rPr>
      </w:pPr>
      <w:bookmarkStart w:id="0" w:name="_Hlk90142576"/>
      <w:r>
        <w:rPr>
          <w:rFonts w:hint="default" w:ascii="Times New Roman Bold" w:hAnsi="Times New Roman Bold" w:cs="Times New Roman Bold"/>
          <w:b/>
          <w:sz w:val="24"/>
        </w:rPr>
        <w:t>Project Title:</w:t>
      </w:r>
      <w:bookmarkEnd w:id="0"/>
      <w:r>
        <w:rPr>
          <w:rFonts w:hint="default" w:ascii="Times New Roman Bold" w:hAnsi="Times New Roman Bold" w:cs="Times New Roman Bold"/>
          <w:b/>
          <w:sz w:val="24"/>
        </w:rPr>
        <w:t xml:space="preserve"> Qualitative Research Methods within the Creative Industries</w:t>
      </w:r>
    </w:p>
    <w:p>
      <w:pPr>
        <w:pStyle w:val="3"/>
        <w:rPr>
          <w:rFonts w:hint="default" w:ascii="Times New Roman Bold" w:hAnsi="Times New Roman Bold" w:cs="Times New Roman Bold"/>
          <w:b/>
          <w:sz w:val="26"/>
        </w:rPr>
      </w:pPr>
    </w:p>
    <w:p>
      <w:pPr>
        <w:pStyle w:val="3"/>
        <w:rPr>
          <w:b/>
        </w:rPr>
      </w:pPr>
    </w:p>
    <w:p>
      <w:pPr>
        <w:pStyle w:val="3"/>
        <w:spacing w:line="720" w:lineRule="auto"/>
        <w:jc w:val="center"/>
        <w:rPr>
          <w:rFonts w:hint="default" w:ascii="Times New Roman Regular" w:hAnsi="Times New Roman Regular" w:cs="Times New Roman Regular"/>
          <w:lang w:val="en-US" w:eastAsia="zh-Hans"/>
        </w:rPr>
      </w:pPr>
      <w:r>
        <w:t xml:space="preserve"> </w:t>
      </w:r>
      <w:r>
        <w:rPr>
          <w:rFonts w:hint="default" w:ascii="Times New Roman Bold" w:hAnsi="Times New Roman Bold" w:cs="Times New Roman Bold"/>
          <w:b/>
          <w:bCs/>
        </w:rPr>
        <w:t>Student name:</w:t>
      </w:r>
      <w:r>
        <w:rPr>
          <w:rFonts w:hint="default" w:ascii="Times New Roman Regular" w:hAnsi="Times New Roman Regular" w:cs="Times New Roman Regular"/>
        </w:rPr>
        <w:t xml:space="preserve"> </w:t>
      </w:r>
      <w:r>
        <w:rPr>
          <w:rFonts w:hint="default" w:ascii="Times New Roman Regular" w:hAnsi="Times New Roman Regular" w:cs="Times New Roman Regular"/>
          <w:lang w:val="en-US" w:eastAsia="zh-Hans"/>
        </w:rPr>
        <w:t>Yijing</w:t>
      </w:r>
      <w:r>
        <w:rPr>
          <w:rFonts w:hint="default" w:ascii="Times New Roman Regular" w:hAnsi="Times New Roman Regular" w:cs="Times New Roman Regular"/>
          <w:lang w:eastAsia="zh-Hans"/>
        </w:rPr>
        <w:t xml:space="preserve"> </w:t>
      </w:r>
      <w:r>
        <w:rPr>
          <w:rFonts w:hint="default" w:ascii="Times New Roman Regular" w:hAnsi="Times New Roman Regular" w:cs="Times New Roman Regular"/>
          <w:lang w:val="en-US" w:eastAsia="zh-Hans"/>
        </w:rPr>
        <w:t>Li</w:t>
      </w:r>
    </w:p>
    <w:p>
      <w:pPr>
        <w:pStyle w:val="3"/>
        <w:spacing w:line="720" w:lineRule="auto"/>
        <w:jc w:val="center"/>
        <w:rPr>
          <w:rFonts w:hint="default" w:ascii="Times New Roman Regular" w:hAnsi="Times New Roman Regular" w:cs="Times New Roman Regular"/>
          <w:lang w:eastAsia="zh-Hans"/>
        </w:rPr>
      </w:pPr>
      <w:r>
        <w:rPr>
          <w:rFonts w:hint="default" w:ascii="Times New Roman Bold" w:hAnsi="Times New Roman Bold" w:cs="Times New Roman Bold"/>
          <w:b/>
          <w:bCs/>
        </w:rPr>
        <w:t>Programme:</w:t>
      </w:r>
      <w:r>
        <w:rPr>
          <w:rFonts w:hint="default" w:ascii="Times New Roman Regular" w:hAnsi="Times New Roman Regular" w:cs="Times New Roman Regular"/>
        </w:rPr>
        <w:t xml:space="preserve"> </w:t>
      </w:r>
      <w:r>
        <w:rPr>
          <w:rFonts w:hint="default" w:ascii="Times New Roman Regular" w:hAnsi="Times New Roman Regular" w:cs="Times New Roman Regular"/>
          <w:lang w:eastAsia="zh-CN"/>
        </w:rPr>
        <w:t xml:space="preserve">Professional Doctorate Art </w:t>
      </w:r>
      <w:bookmarkStart w:id="1" w:name="_Hlk90196204"/>
      <w:r>
        <w:rPr>
          <w:rFonts w:hint="default" w:ascii="Times New Roman Regular" w:hAnsi="Times New Roman Regular" w:cs="Times New Roman Regular"/>
          <w:lang w:eastAsia="zh-CN"/>
        </w:rPr>
        <w:t>&amp;</w:t>
      </w:r>
      <w:bookmarkEnd w:id="1"/>
      <w:r>
        <w:rPr>
          <w:rFonts w:hint="default" w:ascii="Times New Roman Regular" w:hAnsi="Times New Roman Regular" w:cs="Times New Roman Regular"/>
          <w:lang w:eastAsia="zh-CN"/>
        </w:rPr>
        <w:t xml:space="preserve"> Design</w:t>
      </w:r>
    </w:p>
    <w:p>
      <w:pPr>
        <w:pStyle w:val="3"/>
        <w:spacing w:line="720" w:lineRule="auto"/>
        <w:jc w:val="center"/>
        <w:rPr>
          <w:rFonts w:hint="default" w:ascii="Times New Roman Regular" w:hAnsi="Times New Roman Regular" w:cs="Times New Roman Regular"/>
        </w:rPr>
      </w:pPr>
      <w:r>
        <w:rPr>
          <w:rFonts w:hint="default" w:ascii="Times New Roman Bold" w:hAnsi="Times New Roman Bold" w:cs="Times New Roman Bold"/>
          <w:b/>
          <w:bCs/>
        </w:rPr>
        <w:t xml:space="preserve">Student ID number: </w:t>
      </w:r>
      <w:r>
        <w:rPr>
          <w:rFonts w:hint="default" w:ascii="Times New Roman Regular" w:hAnsi="Times New Roman Regular" w:cs="Times New Roman Regular"/>
        </w:rPr>
        <w:t>2009663</w:t>
      </w:r>
    </w:p>
    <w:p>
      <w:pPr>
        <w:pStyle w:val="3"/>
        <w:spacing w:line="720" w:lineRule="auto"/>
        <w:jc w:val="center"/>
        <w:rPr>
          <w:rFonts w:hint="default" w:ascii="Times New Roman Regular" w:hAnsi="Times New Roman Regular" w:cs="Times New Roman Regular"/>
        </w:rPr>
      </w:pPr>
      <w:r>
        <w:rPr>
          <w:rFonts w:hint="default" w:ascii="Times New Roman Bold" w:hAnsi="Times New Roman Bold" w:cs="Times New Roman Bold"/>
          <w:b/>
          <w:bCs/>
        </w:rPr>
        <w:t>Lecture:</w:t>
      </w:r>
      <w:r>
        <w:rPr>
          <w:rFonts w:hint="default" w:ascii="Times New Roman Regular" w:hAnsi="Times New Roman Regular" w:cs="Times New Roman Regular"/>
        </w:rPr>
        <w:t xml:space="preserve"> David Jarvis and Timi O’Neill</w:t>
      </w:r>
    </w:p>
    <w:p>
      <w:pPr>
        <w:pStyle w:val="3"/>
        <w:spacing w:line="720" w:lineRule="auto"/>
        <w:jc w:val="center"/>
        <w:rPr>
          <w:rFonts w:hint="default" w:ascii="Times New Roman Regular" w:hAnsi="Times New Roman Regular" w:cs="Times New Roman Regular"/>
        </w:rPr>
      </w:pPr>
      <w:r>
        <w:rPr>
          <w:rFonts w:hint="default" w:ascii="Times New Roman Bold" w:hAnsi="Times New Roman Bold" w:cs="Times New Roman Bold"/>
          <w:b/>
          <w:bCs/>
        </w:rPr>
        <w:t>Submission date:</w:t>
      </w:r>
      <w:r>
        <w:rPr>
          <w:rFonts w:hint="default" w:ascii="Times New Roman Regular" w:hAnsi="Times New Roman Regular" w:cs="Times New Roman Regular"/>
        </w:rPr>
        <w:t xml:space="preserve"> June 27, 2022</w:t>
      </w:r>
    </w:p>
    <w:sdt>
      <w:sdtPr>
        <w:id w:val="0"/>
      </w:sdtPr>
      <w:sdtEndPr>
        <w:rPr>
          <w:rFonts w:hint="default" w:ascii="Times New Roman Regular" w:hAnsi="Times New Roman Regular" w:cs="Times New Roman Regular"/>
          <w:sz w:val="24"/>
          <w:szCs w:val="24"/>
        </w:rPr>
      </w:sdtEndPr>
      <w:sdtContent>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sectPr>
              <w:footerReference r:id="rId3" w:type="default"/>
              <w:pgSz w:w="11910" w:h="16840"/>
              <w:pgMar w:top="1340" w:right="1320" w:bottom="1620" w:left="1340" w:header="0" w:footer="1417" w:gutter="0"/>
              <w:pgBorders w:offsetFrom="page">
                <w:top w:val="single" w:color="000000" w:sz="4" w:space="24"/>
                <w:left w:val="single" w:color="000000" w:sz="4" w:space="24"/>
                <w:bottom w:val="single" w:color="000000" w:sz="4" w:space="24"/>
                <w:right w:val="single" w:color="000000" w:sz="4" w:space="24"/>
              </w:pgBorders>
              <w:cols w:space="720" w:num="1"/>
            </w:sectPr>
          </w:pPr>
          <w:r>
            <w:rPr>
              <w:rFonts w:hint="default" w:ascii="Times New Roman Regular" w:hAnsi="Times New Roman Regular" w:cs="Times New Roman Regular"/>
              <w:sz w:val="24"/>
              <w:szCs w:val="24"/>
            </w:rPr>
            <w:t xml:space="preserve">                                                                                                                                                          </w:t>
          </w:r>
        </w:p>
      </w:sdtContent>
    </w:sdt>
    <w:p>
      <w:pPr>
        <w:spacing w:line="240" w:lineRule="auto"/>
        <w:jc w:val="both"/>
        <w:rPr>
          <w:rFonts w:hint="default" w:ascii="Times New Roman Regular" w:hAnsi="Times New Roman Regular" w:cs="Times New Roman Regular"/>
          <w:b/>
          <w:bCs/>
          <w:sz w:val="24"/>
          <w:szCs w:val="24"/>
          <w:lang w:val="en-US" w:eastAsia="zh-Hans"/>
        </w:rPr>
      </w:pPr>
      <w:bookmarkStart w:id="2" w:name="_TOC_250004"/>
      <w:bookmarkEnd w:id="2"/>
      <w:r>
        <w:rPr>
          <w:rFonts w:hint="default" w:ascii="Times New Roman Regular" w:hAnsi="Times New Roman Regular" w:cs="Times New Roman Regular"/>
          <w:b/>
          <w:bCs/>
          <w:sz w:val="24"/>
          <w:szCs w:val="24"/>
        </w:rPr>
        <w:t xml:space="preserve">Part 1. </w:t>
      </w:r>
      <w:r>
        <w:rPr>
          <w:rFonts w:hint="eastAsia" w:ascii="Times New Roman Regular" w:hAnsi="Times New Roman Regular" w:cs="Times New Roman Regular"/>
          <w:b/>
          <w:bCs/>
          <w:sz w:val="24"/>
          <w:szCs w:val="24"/>
          <w:lang w:val="en-US" w:eastAsia="zh-Hans"/>
        </w:rPr>
        <w:t>Research</w:t>
      </w:r>
      <w:r>
        <w:rPr>
          <w:rFonts w:hint="default" w:ascii="Times New Roman Regular" w:hAnsi="Times New Roman Regular" w:cs="Times New Roman Regular"/>
          <w:b/>
          <w:bCs/>
          <w:sz w:val="24"/>
          <w:szCs w:val="24"/>
          <w:lang w:eastAsia="zh-Hans"/>
        </w:rPr>
        <w:t xml:space="preserve"> </w:t>
      </w:r>
      <w:r>
        <w:rPr>
          <w:rFonts w:hint="eastAsia" w:ascii="Times New Roman Regular" w:hAnsi="Times New Roman Regular" w:cs="Times New Roman Regular"/>
          <w:b/>
          <w:bCs/>
          <w:sz w:val="24"/>
          <w:szCs w:val="24"/>
          <w:lang w:val="en-US" w:eastAsia="zh-Hans"/>
        </w:rPr>
        <w:t>findings</w:t>
      </w:r>
    </w:p>
    <w:p>
      <w:pPr>
        <w:spacing w:line="240" w:lineRule="auto"/>
        <w:jc w:val="both"/>
        <w:rPr>
          <w:rFonts w:hint="default" w:ascii="Times New Roman Regular" w:hAnsi="Times New Roman Regular" w:cs="Times New Roman Regular"/>
          <w:b/>
          <w:bCs/>
          <w:sz w:val="24"/>
          <w:szCs w:val="24"/>
        </w:rPr>
      </w:pPr>
    </w:p>
    <w:p>
      <w:pPr>
        <w:spacing w:line="240" w:lineRule="auto"/>
        <w:jc w:val="both"/>
        <w:rPr>
          <w:rFonts w:hint="default" w:ascii="Times New Roman Regular" w:hAnsi="Times New Roman Regular" w:cs="Times New Roman Regular"/>
          <w:b/>
          <w:bCs/>
          <w:sz w:val="24"/>
          <w:szCs w:val="24"/>
        </w:rPr>
      </w:pPr>
    </w:p>
    <w:p>
      <w:pPr>
        <w:pStyle w:val="8"/>
        <w:keepNext w:val="0"/>
        <w:keepLines w:val="0"/>
        <w:widowControl/>
        <w:numPr>
          <w:ilvl w:val="0"/>
          <w:numId w:val="1"/>
        </w:numPr>
        <w:suppressLineNumbers w:val="0"/>
        <w:spacing w:before="0" w:beforeAutospacing="0" w:after="0" w:afterAutospacing="0"/>
        <w:jc w:val="both"/>
        <w:rPr>
          <w:rFonts w:hint="default" w:ascii="Times New Roman Bold" w:hAnsi="Times New Roman Bold" w:cs="Times New Roman Bold"/>
          <w:b/>
          <w:bCs/>
          <w:i w:val="0"/>
          <w:iCs/>
          <w:color w:val="000000" w:themeColor="text1"/>
          <w14:textFill>
            <w14:solidFill>
              <w14:schemeClr w14:val="tx1"/>
            </w14:solidFill>
          </w14:textFill>
        </w:rPr>
      </w:pPr>
      <w:r>
        <w:rPr>
          <w:rFonts w:hint="default" w:ascii="Times New Roman Bold" w:hAnsi="Times New Roman Bold" w:cs="Times New Roman Bold"/>
          <w:b/>
          <w:bCs/>
          <w:i w:val="0"/>
          <w:iCs/>
          <w:color w:val="000000" w:themeColor="text1"/>
          <w14:textFill>
            <w14:solidFill>
              <w14:schemeClr w14:val="tx1"/>
            </w14:solidFill>
          </w14:textFill>
        </w:rPr>
        <w:t xml:space="preserve">Introduction </w:t>
      </w:r>
    </w:p>
    <w:p>
      <w:pPr>
        <w:pStyle w:val="8"/>
        <w:keepNext w:val="0"/>
        <w:keepLines w:val="0"/>
        <w:widowControl/>
        <w:numPr>
          <w:numId w:val="0"/>
        </w:numPr>
        <w:suppressLineNumbers w:val="0"/>
        <w:spacing w:before="0" w:beforeAutospacing="0" w:after="0" w:afterAutospacing="0"/>
        <w:ind w:right="0" w:rightChars="0"/>
        <w:jc w:val="both"/>
        <w:rPr>
          <w:rFonts w:hint="default" w:ascii="Times New Roman Regular" w:hAnsi="Times New Roman Regular" w:cs="Times New Roman Regular"/>
          <w:b/>
          <w:bCs/>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r>
        <w:rPr>
          <w:rFonts w:hint="default" w:ascii="Times New Roman Regular" w:hAnsi="Times New Roman Regular" w:cs="Times New Roman Regular"/>
          <w:i w:val="0"/>
          <w:iCs/>
          <w:color w:val="000000" w:themeColor="text1"/>
          <w14:textFill>
            <w14:solidFill>
              <w14:schemeClr w14:val="tx1"/>
            </w14:solidFill>
          </w14:textFill>
        </w:rPr>
        <w:t xml:space="preserve">The preservation and transmission of </w:t>
      </w:r>
      <w:r>
        <w:rPr>
          <w:rFonts w:hint="default" w:ascii="Times New Roman Regular" w:hAnsi="Times New Roman Regular" w:cs="Times New Roman Regular"/>
          <w:i w:val="0"/>
          <w:iCs/>
          <w:color w:val="000000" w:themeColor="text1"/>
          <w14:textFill>
            <w14:solidFill>
              <w14:schemeClr w14:val="tx1"/>
            </w14:solidFill>
          </w14:textFill>
        </w:rPr>
        <w:t>handicrafts</w:t>
      </w:r>
      <w:r>
        <w:rPr>
          <w:rFonts w:hint="default" w:ascii="Times New Roman Regular" w:hAnsi="Times New Roman Regular" w:cs="Times New Roman Regular"/>
          <w:i w:val="0"/>
          <w:iCs/>
          <w:color w:val="000000" w:themeColor="text1"/>
          <w14:textFill>
            <w14:solidFill>
              <w14:schemeClr w14:val="tx1"/>
            </w14:solidFill>
          </w14:textFill>
        </w:rPr>
        <w:t xml:space="preserve"> are critical to the advancement of culture. With regards to the advancement of the data age, the safeguarding and legacy of Chinese crafted works face many difficulties. Because of the constant advancement of innovation, the legacy and advancement of handiworks additionally will generally be dynamic and enhanced, and the use of VR frameworks in crafted works gives better approaches to creating crafted works. Numerous augmented experience frameworks applications have zeroed in on unmistakable social legacy, especially in the space of design and antiques. A large portion of these investigations have given doable ideas to the virtual reclamation of specialties. In any case, ebb and flow research comes up short on precise examination of the utilization of curios and art creation and a comprehensive client and partner examination of the exploration content.</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r>
        <w:rPr>
          <w:rFonts w:hint="default" w:ascii="Times New Roman Regular" w:hAnsi="Times New Roman Regular" w:cs="Times New Roman Regular"/>
          <w:i w:val="0"/>
          <w:iCs/>
          <w:color w:val="000000" w:themeColor="text1"/>
          <w14:textFill>
            <w14:solidFill>
              <w14:schemeClr w14:val="tx1"/>
            </w14:solidFill>
          </w14:textFill>
        </w:rPr>
        <w:t>In light of the hypothetical underpinnings of computer generated reality frameworks and constructivism, exemplified perception hypothesis and brain stream hypothesis, this paper will break down the plausibility of applying augmented reality innovation to the field of painstaking work. The paper will likewise plan the clients and partners to make a partner guide to make sense of their relationship.</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p>
    <w:p>
      <w:pPr>
        <w:pStyle w:val="8"/>
        <w:keepNext w:val="0"/>
        <w:keepLines w:val="0"/>
        <w:widowControl/>
        <w:numPr>
          <w:ilvl w:val="0"/>
          <w:numId w:val="2"/>
        </w:numPr>
        <w:suppressLineNumbers w:val="0"/>
        <w:spacing w:before="0" w:beforeAutospacing="0" w:after="0" w:afterAutospacing="0"/>
        <w:jc w:val="both"/>
        <w:rPr>
          <w:rFonts w:hint="default" w:ascii="Times New Roman Regular" w:hAnsi="Times New Roman Regular" w:cs="Times New Roman Regular"/>
          <w:b/>
          <w:bCs/>
          <w:i w:val="0"/>
          <w:iCs/>
          <w:color w:val="000000" w:themeColor="text1"/>
          <w14:textFill>
            <w14:solidFill>
              <w14:schemeClr w14:val="tx1"/>
            </w14:solidFill>
          </w14:textFill>
        </w:rPr>
      </w:pPr>
      <w:r>
        <w:rPr>
          <w:rFonts w:hint="default" w:ascii="Times New Roman Regular" w:hAnsi="Times New Roman Regular" w:cs="Times New Roman Regular"/>
          <w:b/>
          <w:bCs/>
          <w:i w:val="0"/>
          <w:iCs/>
          <w:color w:val="000000" w:themeColor="text1"/>
          <w14:textFill>
            <w14:solidFill>
              <w14:schemeClr w14:val="tx1"/>
            </w14:solidFill>
          </w14:textFill>
        </w:rPr>
        <w:t xml:space="preserve">Research background </w:t>
      </w:r>
    </w:p>
    <w:p>
      <w:pPr>
        <w:pStyle w:val="8"/>
        <w:keepNext w:val="0"/>
        <w:keepLines w:val="0"/>
        <w:widowControl/>
        <w:numPr>
          <w:numId w:val="0"/>
        </w:numPr>
        <w:suppressLineNumbers w:val="0"/>
        <w:spacing w:before="0" w:beforeAutospacing="0" w:after="0" w:afterAutospacing="0"/>
        <w:ind w:right="0" w:rightChars="0"/>
        <w:jc w:val="both"/>
        <w:rPr>
          <w:rFonts w:hint="default" w:ascii="Times New Roman Regular" w:hAnsi="Times New Roman Regular" w:cs="Times New Roman Regular"/>
          <w:b/>
          <w:bCs/>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r>
        <w:rPr>
          <w:rFonts w:hint="default" w:ascii="Times New Roman Regular" w:hAnsi="Times New Roman Regular" w:cs="Times New Roman Regular"/>
          <w:i w:val="0"/>
          <w:iCs/>
          <w:color w:val="000000" w:themeColor="text1"/>
          <w14:textFill>
            <w14:solidFill>
              <w14:schemeClr w14:val="tx1"/>
            </w14:solidFill>
          </w14:textFill>
        </w:rPr>
        <w:t>Conventional painstaking work has significant importance and tasteful worth in old stories culture as a piece of the way of life. With mechanical changes and the rise of industrialized creation, daily painstaking work has become progressively separated from renowned life. Additionally, daily painstaking work has lost its functional financial worth and socio-social premise, and the story of handiwork presence has been broken up. Creates critically need to track down better approaches for showing and understanding in a new socio-social setting and lay out new associations with the general population. The utilization of computerized innovation has meaningfully impacted how traditional culture exists and formed how people generally see and pass on traditional culture.</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r>
        <w:rPr>
          <w:rFonts w:hint="default" w:ascii="Times New Roman Regular" w:hAnsi="Times New Roman Regular" w:cs="Times New Roman Regular"/>
          <w:i w:val="0"/>
          <w:iCs/>
          <w:color w:val="000000" w:themeColor="text1"/>
          <w14:textFill>
            <w14:solidFill>
              <w14:schemeClr w14:val="tx1"/>
            </w14:solidFill>
          </w14:textFill>
        </w:rPr>
        <w:t xml:space="preserve"> </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r>
        <w:rPr>
          <w:rFonts w:hint="default" w:ascii="Times New Roman Regular" w:hAnsi="Times New Roman Regular" w:cs="Times New Roman Regular"/>
          <w:i w:val="0"/>
          <w:iCs/>
          <w:color w:val="000000" w:themeColor="text1"/>
          <w14:textFill>
            <w14:solidFill>
              <w14:schemeClr w14:val="tx1"/>
            </w14:solidFill>
          </w14:textFill>
        </w:rPr>
        <w:t>The advancement of computer-generated reality (VR) innovation has given better approaches to saving social legacy. Computer-generated reality is a PC-based innovation that mimics a computerized climate like the genuine one. In this virtual climate, the client collaborates with objects in the advanced climate with the assistance of essential hardware, making the inclination and experience of being in the regular habitat. Augmented reality is described by multi-tangible, graphic and intuitive elements, which successfully advance the preservation and improvement of painstaking work.</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p>
    <w:p>
      <w:pPr>
        <w:pStyle w:val="8"/>
        <w:keepNext w:val="0"/>
        <w:keepLines w:val="0"/>
        <w:widowControl/>
        <w:numPr>
          <w:ilvl w:val="0"/>
          <w:numId w:val="3"/>
        </w:numPr>
        <w:suppressLineNumbers w:val="0"/>
        <w:spacing w:before="0" w:beforeAutospacing="0" w:after="0" w:afterAutospacing="0"/>
        <w:jc w:val="both"/>
        <w:rPr>
          <w:rFonts w:hint="default" w:ascii="Times New Roman Regular" w:hAnsi="Times New Roman Regular" w:cs="Times New Roman Regular"/>
          <w:b/>
          <w:bCs/>
          <w:i w:val="0"/>
          <w:iCs/>
          <w:color w:val="000000" w:themeColor="text1"/>
          <w14:textFill>
            <w14:solidFill>
              <w14:schemeClr w14:val="tx1"/>
            </w14:solidFill>
          </w14:textFill>
        </w:rPr>
      </w:pPr>
      <w:r>
        <w:rPr>
          <w:rFonts w:hint="default" w:ascii="Times New Roman Regular" w:hAnsi="Times New Roman Regular" w:cs="Times New Roman Regular"/>
          <w:b/>
          <w:bCs/>
          <w:i w:val="0"/>
          <w:iCs/>
          <w:color w:val="000000" w:themeColor="text1"/>
          <w14:textFill>
            <w14:solidFill>
              <w14:schemeClr w14:val="tx1"/>
            </w14:solidFill>
          </w14:textFill>
        </w:rPr>
        <w:t>Research aims </w:t>
      </w:r>
    </w:p>
    <w:p>
      <w:pPr>
        <w:pStyle w:val="8"/>
        <w:keepNext w:val="0"/>
        <w:keepLines w:val="0"/>
        <w:widowControl/>
        <w:numPr>
          <w:numId w:val="0"/>
        </w:numPr>
        <w:suppressLineNumbers w:val="0"/>
        <w:spacing w:before="0" w:beforeAutospacing="0" w:after="0" w:afterAutospacing="0"/>
        <w:ind w:right="0" w:rightChars="0"/>
        <w:jc w:val="both"/>
        <w:rPr>
          <w:rFonts w:hint="default" w:ascii="Times New Roman Regular" w:hAnsi="Times New Roman Regular" w:cs="Times New Roman Regular"/>
          <w:b/>
          <w:bCs/>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r>
        <w:rPr>
          <w:rFonts w:hint="default" w:ascii="Times New Roman Regular" w:hAnsi="Times New Roman Regular" w:cs="Times New Roman Regular"/>
          <w:i w:val="0"/>
          <w:iCs/>
          <w:color w:val="000000" w:themeColor="text1"/>
          <w14:textFill>
            <w14:solidFill>
              <w14:schemeClr w14:val="tx1"/>
            </w14:solidFill>
          </w14:textFill>
        </w:rPr>
        <w:t>This study aims to comprehend the chance of applying augmented reality innovation to painstaking Chinese work and its adequacy. Moreover, this article will dissect the clients of crafted works regarding augmented reality frameworks and the partners, investigate clients' necessities, and structure cooperative advancements. As per the various structures presented by augmented reality frameworks, incorporating innovation and artistry will be upgraded, bringing more opportunities for the legacy and imaginative improvement of handiworks.</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p>
    <w:p>
      <w:pPr>
        <w:pStyle w:val="8"/>
        <w:keepNext w:val="0"/>
        <w:keepLines w:val="0"/>
        <w:widowControl/>
        <w:numPr>
          <w:ilvl w:val="0"/>
          <w:numId w:val="3"/>
        </w:numPr>
        <w:suppressLineNumbers w:val="0"/>
        <w:spacing w:before="0" w:beforeAutospacing="0" w:after="0" w:afterAutospacing="0"/>
        <w:ind w:left="0" w:leftChars="0"/>
        <w:jc w:val="both"/>
        <w:rPr>
          <w:rFonts w:hint="default" w:ascii="Times New Roman Regular" w:hAnsi="Times New Roman Regular" w:cs="Times New Roman Regular"/>
          <w:b/>
          <w:bCs/>
          <w:i w:val="0"/>
          <w:iCs/>
          <w:color w:val="000000" w:themeColor="text1"/>
          <w14:textFill>
            <w14:solidFill>
              <w14:schemeClr w14:val="tx1"/>
            </w14:solidFill>
          </w14:textFill>
        </w:rPr>
      </w:pPr>
      <w:r>
        <w:rPr>
          <w:rFonts w:hint="default" w:ascii="Times New Roman Regular" w:hAnsi="Times New Roman Regular" w:cs="Times New Roman Regular"/>
          <w:b/>
          <w:bCs/>
          <w:i w:val="0"/>
          <w:iCs/>
          <w:color w:val="000000" w:themeColor="text1"/>
          <w14:textFill>
            <w14:solidFill>
              <w14:schemeClr w14:val="tx1"/>
            </w14:solidFill>
          </w14:textFill>
        </w:rPr>
        <w:t xml:space="preserve">Literature Review </w:t>
      </w:r>
    </w:p>
    <w:p>
      <w:pPr>
        <w:pStyle w:val="8"/>
        <w:keepNext w:val="0"/>
        <w:keepLines w:val="0"/>
        <w:widowControl/>
        <w:numPr>
          <w:numId w:val="0"/>
        </w:numPr>
        <w:suppressLineNumbers w:val="0"/>
        <w:autoSpaceDE w:val="0"/>
        <w:autoSpaceDN w:val="0"/>
        <w:spacing w:before="0" w:beforeAutospacing="0" w:after="0" w:afterAutospacing="0"/>
        <w:ind w:right="0" w:rightChars="0"/>
        <w:jc w:val="both"/>
        <w:rPr>
          <w:rFonts w:hint="default" w:ascii="Times New Roman Regular" w:hAnsi="Times New Roman Regular" w:cs="Times New Roman Regular"/>
          <w:b/>
          <w:bCs/>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r>
        <w:rPr>
          <w:rFonts w:hint="default" w:ascii="Times New Roman Regular" w:hAnsi="Times New Roman Regular" w:cs="Times New Roman Regular"/>
          <w:i w:val="0"/>
          <w:iCs/>
          <w:color w:val="000000" w:themeColor="text1"/>
          <w14:textFill>
            <w14:solidFill>
              <w14:schemeClr w14:val="tx1"/>
            </w14:solidFill>
          </w14:textFill>
        </w:rPr>
        <w:t>This article is about the application of virtual reality systems in handicrafts and focuses on handicrafts in Henan Province, China. The paper analyses the current situation of handicrafts in China from three aspects: virtual reality systems, digitalisation in handicrafts and the application of virtual reality systems in handicrafts.</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bCs/>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bCs/>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bCs/>
          <w:i w:val="0"/>
          <w:iCs/>
          <w:color w:val="000000" w:themeColor="text1"/>
          <w14:textFill>
            <w14:solidFill>
              <w14:schemeClr w14:val="tx1"/>
            </w14:solidFill>
          </w14:textFill>
        </w:rPr>
      </w:pPr>
      <w:r>
        <w:rPr>
          <w:rFonts w:hint="default" w:ascii="Times New Roman Regular" w:hAnsi="Times New Roman Regular" w:cs="Times New Roman Regular"/>
          <w:b/>
          <w:bCs/>
          <w:i w:val="0"/>
          <w:iCs/>
          <w:color w:val="000000" w:themeColor="text1"/>
          <w14:textFill>
            <w14:solidFill>
              <w14:schemeClr w14:val="tx1"/>
            </w14:solidFill>
          </w14:textFill>
        </w:rPr>
        <w:t>4.1 The application of digitalization in handicrafts</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bCs/>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val="0"/>
          <w:bCs w:val="0"/>
          <w:i w:val="0"/>
          <w:iCs/>
          <w:color w:val="000000" w:themeColor="text1"/>
          <w14:textFill>
            <w14:solidFill>
              <w14:schemeClr w14:val="tx1"/>
            </w14:solidFill>
          </w14:textFill>
        </w:rPr>
      </w:pPr>
      <w:r>
        <w:rPr>
          <w:rFonts w:hint="default" w:ascii="Times New Roman Regular" w:hAnsi="Times New Roman Regular" w:cs="Times New Roman Regular"/>
          <w:b w:val="0"/>
          <w:bCs w:val="0"/>
          <w:i w:val="0"/>
          <w:iCs/>
          <w:color w:val="000000" w:themeColor="text1"/>
          <w14:textFill>
            <w14:solidFill>
              <w14:schemeClr w14:val="tx1"/>
            </w14:solidFill>
          </w14:textFill>
        </w:rPr>
        <w:t xml:space="preserve">The current research status in China was searched on the Internet using the keyword "traditional handicrafts", and 603 relevant results appeared, mainly focusing on the innovation and redesign of traditional handicrafts; the construction of traditional handicraft brands; and the development strategies of traditional handicraft industries. There are fewer studies on the digital display of traditional handicrafts. However, the main ones are: Jin Yi, based on VR and AR technology, proposes a design strategy that targets different users, focuses on culture and mobilizes visitors' interest in the traditional handicrafts represented by Huishan clay figures. Lv Yongjie, Chen Yanhong, Zhang Shengwei, et al. "Research on a 3D dynamic display system for ethnic handicrafts based on digital interaction", developed based on JSP and Web GL, the system is designed to facilitate users' access to information and enhance their interactive experience. </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val="0"/>
          <w:bCs w:val="0"/>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val="0"/>
          <w:bCs w:val="0"/>
          <w:i w:val="0"/>
          <w:iCs/>
          <w:color w:val="000000" w:themeColor="text1"/>
          <w14:textFill>
            <w14:solidFill>
              <w14:schemeClr w14:val="tx1"/>
            </w14:solidFill>
          </w14:textFill>
        </w:rPr>
      </w:pPr>
      <w:r>
        <w:rPr>
          <w:rFonts w:hint="default" w:ascii="Times New Roman Regular" w:hAnsi="Times New Roman Regular" w:cs="Times New Roman Regular"/>
          <w:b w:val="0"/>
          <w:bCs w:val="0"/>
          <w:i w:val="0"/>
          <w:iCs/>
          <w:color w:val="000000" w:themeColor="text1"/>
          <w14:textFill>
            <w14:solidFill>
              <w14:schemeClr w14:val="tx1"/>
            </w14:solidFill>
          </w14:textFill>
        </w:rPr>
        <w:t xml:space="preserve">In domestic studies, traditional handicrafts are often classified as "non-heritage" or "traditional handicrafts", so the search results of "non-heritage" and "traditional handicrafts" are included in the search results of "non-heritage" and "traditional handicrafts". For example, Chen Junxi's "Research on the design of interactive Guangling paper-cutting game" made this traditional handicraft and paper-cutting handicraft into a mobile game to pass on the culture of traditional handicraft and attract users' attention through the game. The second is to showcase ICH crafts through the construction of digital museums and digital platforms, such as Ma Yudan's 'Research on the Digital Display Design of the Shadow Museum', Zhu Yaoying's 'Research on the Digital Platform of Intangible Cultural Heritage of Yang Liu Qing New Year Painting Art', and Fang Yiyi's 'Research on the Digital Protection and Dissemination of Costume ICH - An Example of Digital Cheongsam Museum'. -The third is to present traditional handicrafts through virtual reality, such as Wang Wei's "Digital Conservation and Development of Fengyang Fengpainting in Anhui Province" and Yu Riji's "Research on Digital Development of Intangible Cultural Heritage Based on AR Technology". </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val="0"/>
          <w:bCs w:val="0"/>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val="0"/>
          <w:bCs w:val="0"/>
          <w:i w:val="0"/>
          <w:iCs/>
          <w:color w:val="000000" w:themeColor="text1"/>
          <w14:textFill>
            <w14:solidFill>
              <w14:schemeClr w14:val="tx1"/>
            </w14:solidFill>
          </w14:textFill>
        </w:rPr>
      </w:pPr>
      <w:r>
        <w:rPr>
          <w:rFonts w:hint="default" w:ascii="Times New Roman Regular" w:hAnsi="Times New Roman Regular" w:cs="Times New Roman Regular"/>
          <w:b w:val="0"/>
          <w:bCs w:val="0"/>
          <w:i w:val="0"/>
          <w:iCs/>
          <w:color w:val="000000" w:themeColor="text1"/>
          <w14:textFill>
            <w14:solidFill>
              <w14:schemeClr w14:val="tx1"/>
            </w14:solidFill>
          </w14:textFill>
        </w:rPr>
        <w:t xml:space="preserve">Foreign research, searched in Springer Link using 'traditional handicrafts' as a keyword, focuses on social sciences, economics and other disciplines, mainly on redesign methods, service design implementation measures, and socio-economic implications. This is more or less the same as the situation in China, with less research in computer science and multimedia. The main research directions are the same as those in China, with research based on technology, such as the presentation of traditional culture through virtual reality, the creation of digital platforms and the teaching of handicrafts through the development of APPs. I am teaching handicrafts through the development of APPs, etc. The research categories and research directions on traditional crafts and traditional handicrafts in China and abroad are essentially the same, ranging from platform building and gamification to the presentation of traditional handicrafts. However, the relationship between traditional handicrafts and the public and the value of traditional handicrafts for the contemporary public is less considered from a macro perspective in the digital presentation. The digitalization and modernization of traditional handicrafts require clarity on this issue, which is currently the focus of attention in this thesis research. </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val="0"/>
          <w:bCs w:val="0"/>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Bold" w:hAnsi="Times New Roman Bold" w:cs="Times New Roman Bold"/>
          <w:b/>
          <w:bCs/>
          <w:i w:val="0"/>
          <w:iCs/>
          <w:color w:val="000000" w:themeColor="text1"/>
          <w14:textFill>
            <w14:solidFill>
              <w14:schemeClr w14:val="tx1"/>
            </w14:solidFill>
          </w14:textFill>
        </w:rPr>
      </w:pPr>
      <w:r>
        <w:rPr>
          <w:rFonts w:hint="default" w:ascii="Times New Roman Bold" w:hAnsi="Times New Roman Bold" w:cs="Times New Roman Bold"/>
          <w:b/>
          <w:bCs/>
          <w:i w:val="0"/>
          <w:iCs/>
          <w:color w:val="000000" w:themeColor="text1"/>
          <w14:textFill>
            <w14:solidFill>
              <w14:schemeClr w14:val="tx1"/>
            </w14:solidFill>
          </w14:textFill>
        </w:rPr>
        <w:t>4.2 Application of virtual reality systems in handicrafts</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val="0"/>
          <w:bCs w:val="0"/>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val="0"/>
          <w:bCs w:val="0"/>
          <w:i w:val="0"/>
          <w:iCs/>
          <w:color w:val="000000" w:themeColor="text1"/>
          <w14:textFill>
            <w14:solidFill>
              <w14:schemeClr w14:val="tx1"/>
            </w14:solidFill>
          </w14:textFill>
        </w:rPr>
      </w:pPr>
      <w:r>
        <w:rPr>
          <w:rFonts w:hint="default" w:ascii="Times New Roman Regular" w:hAnsi="Times New Roman Regular" w:cs="Times New Roman Regular"/>
          <w:b w:val="0"/>
          <w:bCs w:val="0"/>
          <w:i w:val="0"/>
          <w:iCs/>
          <w:color w:val="000000" w:themeColor="text1"/>
          <w14:textFill>
            <w14:solidFill>
              <w14:schemeClr w14:val="tx1"/>
            </w14:solidFill>
          </w14:textFill>
        </w:rPr>
        <w:t xml:space="preserve">The literature related to the application of virtual reality technology in the field of cultural heritage was retrieved on the Web of </w:t>
      </w:r>
      <w:r>
        <w:rPr>
          <w:rFonts w:hint="eastAsia" w:ascii="Times New Roman Regular" w:hAnsi="Times New Roman Regular" w:cs="Times New Roman Regular"/>
          <w:b w:val="0"/>
          <w:bCs w:val="0"/>
          <w:i w:val="0"/>
          <w:iCs/>
          <w:color w:val="000000" w:themeColor="text1"/>
          <w:lang w:val="en-US" w:eastAsia="zh-Hans"/>
          <w14:textFill>
            <w14:solidFill>
              <w14:schemeClr w14:val="tx1"/>
            </w14:solidFill>
          </w14:textFill>
        </w:rPr>
        <w:t>sci</w:t>
      </w:r>
      <w:r>
        <w:rPr>
          <w:rFonts w:hint="default" w:ascii="Times New Roman Regular" w:hAnsi="Times New Roman Regular" w:cs="Times New Roman Regular"/>
          <w:b w:val="0"/>
          <w:bCs w:val="0"/>
          <w:i w:val="0"/>
          <w:iCs/>
          <w:color w:val="000000" w:themeColor="text1"/>
          <w14:textFill>
            <w14:solidFill>
              <w14:schemeClr w14:val="tx1"/>
            </w14:solidFill>
          </w14:textFill>
        </w:rPr>
        <w:t>ence. The literature was categorized according to tangible cultural heritage, intangible cultural heritage, cultural places and other, where cultural places include places such as museums, art galleries and libraries.</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val="0"/>
          <w:bCs w:val="0"/>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val="0"/>
          <w:bCs w:val="0"/>
          <w:i w:val="0"/>
          <w:iCs/>
          <w:color w:val="000000" w:themeColor="text1"/>
          <w14:textFill>
            <w14:solidFill>
              <w14:schemeClr w14:val="tx1"/>
            </w14:solidFill>
          </w14:textFill>
        </w:rPr>
      </w:pPr>
      <w:r>
        <w:rPr>
          <w:rFonts w:hint="default" w:ascii="Times New Roman Regular" w:hAnsi="Times New Roman Regular" w:cs="Times New Roman Regular"/>
          <w:b w:val="0"/>
          <w:bCs w:val="0"/>
          <w:i w:val="0"/>
          <w:iCs/>
          <w:color w:val="000000" w:themeColor="text1"/>
          <w14:textFill>
            <w14:solidFill>
              <w14:schemeClr w14:val="tx1"/>
            </w14:solidFill>
          </w14:textFill>
        </w:rPr>
        <w:t>Although the Web of Science contains the research results of Chinese scholars, it is generally representative of research trends in other countries, and the China Knowledge Network is representative of research trends in China. The speed and accuracy of 3D modelling are a major concern for researchers. Virtual reality technology is widely used in museums and galleries to broaden the knowledge of the experience and increase the interest in learning. There is a large body of research literature on intangible cultural heritage in China, focusing on the study of virtualization of traditional skills to help pass on traditional skills and expand the reach of intangible cultural heritage. There are more applications in cultural venues in other countries than in China, reminding us that virtual technology in China is yet to be popularised.</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val="0"/>
          <w:bCs w:val="0"/>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val="0"/>
          <w:bCs w:val="0"/>
          <w:i w:val="0"/>
          <w:iCs/>
          <w:color w:val="000000" w:themeColor="text1"/>
          <w14:textFill>
            <w14:solidFill>
              <w14:schemeClr w14:val="tx1"/>
            </w14:solidFill>
          </w14:textFill>
        </w:rPr>
      </w:pPr>
      <w:r>
        <w:rPr>
          <w:rFonts w:hint="default" w:ascii="Times New Roman Regular" w:hAnsi="Times New Roman Regular" w:cs="Times New Roman Regular"/>
          <w:b w:val="0"/>
          <w:bCs w:val="0"/>
          <w:i w:val="0"/>
          <w:iCs/>
          <w:color w:val="000000" w:themeColor="text1"/>
          <w14:textFill>
            <w14:solidFill>
              <w14:schemeClr w14:val="tx1"/>
            </w14:solidFill>
          </w14:textFill>
        </w:rPr>
        <w:t>Tangible cultural heritage is based on objects that reflect much information about the society of the time and is an important basis for experts and scholars to study history. However, through the erosion of tangible cultural heritage by natural and social factors, the application of virtual reality technology can help to restore the proportion of virtual reality technology in the study of artefacts, paintings, sculptures and architectural sites in the field of tangible cultural heritage, while 'others' include the application of virtual reality technology in the field of tangible cultural heritage The 'others' include the application of virtual reality to education, awareness and systematic evaluation in the field of tangible cultural heritage. This paper focuses on the study of artefacts, paintings and calligraphy, sculptures and architectural sites, with the virtualisation of architectural sites being the area of greatest interest to researchers and less attention being paid to the study of paintings and calligraphy and sculptures.</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val="0"/>
          <w:bCs w:val="0"/>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val="0"/>
          <w:bCs w:val="0"/>
          <w:i w:val="0"/>
          <w:iCs/>
          <w:color w:val="000000" w:themeColor="text1"/>
          <w14:textFill>
            <w14:solidFill>
              <w14:schemeClr w14:val="tx1"/>
            </w14:solidFill>
          </w14:textFill>
        </w:rPr>
      </w:pPr>
      <w:r>
        <w:rPr>
          <w:rFonts w:hint="default" w:ascii="Times New Roman Regular" w:hAnsi="Times New Roman Regular" w:cs="Times New Roman Regular"/>
          <w:b w:val="0"/>
          <w:bCs w:val="0"/>
          <w:i w:val="0"/>
          <w:iCs/>
          <w:color w:val="000000" w:themeColor="text1"/>
          <w14:textFill>
            <w14:solidFill>
              <w14:schemeClr w14:val="tx1"/>
            </w14:solidFill>
          </w14:textFill>
        </w:rPr>
        <w:t xml:space="preserve">Intangible cultural heritage is intangible and living, taking on different forms in different times and spaces, and varying in connotation and meaning, which distinguishes the digital conservation of intangible cultural heritage from that of tangible cultural heritage. Currently, in the conservation of tangible cultural heritage, virtual reality focuses on restoring buildings or artefacts to their original historical appearance, and researchers focus on how to improve key algorithms to reduce the computational costs of virtual system production and enhance the authenticity of the system to enable users to appreciate artefacts and understand history in a close and immersive manner. </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val="0"/>
          <w:bCs w:val="0"/>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val="0"/>
          <w:bCs w:val="0"/>
          <w:i w:val="0"/>
          <w:iCs/>
          <w:color w:val="000000" w:themeColor="text1"/>
          <w14:textFill>
            <w14:solidFill>
              <w14:schemeClr w14:val="tx1"/>
            </w14:solidFill>
          </w14:textFill>
        </w:rPr>
      </w:pPr>
      <w:r>
        <w:rPr>
          <w:rFonts w:hint="default" w:ascii="Times New Roman Regular" w:hAnsi="Times New Roman Regular" w:cs="Times New Roman Regular"/>
          <w:b w:val="0"/>
          <w:bCs w:val="0"/>
          <w:i w:val="0"/>
          <w:iCs/>
          <w:color w:val="000000" w:themeColor="text1"/>
          <w14:textFill>
            <w14:solidFill>
              <w14:schemeClr w14:val="tx1"/>
            </w14:solidFill>
          </w14:textFill>
        </w:rPr>
        <w:t>However, in the digital conservation of intangible cultural heritage, due to the characteristics of intangible heritage, it is currently more common to combine augmented reality technology to create virtual systems for the promotion and transmission of intangible cultural heritage and to expand its influence. In the preservation of intangible cultural heritage, the bearer is the key issue. With economic development, the economic benefits brought by intangible cultural heritage cannot satisfy the pursuits of the younger generation, and many young people will choose to give up passing on the skills of their ancestors to pursue their dreams in the big cities. However, as the older generation ages, the intangible cultural heritage skills they have mastered will gradually disappear, so it is particularly important to stimulate the interest of the younger generation in intangible cultural heritage culture. The proportion of virtual reality applications in ICH for oral storytelling and language, traditional skills and practices, and 'others' include virtual reality applications for education, awareness and systematic evaluation in the field of ICH. Researchers have focused more on the virtualisation of traditional skills, while oral stories and languages and traditional practices have been less studied due to their greater live nature.</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Bold" w:hAnsi="Times New Roman Bold" w:cs="Times New Roman Bold"/>
          <w:b/>
          <w:bCs/>
          <w:i w:val="0"/>
          <w:iCs/>
          <w:color w:val="000000" w:themeColor="text1"/>
          <w14:textFill>
            <w14:solidFill>
              <w14:schemeClr w14:val="tx1"/>
            </w14:solidFill>
          </w14:textFill>
        </w:rPr>
      </w:pPr>
      <w:r>
        <w:rPr>
          <w:rFonts w:hint="default" w:ascii="Times New Roman Bold" w:hAnsi="Times New Roman Bold" w:cs="Times New Roman Bold"/>
          <w:b/>
          <w:bCs/>
          <w:i w:val="0"/>
          <w:iCs/>
          <w:color w:val="000000" w:themeColor="text1"/>
          <w14:textFill>
            <w14:solidFill>
              <w14:schemeClr w14:val="tx1"/>
            </w14:solidFill>
          </w14:textFill>
        </w:rPr>
        <w:t>4.4 Research Gaps</w:t>
      </w:r>
    </w:p>
    <w:p>
      <w:pPr>
        <w:pStyle w:val="8"/>
        <w:keepNext w:val="0"/>
        <w:keepLines w:val="0"/>
        <w:widowControl/>
        <w:suppressLineNumbers w:val="0"/>
        <w:spacing w:before="0" w:beforeAutospacing="0" w:after="0" w:afterAutospacing="0"/>
        <w:jc w:val="both"/>
        <w:rPr>
          <w:rFonts w:hint="default" w:ascii="Times New Roman Bold" w:hAnsi="Times New Roman Bold" w:cs="Times New Roman Bold"/>
          <w:b/>
          <w:bCs/>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r>
        <w:rPr>
          <w:rFonts w:hint="default" w:ascii="Times New Roman Regular" w:hAnsi="Times New Roman Regular" w:cs="Times New Roman Regular"/>
          <w:i w:val="0"/>
          <w:iCs/>
          <w:color w:val="000000" w:themeColor="text1"/>
          <w14:textFill>
            <w14:solidFill>
              <w14:schemeClr w14:val="tx1"/>
            </w14:solidFill>
          </w14:textFill>
        </w:rPr>
        <w:t>To sum up, from the current literature, the current academic development of the application of virtual reality technology in handicrafts is broadly based on four aspects. One is the application of virtual reality in museum exhibitions, the second is the application of virtual reality in the field of education, the third is the application of virtual reality in games, and the fourth is the aspect of virtual reality in the reconstruction of cultural relics. However, the current research lacks a highly focused comprehensive study of the physical products and cultural products, and more importantly, in today's consumerist society, new industrial forms that focus on user needs are gradually emerging, and also There is a lack of feasible suggestions for handicrafts and development from a user-driven perspective. This topic is proposed to see the current lack of academic research in this area, with a meticulous analysis of the application areas of virtual reality in handicrafts and a detailed analysis of users and stakeholders.</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r>
        <w:rPr>
          <w:rFonts w:hint="default" w:ascii="Times New Roman Regular" w:hAnsi="Times New Roman Regular" w:cs="Times New Roman Regular"/>
          <w:i w:val="0"/>
          <w:iCs/>
          <w:color w:val="000000" w:themeColor="text1"/>
          <w14:textFill>
            <w14:solidFill>
              <w14:schemeClr w14:val="tx1"/>
            </w14:solidFill>
          </w14:textFill>
        </w:rPr>
        <w:t>In conclusion, this paper explores design models for the digital display of traditional handicrafts in the modern world. No guiding theory or methodology has been built for the digital display of traditional handicrafts, and much of the current research is based on the stance of virtual reality display technology, bringing a new research horizon to the digital display of traditional handicrafts. At the same time, the study of traditional handicrafts digital in virtual reality expands the breadth of interactive applications. Moreover, by studying users and stakeholders in the virtual reality system of traditional handicrafts, this paper provides a basis and reference for the display of traditional handicrafts in the present-day state. It provides ideas for the modernisation of traditional culture. The relationship between the public and traditional handicrafts is established from a more concrete and precise perspective, bringing the public closer to traditional handicrafts and at the same time bringing a rich cultural experience to the public. For handicrafts in the development of contemporary society, handicrafts can find a proper positioning and provide a reference for the orderly inheritance and innovation of handicrafts.</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p>
    <w:p>
      <w:pPr>
        <w:pStyle w:val="8"/>
        <w:keepNext w:val="0"/>
        <w:keepLines w:val="0"/>
        <w:widowControl/>
        <w:numPr>
          <w:numId w:val="0"/>
        </w:numPr>
        <w:suppressLineNumbers w:val="0"/>
        <w:spacing w:before="0" w:beforeAutospacing="0" w:after="0" w:afterAutospacing="0"/>
        <w:ind w:right="0" w:rightChars="0"/>
        <w:jc w:val="both"/>
        <w:rPr>
          <w:rFonts w:hint="default" w:ascii="Times New Roman Regular" w:hAnsi="Times New Roman Regular" w:cs="Times New Roman Regular"/>
          <w:b/>
          <w:bCs/>
          <w:i w:val="0"/>
          <w:iCs/>
          <w:color w:val="000000" w:themeColor="text1"/>
          <w14:textFill>
            <w14:solidFill>
              <w14:schemeClr w14:val="tx1"/>
            </w14:solidFill>
          </w14:textFill>
        </w:rPr>
      </w:pPr>
      <w:r>
        <w:rPr>
          <w:rFonts w:hint="default" w:ascii="Times New Roman Regular" w:hAnsi="Times New Roman Regular" w:cs="Times New Roman Regular"/>
          <w:b/>
          <w:bCs/>
          <w:i w:val="0"/>
          <w:iCs/>
          <w:color w:val="000000" w:themeColor="text1"/>
          <w14:textFill>
            <w14:solidFill>
              <w14:schemeClr w14:val="tx1"/>
            </w14:solidFill>
          </w14:textFill>
        </w:rPr>
        <w:t xml:space="preserve">5. </w:t>
      </w:r>
      <w:r>
        <w:rPr>
          <w:rFonts w:hint="default" w:ascii="Times New Roman Regular" w:hAnsi="Times New Roman Regular" w:cs="Times New Roman Regular"/>
          <w:b/>
          <w:bCs/>
          <w:i w:val="0"/>
          <w:iCs/>
          <w:color w:val="000000" w:themeColor="text1"/>
          <w14:textFill>
            <w14:solidFill>
              <w14:schemeClr w14:val="tx1"/>
            </w14:solidFill>
          </w14:textFill>
        </w:rPr>
        <w:t xml:space="preserve">Findings and discussion </w:t>
      </w:r>
    </w:p>
    <w:p>
      <w:pPr>
        <w:pStyle w:val="8"/>
        <w:keepNext w:val="0"/>
        <w:keepLines w:val="0"/>
        <w:widowControl/>
        <w:numPr>
          <w:numId w:val="0"/>
        </w:numPr>
        <w:suppressLineNumbers w:val="0"/>
        <w:spacing w:before="0" w:beforeAutospacing="0" w:after="0" w:afterAutospacing="0"/>
        <w:ind w:right="0" w:rightChars="0"/>
        <w:jc w:val="both"/>
        <w:rPr>
          <w:rFonts w:hint="default" w:ascii="Times New Roman Regular" w:hAnsi="Times New Roman Regular" w:cs="Times New Roman Regular"/>
          <w:b/>
          <w:bCs/>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r>
        <w:rPr>
          <w:rFonts w:hint="default" w:ascii="Times New Roman Regular" w:hAnsi="Times New Roman Regular" w:cs="Times New Roman Regular"/>
          <w:i w:val="0"/>
          <w:iCs/>
          <w:color w:val="000000" w:themeColor="text1"/>
          <w14:textFill>
            <w14:solidFill>
              <w14:schemeClr w14:val="tx1"/>
            </w14:solidFill>
          </w14:textFill>
        </w:rPr>
        <w:t>Making a speciality partner relationship map considers a thorough portrayal of partners, which can be consolidated and changed by investigating partner connections. By recognizing the "trouble spots" of art items and administrations and administration potential open doors in light of the client venture map, new open doors for creating specialities would be achieved, and the drawn-out supportability of the art business would be accomplished.</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bCs/>
          <w:i w:val="0"/>
          <w:iCs/>
          <w:color w:val="000000" w:themeColor="text1"/>
          <w14:textFill>
            <w14:solidFill>
              <w14:schemeClr w14:val="tx1"/>
            </w14:solidFill>
          </w14:textFill>
        </w:rPr>
      </w:pPr>
      <w:r>
        <w:rPr>
          <w:rFonts w:hint="default" w:ascii="Times New Roman Regular" w:hAnsi="Times New Roman Regular" w:cs="Times New Roman Regular"/>
          <w:b/>
          <w:bCs/>
          <w:i w:val="0"/>
          <w:iCs/>
          <w:color w:val="000000" w:themeColor="text1"/>
          <w14:textFill>
            <w14:solidFill>
              <w14:schemeClr w14:val="tx1"/>
            </w14:solidFill>
          </w14:textFill>
        </w:rPr>
        <w:t>5</w:t>
      </w:r>
      <w:r>
        <w:rPr>
          <w:rFonts w:hint="default" w:ascii="Times New Roman Regular" w:hAnsi="Times New Roman Regular" w:cs="Times New Roman Regular"/>
          <w:b/>
          <w:bCs/>
          <w:i w:val="0"/>
          <w:iCs/>
          <w:color w:val="000000" w:themeColor="text1"/>
          <w14:textFill>
            <w14:solidFill>
              <w14:schemeClr w14:val="tx1"/>
            </w14:solidFill>
          </w14:textFill>
        </w:rPr>
        <w:t xml:space="preserve">.1 Research finding </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bCs/>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bCs/>
          <w:i w:val="0"/>
          <w:iCs/>
          <w:color w:val="000000" w:themeColor="text1"/>
          <w14:textFill>
            <w14:solidFill>
              <w14:schemeClr w14:val="tx1"/>
            </w14:solidFill>
          </w14:textFill>
        </w:rPr>
      </w:pPr>
      <w:r>
        <w:rPr>
          <w:rFonts w:hint="default" w:ascii="Times New Roman Regular" w:hAnsi="Times New Roman Regular" w:cs="Times New Roman Regular"/>
          <w:b/>
          <w:bCs/>
          <w:i w:val="0"/>
          <w:iCs/>
          <w:color w:val="000000" w:themeColor="text1"/>
          <w14:textFill>
            <w14:solidFill>
              <w14:schemeClr w14:val="tx1"/>
            </w14:solidFill>
          </w14:textFill>
        </w:rPr>
        <w:t>5</w:t>
      </w:r>
      <w:r>
        <w:rPr>
          <w:rFonts w:hint="default" w:ascii="Times New Roman Regular" w:hAnsi="Times New Roman Regular" w:cs="Times New Roman Regular"/>
          <w:b/>
          <w:bCs/>
          <w:i w:val="0"/>
          <w:iCs/>
          <w:color w:val="000000" w:themeColor="text1"/>
          <w14:textFill>
            <w14:solidFill>
              <w14:schemeClr w14:val="tx1"/>
            </w14:solidFill>
          </w14:textFill>
        </w:rPr>
        <w:t xml:space="preserve">.1.1 Application of virtual reality systems in the craft sector </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bCs/>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r>
        <w:rPr>
          <w:rFonts w:hint="default" w:ascii="Times New Roman Regular" w:hAnsi="Times New Roman Regular" w:cs="Times New Roman Regular"/>
          <w:i w:val="0"/>
          <w:iCs/>
          <w:color w:val="000000" w:themeColor="text1"/>
          <w14:textFill>
            <w14:solidFill>
              <w14:schemeClr w14:val="tx1"/>
            </w14:solidFill>
          </w14:textFill>
        </w:rPr>
        <w:t>VR frameworks have numerous applications in the artistry area. VR innovation can furnish clients with visual encounters and vivid connections. Models are 3D recreation innovation for item improvement, intuitive transmission models for "educating and preparing" abilities in virtual space, VR visual encounters, and Interactive liveliness creation (for example, theoretical social legacy corridors, gallery shows, and game plans).</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bCs/>
          <w:i w:val="0"/>
          <w:iCs/>
          <w:color w:val="000000" w:themeColor="text1"/>
          <w14:textFill>
            <w14:solidFill>
              <w14:schemeClr w14:val="tx1"/>
            </w14:solidFill>
          </w14:textFill>
        </w:rPr>
      </w:pPr>
      <w:r>
        <w:rPr>
          <w:rFonts w:hint="default" w:ascii="Times New Roman Regular" w:hAnsi="Times New Roman Regular" w:cs="Times New Roman Regular"/>
          <w:b/>
          <w:bCs/>
          <w:i w:val="0"/>
          <w:iCs/>
          <w:color w:val="000000" w:themeColor="text1"/>
          <w14:textFill>
            <w14:solidFill>
              <w14:schemeClr w14:val="tx1"/>
            </w14:solidFill>
          </w14:textFill>
        </w:rPr>
        <w:t>5</w:t>
      </w:r>
      <w:r>
        <w:rPr>
          <w:rFonts w:hint="default" w:ascii="Times New Roman Regular" w:hAnsi="Times New Roman Regular" w:cs="Times New Roman Regular"/>
          <w:b/>
          <w:bCs/>
          <w:i w:val="0"/>
          <w:iCs/>
          <w:color w:val="000000" w:themeColor="text1"/>
          <w14:textFill>
            <w14:solidFill>
              <w14:schemeClr w14:val="tx1"/>
            </w14:solidFill>
          </w14:textFill>
        </w:rPr>
        <w:t>.1.2 Users and Stakeholders of Virtual Reality Technology in Handicrafts</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b/>
          <w:bCs/>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r>
        <w:rPr>
          <w:rFonts w:hint="default" w:ascii="Times New Roman Regular" w:hAnsi="Times New Roman Regular" w:cs="Times New Roman Regular"/>
          <w:i w:val="0"/>
          <w:iCs/>
          <w:color w:val="000000" w:themeColor="text1"/>
          <w14:textFill>
            <w14:solidFill>
              <w14:schemeClr w14:val="tx1"/>
            </w14:solidFill>
          </w14:textFill>
        </w:rPr>
        <w:t>The study discovered that clients of crafted works incorporate regular clients, sellers, travellers, gatherers of handiworks, and online buyers. Customary clients are the individuals who purchase handiworks locally. Vendors address the apportioning of painstaking work and setting up shops to sell them. Vacationers travel to historical centres, presentation corridors and living legacy lobbies. Create authorities to address enthusiastic individuals about the actual art and get familiar with the speciality and cycle of making it. Online shoppers are clients who make buys on web-based stages.</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r>
        <w:rPr>
          <w:rFonts w:hint="default" w:ascii="Times New Roman Regular" w:hAnsi="Times New Roman Regular" w:cs="Times New Roman Regular"/>
          <w:i w:val="0"/>
          <w:iCs/>
          <w:color w:val="000000" w:themeColor="text1"/>
          <w14:textFill>
            <w14:solidFill>
              <w14:schemeClr w14:val="tx1"/>
            </w14:solidFill>
          </w14:textFill>
        </w:rPr>
        <w:t xml:space="preserve"> </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r>
        <w:rPr>
          <w:rFonts w:hint="default" w:ascii="Times New Roman Regular" w:hAnsi="Times New Roman Regular" w:cs="Times New Roman Regular"/>
          <w:i w:val="0"/>
          <w:iCs/>
          <w:color w:val="000000" w:themeColor="text1"/>
          <w14:textFill>
            <w14:solidFill>
              <w14:schemeClr w14:val="tx1"/>
            </w14:solidFill>
          </w14:textFill>
        </w:rPr>
        <w:t>Partners related to handiworks and VR frameworks are ventures, craftspeople, fashioners, natural substance and bundling providers. Organizations are the administrators of crafted works, VR-related gear, and configuration organizations—the artisans address the artisans with a good division of work and various cycles. Creators plan items, brands, show spaces, bundling, site pages, 3D demonstrating, VR gear, and games. Unrefined substance providers and bundling providers are the organizations that supply unrefined components and bundling materials and completed items to organizations.</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r>
        <w:rPr>
          <w:rFonts w:hint="default" w:ascii="Times New Roman Regular" w:hAnsi="Times New Roman Regular" w:cs="Times New Roman Regular"/>
          <w:i w:val="0"/>
          <w:iCs/>
          <w:color w:val="000000" w:themeColor="text1"/>
          <w14:textFill>
            <w14:solidFill>
              <w14:schemeClr w14:val="tx1"/>
            </w14:solidFill>
          </w14:textFill>
        </w:rPr>
        <w:t xml:space="preserve"> </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r>
        <w:rPr>
          <w:rFonts w:hint="default" w:ascii="Times New Roman Regular" w:hAnsi="Times New Roman Regular" w:cs="Times New Roman Regular"/>
          <w:i w:val="0"/>
          <w:iCs/>
          <w:color w:val="000000" w:themeColor="text1"/>
          <w14:textFill>
            <w14:solidFill>
              <w14:schemeClr w14:val="tx1"/>
            </w14:solidFill>
          </w14:textFill>
        </w:rPr>
        <w:t xml:space="preserve">Different partners are the public authority, industry affiliations, the media, specialists, confidential people, colleges, historical centres, presentation corridors, and those associated with online stages. The public authority likewise assumes a fundamental part in this, as it might direct assets, form approaches for the security and advancement of crafted works, give monetary help appropriately, do social exercises, and fabricate stages for spreading handiworks. Industry affiliations are non-benefit exchange associations that advance the improvement of craftsmanship and VR innovation enterprises and reinforce norms and guidelines of the business. Media addresses associations that disperse computerized media, paper media, sites, and TV stations, advancing craftsmanship exercises. Specialists will be subject matter experts and researchers in handiworks, non-legacy research, and VR-related advances. Society addresses experienced craftspeople and people agents who add to the act of specialities and impact the improvement of artworks. Colleges are educators and understudies who have laid out collaboration with handiworks and VR frameworks, give hypothetical and functional preparation to artistry inheritors, and import plan abilities to the craftsmanship business for items, marking, pages, and VR demonstrating games. Historical centres and presentation corridors address show lobbies with make displays and galleries that utilise VR gear to show shows. </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r>
        <w:rPr>
          <w:rFonts w:hint="default" w:ascii="Times New Roman Regular" w:hAnsi="Times New Roman Regular" w:cs="Times New Roman Regular"/>
          <w:i w:val="0"/>
          <w:iCs/>
          <w:color w:val="000000" w:themeColor="text1"/>
          <w14:textFill>
            <w14:solidFill>
              <w14:schemeClr w14:val="tx1"/>
            </w14:solidFill>
          </w14:textFill>
        </w:rPr>
        <w:t xml:space="preserve"> </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r>
        <w:rPr>
          <w:rFonts w:hint="default" w:ascii="Times New Roman Regular" w:hAnsi="Times New Roman Regular" w:cs="Times New Roman Regular"/>
          <w:i w:val="0"/>
          <w:iCs/>
          <w:color w:val="000000" w:themeColor="text1"/>
          <w14:textFill>
            <w14:solidFill>
              <w14:schemeClr w14:val="tx1"/>
            </w14:solidFill>
          </w14:textFill>
        </w:rPr>
        <w:t>Online faculty are client assistants, administrators, distribution centre supervisors, software engineers and planners on the line. Client care is the administrator and online stage administration staff liable for online enquiries, buys and criticism. The administrator addresses the individual liable for the administrator's web-based presence. Stockroom directors are the workers or chiefs liable for warehousing and strategies. Software engineers are the back-end, specialized help staff. Planners (on the web) address the fashioners of web-based business configuration, showcasing efforts, advancements and VR-related plans for the web-based stage.</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r>
        <w:rPr>
          <w:rFonts w:hint="default" w:ascii="Times New Roman Regular" w:hAnsi="Times New Roman Regular" w:cs="Times New Roman Regular"/>
          <w:i w:val="0"/>
          <w:iCs/>
          <w:color w:val="000000" w:themeColor="text1"/>
          <w14:textFill>
            <w14:solidFill>
              <w14:schemeClr w14:val="tx1"/>
            </w14:solidFill>
          </w14:textFill>
        </w:rPr>
        <w:t xml:space="preserve"> </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lang w:eastAsia="zh-Hans"/>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eastAsia="Arial" w:cs="Times New Roman Regular"/>
          <w:b/>
          <w:bCs/>
          <w:kern w:val="0"/>
          <w:sz w:val="24"/>
          <w:szCs w:val="24"/>
          <w:bdr w:val="single" w:sz="4" w:space="0"/>
          <w:lang w:eastAsia="zh-Hans" w:bidi="ar-SA"/>
        </w:rPr>
      </w:pPr>
      <w:r>
        <w:rPr>
          <w:rFonts w:hint="default" w:ascii="Times New Roman Regular" w:hAnsi="Times New Roman Regular" w:eastAsia="Arial" w:cs="Times New Roman Regular"/>
          <w:b/>
          <w:bCs/>
          <w:kern w:val="0"/>
          <w:sz w:val="24"/>
          <w:szCs w:val="24"/>
          <w:bdr w:val="single" w:sz="4" w:space="0"/>
          <w:lang w:eastAsia="zh-Hans" w:bidi="ar-SA"/>
        </w:rPr>
        <w:drawing>
          <wp:inline distT="0" distB="0" distL="114300" distR="114300">
            <wp:extent cx="5842635" cy="2520315"/>
            <wp:effectExtent l="0" t="0" r="24765" b="19685"/>
            <wp:docPr id="4" name="图片 4" descr="利益相关人 英文版4-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利益相关人 英文版4-02"/>
                    <pic:cNvPicPr>
                      <a:picLocks noChangeAspect="1"/>
                    </pic:cNvPicPr>
                  </pic:nvPicPr>
                  <pic:blipFill>
                    <a:blip r:embed="rId6"/>
                    <a:stretch>
                      <a:fillRect/>
                    </a:stretch>
                  </pic:blipFill>
                  <pic:spPr>
                    <a:xfrm>
                      <a:off x="0" y="0"/>
                      <a:ext cx="5842635" cy="2520315"/>
                    </a:xfrm>
                    <a:prstGeom prst="rect">
                      <a:avLst/>
                    </a:prstGeom>
                  </pic:spPr>
                </pic:pic>
              </a:graphicData>
            </a:graphic>
          </wp:inline>
        </w:drawing>
      </w:r>
    </w:p>
    <w:p>
      <w:pPr>
        <w:pStyle w:val="8"/>
        <w:keepNext w:val="0"/>
        <w:keepLines w:val="0"/>
        <w:widowControl/>
        <w:suppressLineNumbers w:val="0"/>
        <w:spacing w:before="0" w:beforeAutospacing="0" w:after="0" w:afterAutospacing="0"/>
        <w:jc w:val="both"/>
        <w:rPr>
          <w:rFonts w:hint="default" w:ascii="Times New Roman Regular" w:hAnsi="Times New Roman Regular" w:eastAsia="Arial" w:cs="Times New Roman Regular"/>
          <w:b/>
          <w:bCs/>
          <w:kern w:val="0"/>
          <w:sz w:val="24"/>
          <w:szCs w:val="24"/>
          <w:bdr w:val="single" w:sz="4" w:space="0"/>
          <w:lang w:eastAsia="zh-Hans" w:bidi="ar-SA"/>
        </w:rPr>
      </w:pPr>
    </w:p>
    <w:p>
      <w:pPr>
        <w:pStyle w:val="8"/>
        <w:keepNext w:val="0"/>
        <w:keepLines w:val="0"/>
        <w:widowControl/>
        <w:suppressLineNumbers w:val="0"/>
        <w:spacing w:before="0" w:beforeAutospacing="0" w:after="0" w:afterAutospacing="0"/>
        <w:jc w:val="both"/>
        <w:rPr>
          <w:rFonts w:hint="default" w:ascii="Times New Roman Regular" w:hAnsi="Times New Roman Regular" w:eastAsia="Arial" w:cs="Times New Roman Regular"/>
          <w:b w:val="0"/>
          <w:bCs w:val="0"/>
          <w:kern w:val="0"/>
          <w:sz w:val="24"/>
          <w:szCs w:val="24"/>
          <w:lang w:val="en-US" w:eastAsia="zh-Hans" w:bidi="ar-SA"/>
        </w:rPr>
      </w:pPr>
      <w:r>
        <w:rPr>
          <w:rFonts w:hint="default" w:ascii="Times New Roman Regular" w:hAnsi="Times New Roman Regular" w:eastAsia="Arial" w:cs="Times New Roman Regular"/>
          <w:b w:val="0"/>
          <w:bCs w:val="0"/>
          <w:kern w:val="0"/>
          <w:sz w:val="24"/>
          <w:szCs w:val="24"/>
          <w:lang w:val="en-US" w:eastAsia="zh-Hans" w:bidi="ar-SA"/>
        </w:rPr>
        <w:t xml:space="preserve">Figure </w:t>
      </w:r>
      <w:r>
        <w:rPr>
          <w:rFonts w:hint="default" w:ascii="Times New Roman Regular" w:hAnsi="Times New Roman Regular" w:eastAsia="Arial" w:cs="Times New Roman Regular"/>
          <w:b w:val="0"/>
          <w:bCs w:val="0"/>
          <w:kern w:val="0"/>
          <w:sz w:val="24"/>
          <w:szCs w:val="24"/>
          <w:lang w:eastAsia="zh-Hans" w:bidi="ar-SA"/>
        </w:rPr>
        <w:t>3</w:t>
      </w:r>
      <w:r>
        <w:rPr>
          <w:rFonts w:hint="default" w:ascii="Times New Roman Regular" w:hAnsi="Times New Roman Regular" w:eastAsia="Arial" w:cs="Times New Roman Regular"/>
          <w:b w:val="0"/>
          <w:bCs w:val="0"/>
          <w:kern w:val="0"/>
          <w:sz w:val="24"/>
          <w:szCs w:val="24"/>
          <w:lang w:val="en-US" w:eastAsia="zh-Hans" w:bidi="ar-SA"/>
        </w:rPr>
        <w:t>: Stakeholder model</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r>
        <w:rPr>
          <w:rFonts w:hint="default" w:ascii="Times New Roman Regular" w:hAnsi="Times New Roman Regular" w:cs="Times New Roman Regular"/>
          <w:b/>
          <w:bCs/>
          <w:i w:val="0"/>
          <w:iCs/>
          <w:color w:val="000000" w:themeColor="text1"/>
          <w14:textFill>
            <w14:solidFill>
              <w14:schemeClr w14:val="tx1"/>
            </w14:solidFill>
          </w14:textFill>
        </w:rPr>
        <w:t>5</w:t>
      </w:r>
      <w:r>
        <w:rPr>
          <w:rFonts w:hint="default" w:ascii="Times New Roman Regular" w:hAnsi="Times New Roman Regular" w:cs="Times New Roman Regular"/>
          <w:b/>
          <w:bCs/>
          <w:i w:val="0"/>
          <w:iCs/>
          <w:color w:val="000000" w:themeColor="text1"/>
          <w14:textFill>
            <w14:solidFill>
              <w14:schemeClr w14:val="tx1"/>
            </w14:solidFill>
          </w14:textFill>
        </w:rPr>
        <w:t>.2 Discussion</w:t>
      </w:r>
      <w:r>
        <w:rPr>
          <w:rFonts w:hint="default" w:ascii="Times New Roman Regular" w:hAnsi="Times New Roman Regular" w:cs="Times New Roman Regular"/>
          <w:i w:val="0"/>
          <w:iCs/>
          <w:color w:val="000000" w:themeColor="text1"/>
          <w14:textFill>
            <w14:solidFill>
              <w14:schemeClr w14:val="tx1"/>
            </w14:solidFill>
          </w14:textFill>
        </w:rPr>
        <w:t xml:space="preserve"> </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i w:val="0"/>
          <w:iCs/>
          <w:color w:val="000000" w:themeColor="text1"/>
          <w14:textFill>
            <w14:solidFill>
              <w14:schemeClr w14:val="tx1"/>
            </w14:solidFill>
          </w14:textFill>
        </w:rPr>
      </w:pP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color w:val="0E101A"/>
        </w:rPr>
      </w:pPr>
      <w:r>
        <w:rPr>
          <w:rFonts w:hint="default" w:ascii="Times New Roman Regular" w:hAnsi="Times New Roman Regular" w:cs="Times New Roman Regular"/>
          <w:color w:val="0E101A"/>
        </w:rPr>
        <w:t>Craftspeople can likewise expand their utilization of 3D demonstrating and decrease item configuration time through the non-vivid experience of VR. Ultimately vivid augmented simulation innovation builds the sort of client to the kind of craftsperson. The use of VR innovation can draw in beneficiaries, and this application might have the option to resolve the issue of diminishing beneficiaries. Moreover, VR innovation's application changes the transmission mode by overhearing people's conversations, as students can over and over watch and control the creation interaction. VR innovation gets through the impediments of reality and recoveries materials. VR frameworks can change the item's shape, lessening the utilization of earth materials or embellishing plans once the item's shape is still in the air. Manifestations in VR conditions incorporate self-show or execution and explicit associations through digitization, which can work with member Learning (Freeman et al., 2020). It is a cycle wherein students effectively build significance through the cooperation of the old and the new through the development of VR situations that make a 'educate and rehearse' method of transmission in a virtual space, where intelligence associates the client to the framework. The framework is addressed as the client wishes. It permits the experiencer to encounter the scenes, encode old recollections and fountain the data in block designs.</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color w:val="0E101A"/>
        </w:rPr>
      </w:pPr>
      <w:r>
        <w:rPr>
          <w:rFonts w:hint="default" w:ascii="Times New Roman Regular" w:hAnsi="Times New Roman Regular" w:cs="Times New Roman Regular"/>
          <w:color w:val="0E101A"/>
        </w:rPr>
        <w:t> </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color w:val="0E101A"/>
        </w:rPr>
      </w:pPr>
      <w:r>
        <w:rPr>
          <w:rFonts w:hint="default" w:ascii="Times New Roman Regular" w:hAnsi="Times New Roman Regular" w:cs="Times New Roman Regular"/>
          <w:color w:val="0E101A"/>
        </w:rPr>
        <w:t>The utilization of VR frameworks in crafted works influences the number of guests and general clients, notwithstanding the inheritors. Bodzin et al. directed a bunch of VR tests in light of the brain stream hypothesis and found that game and story-based settings worked with client commitment. (Bodzin, 2020) The multi-tactile and vivid nature of VR innovation can create a social setting for the experience of the verifiable period in which the relics are found, and the experience could be capable indeed. This is substantially more available and connecting than seeing verifiable information from text and pictures.</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color w:val="0E101A"/>
        </w:rPr>
      </w:pPr>
      <w:r>
        <w:rPr>
          <w:rFonts w:hint="default" w:ascii="Times New Roman Regular" w:hAnsi="Times New Roman Regular" w:cs="Times New Roman Regular"/>
          <w:color w:val="0E101A"/>
        </w:rPr>
        <w:t> </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color w:val="0E101A"/>
        </w:rPr>
      </w:pPr>
      <w:r>
        <w:rPr>
          <w:rFonts w:hint="default" w:ascii="Times New Roman Regular" w:hAnsi="Times New Roman Regular" w:cs="Times New Roman Regular"/>
          <w:color w:val="0E101A"/>
        </w:rPr>
        <w:t>Some speciality types, for the most part, utilize just non-vivid virtual frameworks with specialized item improvement. Simultaneously, most augmented experience frameworks ought to be utilized regarding gallery and college projects. The completely vivid innovation of computer-generated reality frameworks can be genuinely applied to build the utilization of innovation through the association among clients and partners to accomplish a collective plan impact. Partners and other people who assume a fundamental part are the government, industry affiliations, originators, colleges, historical centres and display exhibitions. They all assume various parts. Specifically, the creators, historical centres and colleges included assumed a fundamental part in applying VR in the art area somewhat now.</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color w:val="0E101A"/>
        </w:rPr>
      </w:pPr>
      <w:r>
        <w:rPr>
          <w:rFonts w:hint="default" w:ascii="Times New Roman Regular" w:hAnsi="Times New Roman Regular" w:cs="Times New Roman Regular"/>
          <w:color w:val="0E101A"/>
        </w:rPr>
        <w:t> </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color w:val="0E101A"/>
        </w:rPr>
      </w:pPr>
      <w:r>
        <w:rPr>
          <w:rStyle w:val="10"/>
          <w:rFonts w:hint="default" w:ascii="Times New Roman Regular" w:hAnsi="Times New Roman Regular" w:cs="Times New Roman Regular"/>
          <w:color w:val="0E101A"/>
        </w:rPr>
        <w:t>6</w:t>
      </w:r>
      <w:r>
        <w:rPr>
          <w:rStyle w:val="10"/>
          <w:rFonts w:hint="default" w:ascii="Times New Roman Regular" w:hAnsi="Times New Roman Regular" w:cs="Times New Roman Regular"/>
          <w:color w:val="0E101A"/>
        </w:rPr>
        <w:t>. Results of the research and Ethical consideration</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color w:val="0E101A"/>
        </w:rPr>
      </w:pPr>
      <w:r>
        <w:rPr>
          <w:rFonts w:hint="default" w:ascii="Times New Roman Regular" w:hAnsi="Times New Roman Regular" w:cs="Times New Roman Regular"/>
          <w:color w:val="0E101A"/>
        </w:rPr>
        <w:t> </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color w:val="0E101A"/>
        </w:rPr>
      </w:pPr>
      <w:r>
        <w:rPr>
          <w:rFonts w:hint="default" w:ascii="Times New Roman Regular" w:hAnsi="Times New Roman Regular" w:cs="Times New Roman Regular"/>
          <w:color w:val="0E101A"/>
        </w:rPr>
        <w:t>The exploration results show that the clients of VR-related advancements in the art area are vacationers visiting exhibition halls for the most part. Different clients and craftspeople additionally utilize VR-related gadgets and advances. Craftspeople seldom buy VR gadgets separately, and they accept VR gear is presently more proper in galleries and display corridors and could seldom be utilized in different settings. A few kinds of specialities could apply VR innovation for education encounters.</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color w:val="0E101A"/>
        </w:rPr>
      </w:pPr>
      <w:r>
        <w:rPr>
          <w:rFonts w:hint="default" w:ascii="Times New Roman Regular" w:hAnsi="Times New Roman Regular" w:cs="Times New Roman Regular"/>
          <w:color w:val="0E101A"/>
        </w:rPr>
        <w:t> </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color w:val="0E101A"/>
        </w:rPr>
      </w:pPr>
      <w:r>
        <w:rPr>
          <w:rFonts w:hint="default" w:ascii="Times New Roman Regular" w:hAnsi="Times New Roman Regular" w:cs="Times New Roman Regular"/>
          <w:color w:val="0E101A"/>
        </w:rPr>
        <w:t>Encountering the method involved with making is more noteworthy and simple to shape. Moreover, weaving, winding around and shadowing with a story design can be utilized in shows or games, which can be rebuilt per the account content and are better ready to give a visual, hear-able and material intelligent experience for the client.</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color w:val="0E101A"/>
        </w:rPr>
      </w:pPr>
      <w:r>
        <w:rPr>
          <w:rFonts w:hint="default" w:ascii="Times New Roman Regular" w:hAnsi="Times New Roman Regular" w:cs="Times New Roman Regular"/>
          <w:color w:val="0E101A"/>
        </w:rPr>
        <w:t> </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color w:val="0E101A"/>
        </w:rPr>
      </w:pPr>
      <w:r>
        <w:rPr>
          <w:rFonts w:hint="default" w:ascii="Times New Roman Regular" w:hAnsi="Times New Roman Regular" w:cs="Times New Roman Regular"/>
          <w:color w:val="0E101A"/>
        </w:rPr>
        <w:t>Augmented reality innovation requires recognizing the limits between virtual space and the everyday world and the need to adjust the suitable size of mechanical applications. (Spiegel, 2017) Bergman contends that innovation is basically a 'worldview' inside which individuals live when they use it (Borgmann, 1999). Be that as it may, living inside these standards requires thought of absent-mindedness and sympathy. The accompanying circumstances can happen in virtual organizations: a debilitating feeling of individual subjectivity, destruction of the pressure and harmony between the truth and the virtuality of oneself, the subsequent snare of virtual estrangement, and the social reliance of over the top play. Hence, the utilization of augmented reality innovation ought to permit understudies to acquire new information and advance the impediments of reality in the rich and beautiful virtual world. Moreover, It ought to likewise guarantee a sensible scale to shield their chances and upsides of cooperation in reality. </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color w:val="0E101A"/>
        </w:rPr>
      </w:pPr>
      <w:r>
        <w:rPr>
          <w:rFonts w:hint="default" w:ascii="Times New Roman Regular" w:hAnsi="Times New Roman Regular" w:cs="Times New Roman Regular"/>
          <w:color w:val="0E101A"/>
        </w:rPr>
        <w:t> </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color w:val="0E101A"/>
        </w:rPr>
      </w:pPr>
      <w:r>
        <w:rPr>
          <w:rStyle w:val="10"/>
          <w:rFonts w:hint="default" w:ascii="Times New Roman Regular" w:hAnsi="Times New Roman Regular" w:cs="Times New Roman Regular"/>
          <w:color w:val="0E101A"/>
        </w:rPr>
        <w:t>7. Conclusion </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color w:val="0E101A"/>
        </w:rPr>
      </w:pPr>
      <w:r>
        <w:rPr>
          <w:rFonts w:hint="default" w:ascii="Times New Roman Regular" w:hAnsi="Times New Roman Regular" w:cs="Times New Roman Regular"/>
          <w:color w:val="0E101A"/>
        </w:rPr>
        <w:t> </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color w:val="0E101A"/>
        </w:rPr>
      </w:pPr>
      <w:r>
        <w:rPr>
          <w:rFonts w:hint="default" w:ascii="Times New Roman Regular" w:hAnsi="Times New Roman Regular" w:cs="Times New Roman Regular"/>
          <w:color w:val="0E101A"/>
        </w:rPr>
        <w:t>Using computer-generated reality frameworks in customary crafted works can give numerous tactile encounters to the clients and the inheritors and increment the intuitive experience. According to the hypothetical perspective, as per the constructivist hypothesis, typified discernment hypothesis, and psyche stream hypothesis, the virtual experience of clients can extend their comprehension and impression of customary artworks, animate individuals' advantage, resound and relate to them, and have expansive importance for the insurance, legacy, development and dispersal of conventional specialities.</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color w:val="0E101A"/>
        </w:rPr>
      </w:pPr>
      <w:r>
        <w:rPr>
          <w:rFonts w:hint="default" w:ascii="Times New Roman Regular" w:hAnsi="Times New Roman Regular" w:cs="Times New Roman Regular"/>
          <w:color w:val="0E101A"/>
        </w:rPr>
        <w:t> </w:t>
      </w:r>
    </w:p>
    <w:p>
      <w:pPr>
        <w:pStyle w:val="8"/>
        <w:keepNext w:val="0"/>
        <w:keepLines w:val="0"/>
        <w:widowControl/>
        <w:suppressLineNumbers w:val="0"/>
        <w:spacing w:before="0" w:beforeAutospacing="0" w:after="0" w:afterAutospacing="0"/>
        <w:jc w:val="both"/>
        <w:rPr>
          <w:rFonts w:hint="default" w:ascii="Times New Roman Regular" w:hAnsi="Times New Roman Regular" w:cs="Times New Roman Regular"/>
          <w:color w:val="0E101A"/>
        </w:rPr>
      </w:pPr>
      <w:r>
        <w:rPr>
          <w:rFonts w:hint="default" w:ascii="Times New Roman Regular" w:hAnsi="Times New Roman Regular" w:cs="Times New Roman Regular"/>
          <w:color w:val="0E101A"/>
        </w:rPr>
        <w:t>Regarding the innovation of computer-generated reality frameworks, non-vivid and semi-vivid augmented experience frameworks could be applied to practically all areas of craftsmanship. Completely vivid computer-generated experience frameworks, then again, are more reasonable for applications in making trains that require just the outside production of three-layered designs or varieties. While utilizing computer-generated reality innovation, top to bottom examination of the necessities and partners of the crowd can work with collective advancement.</w:t>
      </w:r>
    </w:p>
    <w:p>
      <w:pPr>
        <w:pStyle w:val="8"/>
        <w:keepNext w:val="0"/>
        <w:keepLines w:val="0"/>
        <w:widowControl/>
        <w:suppressLineNumbers w:val="0"/>
        <w:spacing w:before="0" w:beforeAutospacing="0" w:after="0" w:afterAutospacing="0"/>
        <w:rPr>
          <w:color w:val="0E101A"/>
        </w:rPr>
      </w:pPr>
    </w:p>
    <w:p>
      <w:pPr>
        <w:numPr>
          <w:numId w:val="0"/>
        </w:numPr>
        <w:spacing w:line="240" w:lineRule="auto"/>
        <w:jc w:val="both"/>
        <w:rPr>
          <w:rFonts w:hint="eastAsia"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eastAsia="zh-Hans"/>
        </w:rPr>
        <w:t>8</w:t>
      </w:r>
      <w:r>
        <w:rPr>
          <w:rFonts w:hint="eastAsia" w:ascii="Times New Roman Bold" w:hAnsi="Times New Roman Bold" w:cs="Times New Roman Bold"/>
          <w:b/>
          <w:bCs/>
          <w:sz w:val="24"/>
          <w:szCs w:val="24"/>
          <w:lang w:val="en-US" w:eastAsia="zh-Hans"/>
        </w:rPr>
        <w:t>.</w:t>
      </w:r>
      <w:r>
        <w:rPr>
          <w:rFonts w:hint="default" w:ascii="Times New Roman Bold" w:hAnsi="Times New Roman Bold" w:cs="Times New Roman Bold"/>
          <w:b/>
          <w:bCs/>
          <w:sz w:val="24"/>
          <w:szCs w:val="24"/>
          <w:lang w:eastAsia="zh-Hans"/>
        </w:rPr>
        <w:t xml:space="preserve"> </w:t>
      </w:r>
      <w:r>
        <w:rPr>
          <w:rFonts w:hint="eastAsia" w:ascii="Times New Roman Bold" w:hAnsi="Times New Roman Bold" w:cs="Times New Roman Bold"/>
          <w:b/>
          <w:bCs/>
          <w:sz w:val="24"/>
          <w:szCs w:val="24"/>
          <w:lang w:val="en-US" w:eastAsia="zh-Hans"/>
        </w:rPr>
        <w:t>List</w:t>
      </w:r>
      <w:r>
        <w:rPr>
          <w:rFonts w:hint="default" w:ascii="Times New Roman Bold" w:hAnsi="Times New Roman Bold" w:cs="Times New Roman Bold"/>
          <w:b/>
          <w:bCs/>
          <w:sz w:val="24"/>
          <w:szCs w:val="24"/>
          <w:lang w:eastAsia="zh-Hans"/>
        </w:rPr>
        <w:t xml:space="preserve"> </w:t>
      </w:r>
      <w:r>
        <w:rPr>
          <w:rFonts w:hint="eastAsia" w:ascii="Times New Roman Bold" w:hAnsi="Times New Roman Bold" w:cs="Times New Roman Bold"/>
          <w:b/>
          <w:bCs/>
          <w:sz w:val="24"/>
          <w:szCs w:val="24"/>
          <w:lang w:val="en-US" w:eastAsia="zh-Hans"/>
        </w:rPr>
        <w:t>of</w:t>
      </w:r>
      <w:r>
        <w:rPr>
          <w:rFonts w:hint="default" w:ascii="Times New Roman Bold" w:hAnsi="Times New Roman Bold" w:cs="Times New Roman Bold"/>
          <w:b/>
          <w:bCs/>
          <w:sz w:val="24"/>
          <w:szCs w:val="24"/>
          <w:lang w:eastAsia="zh-Hans"/>
        </w:rPr>
        <w:t xml:space="preserve"> </w:t>
      </w:r>
      <w:r>
        <w:rPr>
          <w:rFonts w:hint="eastAsia" w:ascii="Times New Roman Bold" w:hAnsi="Times New Roman Bold" w:cs="Times New Roman Bold"/>
          <w:b/>
          <w:bCs/>
          <w:sz w:val="24"/>
          <w:szCs w:val="24"/>
          <w:lang w:val="en-US" w:eastAsia="zh-Hans"/>
        </w:rPr>
        <w:t>reference</w:t>
      </w:r>
    </w:p>
    <w:p>
      <w:pPr>
        <w:widowControl w:val="0"/>
        <w:numPr>
          <w:ilvl w:val="0"/>
          <w:numId w:val="0"/>
        </w:numPr>
        <w:autoSpaceDE w:val="0"/>
        <w:autoSpaceDN w:val="0"/>
        <w:spacing w:line="240" w:lineRule="auto"/>
        <w:jc w:val="both"/>
        <w:rPr>
          <w:rFonts w:hint="eastAsia" w:ascii="Times New Roman Bold" w:hAnsi="Times New Roman Bold" w:cs="Times New Roman Bold"/>
          <w:b/>
          <w:bCs/>
          <w:sz w:val="24"/>
          <w:szCs w:val="24"/>
          <w:lang w:val="en-US" w:eastAsia="zh-Hans"/>
        </w:rPr>
      </w:pPr>
    </w:p>
    <w:p>
      <w:pPr>
        <w:widowControl w:val="0"/>
        <w:numPr>
          <w:ilvl w:val="0"/>
          <w:numId w:val="0"/>
        </w:numPr>
        <w:autoSpaceDE w:val="0"/>
        <w:autoSpaceDN w:val="0"/>
        <w:spacing w:line="240" w:lineRule="auto"/>
        <w:jc w:val="both"/>
        <w:rPr>
          <w:rFonts w:hint="eastAsia" w:ascii="Times New Roman Bold" w:hAnsi="Times New Roman Bold" w:cs="Times New Roman Bold"/>
          <w:b/>
          <w:bCs/>
          <w:sz w:val="24"/>
          <w:szCs w:val="24"/>
          <w:lang w:val="en-US" w:eastAsia="zh-Hans"/>
        </w:rPr>
      </w:pPr>
    </w:p>
    <w:p>
      <w:pPr>
        <w:keepNext w:val="0"/>
        <w:keepLines w:val="0"/>
        <w:widowControl/>
        <w:suppressLineNumbers w:val="0"/>
        <w:jc w:val="left"/>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t>Bekele, M. </w:t>
      </w:r>
      <w:r>
        <w:rPr>
          <w:rFonts w:hint="default" w:ascii="Times New Roman Regular" w:hAnsi="Times New Roman Regular" w:eastAsia="Source Sans Pro" w:cs="Times New Roman Regular"/>
          <w:b w:val="0"/>
          <w:bCs w:val="0"/>
          <w:i/>
          <w:caps w:val="0"/>
          <w:color w:val="000000" w:themeColor="text1"/>
          <w:spacing w:val="0"/>
          <w:kern w:val="0"/>
          <w:sz w:val="24"/>
          <w:szCs w:val="24"/>
          <w:shd w:val="clear" w:fill="FFFFFF"/>
          <w:lang w:val="en-US" w:eastAsia="zh-CN" w:bidi="ar"/>
          <w14:textFill>
            <w14:solidFill>
              <w14:schemeClr w14:val="tx1"/>
            </w14:solidFill>
          </w14:textFill>
        </w:rPr>
        <w:t>et al.</w:t>
      </w:r>
      <w:r>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t> (2018) ‘A Survey of Augmented, Virtual, and Mixed Reality for Cultural Heritage’, </w:t>
      </w:r>
      <w:r>
        <w:rPr>
          <w:rFonts w:hint="default" w:ascii="Times New Roman Regular" w:hAnsi="Times New Roman Regular" w:eastAsia="Source Sans Pro" w:cs="Times New Roman Regular"/>
          <w:b w:val="0"/>
          <w:bCs w:val="0"/>
          <w:i/>
          <w:caps w:val="0"/>
          <w:color w:val="000000" w:themeColor="text1"/>
          <w:spacing w:val="0"/>
          <w:kern w:val="0"/>
          <w:sz w:val="24"/>
          <w:szCs w:val="24"/>
          <w:shd w:val="clear" w:fill="FFFFFF"/>
          <w:lang w:val="en-US" w:eastAsia="zh-CN" w:bidi="ar"/>
          <w14:textFill>
            <w14:solidFill>
              <w14:schemeClr w14:val="tx1"/>
            </w14:solidFill>
          </w14:textFill>
        </w:rPr>
        <w:t>Journal on computing and cultural heritage</w:t>
      </w:r>
      <w:r>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t>, 11(2), pp. 1–36. doi:10.1145/3145534.</w:t>
      </w:r>
    </w:p>
    <w:p>
      <w:pPr>
        <w:widowControl w:val="0"/>
        <w:numPr>
          <w:ilvl w:val="0"/>
          <w:numId w:val="0"/>
        </w:numPr>
        <w:autoSpaceDE w:val="0"/>
        <w:autoSpaceDN w:val="0"/>
        <w:spacing w:line="240" w:lineRule="auto"/>
        <w:jc w:val="both"/>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pPr>
    </w:p>
    <w:p>
      <w:pPr>
        <w:keepNext w:val="0"/>
        <w:keepLines w:val="0"/>
        <w:widowControl/>
        <w:suppressLineNumbers w:val="0"/>
        <w:jc w:val="left"/>
        <w:rPr>
          <w:rFonts w:hint="default" w:ascii="Times New Roman Regular" w:hAnsi="Times New Roman Regular" w:cs="Times New Roman Regular"/>
          <w:b w:val="0"/>
          <w:bCs w:val="0"/>
          <w:color w:val="000000" w:themeColor="text1"/>
          <w:sz w:val="24"/>
          <w:szCs w:val="24"/>
          <w14:textFill>
            <w14:solidFill>
              <w14:schemeClr w14:val="tx1"/>
            </w14:solidFill>
          </w14:textFill>
        </w:rPr>
      </w:pPr>
      <w:r>
        <w:rPr>
          <w:rFonts w:hint="default" w:ascii="Times New Roman Regular" w:hAnsi="Times New Roman Regular" w:eastAsia="Open Sans"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t>Biocca, F. (1992). Virtual reality technology: A tutorial. </w:t>
      </w:r>
      <w:r>
        <w:rPr>
          <w:rFonts w:hint="default" w:ascii="Times New Roman Regular" w:hAnsi="Times New Roman Regular" w:eastAsia="Open Sans" w:cs="Times New Roman Regular"/>
          <w:b w:val="0"/>
          <w:bCs w:val="0"/>
          <w:i/>
          <w:caps w:val="0"/>
          <w:color w:val="000000" w:themeColor="text1"/>
          <w:spacing w:val="0"/>
          <w:kern w:val="0"/>
          <w:sz w:val="24"/>
          <w:szCs w:val="24"/>
          <w:shd w:val="clear" w:fill="FFFFFF"/>
          <w:lang w:val="en-US" w:eastAsia="zh-CN" w:bidi="ar"/>
          <w14:textFill>
            <w14:solidFill>
              <w14:schemeClr w14:val="tx1"/>
            </w14:solidFill>
          </w14:textFill>
        </w:rPr>
        <w:t>Journal of Communication</w:t>
      </w:r>
      <w:r>
        <w:rPr>
          <w:rFonts w:hint="default" w:ascii="Times New Roman Regular" w:hAnsi="Times New Roman Regular" w:eastAsia="Open Sans"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t>, 42(4), 23–72. </w:t>
      </w:r>
      <w:r>
        <w:rPr>
          <w:rFonts w:hint="default" w:ascii="Times New Roman Regular" w:hAnsi="Times New Roman Regular" w:eastAsia="Open Sans" w:cs="Times New Roman Regular"/>
          <w:b w:val="0"/>
          <w:bCs w:val="0"/>
          <w:i w:val="0"/>
          <w:caps w:val="0"/>
          <w:color w:val="000000" w:themeColor="text1"/>
          <w:spacing w:val="0"/>
          <w:kern w:val="0"/>
          <w:sz w:val="24"/>
          <w:szCs w:val="24"/>
          <w:u w:val="none"/>
          <w:shd w:val="clear" w:fill="FFFFFF"/>
          <w:lang w:val="en-US" w:eastAsia="zh-CN" w:bidi="ar"/>
          <w14:textFill>
            <w14:solidFill>
              <w14:schemeClr w14:val="tx1"/>
            </w14:solidFill>
          </w14:textFill>
        </w:rPr>
        <w:fldChar w:fldCharType="begin"/>
      </w:r>
      <w:r>
        <w:rPr>
          <w:rFonts w:hint="default" w:ascii="Times New Roman Regular" w:hAnsi="Times New Roman Regular" w:eastAsia="Open Sans" w:cs="Times New Roman Regular"/>
          <w:b w:val="0"/>
          <w:bCs w:val="0"/>
          <w:i w:val="0"/>
          <w:caps w:val="0"/>
          <w:color w:val="000000" w:themeColor="text1"/>
          <w:spacing w:val="0"/>
          <w:kern w:val="0"/>
          <w:sz w:val="24"/>
          <w:szCs w:val="24"/>
          <w:u w:val="none"/>
          <w:shd w:val="clear" w:fill="FFFFFF"/>
          <w:lang w:val="en-US" w:eastAsia="zh-CN" w:bidi="ar"/>
          <w14:textFill>
            <w14:solidFill>
              <w14:schemeClr w14:val="tx1"/>
            </w14:solidFill>
          </w14:textFill>
        </w:rPr>
        <w:instrText xml:space="preserve"> HYPERLINK "https://doi-org.ezproxy.uwtsd.ac.uk/10.1111/j.1460-2466.1992.tb00811.x" </w:instrText>
      </w:r>
      <w:r>
        <w:rPr>
          <w:rFonts w:hint="default" w:ascii="Times New Roman Regular" w:hAnsi="Times New Roman Regular" w:eastAsia="Open Sans" w:cs="Times New Roman Regular"/>
          <w:b w:val="0"/>
          <w:bCs w:val="0"/>
          <w:i w:val="0"/>
          <w:caps w:val="0"/>
          <w:color w:val="000000" w:themeColor="text1"/>
          <w:spacing w:val="0"/>
          <w:kern w:val="0"/>
          <w:sz w:val="24"/>
          <w:szCs w:val="24"/>
          <w:u w:val="none"/>
          <w:shd w:val="clear" w:fill="FFFFFF"/>
          <w:lang w:val="en-US" w:eastAsia="zh-CN" w:bidi="ar"/>
          <w14:textFill>
            <w14:solidFill>
              <w14:schemeClr w14:val="tx1"/>
            </w14:solidFill>
          </w14:textFill>
        </w:rPr>
        <w:fldChar w:fldCharType="separate"/>
      </w:r>
      <w:r>
        <w:rPr>
          <w:rStyle w:val="12"/>
          <w:rFonts w:hint="default" w:ascii="Times New Roman Regular" w:hAnsi="Times New Roman Regular" w:eastAsia="Open Sans" w:cs="Times New Roman Regular"/>
          <w:b w:val="0"/>
          <w:bCs w:val="0"/>
          <w:i w:val="0"/>
          <w:caps w:val="0"/>
          <w:color w:val="000000" w:themeColor="text1"/>
          <w:spacing w:val="0"/>
          <w:sz w:val="24"/>
          <w:szCs w:val="24"/>
          <w:u w:val="none"/>
          <w:shd w:val="clear" w:fill="FFFFFF"/>
          <w14:textFill>
            <w14:solidFill>
              <w14:schemeClr w14:val="tx1"/>
            </w14:solidFill>
          </w14:textFill>
        </w:rPr>
        <w:t>https://doi-org.ezproxy.uwtsd.ac.uk/10.1111/j.1460-2466.1992.tb00811.x</w:t>
      </w:r>
      <w:r>
        <w:rPr>
          <w:rFonts w:hint="default" w:ascii="Times New Roman Regular" w:hAnsi="Times New Roman Regular" w:eastAsia="Open Sans" w:cs="Times New Roman Regular"/>
          <w:b w:val="0"/>
          <w:bCs w:val="0"/>
          <w:i w:val="0"/>
          <w:caps w:val="0"/>
          <w:color w:val="000000" w:themeColor="text1"/>
          <w:spacing w:val="0"/>
          <w:kern w:val="0"/>
          <w:sz w:val="24"/>
          <w:szCs w:val="24"/>
          <w:u w:val="none"/>
          <w:shd w:val="clear" w:fill="FFFFFF"/>
          <w:lang w:val="en-US" w:eastAsia="zh-CN" w:bidi="ar"/>
          <w14:textFill>
            <w14:solidFill>
              <w14:schemeClr w14:val="tx1"/>
            </w14:solidFill>
          </w14:textFill>
        </w:rPr>
        <w:fldChar w:fldCharType="end"/>
      </w:r>
    </w:p>
    <w:p>
      <w:pPr>
        <w:keepNext w:val="0"/>
        <w:keepLines w:val="0"/>
        <w:widowControl/>
        <w:suppressLineNumbers w:val="0"/>
        <w:shd w:val="clear" w:fill="FFFFFF"/>
        <w:ind w:left="0" w:firstLine="0"/>
        <w:jc w:val="left"/>
        <w:rPr>
          <w:rFonts w:hint="default" w:ascii="Times New Roman Regular" w:hAnsi="Times New Roman Regular" w:eastAsia="Open Sans" w:cs="Times New Roman Regular"/>
          <w:b w:val="0"/>
          <w:bCs w:val="0"/>
          <w:i w:val="0"/>
          <w:caps w:val="0"/>
          <w:color w:val="000000" w:themeColor="text1"/>
          <w:spacing w:val="0"/>
          <w:sz w:val="24"/>
          <w:szCs w:val="24"/>
          <w14:textFill>
            <w14:solidFill>
              <w14:schemeClr w14:val="tx1"/>
            </w14:solidFill>
          </w14:textFill>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color w:val="000000" w:themeColor="text1"/>
          <w:sz w:val="24"/>
          <w:szCs w:val="24"/>
          <w:lang w:val="en-US" w:eastAsia="zh-Hans"/>
          <w14:textFill>
            <w14:solidFill>
              <w14:schemeClr w14:val="tx1"/>
            </w14:solidFill>
          </w14:textFill>
        </w:rPr>
      </w:pPr>
    </w:p>
    <w:p>
      <w:pPr>
        <w:keepNext w:val="0"/>
        <w:keepLines w:val="0"/>
        <w:widowControl/>
        <w:suppressLineNumbers w:val="0"/>
        <w:jc w:val="left"/>
        <w:rPr>
          <w:rFonts w:hint="default" w:ascii="Times New Roman Regular" w:hAnsi="Times New Roman Regular" w:cs="Times New Roman Regular"/>
          <w:b w:val="0"/>
          <w:bCs w:val="0"/>
          <w:color w:val="000000" w:themeColor="text1"/>
          <w:sz w:val="24"/>
          <w:szCs w:val="24"/>
          <w14:textFill>
            <w14:solidFill>
              <w14:schemeClr w14:val="tx1"/>
            </w14:solidFill>
          </w14:textFill>
        </w:rPr>
      </w:pPr>
      <w:r>
        <w:rPr>
          <w:rFonts w:hint="default" w:ascii="Times New Roman Regular" w:hAnsi="Times New Roman Regular" w:eastAsia="宋体"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t>Bodzin, A., Junior, R. A., Hammond, T., &amp; Anastasio, D. (2020, June). An Immersive Virtual Reality Game Designed to Promote Learning Engagement and Flow. In </w:t>
      </w:r>
      <w:r>
        <w:rPr>
          <w:rFonts w:hint="default" w:ascii="Times New Roman Regular" w:hAnsi="Times New Roman Regular" w:eastAsia="宋体" w:cs="Times New Roman Regular"/>
          <w:b w:val="0"/>
          <w:bCs w:val="0"/>
          <w:i/>
          <w:caps w:val="0"/>
          <w:color w:val="000000" w:themeColor="text1"/>
          <w:spacing w:val="0"/>
          <w:kern w:val="0"/>
          <w:sz w:val="24"/>
          <w:szCs w:val="24"/>
          <w:shd w:val="clear" w:fill="FFFFFF"/>
          <w:lang w:val="en-US" w:eastAsia="zh-CN" w:bidi="ar"/>
          <w14:textFill>
            <w14:solidFill>
              <w14:schemeClr w14:val="tx1"/>
            </w14:solidFill>
          </w14:textFill>
        </w:rPr>
        <w:t>2020 6th International Conference of the Immersive Learning Research Network (ILRN)</w:t>
      </w:r>
      <w:r>
        <w:rPr>
          <w:rFonts w:hint="default" w:ascii="Times New Roman Regular" w:hAnsi="Times New Roman Regular" w:eastAsia="宋体"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t> (pp. 193-198). IEEE.</w:t>
      </w:r>
    </w:p>
    <w:p>
      <w:pPr>
        <w:pStyle w:val="3"/>
        <w:spacing w:before="121" w:line="228" w:lineRule="auto"/>
        <w:ind w:left="152" w:right="103" w:firstLine="288"/>
        <w:rPr>
          <w:rFonts w:hint="default" w:ascii="Times New Roman Regular" w:hAnsi="Times New Roman Regular" w:eastAsia="宋体" w:cs="Times New Roman Regular"/>
          <w:b w:val="0"/>
          <w:bCs w:val="0"/>
          <w:color w:val="000000" w:themeColor="text1"/>
          <w:sz w:val="24"/>
          <w:szCs w:val="24"/>
          <w:lang w:val="en-US" w:eastAsia="zh-Hans"/>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4"/>
          <w:szCs w:val="24"/>
          <w:lang w:val="en-US" w:eastAsia="zh-Hans"/>
          <w14:textFill>
            <w14:solidFill>
              <w14:schemeClr w14:val="tx1"/>
            </w14:solidFill>
          </w14:textFill>
        </w:rPr>
        <w:t>APA</w:t>
      </w:r>
    </w:p>
    <w:p>
      <w:pPr>
        <w:pStyle w:val="3"/>
        <w:spacing w:before="121" w:line="228" w:lineRule="auto"/>
        <w:ind w:left="152" w:right="103" w:firstLine="288"/>
        <w:rPr>
          <w:rFonts w:hint="default" w:ascii="Times New Roman Regular" w:hAnsi="Times New Roman Regular" w:eastAsia="宋体" w:cs="Times New Roman Regular"/>
          <w:b w:val="0"/>
          <w:bCs w:val="0"/>
          <w:color w:val="000000" w:themeColor="text1"/>
          <w:sz w:val="24"/>
          <w:szCs w:val="24"/>
          <w:lang w:val="en-US" w:eastAsia="zh-Hans"/>
          <w14:textFill>
            <w14:solidFill>
              <w14:schemeClr w14:val="tx1"/>
            </w14:solidFill>
          </w14:textFill>
        </w:rPr>
      </w:pPr>
    </w:p>
    <w:p>
      <w:pPr>
        <w:keepNext w:val="0"/>
        <w:keepLines w:val="0"/>
        <w:widowControl/>
        <w:suppressLineNumbers w:val="0"/>
        <w:jc w:val="left"/>
        <w:rPr>
          <w:rFonts w:hint="default" w:ascii="Times New Roman Regular" w:hAnsi="Times New Roman Regular" w:cs="Times New Roman Regular"/>
          <w:b w:val="0"/>
          <w:bCs w:val="0"/>
          <w:color w:val="000000" w:themeColor="text1"/>
          <w:sz w:val="24"/>
          <w:szCs w:val="24"/>
          <w:lang w:val="en-US" w:eastAsia="zh-Hans"/>
          <w14:textFill>
            <w14:solidFill>
              <w14:schemeClr w14:val="tx1"/>
            </w14:solidFill>
          </w14:textFill>
        </w:rPr>
      </w:pPr>
      <w:r>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t>Brown, J.S., Collins, A. and Duguid, P. (1989) ‘Situated Cognition and the Culture of Learning’, </w:t>
      </w:r>
      <w:r>
        <w:rPr>
          <w:rFonts w:hint="default" w:ascii="Times New Roman Regular" w:hAnsi="Times New Roman Regular" w:eastAsia="Source Sans Pro" w:cs="Times New Roman Regular"/>
          <w:b w:val="0"/>
          <w:bCs w:val="0"/>
          <w:i/>
          <w:caps w:val="0"/>
          <w:color w:val="000000" w:themeColor="text1"/>
          <w:spacing w:val="0"/>
          <w:kern w:val="0"/>
          <w:sz w:val="24"/>
          <w:szCs w:val="24"/>
          <w:shd w:val="clear" w:fill="FFFFFF"/>
          <w:lang w:val="en-US" w:eastAsia="zh-CN" w:bidi="ar"/>
          <w14:textFill>
            <w14:solidFill>
              <w14:schemeClr w14:val="tx1"/>
            </w14:solidFill>
          </w14:textFill>
        </w:rPr>
        <w:t>Educational researcher</w:t>
      </w:r>
      <w:r>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t>, 18(1), pp. 32–42. doi:10.3102/0013189X018001032.</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color w:val="000000" w:themeColor="text1"/>
          <w:sz w:val="24"/>
          <w:szCs w:val="24"/>
          <w:lang w:val="en-US" w:eastAsia="zh-Hans"/>
          <w14:textFill>
            <w14:solidFill>
              <w14:schemeClr w14:val="tx1"/>
            </w14:solidFill>
          </w14:textFill>
        </w:rPr>
      </w:pPr>
    </w:p>
    <w:p>
      <w:pPr>
        <w:keepNext w:val="0"/>
        <w:keepLines w:val="0"/>
        <w:widowControl/>
        <w:suppressLineNumbers w:val="0"/>
        <w:jc w:val="left"/>
        <w:rPr>
          <w:rFonts w:hint="default" w:ascii="Times New Roman Regular" w:hAnsi="Times New Roman Regular" w:eastAsia="宋体" w:cs="Times New Roman Regular"/>
          <w:b w:val="0"/>
          <w:bCs w:val="0"/>
          <w:i/>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Regular" w:hAnsi="Times New Roman Regular" w:cs="Times New Roman Regular"/>
          <w:b w:val="0"/>
          <w:bCs w:val="0"/>
          <w:color w:val="000000" w:themeColor="text1"/>
          <w:sz w:val="24"/>
          <w:szCs w:val="24"/>
          <w:lang w:val="en-US" w:eastAsia="zh-Hans"/>
          <w14:textFill>
            <w14:solidFill>
              <w14:schemeClr w14:val="tx1"/>
            </w14:solidFill>
          </w14:textFill>
        </w:rPr>
        <w:t>Crotty, 1998</w:t>
      </w:r>
      <w:r>
        <w:rPr>
          <w:rFonts w:hint="default" w:ascii="Times New Roman Regular" w:hAnsi="Times New Roman Regular" w:eastAsia="宋体"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t>Bryman, A. (2004). Triangulation and measurement. </w:t>
      </w:r>
      <w:r>
        <w:rPr>
          <w:rFonts w:hint="default" w:ascii="Times New Roman Regular" w:hAnsi="Times New Roman Regular" w:eastAsia="宋体" w:cs="Times New Roman Regular"/>
          <w:b w:val="0"/>
          <w:bCs w:val="0"/>
          <w:i/>
          <w:caps w:val="0"/>
          <w:color w:val="000000" w:themeColor="text1"/>
          <w:spacing w:val="0"/>
          <w:kern w:val="0"/>
          <w:sz w:val="24"/>
          <w:szCs w:val="24"/>
          <w:shd w:val="clear" w:fill="FFFFFF"/>
          <w:lang w:val="en-US" w:eastAsia="zh-CN" w:bidi="ar"/>
          <w14:textFill>
            <w14:solidFill>
              <w14:schemeClr w14:val="tx1"/>
            </w14:solidFill>
          </w14:textFill>
        </w:rPr>
        <w:t xml:space="preserve">Retrieved from Department of Social Sciences, Loughborough University, Loughborough, Leicestershire: www. referenceworld. </w:t>
      </w:r>
      <w:r>
        <w:rPr>
          <w:rFonts w:hint="default" w:ascii="Times New Roman Regular" w:hAnsi="Times New Roman Regular" w:eastAsia="宋体" w:cs="Times New Roman Regular"/>
          <w:b w:val="0"/>
          <w:bCs w:val="0"/>
          <w:i/>
          <w:caps w:val="0"/>
          <w:color w:val="000000" w:themeColor="text1"/>
          <w:spacing w:val="0"/>
          <w:kern w:val="0"/>
          <w:sz w:val="24"/>
          <w:szCs w:val="24"/>
          <w:shd w:val="clear" w:fill="FFFFFF"/>
          <w:lang w:val="en-US" w:eastAsia="zh-CN" w:bidi="ar"/>
          <w14:textFill>
            <w14:solidFill>
              <w14:schemeClr w14:val="tx1"/>
            </w14:solidFill>
          </w14:textFill>
        </w:rPr>
        <w:fldChar w:fldCharType="begin"/>
      </w:r>
      <w:r>
        <w:rPr>
          <w:rFonts w:hint="default" w:ascii="Times New Roman Regular" w:hAnsi="Times New Roman Regular" w:eastAsia="宋体" w:cs="Times New Roman Regular"/>
          <w:b w:val="0"/>
          <w:bCs w:val="0"/>
          <w:i/>
          <w:caps w:val="0"/>
          <w:color w:val="000000" w:themeColor="text1"/>
          <w:spacing w:val="0"/>
          <w:kern w:val="0"/>
          <w:sz w:val="24"/>
          <w:szCs w:val="24"/>
          <w:shd w:val="clear" w:fill="FFFFFF"/>
          <w:lang w:val="en-US" w:eastAsia="zh-CN" w:bidi="ar"/>
          <w14:textFill>
            <w14:solidFill>
              <w14:schemeClr w14:val="tx1"/>
            </w14:solidFill>
          </w14:textFill>
        </w:rPr>
        <w:instrText xml:space="preserve"> HYPERLINK "http://citeseerx.ist.psu.edu/viewdoc/download?doi=10.1.1.83.9785&amp;rep=rep1&amp;type=pdf" </w:instrText>
      </w:r>
      <w:r>
        <w:rPr>
          <w:rFonts w:hint="default" w:ascii="Times New Roman Regular" w:hAnsi="Times New Roman Regular" w:eastAsia="宋体" w:cs="Times New Roman Regular"/>
          <w:b w:val="0"/>
          <w:bCs w:val="0"/>
          <w:i/>
          <w:caps w:val="0"/>
          <w:color w:val="000000" w:themeColor="text1"/>
          <w:spacing w:val="0"/>
          <w:kern w:val="0"/>
          <w:sz w:val="24"/>
          <w:szCs w:val="24"/>
          <w:shd w:val="clear" w:fill="FFFFFF"/>
          <w:lang w:val="en-US" w:eastAsia="zh-CN" w:bidi="ar"/>
          <w14:textFill>
            <w14:solidFill>
              <w14:schemeClr w14:val="tx1"/>
            </w14:solidFill>
          </w14:textFill>
        </w:rPr>
        <w:fldChar w:fldCharType="separate"/>
      </w:r>
      <w:r>
        <w:rPr>
          <w:rStyle w:val="12"/>
          <w:rFonts w:hint="default" w:ascii="Times New Roman Regular" w:hAnsi="Times New Roman Regular" w:eastAsia="宋体" w:cs="Times New Roman Regular"/>
          <w:b w:val="0"/>
          <w:bCs w:val="0"/>
          <w:i/>
          <w:caps w:val="0"/>
          <w:color w:val="000000" w:themeColor="text1"/>
          <w:spacing w:val="0"/>
          <w:kern w:val="0"/>
          <w:sz w:val="24"/>
          <w:szCs w:val="24"/>
          <w:shd w:val="clear" w:fill="FFFFFF"/>
          <w:lang w:val="en-US" w:eastAsia="zh-CN" w:bidi="ar"/>
          <w14:textFill>
            <w14:solidFill>
              <w14:schemeClr w14:val="tx1"/>
            </w14:solidFill>
          </w14:textFill>
        </w:rPr>
        <w:t>http://citeseerx.ist.psu.edu/viewdoc/download?doi=10.1.1.83.9785&amp;rep=rep1&amp;type=pdf</w:t>
      </w:r>
      <w:r>
        <w:rPr>
          <w:rFonts w:hint="default" w:ascii="Times New Roman Regular" w:hAnsi="Times New Roman Regular" w:eastAsia="宋体" w:cs="Times New Roman Regular"/>
          <w:b w:val="0"/>
          <w:bCs w:val="0"/>
          <w:i/>
          <w:caps w:val="0"/>
          <w:color w:val="000000" w:themeColor="text1"/>
          <w:spacing w:val="0"/>
          <w:kern w:val="0"/>
          <w:sz w:val="24"/>
          <w:szCs w:val="24"/>
          <w:shd w:val="clear" w:fill="FFFFFF"/>
          <w:lang w:val="en-US" w:eastAsia="zh-CN" w:bidi="ar"/>
          <w14:textFill>
            <w14:solidFill>
              <w14:schemeClr w14:val="tx1"/>
            </w14:solidFill>
          </w14:textFill>
        </w:rPr>
        <w:fldChar w:fldCharType="end"/>
      </w:r>
    </w:p>
    <w:p>
      <w:pPr>
        <w:keepNext w:val="0"/>
        <w:keepLines w:val="0"/>
        <w:widowControl/>
        <w:suppressLineNumbers w:val="0"/>
        <w:jc w:val="left"/>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pPr>
    </w:p>
    <w:p>
      <w:pPr>
        <w:widowControl w:val="0"/>
        <w:numPr>
          <w:ilvl w:val="0"/>
          <w:numId w:val="0"/>
        </w:numPr>
        <w:autoSpaceDE w:val="0"/>
        <w:autoSpaceDN w:val="0"/>
        <w:spacing w:line="240" w:lineRule="auto"/>
        <w:jc w:val="both"/>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pPr>
      <w:r>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t xml:space="preserve">Chen Junxi. Research on the design of interactive Guangling paper-cutting game[D]. Harbin Institute of Technology, 2015.  </w:t>
      </w:r>
    </w:p>
    <w:p>
      <w:pPr>
        <w:keepNext w:val="0"/>
        <w:keepLines w:val="0"/>
        <w:widowControl/>
        <w:suppressLineNumbers w:val="0"/>
        <w:jc w:val="left"/>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jc w:val="left"/>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t>Csikszentmihalyi, M. (1997)</w:t>
      </w:r>
      <w:r>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Hans" w:bidi="ar"/>
          <w14:textFill>
            <w14:solidFill>
              <w14:schemeClr w14:val="tx1"/>
            </w14:solidFill>
          </w14:textFill>
        </w:rPr>
        <w:t>‘</w:t>
      </w:r>
      <w:r>
        <w:rPr>
          <w:rFonts w:hint="default" w:ascii="Times New Roman Regular" w:hAnsi="Times New Roman Regular" w:eastAsia="Source Sans Pro" w:cs="Times New Roman Regular"/>
          <w:b w:val="0"/>
          <w:bCs w:val="0"/>
          <w:i/>
          <w:caps w:val="0"/>
          <w:color w:val="000000" w:themeColor="text1"/>
          <w:spacing w:val="0"/>
          <w:kern w:val="0"/>
          <w:sz w:val="24"/>
          <w:szCs w:val="24"/>
          <w:shd w:val="clear" w:fill="FFFFFF"/>
          <w:lang w:val="en-US" w:eastAsia="zh-CN" w:bidi="ar"/>
          <w14:textFill>
            <w14:solidFill>
              <w14:schemeClr w14:val="tx1"/>
            </w14:solidFill>
          </w14:textFill>
        </w:rPr>
        <w:t>Creativity: flow and the psychology of discovery and invention</w:t>
      </w:r>
      <w:r>
        <w:rPr>
          <w:rFonts w:hint="default" w:ascii="Times New Roman Regular" w:hAnsi="Times New Roman Regular" w:eastAsia="Source Sans Pro" w:cs="Times New Roman Regular"/>
          <w:b w:val="0"/>
          <w:bCs w:val="0"/>
          <w:i/>
          <w:caps w:val="0"/>
          <w:color w:val="000000" w:themeColor="text1"/>
          <w:spacing w:val="0"/>
          <w:kern w:val="0"/>
          <w:sz w:val="24"/>
          <w:szCs w:val="24"/>
          <w:shd w:val="clear" w:fill="FFFFFF"/>
          <w:lang w:val="en-US" w:eastAsia="zh-Hans" w:bidi="ar"/>
          <w14:textFill>
            <w14:solidFill>
              <w14:schemeClr w14:val="tx1"/>
            </w14:solidFill>
          </w14:textFill>
        </w:rPr>
        <w:t>’</w:t>
      </w:r>
      <w:r>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t>. 1st Harper Perennial ed. New York: Harper Perennial.</w:t>
      </w:r>
    </w:p>
    <w:p>
      <w:pPr>
        <w:keepNext w:val="0"/>
        <w:keepLines w:val="0"/>
        <w:widowControl/>
        <w:suppressLineNumbers w:val="0"/>
        <w:jc w:val="left"/>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jc w:val="left"/>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jc w:val="left"/>
        <w:rPr>
          <w:rFonts w:hint="default" w:ascii="Times New Roman Regular" w:hAnsi="Times New Roman Regular" w:eastAsia="Open Sans"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Regular" w:hAnsi="Times New Roman Regular" w:eastAsia="Open Sans"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t>Freeman, G., Zamanifard, S., Maloney, D., &amp; Adkins, A. (2020). </w:t>
      </w:r>
      <w:r>
        <w:rPr>
          <w:rFonts w:hint="default" w:ascii="Times New Roman Regular" w:hAnsi="Times New Roman Regular" w:eastAsia="Open Sans" w:cs="Times New Roman Regular"/>
          <w:b w:val="0"/>
          <w:bCs w:val="0"/>
          <w:i/>
          <w:caps w:val="0"/>
          <w:color w:val="000000" w:themeColor="text1"/>
          <w:spacing w:val="0"/>
          <w:kern w:val="0"/>
          <w:sz w:val="24"/>
          <w:szCs w:val="24"/>
          <w:shd w:val="clear" w:fill="FFFFFF"/>
          <w:lang w:val="en-US" w:eastAsia="zh-CN" w:bidi="ar"/>
          <w14:textFill>
            <w14:solidFill>
              <w14:schemeClr w14:val="tx1"/>
            </w14:solidFill>
          </w14:textFill>
        </w:rPr>
        <w:t>My body, my avatar: How people perceive their avatars in social virtual reality</w:t>
      </w:r>
      <w:r>
        <w:rPr>
          <w:rFonts w:hint="default" w:ascii="Times New Roman Regular" w:hAnsi="Times New Roman Regular" w:eastAsia="Open Sans"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t>. Extended Abstracts of the 2020 CHI Conference on Human Factors in Computing Systems. Honolulu HI.</w:t>
      </w:r>
    </w:p>
    <w:p>
      <w:pPr>
        <w:keepNext w:val="0"/>
        <w:keepLines w:val="0"/>
        <w:widowControl/>
        <w:suppressLineNumbers w:val="0"/>
        <w:jc w:val="left"/>
        <w:rPr>
          <w:rFonts w:hint="default" w:ascii="Times New Roman Regular" w:hAnsi="Times New Roman Regular" w:eastAsia="Open Sans"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pPr>
    </w:p>
    <w:p>
      <w:pPr>
        <w:widowControl w:val="0"/>
        <w:numPr>
          <w:ilvl w:val="0"/>
          <w:numId w:val="0"/>
        </w:numPr>
        <w:autoSpaceDE w:val="0"/>
        <w:autoSpaceDN w:val="0"/>
        <w:spacing w:line="240" w:lineRule="auto"/>
        <w:jc w:val="both"/>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pPr>
      <w:r>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t>Fang Yiyi. Research on Digital Protection and Communication of Costume Non-Foreign Heritage [D]. Wuhan Textile University, 2016.</w:t>
      </w:r>
    </w:p>
    <w:p>
      <w:pPr>
        <w:widowControl w:val="0"/>
        <w:numPr>
          <w:ilvl w:val="0"/>
          <w:numId w:val="0"/>
        </w:numPr>
        <w:autoSpaceDE w:val="0"/>
        <w:autoSpaceDN w:val="0"/>
        <w:spacing w:line="240" w:lineRule="auto"/>
        <w:jc w:val="both"/>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pPr>
    </w:p>
    <w:p>
      <w:pPr>
        <w:widowControl w:val="0"/>
        <w:numPr>
          <w:ilvl w:val="0"/>
          <w:numId w:val="0"/>
        </w:numPr>
        <w:autoSpaceDE w:val="0"/>
        <w:autoSpaceDN w:val="0"/>
        <w:spacing w:line="240" w:lineRule="auto"/>
        <w:jc w:val="both"/>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pPr>
      <w:bookmarkStart w:id="3" w:name="_GoBack"/>
      <w:bookmarkEnd w:id="3"/>
      <w:r>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t>Harper, B. and Hedberg, J., 1997, December. Creating motivating interactive learning environments: A constructivist view. In ascilite (Vol. 97, pp. 7-10).</w:t>
      </w:r>
    </w:p>
    <w:p>
      <w:pPr>
        <w:keepNext w:val="0"/>
        <w:keepLines w:val="0"/>
        <w:widowControl/>
        <w:suppressLineNumbers w:val="0"/>
        <w:jc w:val="left"/>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pPr>
    </w:p>
    <w:p>
      <w:pPr>
        <w:jc w:val="both"/>
        <w:rPr>
          <w:rFonts w:hint="default" w:ascii="Times New Roman Regular" w:hAnsi="Times New Roman Regular" w:cs="Times New Roman Regular"/>
          <w:b w:val="0"/>
          <w:bCs w:val="0"/>
          <w:i/>
          <w:iCs/>
          <w:color w:val="000000" w:themeColor="text1"/>
          <w:sz w:val="24"/>
          <w:szCs w:val="24"/>
          <w:lang w:eastAsia="zh-Hans"/>
          <w14:textFill>
            <w14:solidFill>
              <w14:schemeClr w14:val="tx1"/>
            </w14:solidFill>
          </w14:textFill>
        </w:rPr>
      </w:pPr>
      <w:r>
        <w:rPr>
          <w:rFonts w:hint="default" w:ascii="Times New Roman Regular" w:hAnsi="Times New Roman Regular" w:cs="Times New Roman Regular"/>
          <w:b w:val="0"/>
          <w:bCs w:val="0"/>
          <w:color w:val="000000" w:themeColor="text1"/>
          <w:sz w:val="24"/>
          <w:szCs w:val="24"/>
          <w:lang w:val="en-US" w:eastAsia="zh-Hans"/>
          <w14:textFill>
            <w14:solidFill>
              <w14:schemeClr w14:val="tx1"/>
            </w14:solidFill>
          </w14:textFill>
        </w:rPr>
        <w:t>Handicraft</w:t>
      </w:r>
      <w:r>
        <w:rPr>
          <w:rFonts w:hint="default" w:ascii="Times New Roman Regular" w:hAnsi="Times New Roman Regular" w:cs="Times New Roman Regular"/>
          <w:b w:val="0"/>
          <w:bCs w:val="0"/>
          <w:color w:val="000000" w:themeColor="text1"/>
          <w:sz w:val="24"/>
          <w:szCs w:val="24"/>
          <w:lang w:eastAsia="zh-Hans"/>
          <w14:textFill>
            <w14:solidFill>
              <w14:schemeClr w14:val="tx1"/>
            </w14:solidFill>
          </w14:textFill>
        </w:rPr>
        <w:t xml:space="preserve">, 2, </w:t>
      </w:r>
      <w:r>
        <w:rPr>
          <w:rFonts w:hint="default" w:ascii="Times New Roman Regular" w:hAnsi="Times New Roman Regular" w:cs="Times New Roman Regular"/>
          <w:b w:val="0"/>
          <w:bCs w:val="0"/>
          <w:i/>
          <w:iCs/>
          <w:color w:val="000000" w:themeColor="text1"/>
          <w:sz w:val="24"/>
          <w:szCs w:val="24"/>
          <w:lang w:val="en-US" w:eastAsia="zh-Hans"/>
          <w14:textFill>
            <w14:solidFill>
              <w14:schemeClr w14:val="tx1"/>
            </w14:solidFill>
          </w14:textFill>
        </w:rPr>
        <w:t>oxford</w:t>
      </w:r>
      <w:r>
        <w:rPr>
          <w:rFonts w:hint="default" w:ascii="Times New Roman Regular" w:hAnsi="Times New Roman Regular" w:cs="Times New Roman Regular"/>
          <w:b w:val="0"/>
          <w:bCs w:val="0"/>
          <w:i/>
          <w:iCs/>
          <w:color w:val="000000" w:themeColor="text1"/>
          <w:sz w:val="24"/>
          <w:szCs w:val="24"/>
          <w:lang w:eastAsia="zh-Hans"/>
          <w14:textFill>
            <w14:solidFill>
              <w14:schemeClr w14:val="tx1"/>
            </w14:solidFill>
          </w14:textFill>
        </w:rPr>
        <w:t xml:space="preserve"> </w:t>
      </w:r>
      <w:r>
        <w:rPr>
          <w:rFonts w:hint="default" w:ascii="Times New Roman Regular" w:hAnsi="Times New Roman Regular" w:cs="Times New Roman Regular"/>
          <w:b w:val="0"/>
          <w:bCs w:val="0"/>
          <w:i/>
          <w:iCs/>
          <w:color w:val="000000" w:themeColor="text1"/>
          <w:sz w:val="24"/>
          <w:szCs w:val="24"/>
          <w:lang w:val="en-US" w:eastAsia="zh-Hans"/>
          <w14:textFill>
            <w14:solidFill>
              <w14:schemeClr w14:val="tx1"/>
            </w14:solidFill>
          </w14:textFill>
        </w:rPr>
        <w:t>learners</w:t>
      </w:r>
      <w:r>
        <w:rPr>
          <w:rFonts w:hint="default" w:ascii="Times New Roman Regular" w:hAnsi="Times New Roman Regular" w:cs="Times New Roman Regular"/>
          <w:b w:val="0"/>
          <w:bCs w:val="0"/>
          <w:i/>
          <w:iCs/>
          <w:color w:val="000000" w:themeColor="text1"/>
          <w:sz w:val="24"/>
          <w:szCs w:val="24"/>
          <w:lang w:eastAsia="zh-Hans"/>
          <w14:textFill>
            <w14:solidFill>
              <w14:schemeClr w14:val="tx1"/>
            </w14:solidFill>
          </w14:textFill>
        </w:rPr>
        <w:t xml:space="preserve"> </w:t>
      </w:r>
      <w:r>
        <w:rPr>
          <w:rFonts w:hint="default" w:ascii="Times New Roman Regular" w:hAnsi="Times New Roman Regular" w:cs="Times New Roman Regular"/>
          <w:b w:val="0"/>
          <w:bCs w:val="0"/>
          <w:i/>
          <w:iCs/>
          <w:color w:val="000000" w:themeColor="text1"/>
          <w:sz w:val="24"/>
          <w:szCs w:val="24"/>
          <w:lang w:val="en-US" w:eastAsia="zh-Hans"/>
          <w14:textFill>
            <w14:solidFill>
              <w14:schemeClr w14:val="tx1"/>
            </w14:solidFill>
          </w14:textFill>
        </w:rPr>
        <w:t>dictionaries</w:t>
      </w:r>
      <w:r>
        <w:rPr>
          <w:rFonts w:hint="default" w:ascii="Times New Roman Regular" w:hAnsi="Times New Roman Regular" w:cs="Times New Roman Regular"/>
          <w:b w:val="0"/>
          <w:bCs w:val="0"/>
          <w:i/>
          <w:iCs/>
          <w:color w:val="000000" w:themeColor="text1"/>
          <w:sz w:val="24"/>
          <w:szCs w:val="24"/>
          <w:lang w:eastAsia="zh-Hans"/>
          <w14:textFill>
            <w14:solidFill>
              <w14:schemeClr w14:val="tx1"/>
            </w14:solidFill>
          </w14:textFill>
        </w:rPr>
        <w:t>.</w:t>
      </w:r>
    </w:p>
    <w:p>
      <w:pPr>
        <w:jc w:val="both"/>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pPr>
      <w:r>
        <w:rPr>
          <w:rFonts w:hint="default" w:ascii="Times New Roman Regular" w:hAnsi="Times New Roman Regular" w:cs="Times New Roman Regular"/>
          <w:b w:val="0"/>
          <w:bCs w:val="0"/>
          <w:color w:val="000000" w:themeColor="text1"/>
          <w:sz w:val="24"/>
          <w:szCs w:val="24"/>
          <w:lang w:val="en-US" w:eastAsia="zh-Hans"/>
          <w14:textFill>
            <w14:solidFill>
              <w14:schemeClr w14:val="tx1"/>
            </w14:solidFill>
          </w14:textFill>
        </w:rPr>
        <w:fldChar w:fldCharType="begin"/>
      </w:r>
      <w:r>
        <w:rPr>
          <w:rFonts w:hint="default" w:ascii="Times New Roman Regular" w:hAnsi="Times New Roman Regular" w:cs="Times New Roman Regular"/>
          <w:b w:val="0"/>
          <w:bCs w:val="0"/>
          <w:color w:val="000000" w:themeColor="text1"/>
          <w:sz w:val="24"/>
          <w:szCs w:val="24"/>
          <w:lang w:val="en-US" w:eastAsia="zh-Hans"/>
          <w14:textFill>
            <w14:solidFill>
              <w14:schemeClr w14:val="tx1"/>
            </w14:solidFill>
          </w14:textFill>
        </w:rPr>
        <w:instrText xml:space="preserve"> HYPERLINK "https://www.oxfordlearnersdictionaries.com/definition/english/handicraft?q=Handicraft" </w:instrText>
      </w:r>
      <w:r>
        <w:rPr>
          <w:rFonts w:hint="default" w:ascii="Times New Roman Regular" w:hAnsi="Times New Roman Regular" w:cs="Times New Roman Regular"/>
          <w:b w:val="0"/>
          <w:bCs w:val="0"/>
          <w:color w:val="000000" w:themeColor="text1"/>
          <w:sz w:val="24"/>
          <w:szCs w:val="24"/>
          <w:lang w:val="en-US" w:eastAsia="zh-Hans"/>
          <w14:textFill>
            <w14:solidFill>
              <w14:schemeClr w14:val="tx1"/>
            </w14:solidFill>
          </w14:textFill>
        </w:rPr>
        <w:fldChar w:fldCharType="separate"/>
      </w:r>
      <w:r>
        <w:rPr>
          <w:rStyle w:val="12"/>
          <w:rFonts w:hint="default" w:ascii="Times New Roman Regular" w:hAnsi="Times New Roman Regular" w:cs="Times New Roman Regular"/>
          <w:b w:val="0"/>
          <w:bCs w:val="0"/>
          <w:color w:val="000000" w:themeColor="text1"/>
          <w:sz w:val="24"/>
          <w:szCs w:val="24"/>
          <w:lang w:val="en-US" w:eastAsia="zh-Hans"/>
          <w14:textFill>
            <w14:solidFill>
              <w14:schemeClr w14:val="tx1"/>
            </w14:solidFill>
          </w14:textFill>
        </w:rPr>
        <w:t>https://www.oxfordlearnersdictionaries.com/definition/english/handicraft?q=Handicraft</w:t>
      </w:r>
      <w:r>
        <w:rPr>
          <w:rFonts w:hint="default" w:ascii="Times New Roman Regular" w:hAnsi="Times New Roman Regular" w:cs="Times New Roman Regular"/>
          <w:b w:val="0"/>
          <w:bCs w:val="0"/>
          <w:color w:val="000000" w:themeColor="text1"/>
          <w:sz w:val="24"/>
          <w:szCs w:val="24"/>
          <w:lang w:val="en-US" w:eastAsia="zh-Hans"/>
          <w14:textFill>
            <w14:solidFill>
              <w14:schemeClr w14:val="tx1"/>
            </w14:solidFill>
          </w14:textFill>
        </w:rPr>
        <w:fldChar w:fldCharType="end"/>
      </w:r>
    </w:p>
    <w:p>
      <w:pPr>
        <w:keepNext w:val="0"/>
        <w:keepLines w:val="0"/>
        <w:widowControl/>
        <w:suppressLineNumbers w:val="0"/>
        <w:jc w:val="left"/>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jc w:val="left"/>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t>Koutsabasis, P., &amp; Vosinakis, S. (2018). Kinesthetic interactions in museums: Conveying cultural heritage by making use of ancient tools and (re-) constructing artworks. Virtual Reality, 22(2), 103–118. doi:10.1007/s10055-017-0325-0</w:t>
      </w:r>
    </w:p>
    <w:p>
      <w:pPr>
        <w:keepNext w:val="0"/>
        <w:keepLines w:val="0"/>
        <w:widowControl/>
        <w:suppressLineNumbers w:val="0"/>
        <w:jc w:val="left"/>
        <w:rPr>
          <w:rFonts w:hint="default" w:ascii="Times New Roman Regular" w:hAnsi="Times New Roman Regular" w:cs="Times New Roman Regular"/>
          <w:b w:val="0"/>
          <w:bCs w:val="0"/>
          <w:color w:val="000000" w:themeColor="text1"/>
          <w:sz w:val="24"/>
          <w:szCs w:val="24"/>
          <w14:textFill>
            <w14:solidFill>
              <w14:schemeClr w14:val="tx1"/>
            </w14:solidFill>
          </w14:textFill>
        </w:rPr>
      </w:pPr>
    </w:p>
    <w:p>
      <w:pPr>
        <w:keepNext w:val="0"/>
        <w:keepLines w:val="0"/>
        <w:widowControl/>
        <w:suppressLineNumbers w:val="0"/>
        <w:jc w:val="left"/>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t>Kim, Y.M., Rhiu, I. and Yun, M.H. (2020) ‘A Systematic Review of a Virtual Reality System from the Perspective of User Experience’, </w:t>
      </w:r>
      <w:r>
        <w:rPr>
          <w:rFonts w:hint="default" w:ascii="Times New Roman Regular" w:hAnsi="Times New Roman Regular" w:eastAsia="Source Sans Pro" w:cs="Times New Roman Regular"/>
          <w:b w:val="0"/>
          <w:bCs w:val="0"/>
          <w:i/>
          <w:caps w:val="0"/>
          <w:color w:val="000000" w:themeColor="text1"/>
          <w:spacing w:val="0"/>
          <w:kern w:val="0"/>
          <w:sz w:val="24"/>
          <w:szCs w:val="24"/>
          <w:shd w:val="clear" w:fill="FFFFFF"/>
          <w:lang w:val="en-US" w:eastAsia="zh-CN" w:bidi="ar"/>
          <w14:textFill>
            <w14:solidFill>
              <w14:schemeClr w14:val="tx1"/>
            </w14:solidFill>
          </w14:textFill>
        </w:rPr>
        <w:t>International journal of human-computer interaction</w:t>
      </w:r>
      <w:r>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t>, 36(10), pp. 893–910. doi:10.1080/10447318.2019.1699746.</w:t>
      </w:r>
    </w:p>
    <w:p>
      <w:pPr>
        <w:keepNext w:val="0"/>
        <w:keepLines w:val="0"/>
        <w:widowControl/>
        <w:suppressLineNumbers w:val="0"/>
        <w:jc w:val="left"/>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pPr>
    </w:p>
    <w:p>
      <w:pPr>
        <w:widowControl w:val="0"/>
        <w:numPr>
          <w:ilvl w:val="0"/>
          <w:numId w:val="0"/>
        </w:numPr>
        <w:autoSpaceDE w:val="0"/>
        <w:autoSpaceDN w:val="0"/>
        <w:spacing w:line="240" w:lineRule="auto"/>
        <w:jc w:val="both"/>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pPr>
      <w:r>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t xml:space="preserve">Jin Yi. Research on interactive virtual display design of traditional handicrafts: Huishan clay figures as an example [D]. Jiangnan University, 2015. </w:t>
      </w:r>
    </w:p>
    <w:p>
      <w:pPr>
        <w:keepNext w:val="0"/>
        <w:keepLines w:val="0"/>
        <w:widowControl/>
        <w:suppressLineNumbers w:val="0"/>
        <w:jc w:val="left"/>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color w:val="000000" w:themeColor="text1"/>
          <w:sz w:val="24"/>
          <w:szCs w:val="24"/>
          <w:lang w:val="en-US" w:eastAsia="zh-Hans"/>
          <w14:textFill>
            <w14:solidFill>
              <w14:schemeClr w14:val="tx1"/>
            </w14:solidFill>
          </w14:textFill>
        </w:rPr>
      </w:pPr>
    </w:p>
    <w:p>
      <w:pPr>
        <w:keepNext w:val="0"/>
        <w:keepLines w:val="0"/>
        <w:widowControl/>
        <w:suppressLineNumbers w:val="0"/>
        <w:jc w:val="left"/>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t>Ryan, M.-L. (2006) </w:t>
      </w:r>
      <w:r>
        <w:rPr>
          <w:rFonts w:hint="default" w:ascii="Times New Roman Regular" w:hAnsi="Times New Roman Regular" w:eastAsia="Source Sans Pro" w:cs="Times New Roman Regular"/>
          <w:b w:val="0"/>
          <w:bCs w:val="0"/>
          <w:i/>
          <w:caps w:val="0"/>
          <w:color w:val="000000" w:themeColor="text1"/>
          <w:spacing w:val="0"/>
          <w:kern w:val="0"/>
          <w:sz w:val="24"/>
          <w:szCs w:val="24"/>
          <w:shd w:val="clear" w:fill="FFFFFF"/>
          <w:lang w:val="en-US" w:eastAsia="zh-CN" w:bidi="ar"/>
          <w14:textFill>
            <w14:solidFill>
              <w14:schemeClr w14:val="tx1"/>
            </w14:solidFill>
          </w14:textFill>
        </w:rPr>
        <w:t>Avatars of story</w:t>
      </w:r>
      <w:r>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t>. Minneapolis, Minn: University of Minnesota Press.</w:t>
      </w:r>
    </w:p>
    <w:p>
      <w:pPr>
        <w:keepNext w:val="0"/>
        <w:keepLines w:val="0"/>
        <w:widowControl/>
        <w:suppressLineNumbers w:val="0"/>
        <w:jc w:val="left"/>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jc w:val="left"/>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pP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Ryan, M.-L. (1993) ‘Possible Worlds, Artificial Intelligence, and Narrative Theory’, The Journal of Aesthetics and Art Criticism. The American Society for Aesthetics, pp. 526–527. doi:10.2307/431530.</w:t>
      </w:r>
    </w:p>
    <w:p>
      <w:pPr>
        <w:keepNext w:val="0"/>
        <w:keepLines w:val="0"/>
        <w:widowControl/>
        <w:suppressLineNumbers w:val="0"/>
        <w:jc w:val="left"/>
        <w:rPr>
          <w:rFonts w:hint="default" w:ascii="Times New Roman Regular" w:hAnsi="Times New Roman Regular" w:cs="Times New Roman Regular"/>
          <w:b w:val="0"/>
          <w:bCs w:val="0"/>
          <w:color w:val="000000" w:themeColor="text1"/>
          <w:sz w:val="24"/>
          <w:szCs w:val="24"/>
          <w:lang w:val="en-US" w:eastAsia="zh-Hans"/>
          <w14:textFill>
            <w14:solidFill>
              <w14:schemeClr w14:val="tx1"/>
            </w14:solidFill>
          </w14:textFill>
        </w:rPr>
      </w:pPr>
    </w:p>
    <w:p>
      <w:pPr>
        <w:widowControl w:val="0"/>
        <w:numPr>
          <w:ilvl w:val="0"/>
          <w:numId w:val="0"/>
        </w:numPr>
        <w:autoSpaceDE w:val="0"/>
        <w:autoSpaceDN w:val="0"/>
        <w:spacing w:line="240" w:lineRule="auto"/>
        <w:jc w:val="both"/>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pPr>
      <w:r>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t xml:space="preserve">Yang Hongmin. Research on interactive experience display design [D]. Shandong Institute of Arts and Crafts,2017. </w:t>
      </w:r>
    </w:p>
    <w:p>
      <w:pPr>
        <w:widowControl w:val="0"/>
        <w:numPr>
          <w:ilvl w:val="0"/>
          <w:numId w:val="0"/>
        </w:numPr>
        <w:autoSpaceDE w:val="0"/>
        <w:autoSpaceDN w:val="0"/>
        <w:spacing w:line="240" w:lineRule="auto"/>
        <w:jc w:val="both"/>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pPr>
    </w:p>
    <w:p>
      <w:pPr>
        <w:widowControl w:val="0"/>
        <w:numPr>
          <w:ilvl w:val="0"/>
          <w:numId w:val="0"/>
        </w:numPr>
        <w:autoSpaceDE w:val="0"/>
        <w:autoSpaceDN w:val="0"/>
        <w:spacing w:line="240" w:lineRule="auto"/>
        <w:jc w:val="both"/>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pPr>
      <w:r>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t xml:space="preserve">Wang Yanni. Research on digital display design [D]. Southwest Jiaotong University. 2006. </w:t>
      </w:r>
    </w:p>
    <w:p>
      <w:pPr>
        <w:widowControl w:val="0"/>
        <w:numPr>
          <w:ilvl w:val="0"/>
          <w:numId w:val="0"/>
        </w:numPr>
        <w:autoSpaceDE w:val="0"/>
        <w:autoSpaceDN w:val="0"/>
        <w:spacing w:line="240" w:lineRule="auto"/>
        <w:jc w:val="both"/>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pPr>
    </w:p>
    <w:p>
      <w:pPr>
        <w:widowControl w:val="0"/>
        <w:numPr>
          <w:ilvl w:val="0"/>
          <w:numId w:val="0"/>
        </w:numPr>
        <w:autoSpaceDE w:val="0"/>
        <w:autoSpaceDN w:val="0"/>
        <w:spacing w:line="240" w:lineRule="auto"/>
        <w:jc w:val="both"/>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pPr>
      <w:r>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t xml:space="preserve">Wang Shengjie. Research on the application of virtual reality technology in museum display design [D]. Jiangnan University, 2018. </w:t>
      </w:r>
    </w:p>
    <w:p>
      <w:pPr>
        <w:widowControl w:val="0"/>
        <w:numPr>
          <w:ilvl w:val="0"/>
          <w:numId w:val="0"/>
        </w:numPr>
        <w:autoSpaceDE w:val="0"/>
        <w:autoSpaceDN w:val="0"/>
        <w:spacing w:line="240" w:lineRule="auto"/>
        <w:jc w:val="both"/>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pPr>
    </w:p>
    <w:p>
      <w:pPr>
        <w:widowControl w:val="0"/>
        <w:numPr>
          <w:ilvl w:val="0"/>
          <w:numId w:val="0"/>
        </w:numPr>
        <w:autoSpaceDE w:val="0"/>
        <w:autoSpaceDN w:val="0"/>
        <w:spacing w:line="240" w:lineRule="auto"/>
        <w:jc w:val="both"/>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pPr>
      <w:r>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t xml:space="preserve">Wang Wei. Research on the Digital Protection and Development of Fengyang Fenghuang Painting in Anhui Province[D]. Jiangnan University, 2014. </w:t>
      </w:r>
    </w:p>
    <w:p>
      <w:pPr>
        <w:widowControl w:val="0"/>
        <w:numPr>
          <w:ilvl w:val="0"/>
          <w:numId w:val="0"/>
        </w:numPr>
        <w:autoSpaceDE w:val="0"/>
        <w:autoSpaceDN w:val="0"/>
        <w:spacing w:line="240" w:lineRule="auto"/>
        <w:jc w:val="both"/>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pPr>
    </w:p>
    <w:p>
      <w:pPr>
        <w:widowControl w:val="0"/>
        <w:numPr>
          <w:ilvl w:val="0"/>
          <w:numId w:val="0"/>
        </w:numPr>
        <w:autoSpaceDE w:val="0"/>
        <w:autoSpaceDN w:val="0"/>
        <w:spacing w:line="240" w:lineRule="auto"/>
        <w:jc w:val="both"/>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pPr>
    </w:p>
    <w:p>
      <w:pPr>
        <w:keepNext w:val="0"/>
        <w:keepLines w:val="0"/>
        <w:widowControl/>
        <w:suppressLineNumbers w:val="0"/>
        <w:jc w:val="left"/>
        <w:rPr>
          <w:rFonts w:hint="default" w:ascii="Times New Roman Regular" w:hAnsi="Times New Roman Regular" w:cs="Times New Roman Regular"/>
          <w:b w:val="0"/>
          <w:bCs w:val="0"/>
          <w:color w:val="000000" w:themeColor="text1"/>
          <w:sz w:val="24"/>
          <w:szCs w:val="24"/>
          <w:lang w:val="en-US" w:eastAsia="zh-Hans"/>
          <w14:textFill>
            <w14:solidFill>
              <w14:schemeClr w14:val="tx1"/>
            </w14:solidFill>
          </w14:textFill>
        </w:rPr>
      </w:pPr>
      <w:r>
        <w:rPr>
          <w:rFonts w:hint="default" w:ascii="Times New Roman Regular" w:hAnsi="Times New Roman Regular" w:eastAsia="宋体"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t xml:space="preserve">Sutherland, I. (1965). </w:t>
      </w:r>
      <w:r>
        <w:rPr>
          <w:rFonts w:hint="default" w:ascii="Times New Roman Regular" w:hAnsi="Times New Roman Regular" w:eastAsia="Open Sans"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t>“The Ultimate Display”, Proceedings of the IPIP Congress 2, 506-508 (1965)</w:t>
      </w:r>
    </w:p>
    <w:p>
      <w:pPr>
        <w:widowControl w:val="0"/>
        <w:numPr>
          <w:ilvl w:val="0"/>
          <w:numId w:val="0"/>
        </w:numPr>
        <w:autoSpaceDE w:val="0"/>
        <w:autoSpaceDN w:val="0"/>
        <w:spacing w:line="240" w:lineRule="auto"/>
        <w:jc w:val="both"/>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eastAsia="zh-Hans"/>
          <w14:textFill>
            <w14:solidFill>
              <w14:schemeClr w14:val="tx1"/>
            </w14:solidFill>
          </w14:textFill>
        </w:rPr>
      </w:pPr>
    </w:p>
    <w:p>
      <w:pPr>
        <w:widowControl w:val="0"/>
        <w:numPr>
          <w:ilvl w:val="0"/>
          <w:numId w:val="0"/>
        </w:numPr>
        <w:autoSpaceDE w:val="0"/>
        <w:autoSpaceDN w:val="0"/>
        <w:spacing w:line="240" w:lineRule="auto"/>
        <w:jc w:val="both"/>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pPr>
    </w:p>
    <w:p>
      <w:pPr>
        <w:keepNext w:val="0"/>
        <w:keepLines w:val="0"/>
        <w:widowControl/>
        <w:suppressLineNumbers w:val="0"/>
        <w:jc w:val="left"/>
        <w:rPr>
          <w:rFonts w:hint="default" w:ascii="Times New Roman Regular" w:hAnsi="Times New Roman Regular" w:cs="Times New Roman Regular"/>
          <w:b w:val="0"/>
          <w:bCs w:val="0"/>
          <w:color w:val="000000" w:themeColor="text1"/>
          <w:sz w:val="24"/>
          <w:szCs w:val="24"/>
          <w14:textFill>
            <w14:solidFill>
              <w14:schemeClr w14:val="tx1"/>
            </w14:solidFill>
          </w14:textFill>
        </w:rPr>
      </w:pPr>
      <w:r>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t>Spiegel, J.S. (2017) ‘The Ethics of Virtual Reality Technology: Social Hazards and Public Policy Recommendations’, </w:t>
      </w:r>
      <w:r>
        <w:rPr>
          <w:rFonts w:hint="default" w:ascii="Times New Roman Regular" w:hAnsi="Times New Roman Regular" w:eastAsia="Source Sans Pro" w:cs="Times New Roman Regular"/>
          <w:b w:val="0"/>
          <w:bCs w:val="0"/>
          <w:i/>
          <w:caps w:val="0"/>
          <w:color w:val="000000" w:themeColor="text1"/>
          <w:spacing w:val="0"/>
          <w:kern w:val="0"/>
          <w:sz w:val="24"/>
          <w:szCs w:val="24"/>
          <w:shd w:val="clear" w:fill="FFFFFF"/>
          <w:lang w:val="en-US" w:eastAsia="zh-CN" w:bidi="ar"/>
          <w14:textFill>
            <w14:solidFill>
              <w14:schemeClr w14:val="tx1"/>
            </w14:solidFill>
          </w14:textFill>
        </w:rPr>
        <w:t>Science and engineering ethics</w:t>
      </w:r>
      <w:r>
        <w:rPr>
          <w:rFonts w:hint="default" w:ascii="Times New Roman Regular" w:hAnsi="Times New Roman Regular" w:eastAsia="Source Sans Pro" w:cs="Times New Roman Regular"/>
          <w:b w:val="0"/>
          <w:bCs w:val="0"/>
          <w:i w:val="0"/>
          <w:caps w:val="0"/>
          <w:color w:val="000000" w:themeColor="text1"/>
          <w:spacing w:val="0"/>
          <w:kern w:val="0"/>
          <w:sz w:val="24"/>
          <w:szCs w:val="24"/>
          <w:shd w:val="clear" w:fill="FFFFFF"/>
          <w:lang w:val="en-US" w:eastAsia="zh-CN" w:bidi="ar"/>
          <w14:textFill>
            <w14:solidFill>
              <w14:schemeClr w14:val="tx1"/>
            </w14:solidFill>
          </w14:textFill>
        </w:rPr>
        <w:t>, 24(5), pp. 1537–1550. doi:10.1007/s11948-017-9979-y.</w:t>
      </w:r>
    </w:p>
    <w:p>
      <w:pPr>
        <w:widowControl w:val="0"/>
        <w:numPr>
          <w:ilvl w:val="0"/>
          <w:numId w:val="0"/>
        </w:numPr>
        <w:autoSpaceDE w:val="0"/>
        <w:autoSpaceDN w:val="0"/>
        <w:spacing w:line="240" w:lineRule="auto"/>
        <w:jc w:val="both"/>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pPr>
    </w:p>
    <w:p>
      <w:pPr>
        <w:widowControl w:val="0"/>
        <w:numPr>
          <w:ilvl w:val="0"/>
          <w:numId w:val="0"/>
        </w:numPr>
        <w:autoSpaceDE w:val="0"/>
        <w:autoSpaceDN w:val="0"/>
        <w:spacing w:line="240" w:lineRule="auto"/>
        <w:jc w:val="both"/>
        <w:rPr>
          <w:rFonts w:hint="default" w:ascii="Times New Roman Regular" w:hAnsi="Times New Roman Regular" w:eastAsia="sans-serif" w:cs="Times New Roman Regular"/>
          <w:b w:val="0"/>
          <w:bCs w:val="0"/>
          <w:i w:val="0"/>
          <w:caps w:val="0"/>
          <w:color w:val="000000" w:themeColor="text1"/>
          <w:spacing w:val="0"/>
          <w:sz w:val="24"/>
          <w:szCs w:val="24"/>
          <w:shd w:val="clear" w:fill="FFFFFF"/>
          <w:lang w:val="en-US" w:eastAsia="zh-Hans"/>
          <w14:textFill>
            <w14:solidFill>
              <w14:schemeClr w14:val="tx1"/>
            </w14:solidFill>
          </w14:textFill>
        </w:rPr>
      </w:pPr>
    </w:p>
    <w:p>
      <w:pPr>
        <w:spacing w:line="240" w:lineRule="auto"/>
        <w:jc w:val="both"/>
        <w:rPr>
          <w:rFonts w:hint="default" w:ascii="Times New Roman Regular" w:hAnsi="Times New Roman Regular" w:cs="Times New Roman Regular"/>
          <w:b/>
          <w:bCs/>
          <w:sz w:val="24"/>
          <w:szCs w:val="24"/>
        </w:rPr>
      </w:pPr>
    </w:p>
    <w:p>
      <w:pPr>
        <w:spacing w:line="240" w:lineRule="auto"/>
        <w:jc w:val="both"/>
        <w:rPr>
          <w:rFonts w:hint="default" w:ascii="Times New Roman Regular" w:hAnsi="Times New Roman Regular" w:cs="Times New Roman Regular"/>
          <w:b/>
          <w:bCs/>
          <w:sz w:val="24"/>
          <w:szCs w:val="24"/>
        </w:rPr>
        <w:sectPr>
          <w:pgSz w:w="11910" w:h="16840"/>
          <w:pgMar w:top="1340" w:right="1320" w:bottom="1620" w:left="1340" w:header="0" w:footer="1417" w:gutter="0"/>
          <w:pgBorders w:offsetFrom="page">
            <w:top w:val="single" w:color="000000" w:sz="4" w:space="24"/>
            <w:left w:val="single" w:color="000000" w:sz="4" w:space="24"/>
            <w:bottom w:val="single" w:color="000000" w:sz="4" w:space="24"/>
            <w:right w:val="single" w:color="000000" w:sz="4" w:space="24"/>
          </w:pgBorders>
          <w:cols w:space="720" w:num="1"/>
        </w:sectPr>
      </w:pPr>
    </w:p>
    <w:p>
      <w:pPr>
        <w:spacing w:line="240" w:lineRule="auto"/>
        <w:jc w:val="both"/>
        <w:rPr>
          <w:rFonts w:hint="default" w:ascii="Times New Roman Regular" w:hAnsi="Times New Roman Regular" w:cs="Times New Roman Regular"/>
          <w:b/>
          <w:bCs/>
          <w:sz w:val="24"/>
          <w:szCs w:val="24"/>
          <w:lang w:val="en-US" w:eastAsia="zh-Hans"/>
        </w:rPr>
      </w:pPr>
      <w:r>
        <w:rPr>
          <w:rFonts w:hint="default" w:ascii="Times New Roman Regular" w:hAnsi="Times New Roman Regular" w:cs="Times New Roman Regular"/>
          <w:b/>
          <w:bCs/>
          <w:sz w:val="24"/>
          <w:szCs w:val="24"/>
        </w:rPr>
        <w:t xml:space="preserve">Part </w:t>
      </w:r>
      <w:r>
        <w:rPr>
          <w:rFonts w:hint="default" w:ascii="Times New Roman Regular" w:hAnsi="Times New Roman Regular" w:cs="Times New Roman Regular"/>
          <w:b/>
          <w:bCs/>
          <w:sz w:val="24"/>
          <w:szCs w:val="24"/>
        </w:rPr>
        <w:t>2</w:t>
      </w:r>
      <w:r>
        <w:rPr>
          <w:rFonts w:hint="default" w:ascii="Times New Roman Regular" w:hAnsi="Times New Roman Regular" w:cs="Times New Roman Regular"/>
          <w:b/>
          <w:bCs/>
          <w:sz w:val="24"/>
          <w:szCs w:val="24"/>
        </w:rPr>
        <w:t xml:space="preserve">. </w:t>
      </w:r>
      <w:r>
        <w:rPr>
          <w:rFonts w:hint="eastAsia" w:ascii="Times New Roman Regular" w:hAnsi="Times New Roman Regular" w:cs="Times New Roman Regular"/>
          <w:b/>
          <w:bCs/>
          <w:sz w:val="24"/>
          <w:szCs w:val="24"/>
          <w:lang w:val="en-US" w:eastAsia="zh-Hans"/>
        </w:rPr>
        <w:t>Research</w:t>
      </w:r>
      <w:r>
        <w:rPr>
          <w:rFonts w:hint="default" w:ascii="Times New Roman Regular" w:hAnsi="Times New Roman Regular" w:cs="Times New Roman Regular"/>
          <w:b/>
          <w:bCs/>
          <w:sz w:val="24"/>
          <w:szCs w:val="24"/>
          <w:lang w:eastAsia="zh-Hans"/>
        </w:rPr>
        <w:t xml:space="preserve"> </w:t>
      </w:r>
      <w:r>
        <w:rPr>
          <w:rFonts w:hint="eastAsia" w:ascii="Times New Roman Regular" w:hAnsi="Times New Roman Regular" w:cs="Times New Roman Regular"/>
          <w:b/>
          <w:bCs/>
          <w:sz w:val="24"/>
          <w:szCs w:val="24"/>
          <w:lang w:val="en-US" w:eastAsia="zh-Hans"/>
        </w:rPr>
        <w:t>Methodology</w:t>
      </w:r>
    </w:p>
    <w:p>
      <w:pPr>
        <w:spacing w:line="240" w:lineRule="auto"/>
        <w:jc w:val="both"/>
        <w:rPr>
          <w:rFonts w:hint="default" w:ascii="Times New Roman Regular" w:hAnsi="Times New Roman Regular" w:cs="Times New Roman Regular"/>
          <w:b/>
          <w:bCs/>
          <w:sz w:val="24"/>
          <w:szCs w:val="24"/>
          <w:lang w:val="en-US" w:eastAsia="zh-Hans"/>
        </w:rPr>
      </w:pPr>
    </w:p>
    <w:p>
      <w:pPr>
        <w:spacing w:line="240" w:lineRule="auto"/>
        <w:jc w:val="both"/>
        <w:rPr>
          <w:rFonts w:hint="default" w:ascii="Times New Roman Regular" w:hAnsi="Times New Roman Regular" w:cs="Times New Roman Regular"/>
          <w:b/>
          <w:bCs/>
          <w:sz w:val="24"/>
          <w:szCs w:val="24"/>
          <w:lang w:val="en-US" w:eastAsia="zh-Hans"/>
        </w:rPr>
      </w:pPr>
    </w:p>
    <w:p>
      <w:pPr>
        <w:widowControl w:val="0"/>
        <w:numPr>
          <w:ilvl w:val="0"/>
          <w:numId w:val="0"/>
        </w:numPr>
        <w:autoSpaceDE w:val="0"/>
        <w:autoSpaceDN w:val="0"/>
        <w:spacing w:line="240" w:lineRule="auto"/>
        <w:jc w:val="both"/>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val="en-US" w:eastAsia="zh-Hans"/>
        </w:rPr>
        <w:t xml:space="preserve">1. Introduction </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The methodology is a theoretical system or system that aims to solve problems and usually involves discussing problem phases, tasks, tools, and methodological techniques. The methodology is both a philosophical concept and several research strategies. A methodology will analyse and study-specific methods, systematically summarise them and ultimately set out more general principles. At an operational level, the methodology focuses on the procedures and steps in the research process and is a theory of the fundamental methods of knowing and doing.</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In this paper, I will go through the philosophy of research, the research methodology, the three strategies of qualitative research, the corresponding detailed data collection and analysis process and the related methodological and ethical reflections. I will attempt to analyse the research strategies I used in my qualitative research, including ethnographic and narrative research. My research utilises ethnography predominantly and is, therefore, more descriptive of ethnography.</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4"/>
        </w:numPr>
        <w:autoSpaceDE w:val="0"/>
        <w:autoSpaceDN w:val="0"/>
        <w:spacing w:line="240" w:lineRule="auto"/>
        <w:jc w:val="both"/>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val="en-US" w:eastAsia="zh-Hans"/>
        </w:rPr>
        <w:t xml:space="preserve">Research Philosophy and Research method </w:t>
      </w:r>
    </w:p>
    <w:p>
      <w:pPr>
        <w:widowControl w:val="0"/>
        <w:numPr>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 xml:space="preserve">During a research project, the first step is to determine the intellectual philosophy of the research, followed by a consideration of the research strategies to be used and the identification of specific research methods. The knowledge perspective is the researcher's hypothesis about the research project and how it will be obtained. This view of knowledge can be called paradigms (Lincoln &amp; Guba, 2000; Mertens, 1998). Or it can be called philosophical assumptions, or ontology (Crotty, 1998), epistemology, value theory, rhetoric and methodology. There are four primary schools of alternative views of knowledge: post-positivism, constructivism, advocacy/participatory, and pragmatism. </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These methodologies use specific methods to collect data to answer research questions. As the various research guidelines and emphases of different research strategies differ, the bias of the research content will also vary. The choice of the research strategy is applied throughout the research process, which encompasses the type of question, data collection, data analysis, interpretation and validation of results, and ethically relevant issues. There are several methodological strategies in existence, with the most widely used division of research strategies being Creswell's five 'traditional' research methods (Creswell, 1998). These are narrative, phenomenological, ethnographic, case studies and rooted theory. These five research strategies address different research questions concerning different research content. Specifically, firstly, a researcher who needs to understand the culturally shared behaviour of an individual or group can choose ethnography. Secondly, research into individuals can choose narrative methods and phenomenology. Third, exploring processes, activities, and events can be done by choosing case studies and rooted theory. My methodology is chosen from Creswell's five research methods.</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 </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The research methods encompass quantitative research, qualitative research and mixed research. Research methods generally involve identifying a problem, defining the research, collecting data, analysing the data and interpreting the results. Quantitative research involves formulating a research question or hypothesis, conducting experiments employing data-based measurements and interpreting statistical analysis results. Unlike quantitative research methods, qualitative research methods ask exploratory, overarching questions. The researcher participates as an observer, collecting data through interviews and observations and asking research subjects open-ended research questions with tools such as interview outlines, focus group discussion outlines or questionnaires. The formation of mixed methods originated from a paradigm battle between the ontological and epistemological levels of qualitative and quantitative research. Later on, in the two traditional paradigms of quantitative and qualitative, researchers in academic research attempted to synthesise the two methods to bridge the gap between the two and to form a middle course in philosophy and methodology for pragmatism. The research method used in my study is mixed research, but in this section, I only describe the qualitative research methods I use.</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4"/>
        </w:numPr>
        <w:autoSpaceDE w:val="0"/>
        <w:autoSpaceDN w:val="0"/>
        <w:spacing w:line="240" w:lineRule="auto"/>
        <w:jc w:val="both"/>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val="en-US" w:eastAsia="zh-Hans"/>
        </w:rPr>
        <w:t xml:space="preserve">Research strategies about Ethnography </w:t>
      </w:r>
    </w:p>
    <w:p>
      <w:pPr>
        <w:widowControl w:val="0"/>
        <w:numPr>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One of the supports and contributions of anthropological research is the 'ethnography' that is the hallmark of the discipline. Most of the data collection and analysis of handicrafts has been conducted using qualitative research methods, more often than not using ethnographic research strategies commonly used in anthropology. For my research, it is necessary to use ethnography as a methodological approach to crafts as part of the culture and for a specific cultural group. Furthermore, one of my research questions is to understand the users and stakeholders of handicrafts and the users and stakeholders of virtual reality technology applications in handicrafts, whose social relationship map requires an ethnographic approach even more. Therefore, my research is mainly based on related ethnographic methods.</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Ethnography is a systematic method of research and investigation for a specific society, community or culture and is descriptive research. Specifically, the researcher must integrate into a specific group of people and write about what he or she has seen and experienced in a different place for people like himself or herself to read. This kind of writing is classified as 'ethnography'. In the 'Introduction' to Mariinowski's The Navigators of the Western Pacific, he sums up his fieldwork experience and establishes the criteria for an 'ethnography of scientific anthropology'. Malinowski believed that a scientific ethnography must unite the subject of data collection with the subject of theoretical research (Malinowski, 1922). However, Urry (1993), a professor of anthropology at Oxford University, criticised Malinowski, arguing that Malinowski's textual and scholarly contextualisation proved that his so-called scientific ethnography was both poetic and political.</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The core of ethnography also lies in the fieldwork of data collection and written ethnography, the essential methods being participant observation, interviews and written ethnography. According to Geertz (1973), ethnography depicts people's lives and experiences. It interprets the practices of people in cultural contexts. Clifford Geertz sees deep description as an interpretive meaning that reveals the activities and relevant social discourses of the subject of study before constructing a system of analysis. It is both a research process and method for conducting ethnographic research and an expression of cultural interpretation, and the outcome of the research process is ethnography.</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val="en-US" w:eastAsia="zh-Hans"/>
        </w:rPr>
        <w:t xml:space="preserve">3.1 Data Collection and Data Analysis </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The collection of ethnographic data requires long periods of fieldwork, including living in the area and participating in observations, observing the daily lives of local people, as well as essential ceremonies. The researcher attempts to immerse themselves in the lives of the local people, conducting participant observation and interviews through a 'master' perspective. My research methodology was primarily ethnographic fieldwork, using participant observation and interviews.</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The first step is to enter the investigation community by finding a consultant or reporter who is knowledgeable about the local culture. or reporters. Secondly, when the researcher enters the local community, there may be a culture shock between what he or she knows and the culture of the local people. Some culture shock may occur when the researcher behaves in a way incompatible with the local people, which can be detrimental to the research. This is why there is a need to have a basic understanding of the local area of the research prior to the research. Also, one of the most important things going into the research is the need to establish a harmonious and close relationship with the local people, to document and understand the local culture through participation and observation. Ultimately, the researcher must reach a cultural understanding of the community or group and document, write and analyse the local culture. The ultimate aim is for people from outside who are unaware of these cultures to have a clear understanding of the community or group in which they are written through ethnographies in which the researcher writes texts.</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The method used in ethnography is participant observation. Firstly, it is essential to identify the questions to be observed, plan the observation and design an outline before the observation. Secondly, the observation can be conducted in an open-ended manner with a gradual focus. Interviews are divided into individual interviews and focus group interviews. The purpose of the interview is to gain an indigenous/primary perspective and understand people's immediate thoughts about behaviour, circumstances, identities and events; good listening skills are comparable. Essentially informal, conversational and open-ended questions, open-ended questions can lead the interviewee to narrate more information. In addition, the researcher needs to gather other supporting materials to provide context and supplementary material, including local histories. Supplementary materials help the researcher learn more about the local environment and background information on specific human artefacts or cultures.</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After gathering information through participant observation and interviews, the researcher will need to write field notes. Field notes collect information from the researcher's notes, audio recordings, video recordings, and behavioural classification lists during the survey. The content of field notes includes a summary of the investigation process, a description of events (including details and comprehensive information); an analysis of observations and social relationships; and personal reflections on the study. A good researcher needs to keep a field diary of the research and a personal reflection. Sch枚n suggests that reflective practise is a dialogue between reflection and action and that people can become more skilful through reflection. (Elizabeth, 2007) Many scholars argue that reflection is sometimes adequate for learning, professional development and anything related to experience.</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Bold" w:hAnsi="Times New Roman Bold" w:cs="Times New Roman Bold"/>
          <w:b/>
          <w:bCs/>
          <w:sz w:val="24"/>
          <w:szCs w:val="24"/>
          <w:lang w:val="en-US" w:eastAsia="zh-Hans"/>
        </w:rPr>
      </w:pPr>
    </w:p>
    <w:p>
      <w:pPr>
        <w:widowControl w:val="0"/>
        <w:numPr>
          <w:ilvl w:val="0"/>
          <w:numId w:val="0"/>
        </w:numPr>
        <w:autoSpaceDE w:val="0"/>
        <w:autoSpaceDN w:val="0"/>
        <w:spacing w:line="240" w:lineRule="auto"/>
        <w:jc w:val="both"/>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eastAsia="zh-Hans"/>
        </w:rPr>
        <w:t>3</w:t>
      </w:r>
      <w:r>
        <w:rPr>
          <w:rFonts w:hint="eastAsia" w:ascii="Times New Roman Bold" w:hAnsi="Times New Roman Bold" w:cs="Times New Roman Bold"/>
          <w:b/>
          <w:bCs/>
          <w:sz w:val="24"/>
          <w:szCs w:val="24"/>
          <w:lang w:val="en-US" w:eastAsia="zh-Hans"/>
        </w:rPr>
        <w:t>.</w:t>
      </w:r>
      <w:r>
        <w:rPr>
          <w:rFonts w:hint="default" w:ascii="Times New Roman Bold" w:hAnsi="Times New Roman Bold" w:cs="Times New Roman Bold"/>
          <w:b/>
          <w:bCs/>
          <w:sz w:val="24"/>
          <w:szCs w:val="24"/>
          <w:lang w:eastAsia="zh-Hans"/>
        </w:rPr>
        <w:t>2</w:t>
      </w:r>
      <w:r>
        <w:rPr>
          <w:rFonts w:hint="default" w:ascii="Times New Roman Bold" w:hAnsi="Times New Roman Bold" w:cs="Times New Roman Bold"/>
          <w:b/>
          <w:bCs/>
          <w:sz w:val="24"/>
          <w:szCs w:val="24"/>
          <w:lang w:val="en-US" w:eastAsia="zh-Hans"/>
        </w:rPr>
        <w:t xml:space="preserve"> Strengths and weaknesses of ethnography</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One of the strengths of ethnographic research is that it can explain the complexity of group behaviour and show the quality of group experience. This is because ethnographic research methods allow for an examination of the values and meanings of the overall life of the subject of the study from a primary perspective. Specifically, ethnographic research allows for a detailed understanding of group behaviour and experience and, through analysis, can provide insight into the reasons behind these behaviours and experiences. The ethnographic approach is one in which all perspectives attempt to unfold in an open mode to explore more possibilities for research. This approach is best suited to describing, explaining, contextualising and gaining insight into particular concepts or phenomena.</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The limitations of the ethnographic approach are the long duration of the fieldwork and the extreme demands placed on the researcher. The first disadvantage is that in-depth research requires the researcher to stay in the field of study for at least a year or two, or even longer. The second disadvantage is that usually, researchers in qualitative research need to be well trained. Otherwise, it is not easy to identify critical points in the research process. The untrained researcher may be unable to ask good research questions, and the final results will lack credibility.</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My research used participant observation, interviews, etc. Through these methods, I got to know the stakeholders and did the research requirements of participant observation and interviews. I followed a year-long project with a craft-related researcher for my fieldwork training and learnt the anthropological fieldwork manual. I began my research based on this understanding.</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However, due to time and geographical constraints, I only had about six months of in-depth research. The next 3-5 months were spent online asking participants for information about their research and other supplementary materials. The overall time spent in the field was less than a year, probably only field research in terms of time and not yet the time required for ethnography. And because virtual reality systems are rarely used throughout Henan, there is a lack of opportunity for semi-immersive and fully immersive virtual reality systems to be investigated. In addition, there are two types of users of virtual reality systems for research: online and offline. Therefore, the methodological application of ethnography requires a combination of offline and online ethnography for my research. Therefore, I need to learn the difference between online and offline ethnography.</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val="en-US" w:eastAsia="zh-Hans"/>
        </w:rPr>
        <w:t>3.3 conclusion</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Ethnography is a bottom-up perspective in which the researcher conducts a multi-point research exploration by understanding the local people through their understanding. A holism seeks connections between different periods and spheres of social life. Ethnographic research aims to provide a detailed understanding of the cultural groups in their environment in terms of the situation in which the research subjects find themselves, providing a description of their daily lives, values, beliefs and behaviours.</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In general, the ethnographic method is a type of qualitative research method. Ethnography is characterised by participatory observation and interviews for a small community or communal studies, the exploration of multiple points of research from a bottom-up perspective, and a holistic conception.</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eastAsia="zh-Hans"/>
        </w:rPr>
        <w:t>4</w:t>
      </w:r>
      <w:r>
        <w:rPr>
          <w:rFonts w:hint="default" w:ascii="Times New Roman Bold" w:hAnsi="Times New Roman Bold" w:cs="Times New Roman Bold"/>
          <w:b/>
          <w:bCs/>
          <w:sz w:val="24"/>
          <w:szCs w:val="24"/>
          <w:lang w:val="en-US" w:eastAsia="zh-Hans"/>
        </w:rPr>
        <w:t>.</w:t>
      </w:r>
      <w:r>
        <w:rPr>
          <w:rFonts w:hint="default" w:ascii="Times New Roman Bold" w:hAnsi="Times New Roman Bold" w:cs="Times New Roman Bold"/>
          <w:b/>
          <w:bCs/>
          <w:sz w:val="24"/>
          <w:szCs w:val="24"/>
          <w:lang w:eastAsia="zh-Hans"/>
        </w:rPr>
        <w:t xml:space="preserve"> </w:t>
      </w:r>
      <w:r>
        <w:rPr>
          <w:rFonts w:hint="default" w:ascii="Times New Roman Bold" w:hAnsi="Times New Roman Bold" w:cs="Times New Roman Bold"/>
          <w:b/>
          <w:bCs/>
          <w:sz w:val="24"/>
          <w:szCs w:val="24"/>
          <w:lang w:val="en-US" w:eastAsia="zh-Hans"/>
        </w:rPr>
        <w:t>Research strategies about narrative Inquiry</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Traditional handicrafts, once a narrative product of national culture and with a national basis, are becoming more and more distant from the public as a result of social and industrialisation. Increasingly, traditional handicrafts are being sent to museums, and their original narrative is gradually dissolving. The display of the production of traditional handicrafts tends to be static, and the form of communication is relatively homogeneous. Even though some cultural heritage has been applied with technologies related to virtual reality systems, there is also an urgent need for narrative exploitation, in which crafts and people can establish a connection with narrative in their presentation. Moreover, excavating the original narrative of crafts and their narrative as virtual reality requires the adoption of a narrative research methodology.</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Researchers have mostly looked at the digital development of crafts from a technological perspective, and fewer studies have looked at the relationship between traditional crafts and the people on top of the technological focus. Moreover, narrative studies in the cultural field are more often narrative studies of objects and scenes of cultural heritage, mostly architectural aspects and mythological stories associated with them. The research in this paper, while focusing on technology, takes a narrative perspective and incorporates narrative as part of how the relationship between artefacts and the people is shaped and perceived by the people in the application of virtual reality systems, such as museum visits, game design, etc.</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Narrative research is a form of research in which the researcher investigates and studies the life stories of individuals. The researcher asks individuals about their lives, then relays or rewrites the information in a narrative chronology, and finally, through this narrative method, connects the participants' lives and their perspectives with those of the researcher into a new narrative (Clandinin &amp; Connelly, 2000).   </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val="en-US" w:eastAsia="zh-Hans"/>
        </w:rPr>
        <w:t xml:space="preserve">4.1 Data Collection and Data Analysis </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When collecting data for narrative research, storytellers tell stories that follow certain storytelling conventions. First, the characters portrayed in the story; second, the scene in which the story takes place. Third, the plot events portrayed in the story point to an explanation; fourth, the chronology of events; and fifth, the meaning and value of the experience described in the story. The narrative process is described according to the whole course of the timeline, and these processes are the interviewees' elaboration of the process of some event or phenomenon. The researcher makes judgements about the content of the information interpreted by the interviewees and needs to analyse the perceptions and emotions reflected in the interviews. The narrative analysis emphasises the interviewee's personal feelings and the meaning projected in the narrative process. Narrative analysis is the process by which different interviewers reflect the messages behind certain events. These messages may be a reflection of values or attitudes.</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Different scholars have different perspectives on narrative analysis; Bamberg sees stories as 'data' and uses 'analysis' to identify themes within or between stories, describing genre stories, storylines and or plots. (Bamberg, 2016). However, Polkinghorne prefers the term 'narrative being analysed' rather than 'narrative analysis'. "The term 'narrative being analysed' better represents the typical forms of expression and procedures of such narratives. (Polkinghorne, 1995) </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val="en-US" w:eastAsia="zh-Hans"/>
        </w:rPr>
        <w:t>4.2 Strengths and weaknesses of narrative research</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One of the strengths of narrative research is that narrative can be used as an informative expression of story elements that reproduce the world as perceived and experienced by the narrator. Another advantage of the narrative is that it can be used to construct perceptions and shape relationships. A disadvantage of the narrative is the narrator's subjective consciousness and lack of objectivity. Another disadvantage is that narratives have much detail that needs to be paid attention to and is very demanding on the analyst of the narrative, who needs to have the ability to organise and extract the story.</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In my research, I have focused on people's everyday life, including the interpretation of traditional handicrafts and the behavioural layer of the production process of the inheritors. The content of the traditional handicrafts is mainly extracted from the meaning of shapes, patterns and material elements, as well as the narrative of the reduction of the craft-making process. Traditional handicrafts generally contain local explicit and invisible cultural symbols that can stimulate the viewer's memories and imagination. However, I should also pay more attention to interactive narratives in virtual reality to further understand the behavioural experience process of user interaction narratives. Furthermore, I also need to focus on classifying the narratives of crafts for the different experiential latitudes of interactive narratives.</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val="en-US" w:eastAsia="zh-Hans"/>
        </w:rPr>
        <w:t>4.3 Conclusion</w:t>
      </w:r>
    </w:p>
    <w:p>
      <w:pPr>
        <w:widowControl w:val="0"/>
        <w:numPr>
          <w:ilvl w:val="0"/>
          <w:numId w:val="0"/>
        </w:numPr>
        <w:autoSpaceDE w:val="0"/>
        <w:autoSpaceDN w:val="0"/>
        <w:spacing w:line="240" w:lineRule="auto"/>
        <w:jc w:val="both"/>
        <w:rPr>
          <w:rFonts w:hint="default" w:ascii="Times New Roman Bold" w:hAnsi="Times New Roman Bold" w:cs="Times New Roman Bold"/>
          <w:b/>
          <w:bCs/>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The narrative is not just about telling stories but, more importantly, about being perceived and experienced through the meaning embodied in the storytelling. The narrative is a theoretical expression of human communication of behaviour. People construct their own histories through narrative, including symbolic, behavioural and cultural phenomena.</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eastAsia="zh-Hans"/>
        </w:rPr>
        <w:t>5</w:t>
      </w:r>
      <w:r>
        <w:rPr>
          <w:rFonts w:hint="default" w:ascii="Times New Roman Bold" w:hAnsi="Times New Roman Bold" w:cs="Times New Roman Bold"/>
          <w:b/>
          <w:bCs/>
          <w:sz w:val="24"/>
          <w:szCs w:val="24"/>
          <w:lang w:val="en-US" w:eastAsia="zh-Hans"/>
        </w:rPr>
        <w:t>. Validity and Ethical Considerations</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The validity issue in qualitative research concerns the research's authenticity and reliability (Lincoln &amp; Guba, 1985). The basic principle is to examine whether the researcher and the researched describe objective facts about each other. And whether the researcher presents the material truthfully, with evidence, and presents an opinion based on the evidence. Specifically, the validity of qualitative research is used to evaluate the extent to which the research report conforms to the actual study. In research, the researcher must report the research truthfully and reflectively during the research process. What is reported must be described from the primary perspective of the person being researched.</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The results of the study may lack authenticity in the research due to issues of memory, research effects, cultural presuppositions, indirect sources, etc. Therefore, the researcher needs to consider the study's validity in multiple ways during the research process.</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Ethical and moral issues that need to be considered in the qualitative research process include the following. Whether the participants (research subjects) understand what the research involves, sign an informed consent form and understand that the purpose of informed consent is that it may not harm the participants in the study. Whether the research is unduly invasive of the group. Because field notes are records of events in the daily lives of local people or important ceremonial activities, if these practices infringe on or alter local people's behaviour, these research acts are discouraged in field ethics. Moreover, ethical and moral behaviour is an issue that both the researcher and the researcher need to be aware of.</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5"/>
        </w:numPr>
        <w:autoSpaceDE w:val="0"/>
        <w:autoSpaceDN w:val="0"/>
        <w:spacing w:line="240" w:lineRule="auto"/>
        <w:jc w:val="both"/>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val="en-US" w:eastAsia="zh-Hans"/>
        </w:rPr>
        <w:t xml:space="preserve">Conclusion </w:t>
      </w:r>
    </w:p>
    <w:p>
      <w:pPr>
        <w:widowControl w:val="0"/>
        <w:numPr>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r>
        <w:rPr>
          <w:rFonts w:hint="default" w:ascii="Times New Roman Regular" w:hAnsi="Times New Roman Regular" w:cs="Times New Roman Regular"/>
          <w:b w:val="0"/>
          <w:bCs w:val="0"/>
          <w:sz w:val="24"/>
          <w:szCs w:val="24"/>
          <w:lang w:val="en-US" w:eastAsia="zh-Hans"/>
        </w:rPr>
        <w:t>In this paper, I have analysed research paradigms, methods, the methodological processes and strengths and weaknesses of ethnographic and narrative research, and the associated ethical issues. The researcher needs to reflect on the use of research methods in the process of practice, and it is through reflection that the researcher should find details of the research process that need to be optimised as a guide for future research. Through this re-conceptualisation of research methods and my reflection on some of the problems in using these methods, I have also identified areas of research that need additional attention in my research.</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sz w:val="24"/>
          <w:szCs w:val="24"/>
          <w:lang w:val="en-US" w:eastAsia="zh-Hans"/>
        </w:rPr>
      </w:pPr>
    </w:p>
    <w:p>
      <w:pPr>
        <w:widowControl w:val="0"/>
        <w:numPr>
          <w:ilvl w:val="0"/>
          <w:numId w:val="0"/>
        </w:numPr>
        <w:autoSpaceDE w:val="0"/>
        <w:autoSpaceDN w:val="0"/>
        <w:spacing w:line="240" w:lineRule="auto"/>
        <w:jc w:val="both"/>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eastAsia="zh-Hans"/>
        </w:rPr>
        <w:t>7</w:t>
      </w:r>
      <w:r>
        <w:rPr>
          <w:rFonts w:hint="default" w:ascii="Times New Roman Bold" w:hAnsi="Times New Roman Bold" w:cs="Times New Roman Bold"/>
          <w:b/>
          <w:bCs/>
          <w:sz w:val="24"/>
          <w:szCs w:val="24"/>
          <w:lang w:val="en-US" w:eastAsia="zh-Hans"/>
        </w:rPr>
        <w:t>.</w:t>
      </w:r>
      <w:r>
        <w:rPr>
          <w:rFonts w:hint="default" w:ascii="Times New Roman Bold" w:hAnsi="Times New Roman Bold" w:cs="Times New Roman Bold"/>
          <w:b/>
          <w:bCs/>
          <w:sz w:val="24"/>
          <w:szCs w:val="24"/>
          <w:lang w:eastAsia="zh-Hans"/>
        </w:rPr>
        <w:t xml:space="preserve"> </w:t>
      </w:r>
      <w:r>
        <w:rPr>
          <w:rFonts w:hint="default" w:ascii="Times New Roman Bold" w:hAnsi="Times New Roman Bold" w:cs="Times New Roman Bold"/>
          <w:b/>
          <w:bCs/>
          <w:sz w:val="24"/>
          <w:szCs w:val="24"/>
          <w:lang w:val="en-US" w:eastAsia="zh-Hans"/>
        </w:rPr>
        <w:t>List</w:t>
      </w:r>
      <w:r>
        <w:rPr>
          <w:rFonts w:hint="default" w:ascii="Times New Roman Bold" w:hAnsi="Times New Roman Bold" w:cs="Times New Roman Bold"/>
          <w:b/>
          <w:bCs/>
          <w:sz w:val="24"/>
          <w:szCs w:val="24"/>
          <w:lang w:eastAsia="zh-Hans"/>
        </w:rPr>
        <w:t xml:space="preserve"> </w:t>
      </w:r>
      <w:r>
        <w:rPr>
          <w:rFonts w:hint="default" w:ascii="Times New Roman Bold" w:hAnsi="Times New Roman Bold" w:cs="Times New Roman Bold"/>
          <w:b/>
          <w:bCs/>
          <w:sz w:val="24"/>
          <w:szCs w:val="24"/>
          <w:lang w:val="en-US" w:eastAsia="zh-Hans"/>
        </w:rPr>
        <w:t>of</w:t>
      </w:r>
      <w:r>
        <w:rPr>
          <w:rFonts w:hint="default" w:ascii="Times New Roman Bold" w:hAnsi="Times New Roman Bold" w:cs="Times New Roman Bold"/>
          <w:b/>
          <w:bCs/>
          <w:sz w:val="24"/>
          <w:szCs w:val="24"/>
          <w:lang w:eastAsia="zh-Hans"/>
        </w:rPr>
        <w:t xml:space="preserve"> </w:t>
      </w:r>
      <w:r>
        <w:rPr>
          <w:rFonts w:hint="default" w:ascii="Times New Roman Bold" w:hAnsi="Times New Roman Bold" w:cs="Times New Roman Bold"/>
          <w:b/>
          <w:bCs/>
          <w:sz w:val="24"/>
          <w:szCs w:val="24"/>
          <w:lang w:val="en-US" w:eastAsia="zh-Hans"/>
        </w:rPr>
        <w:t>reference</w:t>
      </w:r>
    </w:p>
    <w:p>
      <w:pPr>
        <w:widowControl w:val="0"/>
        <w:numPr>
          <w:ilvl w:val="0"/>
          <w:numId w:val="0"/>
        </w:numPr>
        <w:autoSpaceDE w:val="0"/>
        <w:autoSpaceDN w:val="0"/>
        <w:spacing w:line="240" w:lineRule="auto"/>
        <w:jc w:val="both"/>
        <w:rPr>
          <w:rFonts w:hint="eastAsia" w:ascii="Times New Roman Regular" w:hAnsi="Times New Roman Regular" w:cs="Times New Roman Regular"/>
          <w:b w:val="0"/>
          <w:bCs w:val="0"/>
          <w:sz w:val="24"/>
          <w:szCs w:val="24"/>
          <w:lang w:val="en-US" w:eastAsia="zh-Hans"/>
        </w:rPr>
      </w:pPr>
    </w:p>
    <w:p>
      <w:pPr>
        <w:keepNext w:val="0"/>
        <w:keepLines w:val="0"/>
        <w:widowControl/>
        <w:suppressLineNumbers w:val="0"/>
        <w:jc w:val="left"/>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jc w:val="left"/>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t>Anthony Pryce (2003) ‘Handbook of Qualitative Research’, </w:t>
      </w:r>
      <w:r>
        <w:rPr>
          <w:rFonts w:hint="default" w:ascii="Times New Roman Regular" w:hAnsi="Times New Roman Regular" w:eastAsia="Source Sans Pro" w:cs="Times New Roman Regular"/>
          <w:i/>
          <w:caps w:val="0"/>
          <w:color w:val="000000" w:themeColor="text1"/>
          <w:spacing w:val="0"/>
          <w:kern w:val="0"/>
          <w:sz w:val="24"/>
          <w:szCs w:val="24"/>
          <w:shd w:val="clear" w:fill="FFFFFF"/>
          <w:lang w:val="en-US" w:eastAsia="zh-CN" w:bidi="ar"/>
          <w14:textFill>
            <w14:solidFill>
              <w14:schemeClr w14:val="tx1"/>
            </w14:solidFill>
          </w14:textFill>
        </w:rPr>
        <w:t>Nursing inquiry</w:t>
      </w: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t>, 10(3), p. 204–</w:t>
      </w: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eastAsia="zh-CN" w:bidi="ar"/>
          <w14:textFill>
            <w14:solidFill>
              <w14:schemeClr w14:val="tx1"/>
            </w14:solidFill>
          </w14:textFill>
        </w:rPr>
        <w:t>220</w:t>
      </w: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t>.</w:t>
      </w:r>
    </w:p>
    <w:p>
      <w:pPr>
        <w:keepNext w:val="0"/>
        <w:keepLines w:val="0"/>
        <w:widowControl/>
        <w:suppressLineNumbers w:val="0"/>
        <w:jc w:val="left"/>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jc w:val="left"/>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t>Bamberg, M. and Demuth, C. (2016) ‘Narrative Inquiry: An Interview With Michael Bamberg’, </w:t>
      </w:r>
      <w:r>
        <w:rPr>
          <w:rFonts w:hint="default" w:ascii="Times New Roman Regular" w:hAnsi="Times New Roman Regular" w:eastAsia="Source Sans Pro" w:cs="Times New Roman Regular"/>
          <w:i/>
          <w:caps w:val="0"/>
          <w:color w:val="000000" w:themeColor="text1"/>
          <w:spacing w:val="0"/>
          <w:kern w:val="0"/>
          <w:sz w:val="24"/>
          <w:szCs w:val="24"/>
          <w:shd w:val="clear" w:fill="FFFFFF"/>
          <w:lang w:val="en-US" w:eastAsia="zh-CN" w:bidi="ar"/>
          <w14:textFill>
            <w14:solidFill>
              <w14:schemeClr w14:val="tx1"/>
            </w14:solidFill>
          </w14:textFill>
        </w:rPr>
        <w:t>Europe’s journal of psychology</w:t>
      </w: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t>, 12(1), pp. 14–28. doi:10.5964/ejop.v12i1.1128.</w:t>
      </w:r>
    </w:p>
    <w:p>
      <w:pPr>
        <w:keepNext w:val="0"/>
        <w:keepLines w:val="0"/>
        <w:widowControl/>
        <w:suppressLineNumbers w:val="0"/>
        <w:jc w:val="left"/>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jc w:val="left"/>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t>Clandinin, D.J. and Connelly, F.M. (2000)</w:t>
      </w: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eastAsia="zh-CN" w:bidi="ar"/>
          <w14:textFill>
            <w14:solidFill>
              <w14:schemeClr w14:val="tx1"/>
            </w14:solidFill>
          </w14:textFill>
        </w:rPr>
        <w:t xml:space="preserve">. </w:t>
      </w: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Hans" w:bidi="ar"/>
          <w14:textFill>
            <w14:solidFill>
              <w14:schemeClr w14:val="tx1"/>
            </w14:solidFill>
          </w14:textFill>
        </w:rPr>
        <w:t>‘</w:t>
      </w:r>
      <w:r>
        <w:rPr>
          <w:rFonts w:hint="default" w:ascii="Times New Roman Regular" w:hAnsi="Times New Roman Regular" w:eastAsia="Source Sans Pro" w:cs="Times New Roman Regular"/>
          <w:i/>
          <w:caps w:val="0"/>
          <w:color w:val="000000" w:themeColor="text1"/>
          <w:spacing w:val="0"/>
          <w:kern w:val="0"/>
          <w:sz w:val="24"/>
          <w:szCs w:val="24"/>
          <w:shd w:val="clear" w:fill="FFFFFF"/>
          <w:lang w:val="en-US" w:eastAsia="zh-CN" w:bidi="ar"/>
          <w14:textFill>
            <w14:solidFill>
              <w14:schemeClr w14:val="tx1"/>
            </w14:solidFill>
          </w14:textFill>
        </w:rPr>
        <w:t>Narrative inquiry: experience and story in qualitative research</w:t>
      </w: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t>. San Francisco: Jossey-Bass Publishers.</w:t>
      </w:r>
    </w:p>
    <w:p>
      <w:pPr>
        <w:keepNext w:val="0"/>
        <w:keepLines w:val="0"/>
        <w:widowControl/>
        <w:suppressLineNumbers w:val="0"/>
        <w:jc w:val="left"/>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jc w:val="left"/>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t>Creswell, J.W. (1998)</w:t>
      </w: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eastAsia="zh-CN" w:bidi="ar"/>
          <w14:textFill>
            <w14:solidFill>
              <w14:schemeClr w14:val="tx1"/>
            </w14:solidFill>
          </w14:textFill>
        </w:rPr>
        <w:t>. ‘</w:t>
      </w:r>
      <w:r>
        <w:rPr>
          <w:rFonts w:hint="default" w:ascii="Times New Roman Regular" w:hAnsi="Times New Roman Regular" w:eastAsia="Source Sans Pro" w:cs="Times New Roman Regular"/>
          <w:i/>
          <w:caps w:val="0"/>
          <w:color w:val="000000" w:themeColor="text1"/>
          <w:spacing w:val="0"/>
          <w:kern w:val="0"/>
          <w:sz w:val="24"/>
          <w:szCs w:val="24"/>
          <w:shd w:val="clear" w:fill="FFFFFF"/>
          <w:lang w:val="en-US" w:eastAsia="zh-CN" w:bidi="ar"/>
          <w14:textFill>
            <w14:solidFill>
              <w14:schemeClr w14:val="tx1"/>
            </w14:solidFill>
          </w14:textFill>
        </w:rPr>
        <w:t>Qualitative inquiry and research design: choosing among five traditions</w:t>
      </w:r>
      <w:r>
        <w:rPr>
          <w:rFonts w:hint="default" w:ascii="Times New Roman Regular" w:hAnsi="Times New Roman Regular" w:eastAsia="Source Sans Pro" w:cs="Times New Roman Regular"/>
          <w:i/>
          <w:caps w:val="0"/>
          <w:color w:val="000000" w:themeColor="text1"/>
          <w:spacing w:val="0"/>
          <w:kern w:val="0"/>
          <w:sz w:val="24"/>
          <w:szCs w:val="24"/>
          <w:shd w:val="clear" w:fill="FFFFFF"/>
          <w:lang w:eastAsia="zh-CN" w:bidi="ar"/>
          <w14:textFill>
            <w14:solidFill>
              <w14:schemeClr w14:val="tx1"/>
            </w14:solidFill>
          </w14:textFill>
        </w:rPr>
        <w:t>’</w:t>
      </w: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t>. Thousand Oaks, Calif.; London: Sage Publications.</w:t>
      </w:r>
    </w:p>
    <w:p>
      <w:pPr>
        <w:keepNext w:val="0"/>
        <w:keepLines w:val="0"/>
        <w:widowControl/>
        <w:suppressLineNumbers w:val="0"/>
        <w:jc w:val="left"/>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jc w:val="left"/>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t>Creswell, J.W. and Miller, D.L. (2000) ‘Determining Validity in Qualitative Inquiry’, </w:t>
      </w:r>
      <w:r>
        <w:rPr>
          <w:rFonts w:hint="default" w:ascii="Times New Roman Regular" w:hAnsi="Times New Roman Regular" w:eastAsia="Source Sans Pro" w:cs="Times New Roman Regular"/>
          <w:i/>
          <w:caps w:val="0"/>
          <w:color w:val="000000" w:themeColor="text1"/>
          <w:spacing w:val="0"/>
          <w:kern w:val="0"/>
          <w:sz w:val="24"/>
          <w:szCs w:val="24"/>
          <w:shd w:val="clear" w:fill="FFFFFF"/>
          <w:lang w:val="en-US" w:eastAsia="zh-CN" w:bidi="ar"/>
          <w14:textFill>
            <w14:solidFill>
              <w14:schemeClr w14:val="tx1"/>
            </w14:solidFill>
          </w14:textFill>
        </w:rPr>
        <w:t>Theory into practice</w:t>
      </w: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t>, 39(3), pp. 124–130. doi:10.1207/s15430421tip3903_2.</w:t>
      </w:r>
    </w:p>
    <w:p>
      <w:pPr>
        <w:jc w:val="left"/>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pP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Donald A. Schön, The Reflective Practitioner: How Professionals Think in Action (New York: Basic Books Inc., 1983) at 31.</w:t>
      </w:r>
    </w:p>
    <w:p>
      <w:pPr>
        <w:keepNext w:val="0"/>
        <w:keepLines w:val="0"/>
        <w:widowControl/>
        <w:suppressLineNumbers w:val="0"/>
        <w:jc w:val="left"/>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jc w:val="left"/>
        <w:rPr>
          <w:rFonts w:hint="default" w:ascii="Times New Roman Regular" w:hAnsi="Times New Roman Regular" w:eastAsia="PingFang SC" w:cs="Times New Roman Regular"/>
          <w:i w:val="0"/>
          <w:caps w:val="0"/>
          <w:color w:val="000000" w:themeColor="text1"/>
          <w:spacing w:val="0"/>
          <w:kern w:val="0"/>
          <w:sz w:val="24"/>
          <w:szCs w:val="24"/>
          <w:lang w:val="en-US" w:eastAsia="zh-CN" w:bidi="ar"/>
          <w14:textFill>
            <w14:solidFill>
              <w14:schemeClr w14:val="tx1"/>
            </w14:solidFill>
          </w14:textFill>
        </w:rPr>
      </w:pPr>
      <w:r>
        <w:rPr>
          <w:rFonts w:hint="default" w:ascii="Times New Roman Regular" w:hAnsi="Times New Roman Regular" w:eastAsia="PingFang SC" w:cs="Times New Roman Regular"/>
          <w:i w:val="0"/>
          <w:caps w:val="0"/>
          <w:color w:val="000000" w:themeColor="text1"/>
          <w:spacing w:val="0"/>
          <w:kern w:val="0"/>
          <w:sz w:val="24"/>
          <w:szCs w:val="24"/>
          <w:lang w:val="en-US" w:eastAsia="zh-CN" w:bidi="ar"/>
          <w14:textFill>
            <w14:solidFill>
              <w14:schemeClr w14:val="tx1"/>
            </w14:solidFill>
          </w14:textFill>
        </w:rPr>
        <w:t xml:space="preserve">Elizabeth Anne Kinsella, “Technical Rationality in Schön’s Reflective Practice: Dichotomous or Non-Dualistic </w:t>
      </w:r>
    </w:p>
    <w:p>
      <w:pPr>
        <w:keepNext w:val="0"/>
        <w:keepLines w:val="0"/>
        <w:widowControl/>
        <w:suppressLineNumbers w:val="0"/>
        <w:jc w:val="left"/>
        <w:rPr>
          <w:rFonts w:hint="default" w:ascii="Times New Roman Regular" w:hAnsi="Times New Roman Regular" w:eastAsia="PingFang SC" w:cs="Times New Roman Regular"/>
          <w:i w:val="0"/>
          <w:caps w:val="0"/>
          <w:color w:val="000000" w:themeColor="text1"/>
          <w:spacing w:val="0"/>
          <w:kern w:val="0"/>
          <w:sz w:val="24"/>
          <w:szCs w:val="24"/>
          <w:lang w:val="en-US" w:eastAsia="zh-CN" w:bidi="ar"/>
          <w14:textFill>
            <w14:solidFill>
              <w14:schemeClr w14:val="tx1"/>
            </w14:solidFill>
          </w14:textFill>
        </w:rPr>
      </w:pPr>
    </w:p>
    <w:p>
      <w:pPr>
        <w:keepNext w:val="0"/>
        <w:keepLines w:val="0"/>
        <w:widowControl/>
        <w:suppressLineNumbers w:val="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eastAsia="PingFang SC" w:cs="Times New Roman Regular"/>
          <w:i w:val="0"/>
          <w:caps w:val="0"/>
          <w:color w:val="000000" w:themeColor="text1"/>
          <w:spacing w:val="0"/>
          <w:kern w:val="0"/>
          <w:sz w:val="24"/>
          <w:szCs w:val="24"/>
          <w:lang w:val="en-US" w:eastAsia="zh-CN" w:bidi="ar"/>
          <w14:textFill>
            <w14:solidFill>
              <w14:schemeClr w14:val="tx1"/>
            </w14:solidFill>
          </w14:textFill>
        </w:rPr>
        <w:t>Epistemological Position” (2007) 8 Nursing Philosophy 102 at 108.</w:t>
      </w:r>
    </w:p>
    <w:p>
      <w:pPr>
        <w:keepNext w:val="0"/>
        <w:keepLines w:val="0"/>
        <w:widowControl/>
        <w:suppressLineNumbers w:val="0"/>
        <w:jc w:val="left"/>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t>Geertz, C. (1973) </w:t>
      </w:r>
      <w:r>
        <w:rPr>
          <w:rFonts w:hint="default" w:ascii="Times New Roman Regular" w:hAnsi="Times New Roman Regular" w:eastAsia="Source Sans Pro" w:cs="Times New Roman Regular"/>
          <w:i/>
          <w:caps w:val="0"/>
          <w:color w:val="000000" w:themeColor="text1"/>
          <w:spacing w:val="0"/>
          <w:kern w:val="0"/>
          <w:sz w:val="24"/>
          <w:szCs w:val="24"/>
          <w:shd w:val="clear" w:fill="FFFFFF"/>
          <w:lang w:val="en-US" w:eastAsia="zh-CN" w:bidi="ar"/>
          <w14:textFill>
            <w14:solidFill>
              <w14:schemeClr w14:val="tx1"/>
            </w14:solidFill>
          </w14:textFill>
        </w:rPr>
        <w:t>The interpretation of cultures selected essays</w:t>
      </w: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t>. 3rd ed. New York: Basic Books.</w:t>
      </w:r>
    </w:p>
    <w:p>
      <w:pPr>
        <w:keepNext w:val="0"/>
        <w:keepLines w:val="0"/>
        <w:widowControl/>
        <w:suppressLineNumbers w:val="0"/>
        <w:jc w:val="left"/>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jc w:val="left"/>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eastAsia="zh-CN" w:bidi="ar"/>
          <w14:textFill>
            <w14:solidFill>
              <w14:schemeClr w14:val="tx1"/>
            </w14:solidFill>
          </w14:textFill>
        </w:rPr>
      </w:pP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t>Herman, D. (2009) </w:t>
      </w:r>
      <w:r>
        <w:rPr>
          <w:rFonts w:hint="default" w:ascii="Times New Roman Regular" w:hAnsi="Times New Roman Regular" w:eastAsia="Source Sans Pro" w:cs="Times New Roman Regular"/>
          <w:i/>
          <w:caps w:val="0"/>
          <w:color w:val="000000" w:themeColor="text1"/>
          <w:spacing w:val="0"/>
          <w:kern w:val="0"/>
          <w:sz w:val="24"/>
          <w:szCs w:val="24"/>
          <w:shd w:val="clear" w:fill="FFFFFF"/>
          <w:lang w:val="en-US" w:eastAsia="zh-CN" w:bidi="ar"/>
          <w14:textFill>
            <w14:solidFill>
              <w14:schemeClr w14:val="tx1"/>
            </w14:solidFill>
          </w14:textFill>
        </w:rPr>
        <w:t>Basic elements of narrative</w:t>
      </w: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t>. Chichester: Wiley-Blackwell.</w:t>
      </w:r>
    </w:p>
    <w:p>
      <w:pPr>
        <w:keepNext w:val="0"/>
        <w:keepLines w:val="0"/>
        <w:widowControl/>
        <w:suppressLineNumbers w:val="0"/>
        <w:jc w:val="left"/>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eastAsia="zh-CN" w:bidi="ar"/>
          <w14:textFill>
            <w14:solidFill>
              <w14:schemeClr w14:val="tx1"/>
            </w14:solidFill>
          </w14:textFill>
        </w:rPr>
      </w:pPr>
    </w:p>
    <w:p>
      <w:pPr>
        <w:keepNext w:val="0"/>
        <w:keepLines w:val="0"/>
        <w:widowControl/>
        <w:suppressLineNumbers w:val="0"/>
        <w:jc w:val="left"/>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eastAsia="zh-CN"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Labov, W., &amp; Waletzky, J. (1997). Narrative analysis: Oral versions of personal experience.</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 xml:space="preserve"> 6(4). </w:t>
      </w:r>
      <w:r>
        <w:rPr>
          <w:rFonts w:hint="default" w:ascii="Times New Roman Regular" w:hAnsi="Times New Roman Regular" w:eastAsia="Noto Sans" w:cs="Times New Roman Regular"/>
          <w:i w:val="0"/>
          <w:caps w:val="0"/>
          <w:color w:val="000000" w:themeColor="text1"/>
          <w:spacing w:val="0"/>
          <w:sz w:val="24"/>
          <w:szCs w:val="24"/>
          <w:shd w:val="clear" w:fill="FFFFFF"/>
          <w14:textFill>
            <w14:solidFill>
              <w14:schemeClr w14:val="tx1"/>
            </w14:solidFill>
          </w14:textFill>
        </w:rPr>
        <w:t xml:space="preserve">p.3-38. </w:t>
      </w:r>
      <w:r>
        <w:rPr>
          <w:rStyle w:val="10"/>
          <w:rFonts w:hint="default" w:ascii="Times New Roman Regular" w:hAnsi="Times New Roman Regular" w:eastAsia="Noto Sans" w:cs="Times New Roman Regular"/>
          <w:b/>
          <w:i w:val="0"/>
          <w:caps w:val="0"/>
          <w:color w:val="000000" w:themeColor="text1"/>
          <w:spacing w:val="0"/>
          <w:sz w:val="24"/>
          <w:szCs w:val="24"/>
          <w:shd w:val="clear" w:fill="FFFFFF"/>
          <w14:textFill>
            <w14:solidFill>
              <w14:schemeClr w14:val="tx1"/>
            </w14:solidFill>
          </w14:textFill>
        </w:rPr>
        <w:t>DOI:</w:t>
      </w:r>
      <w:r>
        <w:rPr>
          <w:rFonts w:hint="default" w:ascii="Times New Roman Regular" w:hAnsi="Times New Roman Regular" w:eastAsia="Noto Sans" w:cs="Times New Roman Regular"/>
          <w:i w:val="0"/>
          <w:caps w:val="0"/>
          <w:color w:val="000000" w:themeColor="text1"/>
          <w:spacing w:val="0"/>
          <w:sz w:val="24"/>
          <w:szCs w:val="24"/>
          <w:shd w:val="clear" w:fill="FFFFFF"/>
          <w14:textFill>
            <w14:solidFill>
              <w14:schemeClr w14:val="tx1"/>
            </w14:solidFill>
          </w14:textFill>
        </w:rPr>
        <w:t> </w:t>
      </w:r>
      <w:r>
        <w:rPr>
          <w:rFonts w:hint="default" w:ascii="Times New Roman Regular" w:hAnsi="Times New Roman Regular" w:eastAsia="Noto Sans" w:cs="Times New Roman Regular"/>
          <w:i w:val="0"/>
          <w:caps w:val="0"/>
          <w:color w:val="000000" w:themeColor="text1"/>
          <w:spacing w:val="0"/>
          <w:sz w:val="24"/>
          <w:szCs w:val="24"/>
          <w:u w:val="none"/>
          <w:shd w:val="clear" w:fill="FFFFFF"/>
          <w14:textFill>
            <w14:solidFill>
              <w14:schemeClr w14:val="tx1"/>
            </w14:solidFill>
          </w14:textFill>
        </w:rPr>
        <w:fldChar w:fldCharType="begin"/>
      </w:r>
      <w:r>
        <w:rPr>
          <w:rFonts w:hint="default" w:ascii="Times New Roman Regular" w:hAnsi="Times New Roman Regular" w:eastAsia="Noto Sans" w:cs="Times New Roman Regular"/>
          <w:i w:val="0"/>
          <w:caps w:val="0"/>
          <w:color w:val="000000" w:themeColor="text1"/>
          <w:spacing w:val="0"/>
          <w:sz w:val="24"/>
          <w:szCs w:val="24"/>
          <w:u w:val="none"/>
          <w:shd w:val="clear" w:fill="FFFFFF"/>
          <w14:textFill>
            <w14:solidFill>
              <w14:schemeClr w14:val="tx1"/>
            </w14:solidFill>
          </w14:textFill>
        </w:rPr>
        <w:instrText xml:space="preserve"> HYPERLINK "https://doi.org/10.1075/jnlh.7.02nar" </w:instrText>
      </w:r>
      <w:r>
        <w:rPr>
          <w:rFonts w:hint="default" w:ascii="Times New Roman Regular" w:hAnsi="Times New Roman Regular" w:eastAsia="Noto Sans" w:cs="Times New Roman Regular"/>
          <w:i w:val="0"/>
          <w:caps w:val="0"/>
          <w:color w:val="000000" w:themeColor="text1"/>
          <w:spacing w:val="0"/>
          <w:sz w:val="24"/>
          <w:szCs w:val="24"/>
          <w:u w:val="none"/>
          <w:shd w:val="clear" w:fill="FFFFFF"/>
          <w14:textFill>
            <w14:solidFill>
              <w14:schemeClr w14:val="tx1"/>
            </w14:solidFill>
          </w14:textFill>
        </w:rPr>
        <w:fldChar w:fldCharType="separate"/>
      </w:r>
      <w:r>
        <w:rPr>
          <w:rStyle w:val="12"/>
          <w:rFonts w:hint="default" w:ascii="Times New Roman Regular" w:hAnsi="Times New Roman Regular" w:eastAsia="Noto Sans" w:cs="Times New Roman Regular"/>
          <w:i w:val="0"/>
          <w:caps w:val="0"/>
          <w:color w:val="000000" w:themeColor="text1"/>
          <w:spacing w:val="0"/>
          <w:sz w:val="24"/>
          <w:szCs w:val="24"/>
          <w:u w:val="none"/>
          <w:shd w:val="clear" w:fill="FFFFFF"/>
          <w14:textFill>
            <w14:solidFill>
              <w14:schemeClr w14:val="tx1"/>
            </w14:solidFill>
          </w14:textFill>
        </w:rPr>
        <w:t>https://doi.org/10.1075/jnlh.7.02nar</w:t>
      </w:r>
      <w:r>
        <w:rPr>
          <w:rFonts w:hint="default" w:ascii="Times New Roman Regular" w:hAnsi="Times New Roman Regular" w:eastAsia="Noto Sans" w:cs="Times New Roman Regular"/>
          <w:i w:val="0"/>
          <w:caps w:val="0"/>
          <w:color w:val="000000" w:themeColor="text1"/>
          <w:spacing w:val="0"/>
          <w:sz w:val="24"/>
          <w:szCs w:val="24"/>
          <w:u w:val="none"/>
          <w:shd w:val="clear" w:fill="FFFFFF"/>
          <w14:textFill>
            <w14:solidFill>
              <w14:schemeClr w14:val="tx1"/>
            </w14:solidFill>
          </w14:textFill>
        </w:rPr>
        <w:fldChar w:fldCharType="end"/>
      </w:r>
    </w:p>
    <w:p>
      <w:pPr>
        <w:keepNext w:val="0"/>
        <w:keepLines w:val="0"/>
        <w:widowControl/>
        <w:suppressLineNumbers w:val="0"/>
        <w:jc w:val="left"/>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jc w:val="left"/>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t>Leavy. (2020). </w:t>
      </w:r>
      <w:r>
        <w:rPr>
          <w:rFonts w:hint="default" w:ascii="Times New Roman Regular" w:hAnsi="Times New Roman Regular" w:eastAsia="Source Sans Pro" w:cs="Times New Roman Regular"/>
          <w:i/>
          <w:caps w:val="0"/>
          <w:color w:val="000000" w:themeColor="text1"/>
          <w:spacing w:val="0"/>
          <w:kern w:val="0"/>
          <w:sz w:val="24"/>
          <w:szCs w:val="24"/>
          <w:shd w:val="clear" w:fill="FFFFFF"/>
          <w:lang w:val="en-US" w:eastAsia="zh-CN" w:bidi="ar"/>
          <w14:textFill>
            <w14:solidFill>
              <w14:schemeClr w14:val="tx1"/>
            </w14:solidFill>
          </w14:textFill>
        </w:rPr>
        <w:t>The Oxford handbook of qualitative research</w:t>
      </w: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t> (Leavy, Ed.; Second edition.). Oxford University Press.</w:t>
      </w:r>
    </w:p>
    <w:p>
      <w:pPr>
        <w:keepNext w:val="0"/>
        <w:keepLines w:val="0"/>
        <w:widowControl/>
        <w:suppressLineNumbers w:val="0"/>
        <w:jc w:val="left"/>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t>Lincoln, Y.S. and Guba, E.G. (1985)</w:t>
      </w: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eastAsia="zh-CN" w:bidi="ar"/>
          <w14:textFill>
            <w14:solidFill>
              <w14:schemeClr w14:val="tx1"/>
            </w14:solidFill>
          </w14:textFill>
        </w:rPr>
        <w:t xml:space="preserve"> </w:t>
      </w: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Hans" w:bidi="ar"/>
          <w14:textFill>
            <w14:solidFill>
              <w14:schemeClr w14:val="tx1"/>
            </w14:solidFill>
          </w14:textFill>
        </w:rPr>
        <w:t>‘</w:t>
      </w:r>
      <w:r>
        <w:rPr>
          <w:rFonts w:hint="default" w:ascii="Times New Roman Regular" w:hAnsi="Times New Roman Regular" w:eastAsia="Source Sans Pro" w:cs="Times New Roman Regular"/>
          <w:i/>
          <w:caps w:val="0"/>
          <w:color w:val="000000" w:themeColor="text1"/>
          <w:spacing w:val="0"/>
          <w:kern w:val="0"/>
          <w:sz w:val="24"/>
          <w:szCs w:val="24"/>
          <w:shd w:val="clear" w:fill="FFFFFF"/>
          <w:lang w:val="en-US" w:eastAsia="zh-CN" w:bidi="ar"/>
          <w14:textFill>
            <w14:solidFill>
              <w14:schemeClr w14:val="tx1"/>
            </w14:solidFill>
          </w14:textFill>
        </w:rPr>
        <w:t>Naturalistic inquiry</w:t>
      </w:r>
      <w:r>
        <w:rPr>
          <w:rFonts w:hint="default" w:ascii="Times New Roman Regular" w:hAnsi="Times New Roman Regular" w:eastAsia="Source Sans Pro" w:cs="Times New Roman Regular"/>
          <w:i/>
          <w:caps w:val="0"/>
          <w:color w:val="000000" w:themeColor="text1"/>
          <w:spacing w:val="0"/>
          <w:kern w:val="0"/>
          <w:sz w:val="24"/>
          <w:szCs w:val="24"/>
          <w:shd w:val="clear" w:fill="FFFFFF"/>
          <w:lang w:val="en-US" w:eastAsia="zh-Hans" w:bidi="ar"/>
          <w14:textFill>
            <w14:solidFill>
              <w14:schemeClr w14:val="tx1"/>
            </w14:solidFill>
          </w14:textFill>
        </w:rPr>
        <w:t>’</w:t>
      </w: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t>. Beverly Hills, Calif.;: Sage.</w:t>
      </w:r>
    </w:p>
    <w:p>
      <w:pPr>
        <w:keepNext w:val="0"/>
        <w:keepLines w:val="0"/>
        <w:widowControl/>
        <w:suppressLineNumbers w:val="0"/>
        <w:jc w:val="left"/>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jc w:val="left"/>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eastAsia="zh-CN" w:bidi="ar"/>
          <w14:textFill>
            <w14:solidFill>
              <w14:schemeClr w14:val="tx1"/>
            </w14:solidFill>
          </w14:textFill>
        </w:rPr>
      </w:pP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t>Malinowski, B. and Frazer, J.G. (1922)</w:t>
      </w:r>
      <w:r>
        <w:rPr>
          <w:rFonts w:hint="default" w:ascii="Times New Roman Regular" w:hAnsi="Times New Roman Regular" w:eastAsia="Source Sans Pro" w:cs="Times New Roman Regular"/>
          <w:i/>
          <w:caps w:val="0"/>
          <w:color w:val="000000" w:themeColor="text1"/>
          <w:spacing w:val="0"/>
          <w:kern w:val="0"/>
          <w:sz w:val="24"/>
          <w:szCs w:val="24"/>
          <w:shd w:val="clear" w:fill="FFFFFF"/>
          <w:lang w:val="en-US" w:eastAsia="zh-CN" w:bidi="ar"/>
          <w14:textFill>
            <w14:solidFill>
              <w14:schemeClr w14:val="tx1"/>
            </w14:solidFill>
          </w14:textFill>
        </w:rPr>
        <w:t>Argonauts of the western Pacific: an account of native enterprise and adventure in the archipelagoes of Melanesian New Guinea</w:t>
      </w: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t>. London: Routledge &amp; Kegan Paul.</w:t>
      </w:r>
    </w:p>
    <w:p>
      <w:pPr>
        <w:keepNext w:val="0"/>
        <w:keepLines w:val="0"/>
        <w:widowControl/>
        <w:suppressLineNumbers w:val="0"/>
        <w:jc w:val="left"/>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numPr>
          <w:ilvl w:val="0"/>
          <w:numId w:val="0"/>
        </w:numPr>
        <w:suppressLineNumbers w:val="0"/>
        <w:spacing w:before="0" w:beforeAutospacing="1" w:after="0" w:afterAutospacing="1"/>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eastAsia="宋体" w:cs="Times New Roman Regular"/>
          <w:i w:val="0"/>
          <w:caps w:val="0"/>
          <w:color w:val="000000" w:themeColor="text1"/>
          <w:spacing w:val="0"/>
          <w:kern w:val="0"/>
          <w:sz w:val="24"/>
          <w:szCs w:val="24"/>
          <w:shd w:val="clear" w:fill="FFFFFF"/>
          <w:lang w:val="en-US" w:eastAsia="zh-CN" w:bidi="ar"/>
          <w14:textFill>
            <w14:solidFill>
              <w14:schemeClr w14:val="tx1"/>
            </w14:solidFill>
          </w14:textFill>
        </w:rPr>
        <w:t>Polkinghorne, D. E. (1995). Narrative configuration in qualitative analysis. </w:t>
      </w:r>
      <w:r>
        <w:rPr>
          <w:rFonts w:hint="default" w:ascii="Times New Roman Regular" w:hAnsi="Times New Roman Regular" w:eastAsia="宋体" w:cs="Times New Roman Regular"/>
          <w:i/>
          <w:caps w:val="0"/>
          <w:color w:val="000000" w:themeColor="text1"/>
          <w:spacing w:val="0"/>
          <w:kern w:val="0"/>
          <w:sz w:val="24"/>
          <w:szCs w:val="24"/>
          <w:shd w:val="clear" w:fill="FFFFFF"/>
          <w:lang w:val="en-US" w:eastAsia="zh-CN" w:bidi="ar"/>
          <w14:textFill>
            <w14:solidFill>
              <w14:schemeClr w14:val="tx1"/>
            </w14:solidFill>
          </w14:textFill>
        </w:rPr>
        <w:t>International journal of qualitative studies in education</w:t>
      </w:r>
      <w:r>
        <w:rPr>
          <w:rFonts w:hint="default" w:ascii="Times New Roman Regular" w:hAnsi="Times New Roman Regular" w:eastAsia="宋体" w:cs="Times New Roman Regular"/>
          <w:i w:val="0"/>
          <w:caps w:val="0"/>
          <w:color w:val="000000" w:themeColor="text1"/>
          <w:spacing w:val="0"/>
          <w:kern w:val="0"/>
          <w:sz w:val="24"/>
          <w:szCs w:val="24"/>
          <w:shd w:val="clear" w:fill="FFFFFF"/>
          <w:lang w:val="en-US" w:eastAsia="zh-CN" w:bidi="ar"/>
          <w14:textFill>
            <w14:solidFill>
              <w14:schemeClr w14:val="tx1"/>
            </w14:solidFill>
          </w14:textFill>
        </w:rPr>
        <w:t>, </w:t>
      </w:r>
      <w:r>
        <w:rPr>
          <w:rFonts w:hint="default" w:ascii="Times New Roman Regular" w:hAnsi="Times New Roman Regular" w:eastAsia="宋体" w:cs="Times New Roman Regular"/>
          <w:i/>
          <w:caps w:val="0"/>
          <w:color w:val="000000" w:themeColor="text1"/>
          <w:spacing w:val="0"/>
          <w:kern w:val="0"/>
          <w:sz w:val="24"/>
          <w:szCs w:val="24"/>
          <w:shd w:val="clear" w:fill="FFFFFF"/>
          <w:lang w:val="en-US" w:eastAsia="zh-CN" w:bidi="ar"/>
          <w14:textFill>
            <w14:solidFill>
              <w14:schemeClr w14:val="tx1"/>
            </w14:solidFill>
          </w14:textFill>
        </w:rPr>
        <w:t>8</w:t>
      </w:r>
      <w:r>
        <w:rPr>
          <w:rFonts w:hint="default" w:ascii="Times New Roman Regular" w:hAnsi="Times New Roman Regular" w:eastAsia="宋体" w:cs="Times New Roman Regular"/>
          <w:i w:val="0"/>
          <w:caps w:val="0"/>
          <w:color w:val="000000" w:themeColor="text1"/>
          <w:spacing w:val="0"/>
          <w:kern w:val="0"/>
          <w:sz w:val="24"/>
          <w:szCs w:val="24"/>
          <w:shd w:val="clear" w:fill="FFFFFF"/>
          <w:lang w:val="en-US" w:eastAsia="zh-CN" w:bidi="ar"/>
          <w14:textFill>
            <w14:solidFill>
              <w14:schemeClr w14:val="tx1"/>
            </w14:solidFill>
          </w14:textFill>
        </w:rPr>
        <w:t>(1), 5-23.</w:t>
      </w:r>
      <w:r>
        <w:rPr>
          <w:rFonts w:hint="default" w:ascii="Times New Roman Regular" w:hAnsi="Times New Roman Regular" w:eastAsia="宋体" w:cs="Times New Roman Regular"/>
          <w:i w:val="0"/>
          <w:caps w:val="0"/>
          <w:color w:val="000000" w:themeColor="text1"/>
          <w:spacing w:val="0"/>
          <w:kern w:val="0"/>
          <w:sz w:val="24"/>
          <w:szCs w:val="24"/>
          <w:shd w:val="clear" w:fill="FFFFFF"/>
          <w:lang w:eastAsia="zh-CN" w:bidi="ar"/>
          <w14:textFill>
            <w14:solidFill>
              <w14:schemeClr w14:val="tx1"/>
            </w14:solidFill>
          </w14:textFill>
        </w:rPr>
        <w:t xml:space="preserve"> </w:t>
      </w:r>
      <w:r>
        <w:rPr>
          <w:rFonts w:hint="default" w:ascii="Times New Roman Regular" w:hAnsi="Times New Roman Regular" w:eastAsia="Open Sans" w:cs="Times New Roman Regular"/>
          <w:i w:val="0"/>
          <w:caps w:val="0"/>
          <w:color w:val="000000" w:themeColor="text1"/>
          <w:spacing w:val="0"/>
          <w:sz w:val="24"/>
          <w:szCs w:val="24"/>
          <w:u w:val="none"/>
          <w14:textFill>
            <w14:solidFill>
              <w14:schemeClr w14:val="tx1"/>
            </w14:solidFill>
          </w14:textFill>
        </w:rPr>
        <w:fldChar w:fldCharType="begin"/>
      </w:r>
      <w:r>
        <w:rPr>
          <w:rFonts w:hint="default" w:ascii="Times New Roman Regular" w:hAnsi="Times New Roman Regular" w:eastAsia="Open Sans" w:cs="Times New Roman Regular"/>
          <w:i w:val="0"/>
          <w:caps w:val="0"/>
          <w:color w:val="000000" w:themeColor="text1"/>
          <w:spacing w:val="0"/>
          <w:sz w:val="24"/>
          <w:szCs w:val="24"/>
          <w:u w:val="none"/>
          <w14:textFill>
            <w14:solidFill>
              <w14:schemeClr w14:val="tx1"/>
            </w14:solidFill>
          </w14:textFill>
        </w:rPr>
        <w:instrText xml:space="preserve"> HYPERLINK "https://doi-org.ezproxy.uwtsd.ac.uk/10.1080/0951839950080103" </w:instrText>
      </w:r>
      <w:r>
        <w:rPr>
          <w:rFonts w:hint="default" w:ascii="Times New Roman Regular" w:hAnsi="Times New Roman Regular" w:eastAsia="Open Sans" w:cs="Times New Roman Regular"/>
          <w:i w:val="0"/>
          <w:caps w:val="0"/>
          <w:color w:val="000000" w:themeColor="text1"/>
          <w:spacing w:val="0"/>
          <w:sz w:val="24"/>
          <w:szCs w:val="24"/>
          <w:u w:val="none"/>
          <w14:textFill>
            <w14:solidFill>
              <w14:schemeClr w14:val="tx1"/>
            </w14:solidFill>
          </w14:textFill>
        </w:rPr>
        <w:fldChar w:fldCharType="separate"/>
      </w:r>
      <w:r>
        <w:rPr>
          <w:rStyle w:val="12"/>
          <w:rFonts w:hint="default" w:ascii="Times New Roman Regular" w:hAnsi="Times New Roman Regular" w:eastAsia="Open Sans" w:cs="Times New Roman Regular"/>
          <w:i w:val="0"/>
          <w:caps w:val="0"/>
          <w:color w:val="000000" w:themeColor="text1"/>
          <w:spacing w:val="0"/>
          <w:sz w:val="24"/>
          <w:szCs w:val="24"/>
          <w:u w:val="none"/>
          <w14:textFill>
            <w14:solidFill>
              <w14:schemeClr w14:val="tx1"/>
            </w14:solidFill>
          </w14:textFill>
        </w:rPr>
        <w:t>https://doi-org.ezproxy.uwtsd.ac.uk/10.1080/0951839950080103</w:t>
      </w:r>
      <w:r>
        <w:rPr>
          <w:rFonts w:hint="default" w:ascii="Times New Roman Regular" w:hAnsi="Times New Roman Regular" w:eastAsia="Open Sans" w:cs="Times New Roman Regular"/>
          <w:i w:val="0"/>
          <w:caps w:val="0"/>
          <w:color w:val="000000" w:themeColor="text1"/>
          <w:spacing w:val="0"/>
          <w:sz w:val="24"/>
          <w:szCs w:val="24"/>
          <w:u w:val="none"/>
          <w14:textFill>
            <w14:solidFill>
              <w14:schemeClr w14:val="tx1"/>
            </w14:solidFill>
          </w14:textFill>
        </w:rPr>
        <w:fldChar w:fldCharType="end"/>
      </w:r>
    </w:p>
    <w:p>
      <w:pPr>
        <w:keepNext w:val="0"/>
        <w:keepLines w:val="0"/>
        <w:widowControl/>
        <w:suppressLineNumbers w:val="0"/>
        <w:jc w:val="left"/>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jc w:val="left"/>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t>Urry, J. (1993)</w:t>
      </w: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eastAsia="zh-CN" w:bidi="ar"/>
          <w14:textFill>
            <w14:solidFill>
              <w14:schemeClr w14:val="tx1"/>
            </w14:solidFill>
          </w14:textFill>
        </w:rPr>
        <w:t xml:space="preserve"> </w:t>
      </w: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eastAsia="zh-Hans" w:bidi="ar"/>
          <w14:textFill>
            <w14:solidFill>
              <w14:schemeClr w14:val="tx1"/>
            </w14:solidFill>
          </w14:textFill>
        </w:rPr>
        <w:t>‘</w:t>
      </w:r>
      <w:r>
        <w:rPr>
          <w:rFonts w:hint="default" w:ascii="Times New Roman Regular" w:hAnsi="Times New Roman Regular" w:eastAsia="Source Sans Pro" w:cs="Times New Roman Regular"/>
          <w:i/>
          <w:caps w:val="0"/>
          <w:color w:val="000000" w:themeColor="text1"/>
          <w:spacing w:val="0"/>
          <w:kern w:val="0"/>
          <w:sz w:val="24"/>
          <w:szCs w:val="24"/>
          <w:shd w:val="clear" w:fill="FFFFFF"/>
          <w:lang w:val="en-US" w:eastAsia="zh-CN" w:bidi="ar"/>
          <w14:textFill>
            <w14:solidFill>
              <w14:schemeClr w14:val="tx1"/>
            </w14:solidFill>
          </w14:textFill>
        </w:rPr>
        <w:t>Before social anthropology: essays on the history of British anthropology</w:t>
      </w: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t>. Chur, Switzerland</w:t>
      </w: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Hans" w:bidi="ar"/>
          <w14:textFill>
            <w14:solidFill>
              <w14:schemeClr w14:val="tx1"/>
            </w14:solidFill>
          </w14:textFill>
        </w:rPr>
        <w:t>’</w:t>
      </w: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eastAsia="zh-Hans" w:bidi="ar"/>
          <w14:textFill>
            <w14:solidFill>
              <w14:schemeClr w14:val="tx1"/>
            </w14:solidFill>
          </w14:textFill>
        </w:rPr>
        <w:t xml:space="preserve"> </w:t>
      </w:r>
      <w:r>
        <w:rPr>
          <w:rFonts w:hint="default" w:ascii="Times New Roman Regular" w:hAnsi="Times New Roman Regular" w:eastAsia="Source Sans Pro" w:cs="Times New Roman Regular"/>
          <w:i w:val="0"/>
          <w:caps w:val="0"/>
          <w:color w:val="000000" w:themeColor="text1"/>
          <w:spacing w:val="0"/>
          <w:kern w:val="0"/>
          <w:sz w:val="24"/>
          <w:szCs w:val="24"/>
          <w:shd w:val="clear" w:fill="FFFFFF"/>
          <w:lang w:val="en-US" w:eastAsia="zh-CN" w:bidi="ar"/>
          <w14:textFill>
            <w14:solidFill>
              <w14:schemeClr w14:val="tx1"/>
            </w14:solidFill>
          </w14:textFill>
        </w:rPr>
        <w:t>;: Harwood Academic Publishers.</w:t>
      </w:r>
    </w:p>
    <w:p>
      <w:pPr>
        <w:widowControl w:val="0"/>
        <w:numPr>
          <w:ilvl w:val="0"/>
          <w:numId w:val="0"/>
        </w:numPr>
        <w:autoSpaceDE w:val="0"/>
        <w:autoSpaceDN w:val="0"/>
        <w:spacing w:line="240" w:lineRule="auto"/>
        <w:jc w:val="both"/>
        <w:rPr>
          <w:rFonts w:hint="default" w:ascii="Times New Roman Regular" w:hAnsi="Times New Roman Regular" w:cs="Times New Roman Regular"/>
          <w:b w:val="0"/>
          <w:bCs w:val="0"/>
          <w:color w:val="000000" w:themeColor="text1"/>
          <w:sz w:val="24"/>
          <w:szCs w:val="24"/>
          <w:lang w:val="en-US" w:eastAsia="zh-Hans"/>
          <w14:textFill>
            <w14:solidFill>
              <w14:schemeClr w14:val="tx1"/>
            </w14:solidFill>
          </w14:textFill>
        </w:rPr>
      </w:pPr>
    </w:p>
    <w:p>
      <w:pPr>
        <w:rPr>
          <w:rFonts w:hint="default" w:ascii="Times New Roman Regular" w:hAnsi="Times New Roman Regular" w:cs="Times New Roman Regular"/>
          <w:color w:val="000000" w:themeColor="text1"/>
          <w:sz w:val="24"/>
          <w:szCs w:val="24"/>
          <w14:textFill>
            <w14:solidFill>
              <w14:schemeClr w14:val="tx1"/>
            </w14:solidFill>
          </w14:textFill>
        </w:rPr>
      </w:pPr>
    </w:p>
    <w:sectPr>
      <w:pgSz w:w="11910" w:h="16840"/>
      <w:pgMar w:top="1340" w:right="1320" w:bottom="1620" w:left="1340" w:header="0" w:footer="1417" w:gutter="0"/>
      <w:pgBorders w:offsetFrom="page">
        <w:top w:val="single" w:color="000000" w:sz="4" w:space="24"/>
        <w:left w:val="single" w:color="000000" w:sz="4" w:space="24"/>
        <w:bottom w:val="single" w:color="000000" w:sz="4" w:space="24"/>
        <w:right w:val="single" w:color="000000" w:sz="4" w:space="24"/>
      </w:pgBorders>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roman"/>
    <w:pitch w:val="default"/>
    <w:sig w:usb0="E0002AEF" w:usb1="C0007841" w:usb2="00000009" w:usb3="00000000" w:csb0="400001FF" w:csb1="FFFF0000"/>
  </w:font>
  <w:font w:name="宋体">
    <w:panose1 w:val="02010600030101010101"/>
    <w:charset w:val="50"/>
    <w:family w:val="auto"/>
    <w:pitch w:val="default"/>
    <w:sig w:usb0="00000003" w:usb1="288F0000" w:usb2="00000006" w:usb3="00000000" w:csb0="00040001"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A0204"/>
    <w:charset w:val="00"/>
    <w:family w:val="roman"/>
    <w:pitch w:val="default"/>
    <w:sig w:usb0="E00002FF" w:usb1="4000045F" w:usb2="00000000" w:usb3="00000000" w:csb0="2000019F" w:csb1="00000000"/>
  </w:font>
  <w:font w:name="Calibri">
    <w:panose1 w:val="020F0302020204030204"/>
    <w:charset w:val="00"/>
    <w:family w:val="swiss"/>
    <w:pitch w:val="default"/>
    <w:sig w:usb0="E0002AFF" w:usb1="C000247B" w:usb2="00000009" w:usb3="00000000" w:csb0="200001FF" w:csb1="00000000"/>
  </w:font>
  <w:font w:name="苹方-简">
    <w:panose1 w:val="020B0400000000000000"/>
    <w:charset w:val="86"/>
    <w:family w:val="auto"/>
    <w:pitch w:val="default"/>
    <w:sig w:usb0="A00002FF" w:usb1="7ACFFDFB" w:usb2="00000017" w:usb3="00000000" w:csb0="00040001" w:csb1="00000000"/>
  </w:font>
  <w:font w:name="Arial">
    <w:panose1 w:val="020B0706020202030204"/>
    <w:charset w:val="00"/>
    <w:family w:val="swiss"/>
    <w:pitch w:val="default"/>
    <w:sig w:usb0="00000287" w:usb1="00000800" w:usb2="00000000" w:usb3="00000000" w:csb0="2000009F" w:csb1="DFD70000"/>
  </w:font>
  <w:font w:name="±–®|≥°¡ıÆ—">
    <w:panose1 w:val="02010609010101010101"/>
    <w:charset w:val="88"/>
    <w:family w:val="auto"/>
    <w:pitch w:val="default"/>
    <w:sig w:usb0="80000001" w:usb1="28091800" w:usb2="00000016" w:usb3="00000000" w:csb0="00100000" w:csb1="00000000"/>
  </w:font>
  <w:font w:name="Helvetica Neue">
    <w:panose1 w:val="00000000000000000000"/>
    <w:charset w:val="00"/>
    <w:family w:val="auto"/>
    <w:pitch w:val="default"/>
    <w:sig w:usb0="8000002F" w:usb1="40000048" w:usb2="00000000" w:usb3="00000000" w:csb0="20000111" w:csb1="41000000"/>
  </w:font>
  <w:font w:name="宋体-简">
    <w:panose1 w:val="02010800040101010101"/>
    <w:charset w:val="86"/>
    <w:family w:val="auto"/>
    <w:pitch w:val="default"/>
    <w:sig w:usb0="00000001" w:usb1="080F0000" w:usb2="00000000" w:usb3="00000000" w:csb0="00040000" w:csb1="00000000"/>
  </w:font>
  <w:font w:name="Symbol">
    <w:panose1 w:val="05050102010706020507"/>
    <w:charset w:val="00"/>
    <w:family w:val="auto"/>
    <w:pitch w:val="default"/>
    <w:sig w:usb0="00000000" w:usb1="00000000" w:usb2="00000000" w:usb3="00000000" w:csb0="80000000" w:csb1="00000000"/>
  </w:font>
  <w:font w:name="DFNewChuanU-B5">
    <w:panose1 w:val="030F0509000000000000"/>
    <w:charset w:val="88"/>
    <w:family w:val="auto"/>
    <w:pitch w:val="default"/>
    <w:sig w:usb0="80000001" w:usb1="28091800" w:usb2="00000016" w:usb3="00000000" w:csb0="00100000" w:csb1="00000000"/>
  </w:font>
  <w:font w:name="Calibri Light">
    <w:panose1 w:val="020F0302020204030204"/>
    <w:charset w:val="00"/>
    <w:family w:val="auto"/>
    <w:pitch w:val="default"/>
    <w:sig w:usb0="E0002AFF" w:usb1="C000247B" w:usb2="00000009" w:usb3="00000000" w:csb0="200001FF" w:csb1="00000000"/>
  </w:font>
  <w:font w:name="八大山人 V2007">
    <w:panose1 w:val="02000600000000000000"/>
    <w:charset w:val="86"/>
    <w:family w:val="auto"/>
    <w:pitch w:val="default"/>
    <w:sig w:usb0="FFFFFFFF" w:usb1="E9FFFFFF" w:usb2="0000003F" w:usb3="00000000" w:csb0="603F00FF" w:csb1="FFFF0000"/>
  </w:font>
  <w:font w:name="-apple-system">
    <w:altName w:val="苹方-简"/>
    <w:panose1 w:val="00000000000000000000"/>
    <w:charset w:val="00"/>
    <w:family w:val="auto"/>
    <w:pitch w:val="default"/>
    <w:sig w:usb0="00000000" w:usb1="00000000" w:usb2="00000000" w:usb3="00000000" w:csb0="00000000" w:csb1="00000000"/>
  </w:font>
  <w:font w:name="§§∞Í¿sª®¶ÊÆ—">
    <w:panose1 w:val="02010609000101010101"/>
    <w:charset w:val="00"/>
    <w:family w:val="auto"/>
    <w:pitch w:val="default"/>
    <w:sig w:usb0="00000000" w:usb1="00000000" w:usb2="00000000" w:usb3="00000000" w:csb0="00000000" w:csb1="00000000"/>
  </w:font>
  <w:font w:name="Microsoft YaHei Regular">
    <w:panose1 w:val="020B0703020204020201"/>
    <w:charset w:val="86"/>
    <w:family w:val="auto"/>
    <w:pitch w:val="default"/>
    <w:sig w:usb0="80000287" w:usb1="2ACF3C50" w:usb2="00000016" w:usb3="00000000" w:csb0="0004001F" w:csb1="00000000"/>
  </w:font>
  <w:font w:name="Linux Libertine">
    <w:altName w:val="苹方-简"/>
    <w:panose1 w:val="00000000000000000000"/>
    <w:charset w:val="00"/>
    <w:family w:val="auto"/>
    <w:pitch w:val="default"/>
    <w:sig w:usb0="00000000" w:usb1="00000000" w:usb2="00000000" w:usb3="00000000" w:csb0="00000000" w:csb1="00000000"/>
  </w:font>
  <w:font w:name="sans-serif">
    <w:altName w:val="苹方-简"/>
    <w:panose1 w:val="00000000000000000000"/>
    <w:charset w:val="00"/>
    <w:family w:val="auto"/>
    <w:pitch w:val="default"/>
    <w:sig w:usb0="00000000" w:usb1="00000000" w:usb2="00000000" w:usb3="00000000" w:csb0="00000000" w:csb1="00000000"/>
  </w:font>
  <w:font w:name="helvetica">
    <w:panose1 w:val="00000000000000000000"/>
    <w:charset w:val="00"/>
    <w:family w:val="auto"/>
    <w:pitch w:val="default"/>
    <w:sig w:usb0="8000002F" w:usb1="40000048" w:usb2="00000000" w:usb3="00000000" w:csb0="20000111" w:csb1="41000000"/>
  </w:font>
  <w:font w:name="ArialMT">
    <w:panose1 w:val="020B0706020202030204"/>
    <w:charset w:val="00"/>
    <w:family w:val="auto"/>
    <w:pitch w:val="default"/>
    <w:sig w:usb0="00000287" w:usb1="00000800" w:usb2="00000000" w:usb3="00000000" w:csb0="2000009F" w:csb1="DFD70000"/>
  </w:font>
  <w:font w:name="PingFang SC">
    <w:panose1 w:val="020B0400000000000000"/>
    <w:charset w:val="86"/>
    <w:family w:val="auto"/>
    <w:pitch w:val="default"/>
    <w:sig w:usb0="A00002FF" w:usb1="7ACFFDFB" w:usb2="00000017" w:usb3="00000000" w:csb0="00040001" w:csb1="00000000"/>
  </w:font>
  <w:font w:name="Microsoft yahei">
    <w:panose1 w:val="020B0703020204020201"/>
    <w:charset w:val="86"/>
    <w:family w:val="auto"/>
    <w:pitch w:val="default"/>
    <w:sig w:usb0="80000287" w:usb1="2ACF3C50" w:usb2="00000016" w:usb3="00000000" w:csb0="0004001F" w:csb1="00000000"/>
  </w:font>
  <w:font w:name="Merriweather">
    <w:panose1 w:val="02060503050406030704"/>
    <w:charset w:val="00"/>
    <w:family w:val="auto"/>
    <w:pitch w:val="default"/>
    <w:sig w:usb0="800000A7" w:usb1="50000002" w:usb2="00000000" w:usb3="00000000" w:csb0="20000113" w:csb1="40000000"/>
  </w:font>
  <w:font w:name="system-ui">
    <w:altName w:val="苹方-简"/>
    <w:panose1 w:val="00000000000000000000"/>
    <w:charset w:val="00"/>
    <w:family w:val="auto"/>
    <w:pitch w:val="default"/>
    <w:sig w:usb0="00000000" w:usb1="00000000" w:usb2="00000000" w:usb3="00000000" w:csb0="00000000" w:csb1="00000000"/>
  </w:font>
  <w:font w:name="中华民国体">
    <w:panose1 w:val="03000000000000000000"/>
    <w:charset w:val="86"/>
    <w:family w:val="auto"/>
    <w:pitch w:val="default"/>
    <w:sig w:usb0="A00002FF" w:usb1="68C7FEFF" w:usb2="00000012" w:usb3="00000000" w:csb0="00140005" w:csb1="00000000"/>
  </w:font>
  <w:font w:name="Wingdings">
    <w:panose1 w:val="05000000000000000000"/>
    <w:charset w:val="02"/>
    <w:family w:val="auto"/>
    <w:pitch w:val="default"/>
    <w:sig w:usb0="00000000" w:usb1="00000000" w:usb2="00000000" w:usb3="00000000" w:csb0="80000000" w:csb1="00000000"/>
  </w:font>
  <w:font w:name="Arial">
    <w:panose1 w:val="020B0706020202030204"/>
    <w:charset w:val="01"/>
    <w:family w:val="swiss"/>
    <w:pitch w:val="default"/>
    <w:sig w:usb0="00000287" w:usb1="00000800" w:usb2="00000000" w:usb3="00000000" w:csb0="2000009F" w:csb1="DFD70000"/>
  </w:font>
  <w:font w:name="黑体">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panose1 w:val="05050102010706020507"/>
    <w:charset w:val="02"/>
    <w:family w:val="roman"/>
    <w:pitch w:val="default"/>
    <w:sig w:usb0="00000000" w:usb1="00000000" w:usb2="00000000" w:usb3="00000000" w:csb0="80000000" w:csb1="00000000"/>
  </w:font>
  <w:font w:name="Heiti SC Light">
    <w:panose1 w:val="00000000000000000000"/>
    <w:charset w:val="50"/>
    <w:family w:val="auto"/>
    <w:pitch w:val="default"/>
    <w:sig w:usb0="8000002F" w:usb1="0800004A" w:usb2="00000000" w:usb3="00000000" w:csb0="203E0000" w:csb1="00000000"/>
  </w:font>
  <w:font w:name="方正书宋简体">
    <w:panose1 w:val="02010601030101010101"/>
    <w:charset w:val="86"/>
    <w:family w:val="auto"/>
    <w:pitch w:val="default"/>
    <w:sig w:usb0="00000001" w:usb1="080E0000" w:usb2="00000000" w:usb3="00000000" w:csb0="00040000" w:csb1="00000000"/>
  </w:font>
  <w:font w:name="仿宋">
    <w:panose1 w:val="02010609060101010101"/>
    <w:charset w:val="86"/>
    <w:family w:val="modern"/>
    <w:pitch w:val="default"/>
    <w:sig w:usb0="800002BF" w:usb1="38CF7CFA" w:usb2="00000016" w:usb3="00000000" w:csb0="00040001" w:csb1="00000000"/>
  </w:font>
  <w:font w:name="黑体-简">
    <w:panose1 w:val="00000000000000000000"/>
    <w:charset w:val="86"/>
    <w:family w:val="auto"/>
    <w:pitch w:val="default"/>
    <w:sig w:usb0="8000002F" w:usb1="0800004A" w:usb2="00000000" w:usb3="00000000" w:csb0="203E0000" w:csb1="00000000"/>
  </w:font>
  <w:font w:name="MS PGothic">
    <w:panose1 w:val="020B0600070205080204"/>
    <w:charset w:val="80"/>
    <w:family w:val="auto"/>
    <w:pitch w:val="default"/>
    <w:sig w:usb0="E00002FF" w:usb1="6AC7FDFB" w:usb2="08000012" w:usb3="00000000" w:csb0="4002009F" w:csb1="DFD70000"/>
  </w:font>
  <w:font w:name="NumberOnly">
    <w:altName w:val="苹方-简"/>
    <w:panose1 w:val="020B0500000000000000"/>
    <w:charset w:val="00"/>
    <w:family w:val="auto"/>
    <w:pitch w:val="default"/>
    <w:sig w:usb0="00000000" w:usb1="00000000" w:usb2="00000000" w:usb3="00000000" w:csb0="00000111" w:csb1="40000000"/>
  </w:font>
  <w:font w:name="微软雅黑">
    <w:panose1 w:val="020B0703020204020201"/>
    <w:charset w:val="86"/>
    <w:family w:val="auto"/>
    <w:pitch w:val="default"/>
    <w:sig w:usb0="80000287" w:usb1="2ACF3C50" w:usb2="00000016" w:usb3="00000000" w:csb0="0004001F" w:csb1="00000000"/>
  </w:font>
  <w:font w:name="汉仪合龙行书W">
    <w:panose1 w:val="00020600040101010101"/>
    <w:charset w:val="86"/>
    <w:family w:val="auto"/>
    <w:pitch w:val="default"/>
    <w:sig w:usb0="A00002BF" w:usb1="18EF7CFA" w:usb2="00000016" w:usb3="00000000" w:csb0="00040000" w:csb1="00000000"/>
  </w:font>
  <w:font w:name="SF Pro SC">
    <w:altName w:val="苹方-简"/>
    <w:panose1 w:val="00000000000000000000"/>
    <w:charset w:val="00"/>
    <w:family w:val="auto"/>
    <w:pitch w:val="default"/>
    <w:sig w:usb0="00000000" w:usb1="00000000" w:usb2="00000000" w:usb3="00000000" w:csb0="00000000" w:csb1="00000000"/>
  </w:font>
  <w:font w:name="serif">
    <w:altName w:val="苹方-简"/>
    <w:panose1 w:val="00000000000000000000"/>
    <w:charset w:val="00"/>
    <w:family w:val="auto"/>
    <w:pitch w:val="default"/>
    <w:sig w:usb0="00000000" w:usb1="00000000" w:usb2="00000000" w:usb3="00000000" w:csb0="00000000" w:csb1="00000000"/>
  </w:font>
  <w:font w:name="冬青黑体繁体中文">
    <w:panose1 w:val="020B0300000000000000"/>
    <w:charset w:val="88"/>
    <w:family w:val="auto"/>
    <w:pitch w:val="default"/>
    <w:sig w:usb0="00000001" w:usb1="1A0F1900" w:usb2="00000016" w:usb3="00000000" w:csb0="00120005" w:csb1="00000000"/>
  </w:font>
  <w:font w:name="兰亭黑-繁">
    <w:panose1 w:val="03000509000000000000"/>
    <w:charset w:val="88"/>
    <w:family w:val="auto"/>
    <w:pitch w:val="default"/>
    <w:sig w:usb0="00000001" w:usb1="080E0000" w:usb2="00000000" w:usb3="00000000" w:csb0="00100000" w:csb1="00000000"/>
  </w:font>
  <w:font w:name="Source Sans Pro">
    <w:panose1 w:val="020B0403030403020204"/>
    <w:charset w:val="00"/>
    <w:family w:val="auto"/>
    <w:pitch w:val="default"/>
    <w:sig w:usb0="20000007" w:usb1="00000001" w:usb2="00000000" w:usb3="00000000" w:csb0="20000193" w:csb1="00000000"/>
  </w:font>
  <w:font w:name="Lucida">
    <w:altName w:val="苹方-简"/>
    <w:panose1 w:val="00000000000000000000"/>
    <w:charset w:val="00"/>
    <w:family w:val="auto"/>
    <w:pitch w:val="default"/>
    <w:sig w:usb0="00000000" w:usb1="00000000" w:usb2="00000000" w:usb3="00000000" w:csb0="00000000" w:csb1="00000000"/>
  </w:font>
  <w:font w:name="Roboto">
    <w:panose1 w:val="00000000000000000000"/>
    <w:charset w:val="00"/>
    <w:family w:val="auto"/>
    <w:pitch w:val="default"/>
    <w:sig w:usb0="E00002EF" w:usb1="5000205B" w:usb2="00000020" w:usb3="00000000" w:csb0="2000019F" w:csb1="4F010000"/>
  </w:font>
  <w:font w:name="Arial Italic">
    <w:panose1 w:val="020B0706020202030204"/>
    <w:charset w:val="00"/>
    <w:family w:val="auto"/>
    <w:pitch w:val="default"/>
    <w:sig w:usb0="00000287" w:usb1="00000800" w:usb2="00000000" w:usb3="00000000" w:csb0="2000009F" w:csb1="DFD70000"/>
  </w:font>
  <w:font w:name="Open Sans">
    <w:panose1 w:val="020B0606030504020204"/>
    <w:charset w:val="00"/>
    <w:family w:val="auto"/>
    <w:pitch w:val="default"/>
    <w:sig w:usb0="E00002EF" w:usb1="4000205B" w:usb2="00000028" w:usb3="00000000" w:csb0="2000019F"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Wingdings">
    <w:panose1 w:val="05000000000000000000"/>
    <w:charset w:val="4D"/>
    <w:family w:val="decorative"/>
    <w:pitch w:val="default"/>
    <w:sig w:usb0="00000000" w:usb1="00000000" w:usb2="00000000" w:usb3="00000000" w:csb0="80000000" w:csb1="00000000"/>
  </w:font>
  <w:font w:name="Microsoft YaHei UI">
    <w:panose1 w:val="020B0703020204020201"/>
    <w:charset w:val="86"/>
    <w:family w:val="swiss"/>
    <w:pitch w:val="default"/>
    <w:sig w:usb0="80000287" w:usb1="2ACF3C50" w:usb2="00000016" w:usb3="00000000" w:csb0="0004001F" w:csb1="00000000"/>
  </w:font>
  <w:font w:name="DengXian">
    <w:panose1 w:val="02010600030101010101"/>
    <w:charset w:val="86"/>
    <w:family w:val="auto"/>
    <w:pitch w:val="default"/>
    <w:sig w:usb0="A00002BF" w:usb1="38CF7CFA" w:usb2="00000016" w:usb3="00000000" w:csb0="0004000F" w:csb1="00000000"/>
  </w:font>
  <w:font w:name="maison_neuebook">
    <w:altName w:val="苹方-简"/>
    <w:panose1 w:val="020B0604020202020204"/>
    <w:charset w:val="00"/>
    <w:family w:val="roman"/>
    <w:pitch w:val="default"/>
    <w:sig w:usb0="00000000" w:usb1="00000000" w:usb2="00000000" w:usb3="00000000" w:csb0="00000000" w:csb1="00000000"/>
  </w:font>
  <w:font w:name="Trebuchet MS">
    <w:panose1 w:val="020B0703020202020204"/>
    <w:charset w:val="00"/>
    <w:family w:val="auto"/>
    <w:pitch w:val="default"/>
    <w:sig w:usb0="00000287" w:usb1="00000000" w:usb2="00000000" w:usb3="00000000" w:csb0="2000009F" w:csb1="00000000"/>
  </w:font>
  <w:font w:name="Georgia">
    <w:panose1 w:val="02040802050405090203"/>
    <w:charset w:val="00"/>
    <w:family w:val="auto"/>
    <w:pitch w:val="default"/>
    <w:sig w:usb0="00000287" w:usb1="00000000" w:usb2="00000000" w:usb3="00000000" w:csb0="2000009F" w:csb1="00000000"/>
  </w:font>
  <w:font w:name="Calibre">
    <w:altName w:val="苹方-简"/>
    <w:panose1 w:val="00000000000000000000"/>
    <w:charset w:val="00"/>
    <w:family w:val="auto"/>
    <w:pitch w:val="default"/>
    <w:sig w:usb0="00000000" w:usb1="00000000" w:usb2="00000000" w:usb3="00000000" w:csb0="00000000" w:csb1="00000000"/>
  </w:font>
  <w:font w:name="Times New Roman Regular">
    <w:panose1 w:val="02020603050405020304"/>
    <w:charset w:val="00"/>
    <w:family w:val="auto"/>
    <w:pitch w:val="default"/>
    <w:sig w:usb0="E0002AEF" w:usb1="C0007841" w:usb2="00000009" w:usb3="00000000" w:csb0="400001FF" w:csb1="FFFF0000"/>
  </w:font>
  <w:font w:name="Courier New">
    <w:panose1 w:val="02070609020205090404"/>
    <w:charset w:val="00"/>
    <w:family w:val="auto"/>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儷宋 Pro">
    <w:panose1 w:val="02020300000000000000"/>
    <w:charset w:val="88"/>
    <w:family w:val="auto"/>
    <w:pitch w:val="default"/>
    <w:sig w:usb0="80000001" w:usb1="28091800" w:usb2="00000016" w:usb3="00000000" w:csb0="00100000" w:csb1="00000000"/>
  </w:font>
  <w:font w:name="Roboto Bold">
    <w:panose1 w:val="00000000000000000000"/>
    <w:charset w:val="00"/>
    <w:family w:val="auto"/>
    <w:pitch w:val="default"/>
    <w:sig w:usb0="E00002EF" w:usb1="5000205B" w:usb2="00000020" w:usb3="00000000" w:csb0="2000019F" w:csb1="4F010000"/>
  </w:font>
  <w:font w:name="Verdana">
    <w:panose1 w:val="020B06040305040B0204"/>
    <w:charset w:val="00"/>
    <w:family w:val="auto"/>
    <w:pitch w:val="default"/>
    <w:sig w:usb0="A10006FF" w:usb1="4000205B" w:usb2="00000010" w:usb3="00000000" w:csb0="2000019F" w:csb1="00000000"/>
  </w:font>
  <w:font w:name="MathJax_Main">
    <w:altName w:val="苹方-简"/>
    <w:panose1 w:val="00000000000000000000"/>
    <w:charset w:val="00"/>
    <w:family w:val="auto"/>
    <w:pitch w:val="default"/>
    <w:sig w:usb0="00000000" w:usb1="00000000" w:usb2="00000000" w:usb3="00000000" w:csb0="00000000" w:csb1="00000000"/>
  </w:font>
  <w:font w:name="MathJax_Math-italic">
    <w:altName w:val="苹方-简"/>
    <w:panose1 w:val="00000000000000000000"/>
    <w:charset w:val="00"/>
    <w:family w:val="auto"/>
    <w:pitch w:val="default"/>
    <w:sig w:usb0="00000000" w:usb1="00000000" w:usb2="00000000" w:usb3="00000000" w:csb0="00000000" w:csb1="00000000"/>
  </w:font>
  <w:font w:name="MathJax_Size1">
    <w:altName w:val="苹方-简"/>
    <w:panose1 w:val="00000000000000000000"/>
    <w:charset w:val="00"/>
    <w:family w:val="auto"/>
    <w:pitch w:val="default"/>
    <w:sig w:usb0="00000000" w:usb1="00000000" w:usb2="00000000" w:usb3="00000000" w:csb0="00000000" w:csb1="00000000"/>
  </w:font>
  <w:font w:name="MathJax_Size2">
    <w:altName w:val="苹方-简"/>
    <w:panose1 w:val="00000000000000000000"/>
    <w:charset w:val="00"/>
    <w:family w:val="auto"/>
    <w:pitch w:val="default"/>
    <w:sig w:usb0="00000000" w:usb1="00000000" w:usb2="00000000" w:usb3="00000000" w:csb0="00000000" w:csb1="00000000"/>
  </w:font>
  <w:font w:name="Calibri Bold">
    <w:panose1 w:val="020F0302020204030204"/>
    <w:charset w:val="00"/>
    <w:family w:val="auto"/>
    <w:pitch w:val="default"/>
    <w:sig w:usb0="E0002AFF" w:usb1="C000247B" w:usb2="00000009" w:usb3="00000000" w:csb0="200001FF" w:csb1="00000000"/>
  </w:font>
  <w:font w:name="SimSun">
    <w:panose1 w:val="02010600030101010101"/>
    <w:charset w:val="86"/>
    <w:family w:val="auto"/>
    <w:pitch w:val="default"/>
    <w:sig w:usb0="00000003" w:usb1="288F0000" w:usb2="00000006" w:usb3="00000000" w:csb0="00040001" w:csb1="00000000"/>
  </w:font>
  <w:font w:name="Calibri">
    <w:panose1 w:val="020F0302020204030204"/>
    <w:charset w:val="86"/>
    <w:family w:val="swiss"/>
    <w:pitch w:val="default"/>
    <w:sig w:usb0="E0002AFF" w:usb1="C000247B" w:usb2="00000009" w:usb3="00000000" w:csb0="200001FF" w:csb1="00000000"/>
  </w:font>
  <w:font w:name="Cambria Math">
    <w:panose1 w:val="02040503050406030204"/>
    <w:charset w:val="01"/>
    <w:family w:val="roman"/>
    <w:pitch w:val="default"/>
    <w:sig w:usb0="A00002EF" w:usb1="420020EB" w:usb2="00000000" w:usb3="00000000" w:csb0="2000009F" w:csb1="00000000"/>
  </w:font>
  <w:font w:name="汉仪书宋二KW">
    <w:panose1 w:val="00020600040101010101"/>
    <w:charset w:val="86"/>
    <w:family w:val="auto"/>
    <w:pitch w:val="default"/>
    <w:sig w:usb0="A00002BF" w:usb1="18EF7CFA" w:usb2="00000016" w:usb3="00000000" w:csb0="00040000" w:csb1="00000000"/>
  </w:font>
  <w:font w:name="Times New Roman Bold">
    <w:panose1 w:val="02020603050405020304"/>
    <w:charset w:val="00"/>
    <w:family w:val="auto"/>
    <w:pitch w:val="default"/>
    <w:sig w:usb0="E0002AEF" w:usb1="C0007841" w:usb2="00000009" w:usb3="00000000" w:csb0="400001FF" w:csb1="FFFF0000"/>
  </w:font>
  <w:font w:name="Calibri Light Italic">
    <w:panose1 w:val="020F0302020204030204"/>
    <w:charset w:val="00"/>
    <w:family w:val="auto"/>
    <w:pitch w:val="default"/>
    <w:sig w:usb0="E0002AFF" w:usb1="C000247B" w:usb2="00000009" w:usb3="00000000" w:csb0="200001FF" w:csb1="00000000"/>
  </w:font>
  <w:font w:name="Sarabun">
    <w:panose1 w:val="00000500000000000000"/>
    <w:charset w:val="00"/>
    <w:family w:val="auto"/>
    <w:pitch w:val="default"/>
    <w:sig w:usb0="21000007" w:usb1="00000001" w:usb2="00000000" w:usb3="00000000" w:csb0="20010193" w:csb1="00000000"/>
  </w:font>
  <w:font w:name="IBM Plex Sans">
    <w:altName w:val="苹方-简"/>
    <w:panose1 w:val="00000000000000000000"/>
    <w:charset w:val="00"/>
    <w:family w:val="auto"/>
    <w:pitch w:val="default"/>
    <w:sig w:usb0="00000000" w:usb1="00000000" w:usb2="00000000" w:usb3="00000000" w:csb0="00000000" w:csb1="00000000"/>
  </w:font>
  <w:font w:name="NexusSerif">
    <w:altName w:val="苹方-简"/>
    <w:panose1 w:val="00000000000000000000"/>
    <w:charset w:val="00"/>
    <w:family w:val="auto"/>
    <w:pitch w:val="default"/>
    <w:sig w:usb0="00000000" w:usb1="00000000" w:usb2="00000000" w:usb3="00000000" w:csb0="00000000" w:csb1="00000000"/>
  </w:font>
  <w:font w:name="Microsoft YaHei Bold">
    <w:panose1 w:val="020B0703020204020201"/>
    <w:charset w:val="86"/>
    <w:family w:val="auto"/>
    <w:pitch w:val="default"/>
    <w:sig w:usb0="80000287" w:usb1="2ACF3C50" w:usb2="00000016" w:usb3="00000000" w:csb0="0004001F" w:csb1="00000000"/>
  </w:font>
  <w:font w:name="Trebuchet-BoldItalic">
    <w:panose1 w:val="020B0703020202020204"/>
    <w:charset w:val="00"/>
    <w:family w:val="auto"/>
    <w:pitch w:val="default"/>
    <w:sig w:usb0="00000287" w:usb1="00000000" w:usb2="00000000" w:usb3="00000000" w:csb0="2000009F" w:csb1="00000000"/>
  </w:font>
  <w:font w:name="Trebuchet MS Bold">
    <w:panose1 w:val="020B0703020202020204"/>
    <w:charset w:val="00"/>
    <w:family w:val="auto"/>
    <w:pitch w:val="default"/>
    <w:sig w:usb0="00000287" w:usb1="00000000" w:usb2="00000000" w:usb3="00000000" w:csb0="2000009F" w:csb1="00000000"/>
  </w:font>
  <w:font w:name="交通标志专用字体">
    <w:panose1 w:val="02010800040101010101"/>
    <w:charset w:val="86"/>
    <w:family w:val="auto"/>
    <w:pitch w:val="default"/>
    <w:sig w:usb0="00000001" w:usb1="080F0000" w:usb2="00000000" w:usb3="00000000" w:csb0="00040000" w:csb1="00000000"/>
  </w:font>
  <w:font w:name="Liberation Serif">
    <w:altName w:val="苹方-简"/>
    <w:panose1 w:val="00000000000000000000"/>
    <w:charset w:val="00"/>
    <w:family w:val="roman"/>
    <w:pitch w:val="default"/>
    <w:sig w:usb0="00000000" w:usb1="00000000" w:usb2="00000000" w:usb3="00000000" w:csb0="00000000" w:csb1="00000000"/>
  </w:font>
  <w:font w:name="Liberation Sans">
    <w:altName w:val="苹方-简"/>
    <w:panose1 w:val="00000000000000000000"/>
    <w:charset w:val="00"/>
    <w:family w:val="swiss"/>
    <w:pitch w:val="default"/>
    <w:sig w:usb0="00000000" w:usb1="00000000" w:usb2="00000000" w:usb3="00000000" w:csb0="00000000" w:csb1="00000000"/>
  </w:font>
  <w:font w:name="Droid Sans Devanagari">
    <w:altName w:val="苹方-简"/>
    <w:panose1 w:val="00000000000000000000"/>
    <w:charset w:val="00"/>
    <w:family w:val="auto"/>
    <w:pitch w:val="default"/>
    <w:sig w:usb0="00000000" w:usb1="00000000" w:usb2="00000000" w:usb3="00000000" w:csb0="00000000" w:csb1="00000000"/>
  </w:font>
  <w:font w:name="NSimSun">
    <w:panose1 w:val="02010609030101010101"/>
    <w:charset w:val="86"/>
    <w:family w:val="auto"/>
    <w:pitch w:val="default"/>
    <w:sig w:usb0="00000003" w:usb1="288F0000" w:usb2="00000006" w:usb3="00000000" w:csb0="00040001" w:csb1="00000000"/>
  </w:font>
  <w:font w:name="SimSun;宋体">
    <w:altName w:val="苹方-简"/>
    <w:panose1 w:val="00000000000000000000"/>
    <w:charset w:val="00"/>
    <w:family w:val="auto"/>
    <w:pitch w:val="default"/>
    <w:sig w:usb0="00000000" w:usb1="00000000" w:usb2="00000000" w:usb3="00000000" w:csb0="00000000" w:csb1="00000000"/>
  </w:font>
  <w:font w:name="Arial Unicode MS">
    <w:panose1 w:val="020B0604020202020204"/>
    <w:charset w:val="80"/>
    <w:family w:val="swiss"/>
    <w:pitch w:val="default"/>
    <w:sig w:usb0="FFFFFFFF" w:usb1="E9FFFFFF" w:usb2="0000003F" w:usb3="00000000" w:csb0="601F00FF" w:csb1="FFFF0000"/>
  </w:font>
  <w:font w:name="CG Times (WN)">
    <w:altName w:val="苹方-简"/>
    <w:panose1 w:val="020B0604020202020204"/>
    <w:charset w:val="00"/>
    <w:family w:val="roman"/>
    <w:pitch w:val="default"/>
    <w:sig w:usb0="00000000" w:usb1="00000000" w:usb2="00000000" w:usb3="00000000" w:csb0="00000001" w:csb1="00000000"/>
  </w:font>
  <w:font w:name="MS Gothic">
    <w:panose1 w:val="020B0609070205080204"/>
    <w:charset w:val="80"/>
    <w:family w:val="modern"/>
    <w:pitch w:val="default"/>
    <w:sig w:usb0="E00002FF" w:usb1="6AC7FDFB" w:usb2="08000012" w:usb3="00000000" w:csb0="4002009F" w:csb1="DFD70000"/>
  </w:font>
  <w:font w:name="MS Mincho">
    <w:altName w:val="MS Gothic"/>
    <w:panose1 w:val="02020609040205080304"/>
    <w:charset w:val="80"/>
    <w:family w:val="modern"/>
    <w:pitch w:val="default"/>
    <w:sig w:usb0="00000000" w:usb1="00000000" w:usb2="08000012" w:usb3="00000000" w:csb0="0002009F" w:csb1="00000000"/>
  </w:font>
  <w:font w:name="Times New Roman Bold Italic">
    <w:panose1 w:val="02020603050405020304"/>
    <w:charset w:val="00"/>
    <w:family w:val="auto"/>
    <w:pitch w:val="default"/>
    <w:sig w:usb0="E0002AEF" w:usb1="C0007841" w:usb2="00000009" w:usb3="00000000" w:csb0="400001FF" w:csb1="FFFF0000"/>
  </w:font>
  <w:font w:name="汉仪中黑KW">
    <w:panose1 w:val="00020600040101010101"/>
    <w:charset w:val="86"/>
    <w:family w:val="auto"/>
    <w:pitch w:val="default"/>
    <w:sig w:usb0="A00002BF" w:usb1="18EF7CFA" w:usb2="00000016" w:usb3="00000000" w:csb0="00040000" w:csb1="00000000"/>
  </w:font>
  <w:font w:name="Hiragino Sans">
    <w:panose1 w:val="020B0200000000000000"/>
    <w:charset w:val="80"/>
    <w:family w:val="auto"/>
    <w:pitch w:val="default"/>
    <w:sig w:usb0="800002CF" w:usb1="6AC7FCFC" w:usb2="00000012" w:usb3="00000000" w:csb0="0002000D" w:csb1="00000000"/>
  </w:font>
  <w:font w:name="苹方-简">
    <w:panose1 w:val="020B0400000000000000"/>
    <w:charset w:val="50"/>
    <w:family w:val="auto"/>
    <w:pitch w:val="default"/>
    <w:sig w:usb0="A00002FF" w:usb1="7ACFFDFB" w:usb2="00000017" w:usb3="00000000" w:csb0="00040001" w:csb1="00000000"/>
  </w:font>
  <w:font w:name="Arial Unicode MS">
    <w:panose1 w:val="020B0604020202020204"/>
    <w:charset w:val="86"/>
    <w:family w:val="auto"/>
    <w:pitch w:val="default"/>
    <w:sig w:usb0="FFFFFFFF" w:usb1="E9FFFFFF" w:usb2="0000003F" w:usb3="00000000" w:csb0="601F00FF" w:csb1="FFFF0000"/>
  </w:font>
  <w:font w:name="Arial Unicode MS">
    <w:panose1 w:val="020B0604020202020204"/>
    <w:charset w:val="50"/>
    <w:family w:val="auto"/>
    <w:pitch w:val="default"/>
    <w:sig w:usb0="FFFFFFFF" w:usb1="E9FFFFFF" w:usb2="0000003F" w:usb3="00000000" w:csb0="601F00FF" w:csb1="FFFF0000"/>
  </w:font>
  <w:font w:name="Corbel">
    <w:panose1 w:val="020B0703020204090204"/>
    <w:charset w:val="00"/>
    <w:family w:val="auto"/>
    <w:pitch w:val="default"/>
    <w:sig w:usb0="A00002EF" w:usb1="4000A44B" w:usb2="00000000" w:usb3="00000000" w:csb0="2000019F" w:csb1="00000000"/>
  </w:font>
  <w:font w:name="汉仪旗黑KW">
    <w:panose1 w:val="00020600040101010101"/>
    <w:charset w:val="86"/>
    <w:family w:val="auto"/>
    <w:pitch w:val="default"/>
    <w:sig w:usb0="A00002BF" w:usb1="3ACF7CFA" w:usb2="00000016" w:usb3="00000000" w:csb0="0004009F" w:csb1="DFD70000"/>
  </w:font>
  <w:font w:name="Wingdings 2">
    <w:panose1 w:val="05020102010507070707"/>
    <w:charset w:val="02"/>
    <w:family w:val="roman"/>
    <w:pitch w:val="default"/>
    <w:sig w:usb0="00000000" w:usb1="00000000" w:usb2="00000000" w:usb3="00000000" w:csb0="80000000" w:csb1="00000000"/>
  </w:font>
  <w:font w:name="手札体-繁">
    <w:panose1 w:val="03000500000000000000"/>
    <w:charset w:val="86"/>
    <w:family w:val="auto"/>
    <w:pitch w:val="default"/>
    <w:sig w:usb0="A00002FF" w:usb1="7ACF7CFB" w:usb2="00000016" w:usb3="00000000" w:csb0="00040001"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汉仪中等线KW">
    <w:panose1 w:val="01010104010101010101"/>
    <w:charset w:val="86"/>
    <w:family w:val="auto"/>
    <w:pitch w:val="default"/>
    <w:sig w:usb0="800002BF" w:usb1="004F7CFA" w:usb2="00000000" w:usb3="00000000" w:csb0="00040001" w:csb1="00000000"/>
  </w:font>
  <w:font w:name="sans serif">
    <w:altName w:val="苹方-简"/>
    <w:panose1 w:val="00000000000000000000"/>
    <w:charset w:val="00"/>
    <w:family w:val="auto"/>
    <w:pitch w:val="default"/>
    <w:sig w:usb0="00000000" w:usb1="00000000" w:usb2="00000000" w:usb3="00000000" w:csb0="00000000" w:csb1="00000000"/>
  </w:font>
  <w:font w:name="Segoe UI">
    <w:panose1 w:val="020B0402040204020203"/>
    <w:charset w:val="00"/>
    <w:family w:val="auto"/>
    <w:pitch w:val="default"/>
    <w:sig w:usb0="E4002EFF" w:usb1="C000E47F" w:usb2="00000009" w:usb3="00000000" w:csb0="200001FF" w:csb1="00000000"/>
  </w:font>
  <w:font w:name="微软雅黑">
    <w:panose1 w:val="020B0703020204020201"/>
    <w:charset w:val="50"/>
    <w:family w:val="auto"/>
    <w:pitch w:val="default"/>
    <w:sig w:usb0="80000287" w:usb1="2ACF3C50" w:usb2="00000016" w:usb3="00000000" w:csb0="0004001F" w:csb1="00000000"/>
  </w:font>
  <w:font w:name="楷体">
    <w:panose1 w:val="02010609060101010101"/>
    <w:charset w:val="86"/>
    <w:family w:val="auto"/>
    <w:pitch w:val="default"/>
    <w:sig w:usb0="800002BF" w:usb1="38CF7CFA" w:usb2="00000016" w:usb3="00000000" w:csb0="00040001" w:csb1="00000000"/>
  </w:font>
  <w:font w:name="Malgun Gothic">
    <w:panose1 w:val="020B0803020000020004"/>
    <w:charset w:val="81"/>
    <w:family w:val="auto"/>
    <w:pitch w:val="default"/>
    <w:sig w:usb0="9000002F" w:usb1="29D77CFB" w:usb2="00000012" w:usb3="00000000" w:csb0="00080001" w:csb1="00000000"/>
  </w:font>
  <w:font w:name="Microsoft JhengHei UI Light">
    <w:panose1 w:val="020B0604030504040204"/>
    <w:charset w:val="88"/>
    <w:family w:val="auto"/>
    <w:pitch w:val="default"/>
    <w:sig w:usb0="000002A7" w:usb1="28CF4400" w:usb2="00000016" w:usb3="00000000" w:csb0="00100009" w:csb1="00000000"/>
  </w:font>
  <w:font w:name="Apple SD Gothic Neo">
    <w:panose1 w:val="02000300000000000000"/>
    <w:charset w:val="81"/>
    <w:family w:val="auto"/>
    <w:pitch w:val="default"/>
    <w:sig w:usb0="00000203" w:usb1="21D12C10" w:usb2="00000010" w:usb3="00000000" w:csb0="00280005" w:csb1="00000000"/>
  </w:font>
  <w:font w:name="汉仪楷体KW">
    <w:panose1 w:val="00020600040101010101"/>
    <w:charset w:val="86"/>
    <w:family w:val="auto"/>
    <w:pitch w:val="default"/>
    <w:sig w:usb0="A00002BF" w:usb1="18EF7CFA" w:usb2="00000016" w:usb3="00000000" w:csb0="00040000" w:csb1="00000000"/>
  </w:font>
  <w:font w:name="Wingdings 2">
    <w:panose1 w:val="05020102010507070707"/>
    <w:charset w:val="00"/>
    <w:family w:val="auto"/>
    <w:pitch w:val="default"/>
    <w:sig w:usb0="00000000" w:usb1="00000000" w:usb2="00000000" w:usb3="00000000" w:csb0="80000000" w:csb1="00000000"/>
  </w:font>
  <w:font w:name="圆体-简">
    <w:panose1 w:val="02010600040101010101"/>
    <w:charset w:val="86"/>
    <w:family w:val="auto"/>
    <w:pitch w:val="default"/>
    <w:sig w:usb0="80000287" w:usb1="280F3C52" w:usb2="00000016" w:usb3="00000000" w:csb0="0004001F" w:csb1="00000000"/>
  </w:font>
  <w:font w:name="娃娃体-简">
    <w:panose1 w:val="040B0500000000000000"/>
    <w:charset w:val="86"/>
    <w:family w:val="auto"/>
    <w:pitch w:val="default"/>
    <w:sig w:usb0="A00002FF" w:usb1="38CF7CFB" w:usb2="00000016" w:usb3="00000000" w:csb0="00040003" w:csb1="00000000"/>
  </w:font>
  <w:font w:name="叶根友签名体">
    <w:altName w:val="华文宋体"/>
    <w:panose1 w:val="02010601030101010101"/>
    <w:charset w:val="86"/>
    <w:family w:val="auto"/>
    <w:pitch w:val="default"/>
    <w:sig w:usb0="00000000" w:usb1="00000000" w:usb2="00000000" w:usb3="00000000" w:csb0="00040000" w:csb1="00000000"/>
  </w:font>
  <w:font w:name="蘋果儷細宋">
    <w:panose1 w:val="00000000000000000000"/>
    <w:charset w:val="88"/>
    <w:family w:val="auto"/>
    <w:pitch w:val="default"/>
    <w:sig w:usb0="800000E3" w:usb1="30C97878" w:usb2="00000016" w:usb3="00000000" w:csb0="00100000" w:csb1="00000000"/>
  </w:font>
  <w:font w:name="叶根友特色空心简体终极版">
    <w:panose1 w:val="02010601030101010101"/>
    <w:charset w:val="86"/>
    <w:family w:val="auto"/>
    <w:pitch w:val="default"/>
    <w:sig w:usb0="00000001" w:usb1="080E0000" w:usb2="00000000" w:usb3="00000000" w:csb0="00040000" w:csb1="00000000"/>
  </w:font>
  <w:font w:name="HYBaoSongF">
    <w:panose1 w:val="02010609000101010101"/>
    <w:charset w:val="86"/>
    <w:family w:val="auto"/>
    <w:pitch w:val="default"/>
    <w:sig w:usb0="00000001" w:usb1="080E0800" w:usb2="00000002" w:usb3="00000000" w:csb0="00040000" w:csb1="00000000"/>
  </w:font>
  <w:font w:name="HYDaSongJ">
    <w:panose1 w:val="02010609000101010101"/>
    <w:charset w:val="86"/>
    <w:family w:val="auto"/>
    <w:pitch w:val="default"/>
    <w:sig w:usb0="00000001" w:usb1="080E0800" w:usb2="00000002" w:usb3="00000000" w:csb0="00040000" w:csb1="00000000"/>
  </w:font>
  <w:font w:name="HYChaoCuSongF">
    <w:panose1 w:val="02010609000101010101"/>
    <w:charset w:val="86"/>
    <w:family w:val="auto"/>
    <w:pitch w:val="default"/>
    <w:sig w:usb0="00000001" w:usb1="080E0800" w:usb2="00000002" w:usb3="00000000" w:csb0="00040000" w:csb1="00000000"/>
  </w:font>
  <w:font w:name="Brush Script MT">
    <w:panose1 w:val="03060802040406070304"/>
    <w:charset w:val="86"/>
    <w:family w:val="auto"/>
    <w:pitch w:val="default"/>
    <w:sig w:usb0="00000000" w:usb1="00000000" w:usb2="00000000" w:usb3="00000000" w:csb0="0025003A" w:csb1="002F0000"/>
  </w:font>
  <w:font w:name="魏碑-简">
    <w:panose1 w:val="03000800000000000000"/>
    <w:charset w:val="86"/>
    <w:family w:val="auto"/>
    <w:pitch w:val="default"/>
    <w:sig w:usb0="A00002FF" w:usb1="78CFFCFB" w:usb2="00080016" w:usb3="00000000" w:csb0="20060187" w:csb1="00000000"/>
  </w:font>
  <w:font w:name="华文宋体">
    <w:panose1 w:val="02010600040101010101"/>
    <w:charset w:val="86"/>
    <w:family w:val="auto"/>
    <w:pitch w:val="default"/>
    <w:sig w:usb0="80000287" w:usb1="280F3C52" w:usb2="00000016" w:usb3="00000000" w:csb0="0004001F" w:csb1="00000000"/>
  </w:font>
  <w:font w:name="仿宋_GB2312">
    <w:altName w:val="方正仿宋_GBK"/>
    <w:panose1 w:val="02010609030101010101"/>
    <w:charset w:val="00"/>
    <w:family w:val="modern"/>
    <w:pitch w:val="default"/>
    <w:sig w:usb0="00000000" w:usb1="00000000" w:usb2="00000010" w:usb3="00000000" w:csb0="00040000" w:csb1="00000000"/>
  </w:font>
  <w:font w:name="-apple-system-font">
    <w:altName w:val="苹方-简"/>
    <w:panose1 w:val="00000000000000000000"/>
    <w:charset w:val="00"/>
    <w:family w:val="auto"/>
    <w:pitch w:val="default"/>
    <w:sig w:usb0="00000000" w:usb1="00000000" w:usb2="00000000" w:usb3="00000000" w:csb0="00000000" w:csb1="00000000"/>
  </w:font>
  <w:font w:name="PingFangSC">
    <w:altName w:val="苹方-简"/>
    <w:panose1 w:val="00000000000000000000"/>
    <w:charset w:val="00"/>
    <w:family w:val="auto"/>
    <w:pitch w:val="default"/>
    <w:sig w:usb0="00000000" w:usb1="00000000" w:usb2="00000000" w:usb3="00000000" w:csb0="00000000" w:csb1="00000000"/>
  </w:font>
  <w:font w:name="凌慧体-简">
    <w:panose1 w:val="03050602040302020204"/>
    <w:charset w:val="86"/>
    <w:family w:val="auto"/>
    <w:pitch w:val="default"/>
    <w:sig w:usb0="A00002FF" w:usb1="7ACF7CFB" w:usb2="0000001E" w:usb3="00000000" w:csb0="00040001" w:csb1="00000000"/>
  </w:font>
  <w:font w:name="冬青黑体简体中文">
    <w:panose1 w:val="020B0300000000000000"/>
    <w:charset w:val="86"/>
    <w:family w:val="auto"/>
    <w:pitch w:val="default"/>
    <w:sig w:usb0="A00002BF" w:usb1="1ACF7CFA" w:usb2="00000016" w:usb3="00000000" w:csb0="00060007" w:csb1="00000000"/>
  </w:font>
  <w:font w:name="华文中宋">
    <w:panose1 w:val="02010600040101010101"/>
    <w:charset w:val="86"/>
    <w:family w:val="auto"/>
    <w:pitch w:val="default"/>
    <w:sig w:usb0="00000287" w:usb1="080F0000" w:usb2="00000000" w:usb3="00000000" w:csb0="0004009F" w:csb1="DFD70000"/>
  </w:font>
  <w:font w:name="楷体_GB2312">
    <w:altName w:val="楷体"/>
    <w:panose1 w:val="02010609030101010101"/>
    <w:charset w:val="00"/>
    <w:family w:val="modern"/>
    <w:pitch w:val="default"/>
    <w:sig w:usb0="00000000" w:usb1="00000000" w:usb2="00000010" w:usb3="00000000" w:csb0="00040000" w:csb1="00000000"/>
  </w:font>
  <w:font w:name="方正小标宋简体">
    <w:panose1 w:val="03000509000000000000"/>
    <w:charset w:val="86"/>
    <w:family w:val="script"/>
    <w:pitch w:val="default"/>
    <w:sig w:usb0="00000001" w:usb1="080E0000" w:usb2="00000000" w:usb3="00000000" w:csb0="00040000" w:csb1="00000000"/>
  </w:font>
  <w:font w:name="方正大标宋_GBK">
    <w:altName w:val="苹方-简"/>
    <w:panose1 w:val="03000509000000000000"/>
    <w:charset w:val="00"/>
    <w:family w:val="script"/>
    <w:pitch w:val="default"/>
    <w:sig w:usb0="00000000" w:usb1="00000000" w:usb2="00000010" w:usb3="00000000" w:csb0="00040000" w:csb1="00000000"/>
  </w:font>
  <w:font w:name="方正楷体简体">
    <w:panose1 w:val="03000509000000000000"/>
    <w:charset w:val="86"/>
    <w:family w:val="auto"/>
    <w:pitch w:val="default"/>
    <w:sig w:usb0="00000001" w:usb1="080E0000" w:usb2="00000000" w:usb3="00000000" w:csb0="00040000" w:csb1="00000000"/>
  </w:font>
  <w:font w:name="方正仿宋_GBK">
    <w:panose1 w:val="02000000000000000000"/>
    <w:charset w:val="86"/>
    <w:family w:val="auto"/>
    <w:pitch w:val="default"/>
    <w:sig w:usb0="A00002BF" w:usb1="38CF7CFA" w:usb2="00082016" w:usb3="00000000" w:csb0="00040001" w:csb1="00000000"/>
  </w:font>
  <w:font w:name="汉仪楷体简">
    <w:altName w:val="华文宋体"/>
    <w:panose1 w:val="02010609000101010101"/>
    <w:charset w:val="86"/>
    <w:family w:val="auto"/>
    <w:pitch w:val="default"/>
    <w:sig w:usb0="00000000" w:usb1="00000000" w:usb2="00000002" w:usb3="00000000" w:csb0="00040000" w:csb1="00000000"/>
  </w:font>
  <w:font w:name="Century Schoolbook">
    <w:panose1 w:val="02040804060505020304"/>
    <w:charset w:val="00"/>
    <w:family w:val="auto"/>
    <w:pitch w:val="default"/>
    <w:sig w:usb0="00000287" w:usb1="00000000" w:usb2="00000000" w:usb3="00000000" w:csb0="2000009F" w:csb1="DFD70000"/>
  </w:font>
  <w:font w:name="TimesNewRomanPSMT">
    <w:panose1 w:val="02020603050405020304"/>
    <w:charset w:val="00"/>
    <w:family w:val="auto"/>
    <w:pitch w:val="default"/>
    <w:sig w:usb0="E0002AEF" w:usb1="C0007841" w:usb2="00000009" w:usb3="00000000" w:csb0="400001FF" w:csb1="FFFF0000"/>
  </w:font>
  <w:font w:name="Century">
    <w:panose1 w:val="02040604050505020304"/>
    <w:charset w:val="00"/>
    <w:family w:val="auto"/>
    <w:pitch w:val="default"/>
    <w:sig w:usb0="00000287" w:usb1="00000000" w:usb2="00000000" w:usb3="00000000" w:csb0="2000009F" w:csb1="DFD70000"/>
  </w:font>
  <w:font w:name="Century Schoolbook Italic">
    <w:panose1 w:val="02040804060505020304"/>
    <w:charset w:val="00"/>
    <w:family w:val="auto"/>
    <w:pitch w:val="default"/>
    <w:sig w:usb0="00000287" w:usb1="00000000" w:usb2="00000000" w:usb3="00000000" w:csb0="2000009F" w:csb1="DFD70000"/>
  </w:font>
  <w:font w:name="Century">
    <w:panose1 w:val="02040604050505020304"/>
    <w:charset w:val="01"/>
    <w:family w:val="roman"/>
    <w:pitch w:val="default"/>
    <w:sig w:usb0="00000287" w:usb1="00000000" w:usb2="00000000" w:usb3="00000000" w:csb0="2000009F" w:csb1="DFD70000"/>
  </w:font>
  <w:font w:name="Book Antiqua">
    <w:panose1 w:val="020405020503050A0304"/>
    <w:charset w:val="01"/>
    <w:family w:val="roman"/>
    <w:pitch w:val="default"/>
    <w:sig w:usb0="00000287" w:usb1="00000000" w:usb2="00000000" w:usb3="00000000" w:csb0="2000009F" w:csb1="DFD70000"/>
  </w:font>
  <w:font w:name="Century Gothic">
    <w:panose1 w:val="020B0602020202090204"/>
    <w:charset w:val="01"/>
    <w:family w:val="swiss"/>
    <w:pitch w:val="default"/>
    <w:sig w:usb0="00000287" w:usb1="00000000" w:usb2="00000000" w:usb3="00000000" w:csb0="2000009F" w:csb1="DFD70000"/>
  </w:font>
  <w:font w:name="Tahoma">
    <w:panose1 w:val="020B0804030504040204"/>
    <w:charset w:val="01"/>
    <w:family w:val="swiss"/>
    <w:pitch w:val="default"/>
    <w:sig w:usb0="E1002AFF" w:usb1="C000605B" w:usb2="00000029" w:usb3="00000000" w:csb0="200101FF" w:csb1="20280000"/>
  </w:font>
  <w:font w:name="Cambria">
    <w:panose1 w:val="020405030504060A0204"/>
    <w:charset w:val="01"/>
    <w:family w:val="roman"/>
    <w:pitch w:val="default"/>
    <w:sig w:usb0="E00002FF" w:usb1="4000045F" w:usb2="00000000" w:usb3="00000000" w:csb0="2000019F" w:csb1="00000000"/>
  </w:font>
  <w:font w:name="Lucida Sans Unicode">
    <w:panose1 w:val="020B0602030504020204"/>
    <w:charset w:val="01"/>
    <w:family w:val="swiss"/>
    <w:pitch w:val="default"/>
    <w:sig w:usb0="80001AFF" w:usb1="0000396B" w:usb2="00000000" w:usb3="00000000" w:csb0="200000BF" w:csb1="D7F70000"/>
  </w:font>
  <w:font w:name="Georgia">
    <w:panose1 w:val="02040802050405090203"/>
    <w:charset w:val="01"/>
    <w:family w:val="roman"/>
    <w:pitch w:val="default"/>
    <w:sig w:usb0="00000287" w:usb1="00000000" w:usb2="00000000" w:usb3="00000000" w:csb0="2000009F" w:csb1="00000000"/>
  </w:font>
  <w:font w:name="Times">
    <w:panose1 w:val="00000500000000020000"/>
    <w:charset w:val="00"/>
    <w:family w:val="auto"/>
    <w:pitch w:val="default"/>
    <w:sig w:usb0="E00002FF" w:usb1="5000205A" w:usb2="00000000" w:usb3="00000000" w:csb0="2000019F" w:csb1="4F010000"/>
  </w:font>
  <w:font w:name="Futura">
    <w:panose1 w:val="020B0602020204020303"/>
    <w:charset w:val="00"/>
    <w:family w:val="auto"/>
    <w:pitch w:val="default"/>
    <w:sig w:usb0="80000067" w:usb1="00000000" w:usb2="00000000" w:usb3="00000000" w:csb0="200001FB" w:csb1="CDFD0000"/>
  </w:font>
  <w:font w:name="Calibri Italic">
    <w:panose1 w:val="020F0302020204030204"/>
    <w:charset w:val="00"/>
    <w:family w:val="auto"/>
    <w:pitch w:val="default"/>
    <w:sig w:usb0="E0002AFF" w:usb1="C000247B" w:usb2="00000009" w:usb3="00000000" w:csb0="200001FF" w:csb1="00000000"/>
  </w:font>
  <w:font w:name="Times New Roman Italic">
    <w:panose1 w:val="02020603050405020304"/>
    <w:charset w:val="00"/>
    <w:family w:val="auto"/>
    <w:pitch w:val="default"/>
    <w:sig w:usb0="E0002AEF" w:usb1="C0007841" w:usb2="00000009" w:usb3="00000000" w:csb0="400001FF" w:csb1="FFFF0000"/>
  </w:font>
  <w:font w:name="????????????">
    <w:altName w:val="苹方-简"/>
    <w:panose1 w:val="00000000000000000000"/>
    <w:charset w:val="00"/>
    <w:family w:val="auto"/>
    <w:pitch w:val="default"/>
    <w:sig w:usb0="00000000" w:usb1="00000000" w:usb2="00000000" w:usb3="00000000" w:csb0="00000000" w:csb1="00000000"/>
  </w:font>
  <w:font w:name="metropolis">
    <w:altName w:val="苹方-简"/>
    <w:panose1 w:val="00000000000000000000"/>
    <w:charset w:val="00"/>
    <w:family w:val="auto"/>
    <w:pitch w:val="default"/>
    <w:sig w:usb0="00000000" w:usb1="00000000" w:usb2="00000000" w:usb3="00000000" w:csb0="00000000" w:csb1="00000000"/>
  </w:font>
  <w:font w:name="DY101">
    <w:altName w:val="苹方-简"/>
    <w:panose1 w:val="00000000000000000000"/>
    <w:charset w:val="00"/>
    <w:family w:val="auto"/>
    <w:pitch w:val="default"/>
    <w:sig w:usb0="00000000" w:usb1="00000000" w:usb2="00000000" w:usb3="00000000" w:csb0="00000000" w:csb1="00000000"/>
  </w:font>
  <w:font w:name="Gilmer">
    <w:altName w:val="苹方-简"/>
    <w:panose1 w:val="00000000000000000000"/>
    <w:charset w:val="00"/>
    <w:family w:val="auto"/>
    <w:pitch w:val="default"/>
    <w:sig w:usb0="00000000" w:usb1="00000000" w:usb2="00000000" w:usb3="00000000" w:csb0="00000000" w:csb1="00000000"/>
  </w:font>
  <w:font w:name="Inter">
    <w:altName w:val="苹方-简"/>
    <w:panose1 w:val="00000000000000000000"/>
    <w:charset w:val="00"/>
    <w:family w:val="auto"/>
    <w:pitch w:val="default"/>
    <w:sig w:usb0="00000000" w:usb1="00000000" w:usb2="00000000" w:usb3="00000000" w:csb0="00000000" w:csb1="00000000"/>
  </w:font>
  <w:font w:name="B4">
    <w:altName w:val="苹方-简"/>
    <w:panose1 w:val="00000000000000000000"/>
    <w:charset w:val="00"/>
    <w:family w:val="auto"/>
    <w:pitch w:val="default"/>
    <w:sig w:usb0="00000000" w:usb1="00000000" w:usb2="00000000" w:usb3="00000000" w:csb0="00000000" w:csb1="00000000"/>
  </w:font>
  <w:font w:name="B3">
    <w:altName w:val="苹方-简"/>
    <w:panose1 w:val="00000000000000000000"/>
    <w:charset w:val="00"/>
    <w:family w:val="auto"/>
    <w:pitch w:val="default"/>
    <w:sig w:usb0="00000000" w:usb1="00000000" w:usb2="00000000" w:usb3="00000000" w:csb0="00000000" w:csb1="00000000"/>
  </w:font>
  <w:font w:name="Calibri">
    <w:panose1 w:val="020F0302020204030204"/>
    <w:charset w:val="01"/>
    <w:family w:val="roman"/>
    <w:pitch w:val="default"/>
    <w:sig w:usb0="E0002AFF" w:usb1="C000247B" w:usb2="00000009" w:usb3="00000000" w:csb0="200001FF" w:csb1="00000000"/>
  </w:font>
  <w:font w:name="Palatino Linotype">
    <w:panose1 w:val="02040502050505030304"/>
    <w:charset w:val="01"/>
    <w:family w:val="roman"/>
    <w:pitch w:val="default"/>
    <w:sig w:usb0="E0000287" w:usb1="40000013" w:usb2="00000000" w:usb3="00000000" w:csb0="2000019F" w:csb1="00000000"/>
  </w:font>
  <w:font w:name="Trebuchet MS">
    <w:panose1 w:val="020B0703020202020204"/>
    <w:charset w:val="01"/>
    <w:family w:val="swiss"/>
    <w:pitch w:val="default"/>
    <w:sig w:usb0="00000287" w:usb1="00000000" w:usb2="00000000" w:usb3="00000000" w:csb0="2000009F" w:csb1="00000000"/>
  </w:font>
  <w:font w:name="Book Antiqua Bold">
    <w:panose1 w:val="020405020503050A0304"/>
    <w:charset w:val="00"/>
    <w:family w:val="auto"/>
    <w:pitch w:val="default"/>
    <w:sig w:usb0="00000287" w:usb1="00000000" w:usb2="00000000" w:usb3="00000000" w:csb0="2000009F" w:csb1="DFD70000"/>
  </w:font>
  <w:font w:name="Noto Sans">
    <w:altName w:val="苹方-简"/>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spacing w:line="14" w:lineRule="auto"/>
      <w:rPr>
        <w:sz w:val="20"/>
      </w:rPr>
    </w:pPr>
    <w:r>
      <mc:AlternateContent>
        <mc:Choice Requires="wps">
          <w:drawing>
            <wp:anchor distT="0" distB="0" distL="114300" distR="114300" simplePos="0" relativeHeight="251658240" behindDoc="1" locked="0" layoutInCell="1" allowOverlap="1">
              <wp:simplePos x="0" y="0"/>
              <wp:positionH relativeFrom="page">
                <wp:posOffset>6467475</wp:posOffset>
              </wp:positionH>
              <wp:positionV relativeFrom="page">
                <wp:posOffset>9646285</wp:posOffset>
              </wp:positionV>
              <wp:extent cx="219710" cy="165735"/>
              <wp:effectExtent l="0" t="0" r="0" b="0"/>
              <wp:wrapNone/>
              <wp:docPr id="1" name="Text Box 1"/>
              <wp:cNvGraphicFramePr/>
              <a:graphic xmlns:a="http://schemas.openxmlformats.org/drawingml/2006/main">
                <a:graphicData uri="http://schemas.microsoft.com/office/word/2010/wordprocessingShape">
                  <wps:wsp>
                    <wps:cNvSpPr txBox="1">
                      <a:spLocks noChangeArrowheads="1"/>
                    </wps:cNvSpPr>
                    <wps:spPr bwMode="auto">
                      <a:xfrm>
                        <a:off x="0" y="0"/>
                        <a:ext cx="219710" cy="165735"/>
                      </a:xfrm>
                      <a:prstGeom prst="rect">
                        <a:avLst/>
                      </a:prstGeom>
                      <a:noFill/>
                      <a:ln>
                        <a:noFill/>
                      </a:ln>
                    </wps:spPr>
                    <wps:txbx>
                      <w:txbxContent>
                        <w:p>
                          <w:pPr>
                            <w:spacing w:line="245" w:lineRule="exact"/>
                            <w:ind w:left="60"/>
                            <w:rPr>
                              <w:rFonts w:ascii="Calibri"/>
                            </w:rPr>
                          </w:pPr>
                          <w:r>
                            <w:fldChar w:fldCharType="begin"/>
                          </w:r>
                          <w:r>
                            <w:rPr>
                              <w:rFonts w:ascii="Calibri"/>
                            </w:rPr>
                            <w:instrText xml:space="preserve"> PAGE </w:instrText>
                          </w:r>
                          <w:r>
                            <w:fldChar w:fldCharType="separate"/>
                          </w:r>
                          <w:r>
                            <w:t>10</w:t>
                          </w:r>
                          <w:r>
                            <w:fldChar w:fldCharType="end"/>
                          </w:r>
                        </w:p>
                      </w:txbxContent>
                    </wps:txbx>
                    <wps:bodyPr rot="0" vert="horz" wrap="square" lIns="0" tIns="0" rIns="0" bIns="0" anchor="t" anchorCtr="0" upright="1">
                      <a:noAutofit/>
                    </wps:bodyPr>
                  </wps:wsp>
                </a:graphicData>
              </a:graphic>
            </wp:anchor>
          </w:drawing>
        </mc:Choice>
        <mc:Fallback>
          <w:pict>
            <v:shape id="Text Box 1" o:spid="_x0000_s1026" o:spt="202" type="#_x0000_t202" style="position:absolute;left:0pt;margin-left:509.25pt;margin-top:759.55pt;height:13.05pt;width:17.3pt;mso-position-horizontal-relative:page;mso-position-vertical-relative:page;z-index:-251658240;mso-width-relative:page;mso-height-relative:page;" filled="f" stroked="f" coordsize="21600,21600" o:gfxdata="UEsFBgAAAAAAAAAAAAAAAAAAAAAAAFBLAwQKAAAAAACHTuJAAAAAAAAAAAAAAAAABAAAAGRycy9Q&#10;SwMEFAAAAAgAh07iQDr+0JzaAAAADwEAAA8AAABkcnMvZG93bnJldi54bWxNj81OwzAQhO9IvIO1&#10;SNyo7UKqNsSpEIITEiINB45O7CZW43WI3R/ens0JbjO7o9lvi+3FD+xkp+gCKpALAcxiG4zDTsFn&#10;/Xq3BhaTRqOHgFbBj42wLa+vCp2bcMbKnnapY1SCMdcK+pTGnPPY9tbruAijRdrtw+R1Ijt13Ez6&#10;TOV+4EshVtxrh3Sh16N97m172B29gqcvrF7c93vzUe0rV9cbgW+rg1K3N1I8Akv2kv7CMOMTOpTE&#10;1IQjmsgG8kKuM8qSyuRGApszIrsn1cyzh2wJvCz4/z/KX1BLAwQUAAAACACHTuJA1XNCl98BAAC1&#10;AwAADgAAAGRycy9lMm9Eb2MueG1srVPbbtQwEH1H4h8sv7PZLGoL0War0qoIqVyklg9wHDuxiD1m&#10;7N1k+XrGzmYp8IZ4sSYz4+MzZ06215Md2EFhMOBqXq7WnCknoTWuq/nXp/tXbzgLUbhWDOBUzY8q&#10;8Ovdyxfb0VdqAz0MrUJGIC5Uo695H6OviiLIXlkRVuCVo6IGtCLSJ3ZFi2IkdDsUm/X6shgBW48g&#10;VQiUvZuLfJfxtVYyftY6qMiGmhO3mE/MZ5POYrcVVYfC90aeaIh/YGGFcfToGepORMH2aP6CskYi&#10;BNBxJcEWoLWRKs9A05TrP6Z57IVXeRYSJ/izTOH/wcpPhy/ITEu748wJSyt6UlNk72BiZVJn9KGi&#10;pkdPbXGidOpMkwb/APJbYA5ue+E6dYMIY69ES+zyzeLZ1RknJJBm/AgtPSP2ETLQpNEmQBKDETpt&#10;6XjeTKIiKbkp316VVJFUKi8vrl5fJG6FqJbLHkN8r8CyFNQcafEZXBweQpxbl5b0loN7Mwx5+YP7&#10;LUGYKZPJJ74z8zg100mMBtojjYEwe4m8T0EP+IOzkXxU8/B9L1BxNnxwJEUy3RLgEjRLIJykqzWP&#10;nM3hbZzNufdoup6QZ7Ed3JBc2uRRkq4zixNP8kYW4+TjZL7n37nr19+2+wl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BoBAAAW0NvbnRlbnRfVHlw&#10;ZXNdLnhtbFBLAQIUAAoAAAAAAIdO4kAAAAAAAAAAAAAAAAAGAAAAAAAAAAAAEAAAAEoDAABfcmVs&#10;cy9QSwECFAAUAAAACACHTuJAihRmPNEAAACUAQAACwAAAAAAAAABACAAAABuAwAAX3JlbHMvLnJl&#10;bHNQSwECFAAKAAAAAACHTuJAAAAAAAAAAAAAAAAABAAAAAAAAAAAABAAAAAWAAAAZHJzL1BLAQIU&#10;ABQAAAAIAIdO4kA6/tCc2gAAAA8BAAAPAAAAAAAAAAEAIAAAADgAAABkcnMvZG93bnJldi54bWxQ&#10;SwECFAAUAAAACACHTuJA1XNCl98BAAC1AwAADgAAAAAAAAABACAAAAA/AQAAZHJzL2Uyb0RvYy54&#10;bWxQSwUGAAAAAAYABgBZAQAAkAUAAAAA&#10;">
              <v:fill on="f" focussize="0,0"/>
              <v:stroke on="f"/>
              <v:imagedata o:title=""/>
              <o:lock v:ext="edit" aspectratio="f"/>
              <v:textbox inset="0mm,0mm,0mm,0mm">
                <w:txbxContent>
                  <w:p>
                    <w:pPr>
                      <w:spacing w:line="245" w:lineRule="exact"/>
                      <w:ind w:left="60"/>
                      <w:rPr>
                        <w:rFonts w:ascii="Calibri"/>
                      </w:rPr>
                    </w:pPr>
                    <w:r>
                      <w:fldChar w:fldCharType="begin"/>
                    </w:r>
                    <w:r>
                      <w:rPr>
                        <w:rFonts w:ascii="Calibri"/>
                      </w:rPr>
                      <w:instrText xml:space="preserve"> PAGE </w:instrText>
                    </w:r>
                    <w:r>
                      <w:fldChar w:fldCharType="separate"/>
                    </w:r>
                    <w:r>
                      <w:t>10</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2B9E179"/>
    <w:multiLevelType w:val="singleLevel"/>
    <w:tmpl w:val="62B9E179"/>
    <w:lvl w:ilvl="0" w:tentative="0">
      <w:start w:val="3"/>
      <w:numFmt w:val="decimal"/>
      <w:suff w:val="space"/>
      <w:lvlText w:val="%1."/>
      <w:lvlJc w:val="left"/>
    </w:lvl>
  </w:abstractNum>
  <w:abstractNum w:abstractNumId="1">
    <w:nsid w:val="62B9E188"/>
    <w:multiLevelType w:val="singleLevel"/>
    <w:tmpl w:val="62B9E188"/>
    <w:lvl w:ilvl="0" w:tentative="0">
      <w:start w:val="2"/>
      <w:numFmt w:val="decimal"/>
      <w:suff w:val="space"/>
      <w:lvlText w:val="%1."/>
      <w:lvlJc w:val="left"/>
    </w:lvl>
  </w:abstractNum>
  <w:abstractNum w:abstractNumId="2">
    <w:nsid w:val="62B9E197"/>
    <w:multiLevelType w:val="singleLevel"/>
    <w:tmpl w:val="62B9E197"/>
    <w:lvl w:ilvl="0" w:tentative="0">
      <w:start w:val="1"/>
      <w:numFmt w:val="decimal"/>
      <w:suff w:val="space"/>
      <w:lvlText w:val="%1."/>
      <w:lvlJc w:val="left"/>
    </w:lvl>
  </w:abstractNum>
  <w:abstractNum w:abstractNumId="3">
    <w:nsid w:val="62BA2F1D"/>
    <w:multiLevelType w:val="singleLevel"/>
    <w:tmpl w:val="62BA2F1D"/>
    <w:lvl w:ilvl="0" w:tentative="0">
      <w:start w:val="2"/>
      <w:numFmt w:val="decimal"/>
      <w:suff w:val="space"/>
      <w:lvlText w:val="%1."/>
      <w:lvlJc w:val="left"/>
    </w:lvl>
  </w:abstractNum>
  <w:abstractNum w:abstractNumId="4">
    <w:nsid w:val="62BA2FBA"/>
    <w:multiLevelType w:val="singleLevel"/>
    <w:tmpl w:val="62BA2FBA"/>
    <w:lvl w:ilvl="0" w:tentative="0">
      <w:start w:val="6"/>
      <w:numFmt w:val="decimal"/>
      <w:suff w:val="space"/>
      <w:lvlText w:val="%1."/>
      <w:lvlJc w:val="left"/>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9"/>
  <w:bordersDoNotSurroundHeader w:val="0"/>
  <w:bordersDoNotSurroundFooter w:val="0"/>
  <w:documentProtection w:enforcement="0"/>
  <w:defaultTabStop w:val="720"/>
  <w:drawingGridHorizontalSpacing w:val="110"/>
  <w:displayHorizontalDrawingGridEvery w:val="1"/>
  <w:displayVerticalDrawingGridEvery w:val="1"/>
  <w:noPunctuationKerning w:val="1"/>
  <w:characterSpacingControl w:val="doNotCompress"/>
  <w:compat>
    <w:ulTrailSpace/>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337F"/>
    <w:rsid w:val="00006F3B"/>
    <w:rsid w:val="00026FC8"/>
    <w:rsid w:val="00046806"/>
    <w:rsid w:val="0004731D"/>
    <w:rsid w:val="000A3CBE"/>
    <w:rsid w:val="00120626"/>
    <w:rsid w:val="001D4379"/>
    <w:rsid w:val="001F535D"/>
    <w:rsid w:val="002244EC"/>
    <w:rsid w:val="00291954"/>
    <w:rsid w:val="002938ED"/>
    <w:rsid w:val="0029497F"/>
    <w:rsid w:val="002B4A17"/>
    <w:rsid w:val="002B54BB"/>
    <w:rsid w:val="002D4029"/>
    <w:rsid w:val="00302BBF"/>
    <w:rsid w:val="00340D4C"/>
    <w:rsid w:val="003C0539"/>
    <w:rsid w:val="003D78C1"/>
    <w:rsid w:val="0040740F"/>
    <w:rsid w:val="00451C70"/>
    <w:rsid w:val="004910C9"/>
    <w:rsid w:val="004F311E"/>
    <w:rsid w:val="00506169"/>
    <w:rsid w:val="00563E9E"/>
    <w:rsid w:val="00572F7D"/>
    <w:rsid w:val="00591734"/>
    <w:rsid w:val="005C32F1"/>
    <w:rsid w:val="00616F73"/>
    <w:rsid w:val="00637124"/>
    <w:rsid w:val="006570B9"/>
    <w:rsid w:val="00661D41"/>
    <w:rsid w:val="00691A8B"/>
    <w:rsid w:val="006B6B0A"/>
    <w:rsid w:val="006B70F0"/>
    <w:rsid w:val="0074116F"/>
    <w:rsid w:val="00761A0F"/>
    <w:rsid w:val="00784FE7"/>
    <w:rsid w:val="008055A6"/>
    <w:rsid w:val="00861DA5"/>
    <w:rsid w:val="0087337F"/>
    <w:rsid w:val="00880BEF"/>
    <w:rsid w:val="008E6682"/>
    <w:rsid w:val="008F5228"/>
    <w:rsid w:val="00916C86"/>
    <w:rsid w:val="0093536C"/>
    <w:rsid w:val="00990BBC"/>
    <w:rsid w:val="009F7E7B"/>
    <w:rsid w:val="00A16186"/>
    <w:rsid w:val="00A3437F"/>
    <w:rsid w:val="00A74227"/>
    <w:rsid w:val="00A856E8"/>
    <w:rsid w:val="00B024D7"/>
    <w:rsid w:val="00B86CC0"/>
    <w:rsid w:val="00BB7B43"/>
    <w:rsid w:val="00BE691B"/>
    <w:rsid w:val="00C17BFD"/>
    <w:rsid w:val="00CB5857"/>
    <w:rsid w:val="00CE39B1"/>
    <w:rsid w:val="00D757B2"/>
    <w:rsid w:val="00DC51FD"/>
    <w:rsid w:val="00DE7E05"/>
    <w:rsid w:val="00E4164A"/>
    <w:rsid w:val="00F65674"/>
    <w:rsid w:val="00F973A1"/>
    <w:rsid w:val="00FA4644"/>
    <w:rsid w:val="00FD28B7"/>
    <w:rsid w:val="03791FC6"/>
    <w:rsid w:val="07F5B67A"/>
    <w:rsid w:val="0F6E13B2"/>
    <w:rsid w:val="12AF5C2F"/>
    <w:rsid w:val="15BDD9EC"/>
    <w:rsid w:val="1BAB0425"/>
    <w:rsid w:val="1BBFF24B"/>
    <w:rsid w:val="1D3F8161"/>
    <w:rsid w:val="1D6FCEE1"/>
    <w:rsid w:val="1DE3B590"/>
    <w:rsid w:val="1E2FAE7F"/>
    <w:rsid w:val="1FEBF771"/>
    <w:rsid w:val="1FED9431"/>
    <w:rsid w:val="1FFED5EE"/>
    <w:rsid w:val="23DE57B8"/>
    <w:rsid w:val="247559EA"/>
    <w:rsid w:val="24FBF7A3"/>
    <w:rsid w:val="25FF656A"/>
    <w:rsid w:val="2D5EA718"/>
    <w:rsid w:val="2D6A1272"/>
    <w:rsid w:val="2DD932D0"/>
    <w:rsid w:val="2F75F838"/>
    <w:rsid w:val="2F8D095E"/>
    <w:rsid w:val="2FAE234B"/>
    <w:rsid w:val="2FB7EF08"/>
    <w:rsid w:val="2FBF52F8"/>
    <w:rsid w:val="2FFF6599"/>
    <w:rsid w:val="2FFF6931"/>
    <w:rsid w:val="35BB54F3"/>
    <w:rsid w:val="36FF6E05"/>
    <w:rsid w:val="37F3D455"/>
    <w:rsid w:val="3979C7D7"/>
    <w:rsid w:val="39E7081B"/>
    <w:rsid w:val="39FFE8CE"/>
    <w:rsid w:val="3A8B7B36"/>
    <w:rsid w:val="3AE6AE63"/>
    <w:rsid w:val="3AE7BF7F"/>
    <w:rsid w:val="3BBFA75A"/>
    <w:rsid w:val="3BEF4AD6"/>
    <w:rsid w:val="3BEFDBC0"/>
    <w:rsid w:val="3CBE141F"/>
    <w:rsid w:val="3DDBFF4D"/>
    <w:rsid w:val="3DEDE65A"/>
    <w:rsid w:val="3DF579F6"/>
    <w:rsid w:val="3DFD9FD0"/>
    <w:rsid w:val="3EDE13ED"/>
    <w:rsid w:val="3EFFEBDA"/>
    <w:rsid w:val="3F3F0E88"/>
    <w:rsid w:val="3F77F6B2"/>
    <w:rsid w:val="3F7F9588"/>
    <w:rsid w:val="3FB7392B"/>
    <w:rsid w:val="3FC3311C"/>
    <w:rsid w:val="3FDD727C"/>
    <w:rsid w:val="3FE7222A"/>
    <w:rsid w:val="3FEF5F20"/>
    <w:rsid w:val="3FEF6C0A"/>
    <w:rsid w:val="3FF7D4ED"/>
    <w:rsid w:val="3FFD0F63"/>
    <w:rsid w:val="3FFE9AEC"/>
    <w:rsid w:val="3FFFF5CC"/>
    <w:rsid w:val="45CF3BC6"/>
    <w:rsid w:val="47CE323D"/>
    <w:rsid w:val="47EF4C6C"/>
    <w:rsid w:val="4A7E906D"/>
    <w:rsid w:val="4AFF330E"/>
    <w:rsid w:val="4BF91A20"/>
    <w:rsid w:val="4BFEDF67"/>
    <w:rsid w:val="4DF6595E"/>
    <w:rsid w:val="4EF8D348"/>
    <w:rsid w:val="4F3F517A"/>
    <w:rsid w:val="4F7F7B1E"/>
    <w:rsid w:val="4FEBF771"/>
    <w:rsid w:val="4FF603F7"/>
    <w:rsid w:val="51DF9A15"/>
    <w:rsid w:val="53DFF33D"/>
    <w:rsid w:val="53EDAA27"/>
    <w:rsid w:val="56760468"/>
    <w:rsid w:val="56BFDA3D"/>
    <w:rsid w:val="56D3DAD6"/>
    <w:rsid w:val="56FDE163"/>
    <w:rsid w:val="56FF9905"/>
    <w:rsid w:val="573F10F9"/>
    <w:rsid w:val="57BF0217"/>
    <w:rsid w:val="57BF97E0"/>
    <w:rsid w:val="5B3DE554"/>
    <w:rsid w:val="5B7F3A52"/>
    <w:rsid w:val="5B7F77F3"/>
    <w:rsid w:val="5BFBAFEA"/>
    <w:rsid w:val="5C7F1971"/>
    <w:rsid w:val="5D301F13"/>
    <w:rsid w:val="5D674E24"/>
    <w:rsid w:val="5D9D805C"/>
    <w:rsid w:val="5DFBE590"/>
    <w:rsid w:val="5EEA3060"/>
    <w:rsid w:val="5EF3E3D2"/>
    <w:rsid w:val="5EFECFDB"/>
    <w:rsid w:val="5F3FDB2F"/>
    <w:rsid w:val="5F3FE055"/>
    <w:rsid w:val="5F5DE3B0"/>
    <w:rsid w:val="5F5F3CFA"/>
    <w:rsid w:val="5F7FFE9A"/>
    <w:rsid w:val="5F9B0ADD"/>
    <w:rsid w:val="5FDC2803"/>
    <w:rsid w:val="5FDF8221"/>
    <w:rsid w:val="5FE72940"/>
    <w:rsid w:val="5FEB9745"/>
    <w:rsid w:val="5FFDD4A3"/>
    <w:rsid w:val="5FFFCDB8"/>
    <w:rsid w:val="67A439FD"/>
    <w:rsid w:val="67F395C3"/>
    <w:rsid w:val="6D9EAE2D"/>
    <w:rsid w:val="6DEE067D"/>
    <w:rsid w:val="6DFD30BE"/>
    <w:rsid w:val="6DFEC004"/>
    <w:rsid w:val="6DFF75F9"/>
    <w:rsid w:val="6E77BC11"/>
    <w:rsid w:val="6F69E62A"/>
    <w:rsid w:val="6FB85A62"/>
    <w:rsid w:val="6FDB0371"/>
    <w:rsid w:val="6FF36DC8"/>
    <w:rsid w:val="6FF4E18E"/>
    <w:rsid w:val="6FF79722"/>
    <w:rsid w:val="6FF92ACE"/>
    <w:rsid w:val="6FFDC661"/>
    <w:rsid w:val="6FFF5B2F"/>
    <w:rsid w:val="71E79712"/>
    <w:rsid w:val="727FEAAA"/>
    <w:rsid w:val="7337E148"/>
    <w:rsid w:val="73B94609"/>
    <w:rsid w:val="73BF0C21"/>
    <w:rsid w:val="73CE7EF2"/>
    <w:rsid w:val="73DC3DD4"/>
    <w:rsid w:val="73DF1A76"/>
    <w:rsid w:val="73F9AF74"/>
    <w:rsid w:val="73FBF253"/>
    <w:rsid w:val="73FD15A2"/>
    <w:rsid w:val="741FEBB7"/>
    <w:rsid w:val="74DFC5AB"/>
    <w:rsid w:val="74FB1591"/>
    <w:rsid w:val="765F1491"/>
    <w:rsid w:val="766E72D5"/>
    <w:rsid w:val="76BF226A"/>
    <w:rsid w:val="76FFE50F"/>
    <w:rsid w:val="770F6EA5"/>
    <w:rsid w:val="776BB024"/>
    <w:rsid w:val="776CE323"/>
    <w:rsid w:val="776F316A"/>
    <w:rsid w:val="777F47A4"/>
    <w:rsid w:val="77A747CF"/>
    <w:rsid w:val="77A9167C"/>
    <w:rsid w:val="77AFF218"/>
    <w:rsid w:val="77B3E6C8"/>
    <w:rsid w:val="77BBD382"/>
    <w:rsid w:val="77BF54C4"/>
    <w:rsid w:val="77BFECD6"/>
    <w:rsid w:val="77CFB266"/>
    <w:rsid w:val="77DEBD87"/>
    <w:rsid w:val="77FD6523"/>
    <w:rsid w:val="77FE5815"/>
    <w:rsid w:val="77FFA3F1"/>
    <w:rsid w:val="7873437A"/>
    <w:rsid w:val="797EEFF6"/>
    <w:rsid w:val="79B53F6A"/>
    <w:rsid w:val="79BEF658"/>
    <w:rsid w:val="79E5F2B1"/>
    <w:rsid w:val="79EBD3FB"/>
    <w:rsid w:val="79FEF416"/>
    <w:rsid w:val="79FF831E"/>
    <w:rsid w:val="7A9E97C9"/>
    <w:rsid w:val="7ACB2891"/>
    <w:rsid w:val="7AFF573D"/>
    <w:rsid w:val="7AFFAB7E"/>
    <w:rsid w:val="7B5B86C1"/>
    <w:rsid w:val="7B7F733A"/>
    <w:rsid w:val="7BB7D01C"/>
    <w:rsid w:val="7BBE2B9C"/>
    <w:rsid w:val="7BEDAE7C"/>
    <w:rsid w:val="7BEF2067"/>
    <w:rsid w:val="7BFB29AD"/>
    <w:rsid w:val="7BFBC616"/>
    <w:rsid w:val="7BFD0E1A"/>
    <w:rsid w:val="7BFF1543"/>
    <w:rsid w:val="7BFFC280"/>
    <w:rsid w:val="7C4E47D3"/>
    <w:rsid w:val="7C998016"/>
    <w:rsid w:val="7CA74D20"/>
    <w:rsid w:val="7CDFD6CE"/>
    <w:rsid w:val="7D3F2CAC"/>
    <w:rsid w:val="7D6E2528"/>
    <w:rsid w:val="7D6F117D"/>
    <w:rsid w:val="7D7B3D08"/>
    <w:rsid w:val="7D7F7695"/>
    <w:rsid w:val="7DA01A63"/>
    <w:rsid w:val="7DBD52F5"/>
    <w:rsid w:val="7DE63ABF"/>
    <w:rsid w:val="7DEFDE27"/>
    <w:rsid w:val="7DF7DDCF"/>
    <w:rsid w:val="7DFC175B"/>
    <w:rsid w:val="7DFDFC83"/>
    <w:rsid w:val="7DFE43A5"/>
    <w:rsid w:val="7DFF6E9C"/>
    <w:rsid w:val="7E57D67B"/>
    <w:rsid w:val="7E792D03"/>
    <w:rsid w:val="7E7F564F"/>
    <w:rsid w:val="7E7FD237"/>
    <w:rsid w:val="7EBB7315"/>
    <w:rsid w:val="7EBDB5D3"/>
    <w:rsid w:val="7ECE59D0"/>
    <w:rsid w:val="7EDE41B5"/>
    <w:rsid w:val="7EEF8680"/>
    <w:rsid w:val="7EFB6BFB"/>
    <w:rsid w:val="7F0B80B2"/>
    <w:rsid w:val="7F1BC98D"/>
    <w:rsid w:val="7F3FFE45"/>
    <w:rsid w:val="7F4F05A6"/>
    <w:rsid w:val="7F5734A2"/>
    <w:rsid w:val="7F67EB3A"/>
    <w:rsid w:val="7F6AA3BA"/>
    <w:rsid w:val="7F6FEA62"/>
    <w:rsid w:val="7F768A6E"/>
    <w:rsid w:val="7F77BA3A"/>
    <w:rsid w:val="7F792448"/>
    <w:rsid w:val="7F7D2A1D"/>
    <w:rsid w:val="7F7EC1DF"/>
    <w:rsid w:val="7F7FBAAB"/>
    <w:rsid w:val="7F9F7A2E"/>
    <w:rsid w:val="7FAF1566"/>
    <w:rsid w:val="7FB7AA4E"/>
    <w:rsid w:val="7FBB3283"/>
    <w:rsid w:val="7FBE1AF3"/>
    <w:rsid w:val="7FBF1C0F"/>
    <w:rsid w:val="7FBF7E5A"/>
    <w:rsid w:val="7FC64557"/>
    <w:rsid w:val="7FCAA013"/>
    <w:rsid w:val="7FCE5D4B"/>
    <w:rsid w:val="7FD5D1BA"/>
    <w:rsid w:val="7FD63C66"/>
    <w:rsid w:val="7FDFC20B"/>
    <w:rsid w:val="7FEF7D39"/>
    <w:rsid w:val="7FEFD23F"/>
    <w:rsid w:val="7FF77998"/>
    <w:rsid w:val="7FFE6A5E"/>
    <w:rsid w:val="7FFEB543"/>
    <w:rsid w:val="7FFED51D"/>
    <w:rsid w:val="7FFF0330"/>
    <w:rsid w:val="7FFF2D90"/>
    <w:rsid w:val="7FFF59C3"/>
    <w:rsid w:val="7FFF795F"/>
    <w:rsid w:val="7FFF870C"/>
    <w:rsid w:val="89FD6A3C"/>
    <w:rsid w:val="91FF24E6"/>
    <w:rsid w:val="96F79645"/>
    <w:rsid w:val="9729767F"/>
    <w:rsid w:val="9AFF48D1"/>
    <w:rsid w:val="9B542A56"/>
    <w:rsid w:val="9B764636"/>
    <w:rsid w:val="9D31D9DA"/>
    <w:rsid w:val="9D3E81F7"/>
    <w:rsid w:val="9D76009E"/>
    <w:rsid w:val="9DFDC363"/>
    <w:rsid w:val="9EF33ADD"/>
    <w:rsid w:val="9F57FE9F"/>
    <w:rsid w:val="9F7F1846"/>
    <w:rsid w:val="9F7FE218"/>
    <w:rsid w:val="9FEF742E"/>
    <w:rsid w:val="A3C0A106"/>
    <w:rsid w:val="A95CE461"/>
    <w:rsid w:val="AA9C1F4B"/>
    <w:rsid w:val="AB97447A"/>
    <w:rsid w:val="ABA530EF"/>
    <w:rsid w:val="AD3FF734"/>
    <w:rsid w:val="AD76A328"/>
    <w:rsid w:val="AE7595EF"/>
    <w:rsid w:val="AF37F46F"/>
    <w:rsid w:val="AF7F542A"/>
    <w:rsid w:val="AFA88212"/>
    <w:rsid w:val="AFDA739E"/>
    <w:rsid w:val="AFF76FCB"/>
    <w:rsid w:val="AFF9A246"/>
    <w:rsid w:val="AFFBC7B6"/>
    <w:rsid w:val="B2A25546"/>
    <w:rsid w:val="B3D98255"/>
    <w:rsid w:val="B3DB1A70"/>
    <w:rsid w:val="B3F79BC8"/>
    <w:rsid w:val="B5BBDE5C"/>
    <w:rsid w:val="B5CDB932"/>
    <w:rsid w:val="B6DF56F4"/>
    <w:rsid w:val="B77FE84F"/>
    <w:rsid w:val="B7BB7CED"/>
    <w:rsid w:val="B7CF040C"/>
    <w:rsid w:val="B8ADA508"/>
    <w:rsid w:val="B9D12C46"/>
    <w:rsid w:val="BAD31611"/>
    <w:rsid w:val="BAEF9031"/>
    <w:rsid w:val="BAF707D3"/>
    <w:rsid w:val="BBDB42CD"/>
    <w:rsid w:val="BBE30F70"/>
    <w:rsid w:val="BBEEB8D1"/>
    <w:rsid w:val="BBFF3C1D"/>
    <w:rsid w:val="BDBF3F73"/>
    <w:rsid w:val="BDFE194B"/>
    <w:rsid w:val="BE6F942B"/>
    <w:rsid w:val="BEAF6BDA"/>
    <w:rsid w:val="BEF7A4D9"/>
    <w:rsid w:val="BF375B09"/>
    <w:rsid w:val="BF7E1C8E"/>
    <w:rsid w:val="BF7F28EC"/>
    <w:rsid w:val="BF9DEF2A"/>
    <w:rsid w:val="BFAEBB06"/>
    <w:rsid w:val="BFDC8DD9"/>
    <w:rsid w:val="BFDE10F6"/>
    <w:rsid w:val="BFDF778C"/>
    <w:rsid w:val="BFEF481E"/>
    <w:rsid w:val="BFEF8E1F"/>
    <w:rsid w:val="BFFB954C"/>
    <w:rsid w:val="C3A4379A"/>
    <w:rsid w:val="C67D71EE"/>
    <w:rsid w:val="C6FBB96D"/>
    <w:rsid w:val="C7F7FFC4"/>
    <w:rsid w:val="CBFDAD55"/>
    <w:rsid w:val="CDD730A9"/>
    <w:rsid w:val="CFBD3096"/>
    <w:rsid w:val="CFBF0D42"/>
    <w:rsid w:val="CFFFDD4C"/>
    <w:rsid w:val="D3EF56C1"/>
    <w:rsid w:val="D3FFAC21"/>
    <w:rsid w:val="D6F8E6FC"/>
    <w:rsid w:val="D6FC0EA1"/>
    <w:rsid w:val="D7373BF7"/>
    <w:rsid w:val="D76E24AC"/>
    <w:rsid w:val="D7BC41EB"/>
    <w:rsid w:val="D7FF492A"/>
    <w:rsid w:val="D7FFDC5A"/>
    <w:rsid w:val="DB46755E"/>
    <w:rsid w:val="DB5E53E4"/>
    <w:rsid w:val="DB6F30E0"/>
    <w:rsid w:val="DBDF7B1C"/>
    <w:rsid w:val="DBFE8764"/>
    <w:rsid w:val="DBFF2142"/>
    <w:rsid w:val="DBFFA2CF"/>
    <w:rsid w:val="DBFFBDA5"/>
    <w:rsid w:val="DCA877B4"/>
    <w:rsid w:val="DCCC466C"/>
    <w:rsid w:val="DCDD4532"/>
    <w:rsid w:val="DD7EA4E4"/>
    <w:rsid w:val="DDBB65AA"/>
    <w:rsid w:val="DDEFF9A1"/>
    <w:rsid w:val="DDF1B346"/>
    <w:rsid w:val="DDF9F776"/>
    <w:rsid w:val="DE75EC40"/>
    <w:rsid w:val="DEF518AC"/>
    <w:rsid w:val="DEF7417A"/>
    <w:rsid w:val="DF2F1DE5"/>
    <w:rsid w:val="DF7C7820"/>
    <w:rsid w:val="DFDF3170"/>
    <w:rsid w:val="DFF94F05"/>
    <w:rsid w:val="DFFB035F"/>
    <w:rsid w:val="DFFB3E23"/>
    <w:rsid w:val="DFFCBBAB"/>
    <w:rsid w:val="DFFF48C6"/>
    <w:rsid w:val="DFFF74E1"/>
    <w:rsid w:val="DFFF944F"/>
    <w:rsid w:val="DFFFE6AD"/>
    <w:rsid w:val="E57B6080"/>
    <w:rsid w:val="E5F5BCDD"/>
    <w:rsid w:val="E5F7012B"/>
    <w:rsid w:val="E6A687D5"/>
    <w:rsid w:val="E6ED44D8"/>
    <w:rsid w:val="E7F7CB82"/>
    <w:rsid w:val="E87E34C1"/>
    <w:rsid w:val="EAB7C28C"/>
    <w:rsid w:val="EAFB0C03"/>
    <w:rsid w:val="EB3B79DE"/>
    <w:rsid w:val="EBD7D9DA"/>
    <w:rsid w:val="EBF00C96"/>
    <w:rsid w:val="EBFD8047"/>
    <w:rsid w:val="EBFD8C62"/>
    <w:rsid w:val="EDCA303F"/>
    <w:rsid w:val="EDCCE0B1"/>
    <w:rsid w:val="EDF9950E"/>
    <w:rsid w:val="EDFE421A"/>
    <w:rsid w:val="EDFE6A44"/>
    <w:rsid w:val="EDFFD53D"/>
    <w:rsid w:val="EE7F2262"/>
    <w:rsid w:val="EEFBA8F9"/>
    <w:rsid w:val="EF0D1A64"/>
    <w:rsid w:val="EF7715BE"/>
    <w:rsid w:val="EF7F3912"/>
    <w:rsid w:val="EF7F8A58"/>
    <w:rsid w:val="EF9F0BB1"/>
    <w:rsid w:val="EFADD333"/>
    <w:rsid w:val="EFBFE857"/>
    <w:rsid w:val="EFD7F0D7"/>
    <w:rsid w:val="EFDED0B8"/>
    <w:rsid w:val="EFEEFEFE"/>
    <w:rsid w:val="EFF5524B"/>
    <w:rsid w:val="EFFECF68"/>
    <w:rsid w:val="F0CFFDA3"/>
    <w:rsid w:val="F3B76412"/>
    <w:rsid w:val="F3F24782"/>
    <w:rsid w:val="F4B9B5C6"/>
    <w:rsid w:val="F57EAEB3"/>
    <w:rsid w:val="F5DB989D"/>
    <w:rsid w:val="F5DF6366"/>
    <w:rsid w:val="F65EAB6E"/>
    <w:rsid w:val="F69EBE29"/>
    <w:rsid w:val="F79DD1EF"/>
    <w:rsid w:val="F7B36783"/>
    <w:rsid w:val="F7CFC329"/>
    <w:rsid w:val="F7EC88A7"/>
    <w:rsid w:val="F7F831EC"/>
    <w:rsid w:val="F7FE5691"/>
    <w:rsid w:val="F7FF5BC1"/>
    <w:rsid w:val="F889DA06"/>
    <w:rsid w:val="F95B783C"/>
    <w:rsid w:val="F97FB4E8"/>
    <w:rsid w:val="F99DA2FD"/>
    <w:rsid w:val="F9AE1BD3"/>
    <w:rsid w:val="F9BAC6C6"/>
    <w:rsid w:val="F9BB979D"/>
    <w:rsid w:val="F9BFE01A"/>
    <w:rsid w:val="F9FB45FC"/>
    <w:rsid w:val="F9FFF675"/>
    <w:rsid w:val="FABC2A82"/>
    <w:rsid w:val="FAE6B352"/>
    <w:rsid w:val="FB6ECA74"/>
    <w:rsid w:val="FBAB50DD"/>
    <w:rsid w:val="FBBE757E"/>
    <w:rsid w:val="FBCF5B05"/>
    <w:rsid w:val="FBDFC741"/>
    <w:rsid w:val="FBDFCC5D"/>
    <w:rsid w:val="FBEB70DC"/>
    <w:rsid w:val="FBEF1CEE"/>
    <w:rsid w:val="FBF6F346"/>
    <w:rsid w:val="FBFECD79"/>
    <w:rsid w:val="FBFF6390"/>
    <w:rsid w:val="FBFFD390"/>
    <w:rsid w:val="FC278F44"/>
    <w:rsid w:val="FC47418A"/>
    <w:rsid w:val="FC5F8AD6"/>
    <w:rsid w:val="FC7D337E"/>
    <w:rsid w:val="FCF607CA"/>
    <w:rsid w:val="FCFA5345"/>
    <w:rsid w:val="FD5F8611"/>
    <w:rsid w:val="FD753ADA"/>
    <w:rsid w:val="FD775493"/>
    <w:rsid w:val="FD778308"/>
    <w:rsid w:val="FD7FF813"/>
    <w:rsid w:val="FDBF0F78"/>
    <w:rsid w:val="FDF8E5EF"/>
    <w:rsid w:val="FDFB4F75"/>
    <w:rsid w:val="FDFDF458"/>
    <w:rsid w:val="FE1F0727"/>
    <w:rsid w:val="FE1F74FD"/>
    <w:rsid w:val="FE673C63"/>
    <w:rsid w:val="FE7A533C"/>
    <w:rsid w:val="FEAE3756"/>
    <w:rsid w:val="FED751CB"/>
    <w:rsid w:val="FEE1BD05"/>
    <w:rsid w:val="FEEF701D"/>
    <w:rsid w:val="FEF34EC6"/>
    <w:rsid w:val="FEF5F18E"/>
    <w:rsid w:val="FEF9DA9D"/>
    <w:rsid w:val="FEFB880F"/>
    <w:rsid w:val="FEFDCA22"/>
    <w:rsid w:val="FEFF86B9"/>
    <w:rsid w:val="FF27F65A"/>
    <w:rsid w:val="FF3FF91D"/>
    <w:rsid w:val="FF4B1BC6"/>
    <w:rsid w:val="FF5DD14B"/>
    <w:rsid w:val="FF73C29C"/>
    <w:rsid w:val="FF7747EF"/>
    <w:rsid w:val="FF7F6AD9"/>
    <w:rsid w:val="FF7FCA6C"/>
    <w:rsid w:val="FFA914EC"/>
    <w:rsid w:val="FFBBB80F"/>
    <w:rsid w:val="FFBBCF26"/>
    <w:rsid w:val="FFBED0E6"/>
    <w:rsid w:val="FFC5B39C"/>
    <w:rsid w:val="FFD75C06"/>
    <w:rsid w:val="FFDE21B4"/>
    <w:rsid w:val="FFDE3095"/>
    <w:rsid w:val="FFDF13A2"/>
    <w:rsid w:val="FFDF46EE"/>
    <w:rsid w:val="FFE9F2D2"/>
    <w:rsid w:val="FFEB272C"/>
    <w:rsid w:val="FFEEECCA"/>
    <w:rsid w:val="FFEEED10"/>
    <w:rsid w:val="FFEF0456"/>
    <w:rsid w:val="FFF743A0"/>
    <w:rsid w:val="FFF776ED"/>
    <w:rsid w:val="FFF8D255"/>
    <w:rsid w:val="FFF9D2AD"/>
    <w:rsid w:val="FFFB570F"/>
    <w:rsid w:val="FFFD8E3F"/>
    <w:rsid w:val="FFFE54ED"/>
    <w:rsid w:val="FFFF463D"/>
    <w:rsid w:val="FFFF771F"/>
    <w:rsid w:val="FFFF815B"/>
    <w:rsid w:val="FFFFD6E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nhideWhenUsed="0"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qFormat="1" w:uiPriority="99" w:semiHidden="0"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qFormat="1" w:uiPriority="99" w:semiHidden="0"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qFormat="1" w:unhideWhenUsed="0" w:uiPriority="1"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autoSpaceDE w:val="0"/>
      <w:autoSpaceDN w:val="0"/>
    </w:pPr>
    <w:rPr>
      <w:rFonts w:ascii="Arial" w:hAnsi="Arial" w:eastAsia="Arial" w:cs="Arial"/>
      <w:sz w:val="22"/>
      <w:szCs w:val="22"/>
      <w:lang w:val="en-US" w:eastAsia="en-US" w:bidi="ar-SA"/>
    </w:rPr>
  </w:style>
  <w:style w:type="paragraph" w:styleId="2">
    <w:name w:val="heading 1"/>
    <w:basedOn w:val="1"/>
    <w:next w:val="1"/>
    <w:qFormat/>
    <w:uiPriority w:val="9"/>
    <w:pPr>
      <w:ind w:left="100"/>
      <w:outlineLvl w:val="0"/>
    </w:pPr>
    <w:rPr>
      <w:b/>
      <w:bCs/>
      <w:sz w:val="24"/>
      <w:szCs w:val="24"/>
    </w:rPr>
  </w:style>
  <w:style w:type="character" w:default="1" w:styleId="9">
    <w:name w:val="Default Paragraph Font"/>
    <w:unhideWhenUsed/>
    <w:qFormat/>
    <w:uiPriority w:val="1"/>
  </w:style>
  <w:style w:type="table" w:default="1" w:styleId="14">
    <w:name w:val="Normal Table"/>
    <w:unhideWhenUsed/>
    <w:qFormat/>
    <w:uiPriority w:val="99"/>
    <w:tblPr>
      <w:tblCellMar>
        <w:top w:w="0" w:type="dxa"/>
        <w:left w:w="108" w:type="dxa"/>
        <w:bottom w:w="0" w:type="dxa"/>
        <w:right w:w="108" w:type="dxa"/>
      </w:tblCellMar>
    </w:tblPr>
  </w:style>
  <w:style w:type="paragraph" w:styleId="3">
    <w:name w:val="Body Text"/>
    <w:basedOn w:val="1"/>
    <w:link w:val="20"/>
    <w:qFormat/>
    <w:uiPriority w:val="1"/>
    <w:rPr>
      <w:sz w:val="24"/>
      <w:szCs w:val="24"/>
    </w:rPr>
  </w:style>
  <w:style w:type="paragraph" w:styleId="4">
    <w:name w:val="footer"/>
    <w:basedOn w:val="1"/>
    <w:link w:val="19"/>
    <w:unhideWhenUsed/>
    <w:qFormat/>
    <w:uiPriority w:val="99"/>
    <w:pPr>
      <w:tabs>
        <w:tab w:val="center" w:pos="4153"/>
        <w:tab w:val="right" w:pos="8306"/>
      </w:tabs>
      <w:snapToGrid w:val="0"/>
    </w:pPr>
    <w:rPr>
      <w:sz w:val="18"/>
      <w:szCs w:val="18"/>
    </w:rPr>
  </w:style>
  <w:style w:type="paragraph" w:styleId="5">
    <w:name w:val="header"/>
    <w:basedOn w:val="1"/>
    <w:link w:val="18"/>
    <w:unhideWhenUsed/>
    <w:qFormat/>
    <w:uiPriority w:val="99"/>
    <w:pPr>
      <w:pBdr>
        <w:bottom w:val="single" w:color="auto" w:sz="6" w:space="1"/>
      </w:pBdr>
      <w:tabs>
        <w:tab w:val="center" w:pos="4153"/>
        <w:tab w:val="right" w:pos="8306"/>
      </w:tabs>
      <w:snapToGrid w:val="0"/>
      <w:jc w:val="center"/>
    </w:pPr>
    <w:rPr>
      <w:sz w:val="18"/>
      <w:szCs w:val="18"/>
    </w:rPr>
  </w:style>
  <w:style w:type="paragraph" w:styleId="6">
    <w:name w:val="toc 1"/>
    <w:basedOn w:val="1"/>
    <w:next w:val="1"/>
    <w:qFormat/>
    <w:uiPriority w:val="39"/>
    <w:pPr>
      <w:spacing w:before="437"/>
      <w:ind w:left="100" w:hanging="404"/>
    </w:pPr>
    <w:rPr>
      <w:sz w:val="24"/>
      <w:szCs w:val="24"/>
    </w:rPr>
  </w:style>
  <w:style w:type="paragraph" w:styleId="7">
    <w:name w:val="footnote text"/>
    <w:basedOn w:val="1"/>
    <w:unhideWhenUsed/>
    <w:qFormat/>
    <w:uiPriority w:val="99"/>
    <w:pPr>
      <w:snapToGrid w:val="0"/>
      <w:jc w:val="left"/>
    </w:pPr>
    <w:rPr>
      <w:sz w:val="18"/>
    </w:rPr>
  </w:style>
  <w:style w:type="paragraph" w:styleId="8">
    <w:name w:val="Normal (Web)"/>
    <w:basedOn w:val="1"/>
    <w:unhideWhenUsed/>
    <w:qFormat/>
    <w:uiPriority w:val="99"/>
    <w:pPr>
      <w:spacing w:before="0" w:beforeAutospacing="1" w:after="0" w:afterAutospacing="1"/>
      <w:ind w:left="0" w:right="0"/>
      <w:jc w:val="left"/>
    </w:pPr>
    <w:rPr>
      <w:kern w:val="0"/>
      <w:sz w:val="24"/>
      <w:lang w:val="en-US" w:eastAsia="zh-CN" w:bidi="ar"/>
    </w:rPr>
  </w:style>
  <w:style w:type="character" w:styleId="10">
    <w:name w:val="Strong"/>
    <w:basedOn w:val="9"/>
    <w:qFormat/>
    <w:uiPriority w:val="22"/>
    <w:rPr>
      <w:b/>
    </w:rPr>
  </w:style>
  <w:style w:type="character" w:styleId="11">
    <w:name w:val="Emphasis"/>
    <w:basedOn w:val="9"/>
    <w:qFormat/>
    <w:uiPriority w:val="20"/>
    <w:rPr>
      <w:i/>
    </w:rPr>
  </w:style>
  <w:style w:type="character" w:styleId="12">
    <w:name w:val="Hyperlink"/>
    <w:basedOn w:val="9"/>
    <w:unhideWhenUsed/>
    <w:qFormat/>
    <w:uiPriority w:val="99"/>
    <w:rPr>
      <w:color w:val="0000FF" w:themeColor="hyperlink"/>
      <w:u w:val="single"/>
      <w14:textFill>
        <w14:solidFill>
          <w14:schemeClr w14:val="hlink"/>
        </w14:solidFill>
      </w14:textFill>
    </w:rPr>
  </w:style>
  <w:style w:type="character" w:styleId="13">
    <w:name w:val="footnote reference"/>
    <w:basedOn w:val="9"/>
    <w:unhideWhenUsed/>
    <w:qFormat/>
    <w:uiPriority w:val="99"/>
    <w:rPr>
      <w:vertAlign w:val="superscript"/>
    </w:rPr>
  </w:style>
  <w:style w:type="table" w:customStyle="1" w:styleId="15">
    <w:name w:val="Table Normal"/>
    <w:unhideWhenUsed/>
    <w:qFormat/>
    <w:uiPriority w:val="2"/>
    <w:tblPr>
      <w:tblCellMar>
        <w:top w:w="0" w:type="dxa"/>
        <w:left w:w="0" w:type="dxa"/>
        <w:bottom w:w="0" w:type="dxa"/>
        <w:right w:w="0" w:type="dxa"/>
      </w:tblCellMar>
    </w:tblPr>
  </w:style>
  <w:style w:type="paragraph" w:customStyle="1" w:styleId="16">
    <w:name w:val="List Paragraph"/>
    <w:basedOn w:val="1"/>
    <w:qFormat/>
    <w:uiPriority w:val="1"/>
    <w:pPr>
      <w:ind w:left="503" w:hanging="404"/>
    </w:pPr>
  </w:style>
  <w:style w:type="paragraph" w:customStyle="1" w:styleId="17">
    <w:name w:val="Table Paragraph"/>
    <w:basedOn w:val="1"/>
    <w:qFormat/>
    <w:uiPriority w:val="1"/>
  </w:style>
  <w:style w:type="character" w:customStyle="1" w:styleId="18">
    <w:name w:val="页眉 字符"/>
    <w:basedOn w:val="9"/>
    <w:link w:val="5"/>
    <w:qFormat/>
    <w:uiPriority w:val="99"/>
    <w:rPr>
      <w:rFonts w:ascii="Arial" w:hAnsi="Arial" w:eastAsia="Arial" w:cs="Arial"/>
      <w:sz w:val="18"/>
      <w:szCs w:val="18"/>
    </w:rPr>
  </w:style>
  <w:style w:type="character" w:customStyle="1" w:styleId="19">
    <w:name w:val="页脚 字符"/>
    <w:basedOn w:val="9"/>
    <w:link w:val="4"/>
    <w:qFormat/>
    <w:uiPriority w:val="99"/>
    <w:rPr>
      <w:rFonts w:ascii="Arial" w:hAnsi="Arial" w:eastAsia="Arial" w:cs="Arial"/>
      <w:sz w:val="18"/>
      <w:szCs w:val="18"/>
    </w:rPr>
  </w:style>
  <w:style w:type="character" w:customStyle="1" w:styleId="20">
    <w:name w:val="正文文本 字符"/>
    <w:basedOn w:val="9"/>
    <w:link w:val="3"/>
    <w:qFormat/>
    <w:uiPriority w:val="1"/>
    <w:rPr>
      <w:rFonts w:ascii="Arial" w:hAnsi="Arial" w:eastAsia="Arial" w:cs="Arial"/>
      <w:sz w:val="24"/>
      <w:szCs w:val="24"/>
    </w:rPr>
  </w:style>
  <w:style w:type="character" w:customStyle="1" w:styleId="21">
    <w:name w:val="Unresolved Mention"/>
    <w:basedOn w:val="9"/>
    <w:unhideWhenUsed/>
    <w:qFormat/>
    <w:uiPriority w:val="99"/>
    <w:rPr>
      <w:color w:val="605E5C"/>
      <w:shd w:val="clear" w:color="auto" w:fill="E1DFDD"/>
    </w:rPr>
  </w:style>
  <w:style w:type="paragraph" w:customStyle="1" w:styleId="22">
    <w:name w:val="TOC Heading"/>
    <w:basedOn w:val="2"/>
    <w:next w:val="1"/>
    <w:unhideWhenUsed/>
    <w:qFormat/>
    <w:uiPriority w:val="39"/>
    <w:pPr>
      <w:keepNext/>
      <w:keepLines/>
      <w:widowControl/>
      <w:autoSpaceDE/>
      <w:autoSpaceDN/>
      <w:spacing w:before="240" w:line="259" w:lineRule="auto"/>
      <w:ind w:left="0"/>
      <w:outlineLvl w:val="9"/>
    </w:pPr>
    <w:rPr>
      <w:rFonts w:asciiTheme="majorHAnsi" w:hAnsiTheme="majorHAnsi" w:eastAsiaTheme="majorEastAsia" w:cstheme="majorBidi"/>
      <w:b w:val="0"/>
      <w:bCs w:val="0"/>
      <w:color w:val="376092" w:themeColor="accent1" w:themeShade="BF"/>
      <w:sz w:val="32"/>
      <w:szCs w:val="32"/>
      <w:lang w:eastAsia="zh-CN"/>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23</Pages>
  <Words>5059</Words>
  <Characters>28842</Characters>
  <Lines>240</Lines>
  <Paragraphs>67</Paragraphs>
  <ScaleCrop>false</ScaleCrop>
  <LinksUpToDate>false</LinksUpToDate>
  <CharactersWithSpaces>33834</CharactersWithSpaces>
  <Application>WPS Office_3.9.3.6359_F1E327BC-269C-435d-A152-05C5408002CA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2021-12-13T00:22:00Z</dcterms:created>
  <dc:creator>Pepa Grundy</dc:creator>
  <cp:lastModifiedBy>liyijing</cp:lastModifiedBy>
  <dcterms:modified xsi:type="dcterms:W3CDTF">2022-06-27T23:52:52Z</dcterms:modified>
  <cp:revision>15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2021-08-27T00:00:00Z</vt:filetime>
  </property>
  <property fmtid="{D5CDD505-2E9C-101B-9397-08002B2CF9AE}" pid="3" name="Creator">
    <vt:lpwstr>Microsoft® Word for Microsoft 365</vt:lpwstr>
  </property>
  <property fmtid="{D5CDD505-2E9C-101B-9397-08002B2CF9AE}" pid="4" name="LastSaved">
    <vt:filetime>2021-08-27T00:00:00Z</vt:filetime>
  </property>
  <property fmtid="{D5CDD505-2E9C-101B-9397-08002B2CF9AE}" pid="5" name="KSOProductBuildVer">
    <vt:lpwstr>2052-3.9.3.6359</vt:lpwstr>
  </property>
</Properties>
</file>