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565737" w14:textId="77777777" w:rsidR="00933F1C" w:rsidRDefault="00933F1C" w:rsidP="00933F1C">
      <w:pPr>
        <w:jc w:val="center"/>
        <w:rPr>
          <w:rFonts w:ascii="Arial" w:eastAsia="Arial" w:hAnsi="Arial" w:cs="Arial"/>
          <w:b/>
          <w:bCs/>
          <w:sz w:val="28"/>
          <w:szCs w:val="28"/>
        </w:rPr>
      </w:pPr>
      <w:r>
        <w:rPr>
          <w:rStyle w:val="normaltextrun"/>
          <w:rFonts w:ascii="Arial" w:hAnsi="Arial" w:cs="Arial"/>
          <w:b/>
          <w:bCs/>
          <w:color w:val="000000"/>
          <w:shd w:val="clear" w:color="auto" w:fill="FFFFFF"/>
        </w:rPr>
        <w:t>Essay</w:t>
      </w:r>
    </w:p>
    <w:p w14:paraId="285CC1A8" w14:textId="77777777" w:rsidR="00933F1C" w:rsidRDefault="00933F1C" w:rsidP="00933F1C">
      <w:pPr>
        <w:jc w:val="center"/>
      </w:pPr>
      <w:r>
        <w:rPr>
          <w:rFonts w:ascii="Arial" w:eastAsia="Arial" w:hAnsi="Arial" w:cs="Arial"/>
          <w:b/>
          <w:bCs/>
          <w:lang w:val="en-GB"/>
        </w:rPr>
        <w:t xml:space="preserve"> </w:t>
      </w:r>
    </w:p>
    <w:p w14:paraId="097E1A5C" w14:textId="77777777" w:rsidR="00933F1C" w:rsidRDefault="00933F1C" w:rsidP="00933F1C">
      <w:pPr>
        <w:jc w:val="center"/>
      </w:pPr>
      <w:r>
        <w:rPr>
          <w:rFonts w:ascii="Arial" w:eastAsia="Arial" w:hAnsi="Arial" w:cs="Arial"/>
          <w:b/>
          <w:bCs/>
          <w:lang w:val="en-GB"/>
        </w:rPr>
        <w:t>Student Name</w:t>
      </w:r>
    </w:p>
    <w:p w14:paraId="45C5E41C" w14:textId="77777777" w:rsidR="00933F1C" w:rsidRDefault="00933F1C" w:rsidP="00933F1C">
      <w:pPr>
        <w:jc w:val="center"/>
      </w:pPr>
      <w:r>
        <w:rPr>
          <w:rFonts w:ascii="Arial" w:eastAsia="Arial" w:hAnsi="Arial" w:cs="Arial"/>
          <w:b/>
          <w:bCs/>
          <w:lang w:val="en-GB"/>
        </w:rPr>
        <w:t>Catalina Denisa Bobe</w:t>
      </w:r>
    </w:p>
    <w:p w14:paraId="53CCD1D9" w14:textId="77777777" w:rsidR="00933F1C" w:rsidRDefault="00933F1C" w:rsidP="00933F1C">
      <w:pPr>
        <w:jc w:val="center"/>
      </w:pPr>
      <w:r>
        <w:rPr>
          <w:rFonts w:ascii="Arial" w:eastAsia="Arial" w:hAnsi="Arial" w:cs="Arial"/>
          <w:b/>
          <w:bCs/>
          <w:lang w:val="en-GB"/>
        </w:rPr>
        <w:t xml:space="preserve"> </w:t>
      </w:r>
      <w:r>
        <w:rPr>
          <w:rFonts w:ascii="Arial" w:eastAsia="Arial" w:hAnsi="Arial" w:cs="Arial"/>
          <w:b/>
          <w:bCs/>
        </w:rPr>
        <w:t xml:space="preserve"> </w:t>
      </w:r>
    </w:p>
    <w:p w14:paraId="739B5D34" w14:textId="77777777" w:rsidR="00933F1C" w:rsidRDefault="00933F1C" w:rsidP="00933F1C">
      <w:pPr>
        <w:jc w:val="center"/>
      </w:pPr>
      <w:r>
        <w:rPr>
          <w:rFonts w:ascii="Arial" w:eastAsia="Arial" w:hAnsi="Arial" w:cs="Arial"/>
          <w:b/>
          <w:bCs/>
          <w:lang w:val="en-GB"/>
        </w:rPr>
        <w:t>Student ID number</w:t>
      </w:r>
    </w:p>
    <w:p w14:paraId="2A5378E5" w14:textId="77777777" w:rsidR="00933F1C" w:rsidRDefault="00933F1C" w:rsidP="00933F1C">
      <w:pPr>
        <w:jc w:val="center"/>
      </w:pPr>
      <w:r>
        <w:rPr>
          <w:rFonts w:ascii="Arial" w:eastAsia="Arial" w:hAnsi="Arial" w:cs="Arial"/>
          <w:b/>
          <w:bCs/>
          <w:lang w:val="en-GB"/>
        </w:rPr>
        <w:t>2126723</w:t>
      </w:r>
    </w:p>
    <w:p w14:paraId="5F51BD56" w14:textId="77777777" w:rsidR="00933F1C" w:rsidRDefault="00933F1C" w:rsidP="00933F1C">
      <w:pPr>
        <w:jc w:val="center"/>
      </w:pPr>
      <w:r>
        <w:rPr>
          <w:rFonts w:ascii="Arial" w:eastAsia="Arial" w:hAnsi="Arial" w:cs="Arial"/>
          <w:b/>
          <w:bCs/>
        </w:rPr>
        <w:t xml:space="preserve"> </w:t>
      </w:r>
    </w:p>
    <w:p w14:paraId="5DD96568" w14:textId="77777777" w:rsidR="00933F1C" w:rsidRDefault="00933F1C" w:rsidP="00933F1C">
      <w:pPr>
        <w:jc w:val="center"/>
      </w:pPr>
      <w:r>
        <w:rPr>
          <w:rFonts w:ascii="Arial" w:eastAsia="Arial" w:hAnsi="Arial" w:cs="Arial"/>
          <w:b/>
          <w:bCs/>
        </w:rPr>
        <w:t xml:space="preserve"> Number of words:  1987</w:t>
      </w:r>
    </w:p>
    <w:p w14:paraId="78142676" w14:textId="77777777" w:rsidR="00933F1C" w:rsidRDefault="00933F1C" w:rsidP="00933F1C">
      <w:pPr>
        <w:jc w:val="center"/>
      </w:pPr>
      <w:r>
        <w:rPr>
          <w:rFonts w:ascii="Arial" w:eastAsia="Arial" w:hAnsi="Arial" w:cs="Arial"/>
          <w:b/>
          <w:bCs/>
        </w:rPr>
        <w:t xml:space="preserve"> </w:t>
      </w:r>
    </w:p>
    <w:p w14:paraId="38147B59" w14:textId="77777777" w:rsidR="00933F1C" w:rsidRDefault="00933F1C" w:rsidP="00933F1C">
      <w:pPr>
        <w:jc w:val="center"/>
      </w:pPr>
      <w:r>
        <w:rPr>
          <w:rFonts w:ascii="Arial" w:eastAsia="Arial" w:hAnsi="Arial" w:cs="Arial"/>
          <w:b/>
          <w:bCs/>
        </w:rPr>
        <w:t xml:space="preserve"> </w:t>
      </w:r>
    </w:p>
    <w:p w14:paraId="04CCD030" w14:textId="4858E101" w:rsidR="00933F1C" w:rsidRDefault="00933F1C" w:rsidP="00933F1C">
      <w:pPr>
        <w:jc w:val="center"/>
        <w:rPr>
          <w:rFonts w:ascii="Arial" w:eastAsia="Arial" w:hAnsi="Arial" w:cs="Arial"/>
          <w:b/>
          <w:bCs/>
          <w:lang w:val="en-GB"/>
        </w:rPr>
      </w:pPr>
      <w:r w:rsidRPr="007A186E">
        <w:rPr>
          <w:rFonts w:ascii="Arial" w:eastAsia="Arial" w:hAnsi="Arial" w:cs="Arial"/>
          <w:b/>
          <w:bCs/>
        </w:rPr>
        <w:t>BMIH500</w:t>
      </w:r>
      <w:r>
        <w:rPr>
          <w:rFonts w:ascii="Arial" w:eastAsia="Arial" w:hAnsi="Arial" w:cs="Arial"/>
          <w:b/>
          <w:bCs/>
        </w:rPr>
        <w:t>4</w:t>
      </w:r>
      <w:r>
        <w:rPr>
          <w:rFonts w:ascii="Arial" w:eastAsia="Arial" w:hAnsi="Arial" w:cs="Arial"/>
          <w:b/>
          <w:bCs/>
          <w:lang w:val="en-GB"/>
        </w:rPr>
        <w:t xml:space="preserve"> </w:t>
      </w:r>
      <w:r w:rsidRPr="00933F1C">
        <w:rPr>
          <w:rFonts w:ascii="Arial" w:eastAsia="Arial" w:hAnsi="Arial" w:cs="Arial"/>
          <w:b/>
          <w:bCs/>
        </w:rPr>
        <w:t xml:space="preserve">Management &amp; </w:t>
      </w:r>
      <w:proofErr w:type="spellStart"/>
      <w:r w:rsidRPr="00933F1C">
        <w:rPr>
          <w:rFonts w:ascii="Arial" w:eastAsia="Arial" w:hAnsi="Arial" w:cs="Arial"/>
          <w:b/>
          <w:bCs/>
        </w:rPr>
        <w:t>Organisational</w:t>
      </w:r>
      <w:proofErr w:type="spellEnd"/>
      <w:r w:rsidRPr="00933F1C">
        <w:rPr>
          <w:rFonts w:ascii="Arial" w:eastAsia="Arial" w:hAnsi="Arial" w:cs="Arial"/>
          <w:b/>
          <w:bCs/>
        </w:rPr>
        <w:t xml:space="preserve"> Behaviour </w:t>
      </w:r>
      <w:r w:rsidRPr="00933F1C">
        <w:rPr>
          <w:rFonts w:ascii="Arial" w:eastAsia="Arial" w:hAnsi="Arial" w:cs="Arial"/>
          <w:b/>
          <w:bCs/>
        </w:rPr>
        <w:cr/>
      </w:r>
    </w:p>
    <w:p w14:paraId="405B8686" w14:textId="77777777" w:rsidR="00933F1C" w:rsidRDefault="00933F1C" w:rsidP="00933F1C">
      <w:pPr>
        <w:jc w:val="center"/>
      </w:pPr>
      <w:r>
        <w:rPr>
          <w:rFonts w:ascii="Arial" w:eastAsia="Arial" w:hAnsi="Arial" w:cs="Arial"/>
          <w:b/>
          <w:bCs/>
          <w:lang w:val="en-GB"/>
        </w:rPr>
        <w:t xml:space="preserve"> </w:t>
      </w:r>
    </w:p>
    <w:p w14:paraId="338F40C2" w14:textId="77777777" w:rsidR="00933F1C" w:rsidRDefault="00933F1C" w:rsidP="00933F1C">
      <w:pPr>
        <w:jc w:val="center"/>
        <w:rPr>
          <w:rFonts w:ascii="Arial" w:eastAsia="Arial" w:hAnsi="Arial" w:cs="Arial"/>
          <w:b/>
          <w:bCs/>
        </w:rPr>
      </w:pPr>
    </w:p>
    <w:p w14:paraId="6738F3D2" w14:textId="0C78C941" w:rsidR="00933F1C" w:rsidRDefault="00933F1C" w:rsidP="00933F1C">
      <w:r>
        <w:rPr>
          <w:rFonts w:ascii="Arial" w:eastAsia="Arial" w:hAnsi="Arial" w:cs="Arial"/>
          <w:b/>
          <w:bCs/>
          <w:lang w:val="en-GB"/>
        </w:rPr>
        <w:t xml:space="preserve">                                                                    Lecturer</w:t>
      </w:r>
      <w:r>
        <w:rPr>
          <w:rFonts w:ascii="Arial" w:eastAsia="Arial" w:hAnsi="Arial" w:cs="Arial"/>
          <w:b/>
          <w:bCs/>
        </w:rPr>
        <w:t xml:space="preserve"> </w:t>
      </w:r>
    </w:p>
    <w:p w14:paraId="79437BB2" w14:textId="3687AB6D" w:rsidR="00933F1C" w:rsidRDefault="00933F1C" w:rsidP="00933F1C">
      <w:pPr>
        <w:spacing w:line="360" w:lineRule="auto"/>
        <w:jc w:val="both"/>
        <w:rPr>
          <w:rFonts w:ascii="Arial" w:eastAsia="Arial" w:hAnsi="Arial" w:cs="Arial"/>
          <w:b/>
          <w:bCs/>
          <w:sz w:val="24"/>
          <w:szCs w:val="24"/>
        </w:rPr>
      </w:pPr>
      <w:r>
        <w:rPr>
          <w:rFonts w:ascii="Arial" w:eastAsia="Arial" w:hAnsi="Arial" w:cs="Arial"/>
          <w:b/>
          <w:bCs/>
          <w:sz w:val="24"/>
          <w:szCs w:val="24"/>
        </w:rPr>
        <w:t xml:space="preserve">                                                        </w:t>
      </w:r>
      <w:r w:rsidRPr="00933F1C">
        <w:rPr>
          <w:rFonts w:ascii="Arial" w:eastAsia="Arial" w:hAnsi="Arial" w:cs="Arial"/>
          <w:b/>
          <w:bCs/>
          <w:sz w:val="24"/>
          <w:szCs w:val="24"/>
        </w:rPr>
        <w:t>Maggie Lan Zang</w:t>
      </w:r>
    </w:p>
    <w:p w14:paraId="279966BA" w14:textId="77777777" w:rsidR="00933F1C" w:rsidRDefault="00933F1C" w:rsidP="38DD48D1">
      <w:pPr>
        <w:spacing w:line="360" w:lineRule="auto"/>
        <w:jc w:val="center"/>
        <w:rPr>
          <w:rFonts w:ascii="Arial" w:eastAsia="Arial" w:hAnsi="Arial" w:cs="Arial"/>
          <w:b/>
          <w:bCs/>
          <w:sz w:val="24"/>
          <w:szCs w:val="24"/>
        </w:rPr>
      </w:pPr>
    </w:p>
    <w:p w14:paraId="75DABBCA" w14:textId="77777777" w:rsidR="00933F1C" w:rsidRDefault="00933F1C" w:rsidP="38DD48D1">
      <w:pPr>
        <w:spacing w:line="360" w:lineRule="auto"/>
        <w:jc w:val="center"/>
        <w:rPr>
          <w:rFonts w:ascii="Arial" w:eastAsia="Arial" w:hAnsi="Arial" w:cs="Arial"/>
          <w:b/>
          <w:bCs/>
          <w:sz w:val="24"/>
          <w:szCs w:val="24"/>
        </w:rPr>
      </w:pPr>
    </w:p>
    <w:p w14:paraId="6CC8F422" w14:textId="77777777" w:rsidR="00933F1C" w:rsidRDefault="00933F1C" w:rsidP="38DD48D1">
      <w:pPr>
        <w:spacing w:line="360" w:lineRule="auto"/>
        <w:jc w:val="center"/>
        <w:rPr>
          <w:rFonts w:ascii="Arial" w:eastAsia="Arial" w:hAnsi="Arial" w:cs="Arial"/>
          <w:b/>
          <w:bCs/>
          <w:sz w:val="24"/>
          <w:szCs w:val="24"/>
        </w:rPr>
      </w:pPr>
    </w:p>
    <w:p w14:paraId="72CE7E4B" w14:textId="77777777" w:rsidR="00933F1C" w:rsidRDefault="00933F1C" w:rsidP="38DD48D1">
      <w:pPr>
        <w:spacing w:line="360" w:lineRule="auto"/>
        <w:jc w:val="center"/>
        <w:rPr>
          <w:rFonts w:ascii="Arial" w:eastAsia="Arial" w:hAnsi="Arial" w:cs="Arial"/>
          <w:b/>
          <w:bCs/>
          <w:sz w:val="24"/>
          <w:szCs w:val="24"/>
        </w:rPr>
      </w:pPr>
    </w:p>
    <w:p w14:paraId="21F0C941" w14:textId="77777777" w:rsidR="00933F1C" w:rsidRDefault="00933F1C" w:rsidP="38DD48D1">
      <w:pPr>
        <w:spacing w:line="360" w:lineRule="auto"/>
        <w:jc w:val="center"/>
        <w:rPr>
          <w:rFonts w:ascii="Arial" w:eastAsia="Arial" w:hAnsi="Arial" w:cs="Arial"/>
          <w:b/>
          <w:bCs/>
          <w:sz w:val="24"/>
          <w:szCs w:val="24"/>
        </w:rPr>
      </w:pPr>
    </w:p>
    <w:p w14:paraId="2C587506" w14:textId="77777777" w:rsidR="00933F1C" w:rsidRDefault="00933F1C" w:rsidP="38DD48D1">
      <w:pPr>
        <w:spacing w:line="360" w:lineRule="auto"/>
        <w:jc w:val="center"/>
        <w:rPr>
          <w:rFonts w:ascii="Arial" w:eastAsia="Arial" w:hAnsi="Arial" w:cs="Arial"/>
          <w:b/>
          <w:bCs/>
          <w:sz w:val="24"/>
          <w:szCs w:val="24"/>
        </w:rPr>
      </w:pPr>
    </w:p>
    <w:p w14:paraId="621C889C" w14:textId="77777777" w:rsidR="00933F1C" w:rsidRDefault="00933F1C" w:rsidP="38DD48D1">
      <w:pPr>
        <w:spacing w:line="360" w:lineRule="auto"/>
        <w:jc w:val="center"/>
        <w:rPr>
          <w:rFonts w:ascii="Arial" w:eastAsia="Arial" w:hAnsi="Arial" w:cs="Arial"/>
          <w:b/>
          <w:bCs/>
          <w:sz w:val="24"/>
          <w:szCs w:val="24"/>
        </w:rPr>
      </w:pPr>
    </w:p>
    <w:p w14:paraId="6CA81FBD" w14:textId="77777777" w:rsidR="00933F1C" w:rsidRDefault="00933F1C" w:rsidP="38DD48D1">
      <w:pPr>
        <w:spacing w:line="360" w:lineRule="auto"/>
        <w:jc w:val="center"/>
        <w:rPr>
          <w:rFonts w:ascii="Arial" w:eastAsia="Arial" w:hAnsi="Arial" w:cs="Arial"/>
          <w:b/>
          <w:bCs/>
          <w:sz w:val="24"/>
          <w:szCs w:val="24"/>
        </w:rPr>
      </w:pPr>
    </w:p>
    <w:p w14:paraId="2688C75A" w14:textId="77777777" w:rsidR="00933F1C" w:rsidRDefault="00933F1C" w:rsidP="38DD48D1">
      <w:pPr>
        <w:spacing w:line="360" w:lineRule="auto"/>
        <w:jc w:val="center"/>
        <w:rPr>
          <w:rFonts w:ascii="Arial" w:eastAsia="Arial" w:hAnsi="Arial" w:cs="Arial"/>
          <w:b/>
          <w:bCs/>
          <w:sz w:val="24"/>
          <w:szCs w:val="24"/>
        </w:rPr>
      </w:pPr>
    </w:p>
    <w:p w14:paraId="7C3B6895" w14:textId="6D5BE3EA" w:rsidR="00B15B53" w:rsidRDefault="3E9A9723" w:rsidP="38DD48D1">
      <w:pPr>
        <w:spacing w:line="360" w:lineRule="auto"/>
        <w:jc w:val="center"/>
        <w:rPr>
          <w:rFonts w:ascii="Arial" w:eastAsia="Arial" w:hAnsi="Arial" w:cs="Arial"/>
          <w:b/>
          <w:bCs/>
          <w:sz w:val="24"/>
          <w:szCs w:val="24"/>
        </w:rPr>
      </w:pPr>
      <w:r w:rsidRPr="38DD48D1">
        <w:rPr>
          <w:rFonts w:ascii="Arial" w:eastAsia="Arial" w:hAnsi="Arial" w:cs="Arial"/>
          <w:b/>
          <w:bCs/>
          <w:sz w:val="24"/>
          <w:szCs w:val="24"/>
        </w:rPr>
        <w:lastRenderedPageBreak/>
        <w:t>Examining Leadership Approaches, in the Hospitality Industry; A Comprehensive Analysis</w:t>
      </w:r>
    </w:p>
    <w:p w14:paraId="18F6A1A6" w14:textId="0D4A5387"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 </w:t>
      </w:r>
    </w:p>
    <w:p w14:paraId="05991F14" w14:textId="58DC99A9" w:rsidR="00B15B53" w:rsidRDefault="3E9A9723" w:rsidP="38DD48D1">
      <w:pPr>
        <w:spacing w:line="360" w:lineRule="auto"/>
        <w:jc w:val="both"/>
        <w:rPr>
          <w:rFonts w:ascii="Arial" w:eastAsia="Arial" w:hAnsi="Arial" w:cs="Arial"/>
          <w:b/>
          <w:bCs/>
          <w:sz w:val="24"/>
          <w:szCs w:val="24"/>
        </w:rPr>
      </w:pPr>
      <w:r w:rsidRPr="38DD48D1">
        <w:rPr>
          <w:rFonts w:ascii="Arial" w:eastAsia="Arial" w:hAnsi="Arial" w:cs="Arial"/>
          <w:b/>
          <w:bCs/>
          <w:sz w:val="24"/>
          <w:szCs w:val="24"/>
        </w:rPr>
        <w:t xml:space="preserve">Introduction </w:t>
      </w:r>
    </w:p>
    <w:p w14:paraId="06F386AB" w14:textId="669E7814"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In the changing and </w:t>
      </w:r>
      <w:r w:rsidR="00933F1C">
        <w:rPr>
          <w:rFonts w:ascii="Arial" w:eastAsia="Arial" w:hAnsi="Arial" w:cs="Arial"/>
          <w:sz w:val="24"/>
          <w:szCs w:val="24"/>
        </w:rPr>
        <w:t>customer-focused</w:t>
      </w:r>
      <w:r w:rsidRPr="38DD48D1">
        <w:rPr>
          <w:rFonts w:ascii="Arial" w:eastAsia="Arial" w:hAnsi="Arial" w:cs="Arial"/>
          <w:sz w:val="24"/>
          <w:szCs w:val="24"/>
        </w:rPr>
        <w:t xml:space="preserve"> world of the hospitality industry</w:t>
      </w:r>
      <w:r w:rsidR="00933F1C">
        <w:rPr>
          <w:rFonts w:ascii="Arial" w:eastAsia="Arial" w:hAnsi="Arial" w:cs="Arial"/>
          <w:sz w:val="24"/>
          <w:szCs w:val="24"/>
        </w:rPr>
        <w:t>,</w:t>
      </w:r>
      <w:r w:rsidRPr="38DD48D1">
        <w:rPr>
          <w:rFonts w:ascii="Arial" w:eastAsia="Arial" w:hAnsi="Arial" w:cs="Arial"/>
          <w:sz w:val="24"/>
          <w:szCs w:val="24"/>
        </w:rPr>
        <w:t xml:space="preserve"> effective leadership plays a role in achieving organizational success. This essay aims to assess leadership approaches within this domain</w:t>
      </w:r>
      <w:r w:rsidR="53B36992" w:rsidRPr="38DD48D1">
        <w:rPr>
          <w:rFonts w:ascii="Arial" w:eastAsia="Arial" w:hAnsi="Arial" w:cs="Arial"/>
          <w:sz w:val="24"/>
          <w:szCs w:val="24"/>
        </w:rPr>
        <w:t xml:space="preserve"> (House et al 1974)</w:t>
      </w:r>
      <w:r w:rsidRPr="38DD48D1">
        <w:rPr>
          <w:rFonts w:ascii="Arial" w:eastAsia="Arial" w:hAnsi="Arial" w:cs="Arial"/>
          <w:sz w:val="24"/>
          <w:szCs w:val="24"/>
        </w:rPr>
        <w:t xml:space="preserve">. It draws on established theories like Blake and </w:t>
      </w:r>
      <w:r w:rsidR="00933F1C">
        <w:rPr>
          <w:rFonts w:ascii="Arial" w:eastAsia="Arial" w:hAnsi="Arial" w:cs="Arial"/>
          <w:sz w:val="24"/>
          <w:szCs w:val="24"/>
        </w:rPr>
        <w:t>Mouton’s</w:t>
      </w:r>
      <w:r w:rsidRPr="38DD48D1">
        <w:rPr>
          <w:rFonts w:ascii="Arial" w:eastAsia="Arial" w:hAnsi="Arial" w:cs="Arial"/>
          <w:sz w:val="24"/>
          <w:szCs w:val="24"/>
        </w:rPr>
        <w:t xml:space="preserve"> Managerial Grid, </w:t>
      </w:r>
      <w:proofErr w:type="spellStart"/>
      <w:r w:rsidR="00933F1C">
        <w:rPr>
          <w:rFonts w:ascii="Arial" w:eastAsia="Arial" w:hAnsi="Arial" w:cs="Arial"/>
          <w:sz w:val="24"/>
          <w:szCs w:val="24"/>
        </w:rPr>
        <w:t>Adairs’s</w:t>
      </w:r>
      <w:proofErr w:type="spellEnd"/>
      <w:r w:rsidR="00933F1C">
        <w:rPr>
          <w:rFonts w:ascii="Arial" w:eastAsia="Arial" w:hAnsi="Arial" w:cs="Arial"/>
          <w:sz w:val="24"/>
          <w:szCs w:val="24"/>
        </w:rPr>
        <w:t xml:space="preserve"> </w:t>
      </w:r>
      <w:proofErr w:type="spellStart"/>
      <w:r w:rsidR="00933F1C">
        <w:rPr>
          <w:rFonts w:ascii="Arial" w:eastAsia="Arial" w:hAnsi="Arial" w:cs="Arial"/>
          <w:sz w:val="24"/>
          <w:szCs w:val="24"/>
        </w:rPr>
        <w:t>centred</w:t>
      </w:r>
      <w:proofErr w:type="spellEnd"/>
      <w:r w:rsidRPr="38DD48D1">
        <w:rPr>
          <w:rFonts w:ascii="Arial" w:eastAsia="Arial" w:hAnsi="Arial" w:cs="Arial"/>
          <w:sz w:val="24"/>
          <w:szCs w:val="24"/>
        </w:rPr>
        <w:t xml:space="preserve"> Leadership Model (ACL) and </w:t>
      </w:r>
      <w:r w:rsidR="00933F1C">
        <w:rPr>
          <w:rFonts w:ascii="Arial" w:eastAsia="Arial" w:hAnsi="Arial" w:cs="Arial"/>
          <w:sz w:val="24"/>
          <w:szCs w:val="24"/>
        </w:rPr>
        <w:t>McGregor’s</w:t>
      </w:r>
      <w:r w:rsidRPr="38DD48D1">
        <w:rPr>
          <w:rFonts w:ascii="Arial" w:eastAsia="Arial" w:hAnsi="Arial" w:cs="Arial"/>
          <w:sz w:val="24"/>
          <w:szCs w:val="24"/>
        </w:rPr>
        <w:t xml:space="preserve"> X and Y Theory. By examining the strengths and weaknesses of these models discussing managerial styles in the hospitality industry and incorporating </w:t>
      </w:r>
      <w:r w:rsidR="00933F1C">
        <w:rPr>
          <w:rFonts w:ascii="Arial" w:eastAsia="Arial" w:hAnsi="Arial" w:cs="Arial"/>
          <w:sz w:val="24"/>
          <w:szCs w:val="24"/>
        </w:rPr>
        <w:t>real-world</w:t>
      </w:r>
      <w:r w:rsidRPr="38DD48D1">
        <w:rPr>
          <w:rFonts w:ascii="Arial" w:eastAsia="Arial" w:hAnsi="Arial" w:cs="Arial"/>
          <w:sz w:val="24"/>
          <w:szCs w:val="24"/>
        </w:rPr>
        <w:t xml:space="preserve"> examples from specific organizations and leaders this essay seeks to explore the complex relationship between leadership effectiveness and key managerial functions.</w:t>
      </w:r>
    </w:p>
    <w:p w14:paraId="2F141C6E" w14:textId="0440FD6D"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 </w:t>
      </w:r>
    </w:p>
    <w:p w14:paraId="6680EA57" w14:textId="75147DDC" w:rsidR="00B15B53" w:rsidRDefault="3E9A9723" w:rsidP="38DD48D1">
      <w:pPr>
        <w:spacing w:line="360" w:lineRule="auto"/>
        <w:jc w:val="both"/>
        <w:rPr>
          <w:rFonts w:ascii="Arial" w:eastAsia="Arial" w:hAnsi="Arial" w:cs="Arial"/>
          <w:b/>
          <w:bCs/>
          <w:sz w:val="24"/>
          <w:szCs w:val="24"/>
        </w:rPr>
      </w:pPr>
      <w:r w:rsidRPr="38DD48D1">
        <w:rPr>
          <w:rFonts w:ascii="Arial" w:eastAsia="Arial" w:hAnsi="Arial" w:cs="Arial"/>
          <w:b/>
          <w:bCs/>
          <w:sz w:val="24"/>
          <w:szCs w:val="24"/>
        </w:rPr>
        <w:t>Exploring Leadership Theories in Depth</w:t>
      </w:r>
    </w:p>
    <w:p w14:paraId="61A2BFBB" w14:textId="6CF7F43A"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 </w:t>
      </w:r>
    </w:p>
    <w:p w14:paraId="62131138" w14:textId="12942F92"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Blake and Moutons Managerial Grid;</w:t>
      </w:r>
    </w:p>
    <w:p w14:paraId="72E6421B" w14:textId="382968B7" w:rsidR="00B15B53" w:rsidRDefault="00020CBA" w:rsidP="38DD48D1">
      <w:pPr>
        <w:spacing w:line="360" w:lineRule="auto"/>
        <w:jc w:val="both"/>
        <w:rPr>
          <w:rFonts w:ascii="Arial" w:eastAsia="Arial" w:hAnsi="Arial" w:cs="Arial"/>
          <w:sz w:val="24"/>
          <w:szCs w:val="24"/>
        </w:rPr>
      </w:pPr>
      <w:r w:rsidRPr="00020CBA">
        <w:rPr>
          <w:rFonts w:ascii="Arial" w:eastAsia="Arial" w:hAnsi="Arial" w:cs="Arial"/>
          <w:sz w:val="24"/>
          <w:szCs w:val="24"/>
        </w:rPr>
        <w:t xml:space="preserve">The Managerial Grid, developed by Blake and Mouton in 1964, is a paradigm used in leadership studies that divides leadership philosophies into two categories: concern for people and concern for output. </w:t>
      </w:r>
      <w:r w:rsidR="3E9A9723" w:rsidRPr="38DD48D1">
        <w:rPr>
          <w:rFonts w:ascii="Arial" w:eastAsia="Arial" w:hAnsi="Arial" w:cs="Arial"/>
          <w:sz w:val="24"/>
          <w:szCs w:val="24"/>
        </w:rPr>
        <w:t xml:space="preserve">This model offers </w:t>
      </w:r>
      <w:r w:rsidR="00933F1C">
        <w:rPr>
          <w:rFonts w:ascii="Arial" w:eastAsia="Arial" w:hAnsi="Arial" w:cs="Arial"/>
          <w:sz w:val="24"/>
          <w:szCs w:val="24"/>
        </w:rPr>
        <w:t>an</w:t>
      </w:r>
      <w:r w:rsidR="3E9A9723" w:rsidRPr="38DD48D1">
        <w:rPr>
          <w:rFonts w:ascii="Arial" w:eastAsia="Arial" w:hAnsi="Arial" w:cs="Arial"/>
          <w:sz w:val="24"/>
          <w:szCs w:val="24"/>
        </w:rPr>
        <w:t xml:space="preserve"> insightful framework for understanding approaches to leadership. It outlines five leadership styles ranging from management to team management providing a structured way to analyze and classify leadership </w:t>
      </w:r>
      <w:proofErr w:type="spellStart"/>
      <w:r w:rsidR="00933F1C">
        <w:rPr>
          <w:rFonts w:ascii="Arial" w:eastAsia="Arial" w:hAnsi="Arial" w:cs="Arial"/>
          <w:sz w:val="24"/>
          <w:szCs w:val="24"/>
        </w:rPr>
        <w:t>behaviours</w:t>
      </w:r>
      <w:proofErr w:type="spellEnd"/>
      <w:r w:rsidR="3E9A9723" w:rsidRPr="38DD48D1">
        <w:rPr>
          <w:rFonts w:ascii="Arial" w:eastAsia="Arial" w:hAnsi="Arial" w:cs="Arial"/>
          <w:sz w:val="24"/>
          <w:szCs w:val="24"/>
        </w:rPr>
        <w:t xml:space="preserve"> within the context of hospitality (Ghiselli, La Lopa &amp; Bai 2001).</w:t>
      </w:r>
    </w:p>
    <w:p w14:paraId="4081F6C2" w14:textId="14AB08CC" w:rsidR="00B15B53" w:rsidRDefault="00933F1C" w:rsidP="38DD48D1">
      <w:pPr>
        <w:spacing w:line="360" w:lineRule="auto"/>
        <w:jc w:val="both"/>
        <w:rPr>
          <w:rFonts w:ascii="Arial" w:eastAsia="Arial" w:hAnsi="Arial" w:cs="Arial"/>
          <w:sz w:val="24"/>
          <w:szCs w:val="24"/>
        </w:rPr>
      </w:pPr>
      <w:r>
        <w:rPr>
          <w:rFonts w:ascii="Arial" w:eastAsia="Arial" w:hAnsi="Arial" w:cs="Arial"/>
          <w:sz w:val="24"/>
          <w:szCs w:val="24"/>
        </w:rPr>
        <w:t>Adair’s</w:t>
      </w:r>
      <w:r w:rsidR="3E9A9723" w:rsidRPr="38DD48D1">
        <w:rPr>
          <w:rFonts w:ascii="Arial" w:eastAsia="Arial" w:hAnsi="Arial" w:cs="Arial"/>
          <w:sz w:val="24"/>
          <w:szCs w:val="24"/>
        </w:rPr>
        <w:t xml:space="preserve"> Action Centered Leadership Model (ACL) was introduced by John Adair. Offers an understanding of leadership. It emphasizes the importance of balancing the needs of tasks, teams and individuals Adair, 1983). This model </w:t>
      </w:r>
      <w:r>
        <w:rPr>
          <w:rFonts w:ascii="Arial" w:eastAsia="Arial" w:hAnsi="Arial" w:cs="Arial"/>
          <w:sz w:val="24"/>
          <w:szCs w:val="24"/>
        </w:rPr>
        <w:t>guides</w:t>
      </w:r>
      <w:r w:rsidR="3E9A9723" w:rsidRPr="38DD48D1">
        <w:rPr>
          <w:rFonts w:ascii="Arial" w:eastAsia="Arial" w:hAnsi="Arial" w:cs="Arial"/>
          <w:sz w:val="24"/>
          <w:szCs w:val="24"/>
        </w:rPr>
        <w:t xml:space="preserve"> for leaders to navigate situations and take a holistic approach to their leadership responsibilities. However</w:t>
      </w:r>
      <w:r>
        <w:rPr>
          <w:rFonts w:ascii="Arial" w:eastAsia="Arial" w:hAnsi="Arial" w:cs="Arial"/>
          <w:sz w:val="24"/>
          <w:szCs w:val="24"/>
        </w:rPr>
        <w:t>,</w:t>
      </w:r>
      <w:r w:rsidR="3E9A9723" w:rsidRPr="38DD48D1">
        <w:rPr>
          <w:rFonts w:ascii="Arial" w:eastAsia="Arial" w:hAnsi="Arial" w:cs="Arial"/>
          <w:sz w:val="24"/>
          <w:szCs w:val="24"/>
        </w:rPr>
        <w:t xml:space="preserve"> scholars suggest that while ACL offers a framework it may need adaptation to meet the nuanced demands of the hospitality industry (Koontz, O'Donnell &amp; </w:t>
      </w:r>
      <w:proofErr w:type="spellStart"/>
      <w:r w:rsidR="3E9A9723" w:rsidRPr="38DD48D1">
        <w:rPr>
          <w:rFonts w:ascii="Arial" w:eastAsia="Arial" w:hAnsi="Arial" w:cs="Arial"/>
          <w:sz w:val="24"/>
          <w:szCs w:val="24"/>
        </w:rPr>
        <w:t>Weihrich</w:t>
      </w:r>
      <w:proofErr w:type="spellEnd"/>
      <w:r w:rsidR="3E9A9723" w:rsidRPr="38DD48D1">
        <w:rPr>
          <w:rFonts w:ascii="Arial" w:eastAsia="Arial" w:hAnsi="Arial" w:cs="Arial"/>
          <w:sz w:val="24"/>
          <w:szCs w:val="24"/>
        </w:rPr>
        <w:t xml:space="preserve"> 1980). </w:t>
      </w:r>
    </w:p>
    <w:p w14:paraId="14920590" w14:textId="232900B2" w:rsidR="00B15B53" w:rsidRDefault="00020CBA" w:rsidP="38DD48D1">
      <w:pPr>
        <w:spacing w:line="360" w:lineRule="auto"/>
        <w:jc w:val="both"/>
        <w:rPr>
          <w:rFonts w:ascii="Arial" w:eastAsia="Arial" w:hAnsi="Arial" w:cs="Arial"/>
          <w:sz w:val="24"/>
          <w:szCs w:val="24"/>
        </w:rPr>
      </w:pPr>
      <w:r w:rsidRPr="00020CBA">
        <w:rPr>
          <w:rFonts w:ascii="Arial" w:eastAsia="Arial" w:hAnsi="Arial" w:cs="Arial"/>
          <w:sz w:val="24"/>
          <w:szCs w:val="24"/>
        </w:rPr>
        <w:lastRenderedPageBreak/>
        <w:t xml:space="preserve">Two opposing hypotheses on employee motivation and </w:t>
      </w:r>
      <w:proofErr w:type="spellStart"/>
      <w:r w:rsidRPr="00020CBA">
        <w:rPr>
          <w:rFonts w:ascii="Arial" w:eastAsia="Arial" w:hAnsi="Arial" w:cs="Arial"/>
          <w:sz w:val="24"/>
          <w:szCs w:val="24"/>
        </w:rPr>
        <w:t>behaviour</w:t>
      </w:r>
      <w:proofErr w:type="spellEnd"/>
      <w:r w:rsidRPr="00020CBA">
        <w:rPr>
          <w:rFonts w:ascii="Arial" w:eastAsia="Arial" w:hAnsi="Arial" w:cs="Arial"/>
          <w:sz w:val="24"/>
          <w:szCs w:val="24"/>
        </w:rPr>
        <w:t xml:space="preserve"> are presented in Douglas McGregor's X and Y Theory (McGregor, 1960). While Theory Y holds that people are self-motivated and capable of self-direction, Theory X claims that workers are innately lazy and need to be under control. </w:t>
      </w:r>
      <w:r w:rsidR="3E9A9723" w:rsidRPr="38DD48D1">
        <w:rPr>
          <w:rFonts w:ascii="Arial" w:eastAsia="Arial" w:hAnsi="Arial" w:cs="Arial"/>
          <w:sz w:val="24"/>
          <w:szCs w:val="24"/>
        </w:rPr>
        <w:t xml:space="preserve">This theory provides insights into tailoring leadership approaches based on underlying assumptions about </w:t>
      </w:r>
      <w:r w:rsidR="00933F1C">
        <w:rPr>
          <w:rFonts w:ascii="Arial" w:eastAsia="Arial" w:hAnsi="Arial" w:cs="Arial"/>
          <w:sz w:val="24"/>
          <w:szCs w:val="24"/>
        </w:rPr>
        <w:t>employees’</w:t>
      </w:r>
      <w:r w:rsidR="3E9A9723" w:rsidRPr="38DD48D1">
        <w:rPr>
          <w:rFonts w:ascii="Arial" w:eastAsia="Arial" w:hAnsi="Arial" w:cs="Arial"/>
          <w:sz w:val="24"/>
          <w:szCs w:val="24"/>
        </w:rPr>
        <w:t xml:space="preserve"> nature. However</w:t>
      </w:r>
      <w:r w:rsidR="00933F1C">
        <w:rPr>
          <w:rFonts w:ascii="Arial" w:eastAsia="Arial" w:hAnsi="Arial" w:cs="Arial"/>
          <w:sz w:val="24"/>
          <w:szCs w:val="24"/>
        </w:rPr>
        <w:t>,</w:t>
      </w:r>
      <w:r w:rsidR="3E9A9723" w:rsidRPr="38DD48D1">
        <w:rPr>
          <w:rFonts w:ascii="Arial" w:eastAsia="Arial" w:hAnsi="Arial" w:cs="Arial"/>
          <w:sz w:val="24"/>
          <w:szCs w:val="24"/>
        </w:rPr>
        <w:t xml:space="preserve"> it has been criticized for oversimplifying the diverse nature of individuals, in the workplace (Burnes, 2004). </w:t>
      </w:r>
    </w:p>
    <w:p w14:paraId="272C9A26" w14:textId="5321C371"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The Hersey Blanchard Situational Leadership Theory focuses on adapting leadership styles based on </w:t>
      </w:r>
      <w:r w:rsidR="00933F1C">
        <w:rPr>
          <w:rFonts w:ascii="Arial" w:eastAsia="Arial" w:hAnsi="Arial" w:cs="Arial"/>
          <w:sz w:val="24"/>
          <w:szCs w:val="24"/>
        </w:rPr>
        <w:t>followers’</w:t>
      </w:r>
      <w:r w:rsidRPr="38DD48D1">
        <w:rPr>
          <w:rFonts w:ascii="Arial" w:eastAsia="Arial" w:hAnsi="Arial" w:cs="Arial"/>
          <w:sz w:val="24"/>
          <w:szCs w:val="24"/>
        </w:rPr>
        <w:t xml:space="preserve"> readiness or maturity levels (Hersey &amp; Blanchard 1969).</w:t>
      </w:r>
    </w:p>
    <w:p w14:paraId="2F448419" w14:textId="1165F147"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According to this theory</w:t>
      </w:r>
      <w:r w:rsidR="00933F1C">
        <w:rPr>
          <w:rFonts w:ascii="Arial" w:eastAsia="Arial" w:hAnsi="Arial" w:cs="Arial"/>
          <w:sz w:val="24"/>
          <w:szCs w:val="24"/>
        </w:rPr>
        <w:t>,</w:t>
      </w:r>
      <w:r w:rsidRPr="38DD48D1">
        <w:rPr>
          <w:rFonts w:ascii="Arial" w:eastAsia="Arial" w:hAnsi="Arial" w:cs="Arial"/>
          <w:sz w:val="24"/>
          <w:szCs w:val="24"/>
        </w:rPr>
        <w:t xml:space="preserve"> effective leaders are adaptable. Adjust their leadership style based on the maturity level of their followers.</w:t>
      </w:r>
      <w:r w:rsidR="6CE9C9AE" w:rsidRPr="38DD48D1">
        <w:rPr>
          <w:rFonts w:ascii="Arial" w:eastAsia="Arial" w:hAnsi="Arial" w:cs="Arial"/>
          <w:sz w:val="24"/>
          <w:szCs w:val="24"/>
        </w:rPr>
        <w:t xml:space="preserve"> (Goleman, 2000)</w:t>
      </w:r>
      <w:r w:rsidRPr="38DD48D1">
        <w:rPr>
          <w:rFonts w:ascii="Arial" w:eastAsia="Arial" w:hAnsi="Arial" w:cs="Arial"/>
          <w:sz w:val="24"/>
          <w:szCs w:val="24"/>
        </w:rPr>
        <w:t xml:space="preserve"> For individuals</w:t>
      </w:r>
      <w:r w:rsidR="00933F1C">
        <w:rPr>
          <w:rFonts w:ascii="Arial" w:eastAsia="Arial" w:hAnsi="Arial" w:cs="Arial"/>
          <w:sz w:val="24"/>
          <w:szCs w:val="24"/>
        </w:rPr>
        <w:t>,</w:t>
      </w:r>
      <w:r w:rsidRPr="38DD48D1">
        <w:rPr>
          <w:rFonts w:ascii="Arial" w:eastAsia="Arial" w:hAnsi="Arial" w:cs="Arial"/>
          <w:sz w:val="24"/>
          <w:szCs w:val="24"/>
        </w:rPr>
        <w:t xml:space="preserve"> a directive approach is employed, while a more participative style is used for those, with higher levels of maturity. This theory provides insights into the nature of leadership in the hospitality industry, where teams often consist of individuals with varying skill levels (Northouse, 2018). </w:t>
      </w:r>
    </w:p>
    <w:p w14:paraId="1D9309F5" w14:textId="730CF997"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Transactional Leadership</w:t>
      </w:r>
    </w:p>
    <w:p w14:paraId="206144D6" w14:textId="04EC88CD"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Transactional Leadership originally introduced by Max Weber and further developed by Bernard Bass focuses on the exchange between leaders and followers. It emphasizes rewarding or punishing based on performance (Bass &amp; Riggio 2006). In a hospitality context transactional leadership can be effective in managing tasks and ensuring adherence to established standards (Luthans &amp; Avolio 2003).</w:t>
      </w:r>
    </w:p>
    <w:p w14:paraId="266ED4D1" w14:textId="2B0C8433"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 </w:t>
      </w:r>
    </w:p>
    <w:p w14:paraId="47D46AA3" w14:textId="70CC883F"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b/>
          <w:bCs/>
          <w:sz w:val="24"/>
          <w:szCs w:val="24"/>
        </w:rPr>
        <w:t>Comparison of Leadership Theories</w:t>
      </w:r>
      <w:r w:rsidRPr="38DD48D1">
        <w:rPr>
          <w:rFonts w:ascii="Arial" w:eastAsia="Arial" w:hAnsi="Arial" w:cs="Arial"/>
          <w:sz w:val="24"/>
          <w:szCs w:val="24"/>
        </w:rPr>
        <w:t xml:space="preserve"> </w:t>
      </w:r>
    </w:p>
    <w:p w14:paraId="39442CBD" w14:textId="13AB224D"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Advantages and Disadvantages of Different Approaches;</w:t>
      </w:r>
    </w:p>
    <w:p w14:paraId="123CBD10" w14:textId="693BB38D"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 </w:t>
      </w:r>
    </w:p>
    <w:p w14:paraId="0155FE3E" w14:textId="4CB97093"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Blake and </w:t>
      </w:r>
      <w:r w:rsidR="00933F1C">
        <w:rPr>
          <w:rFonts w:ascii="Arial" w:eastAsia="Arial" w:hAnsi="Arial" w:cs="Arial"/>
          <w:sz w:val="24"/>
          <w:szCs w:val="24"/>
        </w:rPr>
        <w:t>Mouton</w:t>
      </w:r>
      <w:r w:rsidRPr="38DD48D1">
        <w:rPr>
          <w:rFonts w:ascii="Arial" w:eastAsia="Arial" w:hAnsi="Arial" w:cs="Arial"/>
          <w:sz w:val="24"/>
          <w:szCs w:val="24"/>
        </w:rPr>
        <w:t xml:space="preserve"> Managerial Grid</w:t>
      </w:r>
    </w:p>
    <w:p w14:paraId="2BECC23C" w14:textId="63239A24"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lastRenderedPageBreak/>
        <w:t xml:space="preserve">Pros; </w:t>
      </w:r>
      <w:r w:rsidR="00020CBA" w:rsidRPr="00020CBA">
        <w:rPr>
          <w:rFonts w:ascii="Arial" w:eastAsia="Arial" w:hAnsi="Arial" w:cs="Arial"/>
          <w:sz w:val="24"/>
          <w:szCs w:val="24"/>
        </w:rPr>
        <w:t xml:space="preserve">The Managerial Grid by Blake and Moutons provides a framework for comprehending different types of leadership. They are </w:t>
      </w:r>
      <w:proofErr w:type="spellStart"/>
      <w:r w:rsidR="00020CBA" w:rsidRPr="00020CBA">
        <w:rPr>
          <w:rFonts w:ascii="Arial" w:eastAsia="Arial" w:hAnsi="Arial" w:cs="Arial"/>
          <w:sz w:val="24"/>
          <w:szCs w:val="24"/>
        </w:rPr>
        <w:t>categorised</w:t>
      </w:r>
      <w:proofErr w:type="spellEnd"/>
      <w:r w:rsidR="00020CBA" w:rsidRPr="00020CBA">
        <w:rPr>
          <w:rFonts w:ascii="Arial" w:eastAsia="Arial" w:hAnsi="Arial" w:cs="Arial"/>
          <w:sz w:val="24"/>
          <w:szCs w:val="24"/>
        </w:rPr>
        <w:t xml:space="preserve"> according to whether they are more concerned with people or with production (Blake &amp; Mouton 1964).</w:t>
      </w:r>
    </w:p>
    <w:p w14:paraId="22D4E802" w14:textId="60DF3337"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Cons; Critics argue that this model oversimplifies the nature of leadership by reducing it to two dimensions. This approach may overlook factors that influence leadership effectiveness such, as organizational culture and external pressures (Ghiselli et al., 2001).</w:t>
      </w:r>
    </w:p>
    <w:p w14:paraId="02BF42FC" w14:textId="7737C0D6"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Adairs Action Centered Leadership Model (ACL) </w:t>
      </w:r>
    </w:p>
    <w:p w14:paraId="3C1EF4DB" w14:textId="72AC5550"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Advantages; </w:t>
      </w:r>
      <w:r w:rsidR="00933F1C">
        <w:rPr>
          <w:rFonts w:ascii="Arial" w:eastAsia="Arial" w:hAnsi="Arial" w:cs="Arial"/>
          <w:sz w:val="24"/>
          <w:szCs w:val="24"/>
        </w:rPr>
        <w:t>Adair’s</w:t>
      </w:r>
      <w:r w:rsidRPr="38DD48D1">
        <w:rPr>
          <w:rFonts w:ascii="Arial" w:eastAsia="Arial" w:hAnsi="Arial" w:cs="Arial"/>
          <w:sz w:val="24"/>
          <w:szCs w:val="24"/>
        </w:rPr>
        <w:t xml:space="preserve"> ACL is highly regarded for its approach </w:t>
      </w:r>
      <w:r w:rsidR="00933F1C">
        <w:rPr>
          <w:rFonts w:ascii="Arial" w:eastAsia="Arial" w:hAnsi="Arial" w:cs="Arial"/>
          <w:sz w:val="24"/>
          <w:szCs w:val="24"/>
        </w:rPr>
        <w:t xml:space="preserve">to </w:t>
      </w:r>
      <w:r w:rsidRPr="38DD48D1">
        <w:rPr>
          <w:rFonts w:ascii="Arial" w:eastAsia="Arial" w:hAnsi="Arial" w:cs="Arial"/>
          <w:sz w:val="24"/>
          <w:szCs w:val="24"/>
        </w:rPr>
        <w:t>promoting a balance, between the needs of tasks, teams and individuals (Adair, 1983). This holistic viewpoint ensures that leaders take into account aspects simultaneously.</w:t>
      </w:r>
    </w:p>
    <w:p w14:paraId="18446114" w14:textId="1F9857B9"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Disadvantages; Some scholars argue that ACL may lack specificity and could require adaptation to suit the demands of the hospitality industry, which thrives on </w:t>
      </w:r>
      <w:r w:rsidR="00933F1C">
        <w:rPr>
          <w:rFonts w:ascii="Arial" w:eastAsia="Arial" w:hAnsi="Arial" w:cs="Arial"/>
          <w:sz w:val="24"/>
          <w:szCs w:val="24"/>
        </w:rPr>
        <w:t>customer-centric</w:t>
      </w:r>
      <w:r w:rsidRPr="38DD48D1">
        <w:rPr>
          <w:rFonts w:ascii="Arial" w:eastAsia="Arial" w:hAnsi="Arial" w:cs="Arial"/>
          <w:sz w:val="24"/>
          <w:szCs w:val="24"/>
        </w:rPr>
        <w:t xml:space="preserve"> operations (Koontz et al. 1980).</w:t>
      </w:r>
    </w:p>
    <w:p w14:paraId="03432BE0" w14:textId="70E70AE7"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 </w:t>
      </w:r>
    </w:p>
    <w:p w14:paraId="7A920C70" w14:textId="75C83A51" w:rsidR="00B15B53" w:rsidRDefault="00933F1C" w:rsidP="38DD48D1">
      <w:pPr>
        <w:spacing w:line="360" w:lineRule="auto"/>
        <w:jc w:val="both"/>
        <w:rPr>
          <w:rFonts w:ascii="Arial" w:eastAsia="Arial" w:hAnsi="Arial" w:cs="Arial"/>
          <w:sz w:val="24"/>
          <w:szCs w:val="24"/>
        </w:rPr>
      </w:pPr>
      <w:r>
        <w:rPr>
          <w:rFonts w:ascii="Arial" w:eastAsia="Arial" w:hAnsi="Arial" w:cs="Arial"/>
          <w:sz w:val="24"/>
          <w:szCs w:val="24"/>
        </w:rPr>
        <w:t>McGregor</w:t>
      </w:r>
      <w:r w:rsidR="3E9A9723" w:rsidRPr="38DD48D1">
        <w:rPr>
          <w:rFonts w:ascii="Arial" w:eastAsia="Arial" w:hAnsi="Arial" w:cs="Arial"/>
          <w:sz w:val="24"/>
          <w:szCs w:val="24"/>
        </w:rPr>
        <w:t xml:space="preserve"> X and Y Theory </w:t>
      </w:r>
    </w:p>
    <w:p w14:paraId="0D9601BA" w14:textId="3B41C8C5"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Advantages; </w:t>
      </w:r>
      <w:r w:rsidR="00933F1C">
        <w:rPr>
          <w:rFonts w:ascii="Arial" w:eastAsia="Arial" w:hAnsi="Arial" w:cs="Arial"/>
          <w:sz w:val="24"/>
          <w:szCs w:val="24"/>
        </w:rPr>
        <w:t>McGregor’s</w:t>
      </w:r>
      <w:r w:rsidRPr="38DD48D1">
        <w:rPr>
          <w:rFonts w:ascii="Arial" w:eastAsia="Arial" w:hAnsi="Arial" w:cs="Arial"/>
          <w:sz w:val="24"/>
          <w:szCs w:val="24"/>
        </w:rPr>
        <w:t xml:space="preserve"> X and Y Theory provides insights into managerial assumptions regarding employee motivation guiding leaders to customize their approaches accordingly (McGregor, 1960). This adaptability aligns well with the changing nature of the hospitality sector.</w:t>
      </w:r>
    </w:p>
    <w:p w14:paraId="2395F7C9" w14:textId="737B4481"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Disadvantages; However this dichotomy oversimplifies the intricate nature of individuals in the workplace potentially limiting its applicability in </w:t>
      </w:r>
      <w:proofErr w:type="spellStart"/>
      <w:r w:rsidR="00933F1C">
        <w:rPr>
          <w:rFonts w:ascii="Arial" w:eastAsia="Arial" w:hAnsi="Arial" w:cs="Arial"/>
          <w:sz w:val="24"/>
          <w:szCs w:val="24"/>
        </w:rPr>
        <w:t>organisational</w:t>
      </w:r>
      <w:proofErr w:type="spellEnd"/>
      <w:r w:rsidRPr="38DD48D1">
        <w:rPr>
          <w:rFonts w:ascii="Arial" w:eastAsia="Arial" w:hAnsi="Arial" w:cs="Arial"/>
          <w:sz w:val="24"/>
          <w:szCs w:val="24"/>
        </w:rPr>
        <w:t xml:space="preserve"> contexts (Burnes, 2004).</w:t>
      </w:r>
    </w:p>
    <w:p w14:paraId="3CF56716" w14:textId="67C52E2A"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 </w:t>
      </w:r>
    </w:p>
    <w:p w14:paraId="5C02E0C6" w14:textId="384DAE8A"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Hersey Blanchard Situational Leadership Theory </w:t>
      </w:r>
    </w:p>
    <w:p w14:paraId="43B75525" w14:textId="03D694EC"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Advantages; The Hersey Blanchard Situational Leadership Theory contributes by highlighting adaptability in leadership styles based on follower readiness (Hersey &amp; </w:t>
      </w:r>
      <w:r w:rsidRPr="38DD48D1">
        <w:rPr>
          <w:rFonts w:ascii="Arial" w:eastAsia="Arial" w:hAnsi="Arial" w:cs="Arial"/>
          <w:sz w:val="24"/>
          <w:szCs w:val="24"/>
        </w:rPr>
        <w:lastRenderedPageBreak/>
        <w:t>Blanchard 1969). This flexibility aligns effectively with the evolving needs of teams, in dynamic hospitality environments.</w:t>
      </w:r>
    </w:p>
    <w:p w14:paraId="55FD0707" w14:textId="3848EF2F"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Cons; There might be some challenges when implementing leadership, in </w:t>
      </w:r>
      <w:r w:rsidR="00933F1C">
        <w:rPr>
          <w:rFonts w:ascii="Arial" w:eastAsia="Arial" w:hAnsi="Arial" w:cs="Arial"/>
          <w:sz w:val="24"/>
          <w:szCs w:val="24"/>
        </w:rPr>
        <w:t>fast-paced</w:t>
      </w:r>
      <w:r w:rsidRPr="38DD48D1">
        <w:rPr>
          <w:rFonts w:ascii="Arial" w:eastAsia="Arial" w:hAnsi="Arial" w:cs="Arial"/>
          <w:sz w:val="24"/>
          <w:szCs w:val="24"/>
        </w:rPr>
        <w:t xml:space="preserve"> and constantly changing environments where the readiness of followers can vary frequently.</w:t>
      </w:r>
    </w:p>
    <w:p w14:paraId="15713585" w14:textId="69289119"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 </w:t>
      </w:r>
    </w:p>
    <w:p w14:paraId="46E5513F" w14:textId="6BC3C00D"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Transactional Leadership </w:t>
      </w:r>
    </w:p>
    <w:p w14:paraId="44962CEF" w14:textId="3D188AFD"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Pros; Transactional leadership, which focuses on rewarding or punishing based on performance can be effective in managing tasks and ensuring adherence to established standards (Bass &amp; Riggio 2006; Luthans &amp; Avolio 2003). In the hospitality industry, where following established </w:t>
      </w:r>
      <w:r w:rsidR="00933F1C">
        <w:rPr>
          <w:rFonts w:ascii="Arial" w:eastAsia="Arial" w:hAnsi="Arial" w:cs="Arial"/>
          <w:sz w:val="24"/>
          <w:szCs w:val="24"/>
        </w:rPr>
        <w:t>standards</w:t>
      </w:r>
      <w:r w:rsidRPr="38DD48D1">
        <w:rPr>
          <w:rFonts w:ascii="Arial" w:eastAsia="Arial" w:hAnsi="Arial" w:cs="Arial"/>
          <w:sz w:val="24"/>
          <w:szCs w:val="24"/>
        </w:rPr>
        <w:t xml:space="preserve"> </w:t>
      </w:r>
      <w:r w:rsidR="00933F1C">
        <w:rPr>
          <w:rFonts w:ascii="Arial" w:eastAsia="Arial" w:hAnsi="Arial" w:cs="Arial"/>
          <w:sz w:val="24"/>
          <w:szCs w:val="24"/>
        </w:rPr>
        <w:t xml:space="preserve">is </w:t>
      </w:r>
      <w:r w:rsidRPr="38DD48D1">
        <w:rPr>
          <w:rFonts w:ascii="Arial" w:eastAsia="Arial" w:hAnsi="Arial" w:cs="Arial"/>
          <w:sz w:val="24"/>
          <w:szCs w:val="24"/>
        </w:rPr>
        <w:t>crucial this approach could be applicable.</w:t>
      </w:r>
    </w:p>
    <w:p w14:paraId="779B9E25" w14:textId="59C023BE"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Cons; Critics argue that transactional leadership may not encourage creativity or foster innovation </w:t>
      </w:r>
      <w:r w:rsidR="00933F1C">
        <w:rPr>
          <w:rFonts w:ascii="Arial" w:eastAsia="Arial" w:hAnsi="Arial" w:cs="Arial"/>
          <w:sz w:val="24"/>
          <w:szCs w:val="24"/>
        </w:rPr>
        <w:t>which are</w:t>
      </w:r>
      <w:r w:rsidRPr="38DD48D1">
        <w:rPr>
          <w:rFonts w:ascii="Arial" w:eastAsia="Arial" w:hAnsi="Arial" w:cs="Arial"/>
          <w:sz w:val="24"/>
          <w:szCs w:val="24"/>
        </w:rPr>
        <w:t xml:space="preserve"> elements in a competitive and evolving hospitality industry.</w:t>
      </w:r>
    </w:p>
    <w:p w14:paraId="01A0798D" w14:textId="6E991A75"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 </w:t>
      </w:r>
    </w:p>
    <w:p w14:paraId="47E92859" w14:textId="45C6F3CB" w:rsidR="00B15B53" w:rsidRDefault="3E9A9723" w:rsidP="38DD48D1">
      <w:pPr>
        <w:spacing w:line="360" w:lineRule="auto"/>
        <w:jc w:val="both"/>
        <w:rPr>
          <w:rFonts w:ascii="Arial" w:eastAsia="Arial" w:hAnsi="Arial" w:cs="Arial"/>
          <w:b/>
          <w:bCs/>
          <w:sz w:val="24"/>
          <w:szCs w:val="24"/>
        </w:rPr>
      </w:pPr>
      <w:r w:rsidRPr="38DD48D1">
        <w:rPr>
          <w:rFonts w:ascii="Arial" w:eastAsia="Arial" w:hAnsi="Arial" w:cs="Arial"/>
          <w:b/>
          <w:bCs/>
          <w:sz w:val="24"/>
          <w:szCs w:val="24"/>
        </w:rPr>
        <w:t xml:space="preserve">Relevance to </w:t>
      </w:r>
      <w:r w:rsidR="00933F1C">
        <w:rPr>
          <w:rFonts w:ascii="Arial" w:eastAsia="Arial" w:hAnsi="Arial" w:cs="Arial"/>
          <w:b/>
          <w:bCs/>
          <w:sz w:val="24"/>
          <w:szCs w:val="24"/>
        </w:rPr>
        <w:t xml:space="preserve">the </w:t>
      </w:r>
      <w:r w:rsidRPr="38DD48D1">
        <w:rPr>
          <w:rFonts w:ascii="Arial" w:eastAsia="Arial" w:hAnsi="Arial" w:cs="Arial"/>
          <w:b/>
          <w:bCs/>
          <w:sz w:val="24"/>
          <w:szCs w:val="24"/>
        </w:rPr>
        <w:t xml:space="preserve">Hospitality Industry </w:t>
      </w:r>
    </w:p>
    <w:p w14:paraId="659AB7B0" w14:textId="07E9EF8E"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Understanding how leadership theories relate to the context of the hospitality industry is essential for leaders seeking strategies in this dynamic sector. The distinct characteristics of hospitality – such as its focus on customer satisfaction, service excellence and diverse teams – require an application of leadership theories. </w:t>
      </w:r>
    </w:p>
    <w:p w14:paraId="57593CFF" w14:textId="63E86363"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Transformational Leadership;</w:t>
      </w:r>
    </w:p>
    <w:p w14:paraId="389FA733" w14:textId="19F792F6"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Transformational leadership aligns with the emphasis that the hospitality industry places on creating guest experiences. The visionary and inspiring qualities of leaders can drive innovation in service delivery. Contribute to overall improvements in customer satisfaction (Avolio &amp; </w:t>
      </w:r>
      <w:proofErr w:type="spellStart"/>
      <w:r w:rsidRPr="38DD48D1">
        <w:rPr>
          <w:rFonts w:ascii="Arial" w:eastAsia="Arial" w:hAnsi="Arial" w:cs="Arial"/>
          <w:sz w:val="24"/>
          <w:szCs w:val="24"/>
        </w:rPr>
        <w:t>Yammarino</w:t>
      </w:r>
      <w:proofErr w:type="spellEnd"/>
      <w:r w:rsidRPr="38DD48D1">
        <w:rPr>
          <w:rFonts w:ascii="Arial" w:eastAsia="Arial" w:hAnsi="Arial" w:cs="Arial"/>
          <w:sz w:val="24"/>
          <w:szCs w:val="24"/>
        </w:rPr>
        <w:t xml:space="preserve"> 2013). This aligns, with the changing nature of the industry where setting oneself apart through superior customer service is a strategic necessity.</w:t>
      </w:r>
    </w:p>
    <w:p w14:paraId="681B0AED" w14:textId="67422911"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Servant Leadership;</w:t>
      </w:r>
    </w:p>
    <w:p w14:paraId="7208CB9B" w14:textId="50427AC3"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The importance of leadership, in the hospitality industry is seen in </w:t>
      </w:r>
      <w:proofErr w:type="spellStart"/>
      <w:r w:rsidR="00933F1C">
        <w:rPr>
          <w:rFonts w:ascii="Arial" w:eastAsia="Arial" w:hAnsi="Arial" w:cs="Arial"/>
          <w:sz w:val="24"/>
          <w:szCs w:val="24"/>
        </w:rPr>
        <w:t>organisations</w:t>
      </w:r>
      <w:proofErr w:type="spellEnd"/>
      <w:r w:rsidRPr="38DD48D1">
        <w:rPr>
          <w:rFonts w:ascii="Arial" w:eastAsia="Arial" w:hAnsi="Arial" w:cs="Arial"/>
          <w:sz w:val="24"/>
          <w:szCs w:val="24"/>
        </w:rPr>
        <w:t xml:space="preserve"> like The Ritz Carlton. Leaders who prioritize the </w:t>
      </w:r>
      <w:r w:rsidR="00933F1C">
        <w:rPr>
          <w:rFonts w:ascii="Arial" w:eastAsia="Arial" w:hAnsi="Arial" w:cs="Arial"/>
          <w:sz w:val="24"/>
          <w:szCs w:val="24"/>
        </w:rPr>
        <w:t>well-being</w:t>
      </w:r>
      <w:r w:rsidRPr="38DD48D1">
        <w:rPr>
          <w:rFonts w:ascii="Arial" w:eastAsia="Arial" w:hAnsi="Arial" w:cs="Arial"/>
          <w:sz w:val="24"/>
          <w:szCs w:val="24"/>
        </w:rPr>
        <w:t xml:space="preserve"> of their employees create a work </w:t>
      </w:r>
      <w:r w:rsidRPr="38DD48D1">
        <w:rPr>
          <w:rFonts w:ascii="Arial" w:eastAsia="Arial" w:hAnsi="Arial" w:cs="Arial"/>
          <w:sz w:val="24"/>
          <w:szCs w:val="24"/>
        </w:rPr>
        <w:lastRenderedPageBreak/>
        <w:t xml:space="preserve">environment that translates into experiences for guests (Greenleaf, 1970). This approach aligns with the </w:t>
      </w:r>
      <w:r w:rsidR="00933F1C">
        <w:rPr>
          <w:rFonts w:ascii="Arial" w:eastAsia="Arial" w:hAnsi="Arial" w:cs="Arial"/>
          <w:sz w:val="24"/>
          <w:szCs w:val="24"/>
        </w:rPr>
        <w:t>industry’s</w:t>
      </w:r>
      <w:r w:rsidRPr="38DD48D1">
        <w:rPr>
          <w:rFonts w:ascii="Arial" w:eastAsia="Arial" w:hAnsi="Arial" w:cs="Arial"/>
          <w:sz w:val="24"/>
          <w:szCs w:val="24"/>
        </w:rPr>
        <w:t xml:space="preserve"> </w:t>
      </w:r>
      <w:r w:rsidR="00933F1C">
        <w:rPr>
          <w:rFonts w:ascii="Arial" w:eastAsia="Arial" w:hAnsi="Arial" w:cs="Arial"/>
          <w:sz w:val="24"/>
          <w:szCs w:val="24"/>
        </w:rPr>
        <w:t>customer-focused</w:t>
      </w:r>
      <w:r w:rsidRPr="38DD48D1">
        <w:rPr>
          <w:rFonts w:ascii="Arial" w:eastAsia="Arial" w:hAnsi="Arial" w:cs="Arial"/>
          <w:sz w:val="24"/>
          <w:szCs w:val="24"/>
        </w:rPr>
        <w:t xml:space="preserve"> values, where satisfied and engaged employees become advocates for customer service (Liden, Wayne, Zhao, &amp; Henderson, 2008). </w:t>
      </w:r>
    </w:p>
    <w:p w14:paraId="73300E44" w14:textId="468BADED"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Laissez Faire Leadership;</w:t>
      </w:r>
    </w:p>
    <w:p w14:paraId="6666B02F" w14:textId="09C19D49"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While not universally applicable, a laissez leadership approach as observed in </w:t>
      </w:r>
      <w:r w:rsidR="00933F1C">
        <w:rPr>
          <w:rFonts w:ascii="Arial" w:eastAsia="Arial" w:hAnsi="Arial" w:cs="Arial"/>
          <w:sz w:val="24"/>
          <w:szCs w:val="24"/>
        </w:rPr>
        <w:t>Google’s</w:t>
      </w:r>
      <w:r w:rsidRPr="38DD48D1">
        <w:rPr>
          <w:rFonts w:ascii="Arial" w:eastAsia="Arial" w:hAnsi="Arial" w:cs="Arial"/>
          <w:sz w:val="24"/>
          <w:szCs w:val="24"/>
        </w:rPr>
        <w:t xml:space="preserve"> culture may have relevance in specific areas of the hospitality industry. Granting employees freedom in </w:t>
      </w:r>
      <w:r w:rsidR="00933F1C">
        <w:rPr>
          <w:rFonts w:ascii="Arial" w:eastAsia="Arial" w:hAnsi="Arial" w:cs="Arial"/>
          <w:sz w:val="24"/>
          <w:szCs w:val="24"/>
        </w:rPr>
        <w:t>decision-making</w:t>
      </w:r>
      <w:r w:rsidRPr="38DD48D1">
        <w:rPr>
          <w:rFonts w:ascii="Arial" w:eastAsia="Arial" w:hAnsi="Arial" w:cs="Arial"/>
          <w:sz w:val="24"/>
          <w:szCs w:val="24"/>
        </w:rPr>
        <w:t xml:space="preserve"> can foster creativity and innovation in areas where individual autonomy is highly valued such as guest relations or marketing initiatives (Northouse, 2018). </w:t>
      </w:r>
    </w:p>
    <w:p w14:paraId="50B2E224" w14:textId="4FFE4B69"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Transactional Leadership;</w:t>
      </w:r>
    </w:p>
    <w:p w14:paraId="16D29C06" w14:textId="1F0FC3AB"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Transactional leadership, which emphasizes rewards and punishments based on performance can be useful in managing tasks and ensuring compliance with established standards in the hospitality industry (Bass &amp; Riggio 2006). This can be particularly effective in maintaining operations and upholding quality standards, in service delivery.</w:t>
      </w:r>
      <w:r w:rsidR="5EFB3052" w:rsidRPr="38DD48D1">
        <w:rPr>
          <w:rFonts w:ascii="Arial" w:eastAsia="Arial" w:hAnsi="Arial" w:cs="Arial"/>
          <w:sz w:val="24"/>
          <w:szCs w:val="24"/>
        </w:rPr>
        <w:t xml:space="preserve"> (Northouse,2018)</w:t>
      </w:r>
    </w:p>
    <w:p w14:paraId="0367F896" w14:textId="74C64A3F"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The Hersey Blanchard Situational Leadership Theory is applicable, in the hospitality industry, where teams often consist of individuals with varying skill levels. This theory emphasizes the importance of leaders adapting their leadership styles based on the readiness of their followers (Northouse, 2018; Hersey &amp; Blanchard 1969). By tailoring their approach to meet the needs of their teams leaders can effectively navigate the challenges posed by the nature of the industry.</w:t>
      </w:r>
    </w:p>
    <w:p w14:paraId="1F83AC7E" w14:textId="16333820"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 </w:t>
      </w:r>
    </w:p>
    <w:p w14:paraId="505F0BDA" w14:textId="0D657D20"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Having an understanding of each leadership theory and how it aligns with the demands of the hospitality industry empowers leaders to effectively customize their approaches. This not </w:t>
      </w:r>
      <w:r w:rsidR="00933F1C">
        <w:rPr>
          <w:rFonts w:ascii="Arial" w:eastAsia="Arial" w:hAnsi="Arial" w:cs="Arial"/>
          <w:sz w:val="24"/>
          <w:szCs w:val="24"/>
        </w:rPr>
        <w:t xml:space="preserve">only </w:t>
      </w:r>
      <w:r w:rsidRPr="38DD48D1">
        <w:rPr>
          <w:rFonts w:ascii="Arial" w:eastAsia="Arial" w:hAnsi="Arial" w:cs="Arial"/>
          <w:sz w:val="24"/>
          <w:szCs w:val="24"/>
        </w:rPr>
        <w:t>enhances performance but also ensures exceptional guest experiences are delivered consistently.</w:t>
      </w:r>
    </w:p>
    <w:p w14:paraId="62534408" w14:textId="17905951" w:rsidR="00B15B53" w:rsidRDefault="00B15B53" w:rsidP="38DD48D1">
      <w:pPr>
        <w:spacing w:line="360" w:lineRule="auto"/>
        <w:jc w:val="both"/>
        <w:rPr>
          <w:rFonts w:ascii="Arial" w:eastAsia="Arial" w:hAnsi="Arial" w:cs="Arial"/>
          <w:sz w:val="24"/>
          <w:szCs w:val="24"/>
        </w:rPr>
      </w:pPr>
    </w:p>
    <w:p w14:paraId="3865074D" w14:textId="51671818" w:rsidR="00B15B53" w:rsidRDefault="3163C1D3" w:rsidP="38DD48D1">
      <w:pPr>
        <w:spacing w:line="360" w:lineRule="auto"/>
        <w:jc w:val="both"/>
        <w:rPr>
          <w:rFonts w:ascii="Arial" w:eastAsia="Arial" w:hAnsi="Arial" w:cs="Arial"/>
          <w:b/>
          <w:bCs/>
          <w:sz w:val="24"/>
          <w:szCs w:val="24"/>
        </w:rPr>
      </w:pPr>
      <w:r w:rsidRPr="38DD48D1">
        <w:rPr>
          <w:rFonts w:ascii="Arial" w:eastAsia="Arial" w:hAnsi="Arial" w:cs="Arial"/>
          <w:b/>
          <w:bCs/>
          <w:sz w:val="24"/>
          <w:szCs w:val="24"/>
        </w:rPr>
        <w:lastRenderedPageBreak/>
        <w:t>Leadership Styles in Action: Real-world Examples</w:t>
      </w:r>
    </w:p>
    <w:p w14:paraId="19D54EE3" w14:textId="3356533D" w:rsidR="00B15B53" w:rsidRDefault="00933F1C" w:rsidP="38DD48D1">
      <w:pPr>
        <w:spacing w:line="360" w:lineRule="auto"/>
        <w:jc w:val="both"/>
        <w:rPr>
          <w:rFonts w:ascii="Arial" w:eastAsia="Arial" w:hAnsi="Arial" w:cs="Arial"/>
          <w:sz w:val="24"/>
          <w:szCs w:val="24"/>
        </w:rPr>
      </w:pPr>
      <w:r>
        <w:rPr>
          <w:rFonts w:ascii="Arial" w:eastAsia="Arial" w:hAnsi="Arial" w:cs="Arial"/>
          <w:sz w:val="24"/>
          <w:szCs w:val="24"/>
        </w:rPr>
        <w:t>Real-world</w:t>
      </w:r>
      <w:r w:rsidR="3E9A9723" w:rsidRPr="38DD48D1">
        <w:rPr>
          <w:rFonts w:ascii="Arial" w:eastAsia="Arial" w:hAnsi="Arial" w:cs="Arial"/>
          <w:sz w:val="24"/>
          <w:szCs w:val="24"/>
        </w:rPr>
        <w:t xml:space="preserve"> examples exemplify different leadership styles in action within the hospitality industry. Arne Sorenson, the CEO of Marriott International serves as an example of transformational leadership. Sorenson was renowned for his approach and his ability to drive innovation while fostering a customer culture within Marriott (Bass &amp; Riggio 2006). His leadership style inspired employees to embrace a shared vision resulting in </w:t>
      </w:r>
      <w:r>
        <w:rPr>
          <w:rFonts w:ascii="Arial" w:eastAsia="Arial" w:hAnsi="Arial" w:cs="Arial"/>
          <w:sz w:val="24"/>
          <w:szCs w:val="24"/>
        </w:rPr>
        <w:t xml:space="preserve">the </w:t>
      </w:r>
      <w:r w:rsidR="3E9A9723" w:rsidRPr="38DD48D1">
        <w:rPr>
          <w:rFonts w:ascii="Arial" w:eastAsia="Arial" w:hAnsi="Arial" w:cs="Arial"/>
          <w:sz w:val="24"/>
          <w:szCs w:val="24"/>
        </w:rPr>
        <w:t>execution of initiatives that elevated guest experiences. The legacy left by Sorenson highlights how influential leadership can be on culture and performance, within the hospitality sector.</w:t>
      </w:r>
    </w:p>
    <w:p w14:paraId="4FF05B6A" w14:textId="64352182"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The Ritz Carlton. </w:t>
      </w:r>
      <w:proofErr w:type="spellStart"/>
      <w:r w:rsidR="00933F1C">
        <w:rPr>
          <w:rFonts w:ascii="Arial" w:eastAsia="Arial" w:hAnsi="Arial" w:cs="Arial"/>
          <w:sz w:val="24"/>
          <w:szCs w:val="24"/>
        </w:rPr>
        <w:t>Emphasising</w:t>
      </w:r>
      <w:proofErr w:type="spellEnd"/>
      <w:r w:rsidRPr="38DD48D1">
        <w:rPr>
          <w:rFonts w:ascii="Arial" w:eastAsia="Arial" w:hAnsi="Arial" w:cs="Arial"/>
          <w:sz w:val="24"/>
          <w:szCs w:val="24"/>
        </w:rPr>
        <w:t xml:space="preserve"> Employee </w:t>
      </w:r>
      <w:proofErr w:type="spellStart"/>
      <w:r w:rsidRPr="38DD48D1">
        <w:rPr>
          <w:rFonts w:ascii="Arial" w:eastAsia="Arial" w:hAnsi="Arial" w:cs="Arial"/>
          <w:sz w:val="24"/>
          <w:szCs w:val="24"/>
        </w:rPr>
        <w:t>Well being</w:t>
      </w:r>
      <w:proofErr w:type="spellEnd"/>
      <w:r w:rsidRPr="38DD48D1">
        <w:rPr>
          <w:rFonts w:ascii="Arial" w:eastAsia="Arial" w:hAnsi="Arial" w:cs="Arial"/>
          <w:sz w:val="24"/>
          <w:szCs w:val="24"/>
        </w:rPr>
        <w:t>;</w:t>
      </w:r>
    </w:p>
    <w:p w14:paraId="09F3AB00" w14:textId="484E4DD5"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When it comes to leadership in the hospitality industry The Ritz Carlton shines as a model. The leaders, at The Ritz Carlton prioritize the happiness and welfare of their employees fostering a culture where delivering </w:t>
      </w:r>
      <w:r w:rsidR="00933F1C">
        <w:rPr>
          <w:rFonts w:ascii="Arial" w:eastAsia="Arial" w:hAnsi="Arial" w:cs="Arial"/>
          <w:sz w:val="24"/>
          <w:szCs w:val="24"/>
        </w:rPr>
        <w:t>service is</w:t>
      </w:r>
      <w:r w:rsidRPr="38DD48D1">
        <w:rPr>
          <w:rFonts w:ascii="Arial" w:eastAsia="Arial" w:hAnsi="Arial" w:cs="Arial"/>
          <w:sz w:val="24"/>
          <w:szCs w:val="24"/>
        </w:rPr>
        <w:t xml:space="preserve"> not just a goal but a way of life (Greenleaf, 1970). This philosophy is reflected in their practices, such as empowering employees to make decisions that enhance guest experiences. By putting employee welfare The Ritz Carlton has become renowned for its customer service and demonstrates the significant impact of prioritizing employee satisfaction on guest satisfaction (Liden et al., 2008).</w:t>
      </w:r>
    </w:p>
    <w:p w14:paraId="4D2E6726" w14:textId="058A5CCC"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 </w:t>
      </w:r>
    </w:p>
    <w:p w14:paraId="77F253E7" w14:textId="39F87826"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Google. Encouraging. Innovation;</w:t>
      </w:r>
    </w:p>
    <w:p w14:paraId="7E968DAC" w14:textId="34430F81"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While Google may not be a player in the hospitality industry it offers insights into how a </w:t>
      </w:r>
      <w:r w:rsidR="00933F1C">
        <w:rPr>
          <w:rFonts w:ascii="Arial" w:eastAsia="Arial" w:hAnsi="Arial" w:cs="Arial"/>
          <w:sz w:val="24"/>
          <w:szCs w:val="24"/>
        </w:rPr>
        <w:t>laissez-faire</w:t>
      </w:r>
      <w:r w:rsidRPr="38DD48D1">
        <w:rPr>
          <w:rFonts w:ascii="Arial" w:eastAsia="Arial" w:hAnsi="Arial" w:cs="Arial"/>
          <w:sz w:val="24"/>
          <w:szCs w:val="24"/>
        </w:rPr>
        <w:t xml:space="preserve"> leadership style can foster creativity and innovation. At Google</w:t>
      </w:r>
      <w:r w:rsidR="00933F1C">
        <w:rPr>
          <w:rFonts w:ascii="Arial" w:eastAsia="Arial" w:hAnsi="Arial" w:cs="Arial"/>
          <w:sz w:val="24"/>
          <w:szCs w:val="24"/>
        </w:rPr>
        <w:t>,</w:t>
      </w:r>
      <w:r w:rsidRPr="38DD48D1">
        <w:rPr>
          <w:rFonts w:ascii="Arial" w:eastAsia="Arial" w:hAnsi="Arial" w:cs="Arial"/>
          <w:sz w:val="24"/>
          <w:szCs w:val="24"/>
        </w:rPr>
        <w:t xml:space="preserve"> their organizational culture promotes autonomy and independence among employees allowing them to explore ideas and contribute to groundbreaking product development (Northouse, 2018). While not directly applicable to every aspect of hospitality operations certain elements of </w:t>
      </w:r>
      <w:r w:rsidR="00933F1C">
        <w:rPr>
          <w:rFonts w:ascii="Arial" w:eastAsia="Arial" w:hAnsi="Arial" w:cs="Arial"/>
          <w:sz w:val="24"/>
          <w:szCs w:val="24"/>
        </w:rPr>
        <w:t>Google’s</w:t>
      </w:r>
      <w:r w:rsidRPr="38DD48D1">
        <w:rPr>
          <w:rFonts w:ascii="Arial" w:eastAsia="Arial" w:hAnsi="Arial" w:cs="Arial"/>
          <w:sz w:val="24"/>
          <w:szCs w:val="24"/>
        </w:rPr>
        <w:t xml:space="preserve"> approach could be adapted in areas such, as marketing or </w:t>
      </w:r>
      <w:r w:rsidR="00933F1C">
        <w:rPr>
          <w:rFonts w:ascii="Arial" w:eastAsia="Arial" w:hAnsi="Arial" w:cs="Arial"/>
          <w:sz w:val="24"/>
          <w:szCs w:val="24"/>
        </w:rPr>
        <w:t>technology-driven</w:t>
      </w:r>
      <w:r w:rsidRPr="38DD48D1">
        <w:rPr>
          <w:rFonts w:ascii="Arial" w:eastAsia="Arial" w:hAnsi="Arial" w:cs="Arial"/>
          <w:sz w:val="24"/>
          <w:szCs w:val="24"/>
        </w:rPr>
        <w:t xml:space="preserve"> guest services where innovative </w:t>
      </w:r>
      <w:r w:rsidR="00933F1C">
        <w:rPr>
          <w:rFonts w:ascii="Arial" w:eastAsia="Arial" w:hAnsi="Arial" w:cs="Arial"/>
          <w:sz w:val="24"/>
          <w:szCs w:val="24"/>
        </w:rPr>
        <w:t>thinking is</w:t>
      </w:r>
      <w:r w:rsidRPr="38DD48D1">
        <w:rPr>
          <w:rFonts w:ascii="Arial" w:eastAsia="Arial" w:hAnsi="Arial" w:cs="Arial"/>
          <w:sz w:val="24"/>
          <w:szCs w:val="24"/>
        </w:rPr>
        <w:t xml:space="preserve"> crucial.</w:t>
      </w:r>
    </w:p>
    <w:p w14:paraId="46E7E7A5" w14:textId="00B5A9CD"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 </w:t>
      </w:r>
    </w:p>
    <w:p w14:paraId="7A2CBA85" w14:textId="78BED7EB"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Four Seasons Hotels and Resorts. Transactional Leadership;</w:t>
      </w:r>
    </w:p>
    <w:p w14:paraId="42FBA150" w14:textId="733BA9FC"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lastRenderedPageBreak/>
        <w:t xml:space="preserve">When it comes to the hospitality industry, Four Seasons Hotels and Resorts sets an example of leadership. They focus on expectations and rewards tied to performance which can be seen in their commitment, to service standards and quality assurance. By training </w:t>
      </w:r>
      <w:r w:rsidR="00933F1C">
        <w:rPr>
          <w:rFonts w:ascii="Arial" w:eastAsia="Arial" w:hAnsi="Arial" w:cs="Arial"/>
          <w:sz w:val="24"/>
          <w:szCs w:val="24"/>
        </w:rPr>
        <w:t>its</w:t>
      </w:r>
      <w:r w:rsidRPr="38DD48D1">
        <w:rPr>
          <w:rFonts w:ascii="Arial" w:eastAsia="Arial" w:hAnsi="Arial" w:cs="Arial"/>
          <w:sz w:val="24"/>
          <w:szCs w:val="24"/>
        </w:rPr>
        <w:t xml:space="preserve"> staff implementing recognition programs and offering </w:t>
      </w:r>
      <w:r w:rsidR="00933F1C">
        <w:rPr>
          <w:rFonts w:ascii="Arial" w:eastAsia="Arial" w:hAnsi="Arial" w:cs="Arial"/>
          <w:sz w:val="24"/>
          <w:szCs w:val="24"/>
        </w:rPr>
        <w:t>performance-based</w:t>
      </w:r>
      <w:r w:rsidRPr="38DD48D1">
        <w:rPr>
          <w:rFonts w:ascii="Arial" w:eastAsia="Arial" w:hAnsi="Arial" w:cs="Arial"/>
          <w:sz w:val="24"/>
          <w:szCs w:val="24"/>
        </w:rPr>
        <w:t xml:space="preserve"> incentives Four Seasons creates a culture of excellence and consistent service delivery (Bass &amp; Riggio 2006).</w:t>
      </w:r>
    </w:p>
    <w:p w14:paraId="6BF8176A" w14:textId="73989054"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 </w:t>
      </w:r>
    </w:p>
    <w:p w14:paraId="69DED2A0" w14:textId="3E7362C5"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Walt Disney Company. Hersey Blanchard Situational Leadership;</w:t>
      </w:r>
    </w:p>
    <w:p w14:paraId="5870861F" w14:textId="354A22E7"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The Walt Disney Company adopts a dynamic leadership style that adapts to the needs of </w:t>
      </w:r>
      <w:r w:rsidR="00933F1C">
        <w:rPr>
          <w:rFonts w:ascii="Arial" w:eastAsia="Arial" w:hAnsi="Arial" w:cs="Arial"/>
          <w:sz w:val="24"/>
          <w:szCs w:val="24"/>
        </w:rPr>
        <w:t>its</w:t>
      </w:r>
      <w:r w:rsidRPr="38DD48D1">
        <w:rPr>
          <w:rFonts w:ascii="Arial" w:eastAsia="Arial" w:hAnsi="Arial" w:cs="Arial"/>
          <w:sz w:val="24"/>
          <w:szCs w:val="24"/>
        </w:rPr>
        <w:t xml:space="preserve"> workforce. With roles ranging from entertainment to operations</w:t>
      </w:r>
      <w:r w:rsidR="00933F1C">
        <w:rPr>
          <w:rFonts w:ascii="Arial" w:eastAsia="Arial" w:hAnsi="Arial" w:cs="Arial"/>
          <w:sz w:val="24"/>
          <w:szCs w:val="24"/>
        </w:rPr>
        <w:t>,</w:t>
      </w:r>
      <w:r w:rsidRPr="38DD48D1">
        <w:rPr>
          <w:rFonts w:ascii="Arial" w:eastAsia="Arial" w:hAnsi="Arial" w:cs="Arial"/>
          <w:sz w:val="24"/>
          <w:szCs w:val="24"/>
        </w:rPr>
        <w:t xml:space="preserve"> </w:t>
      </w:r>
      <w:r w:rsidR="00933F1C">
        <w:rPr>
          <w:rFonts w:ascii="Arial" w:eastAsia="Arial" w:hAnsi="Arial" w:cs="Arial"/>
          <w:sz w:val="24"/>
          <w:szCs w:val="24"/>
        </w:rPr>
        <w:t>Disney</w:t>
      </w:r>
      <w:r w:rsidRPr="38DD48D1">
        <w:rPr>
          <w:rFonts w:ascii="Arial" w:eastAsia="Arial" w:hAnsi="Arial" w:cs="Arial"/>
          <w:sz w:val="24"/>
          <w:szCs w:val="24"/>
        </w:rPr>
        <w:t xml:space="preserve"> leaders incorporate elements of the Hersey Blanchard Situational Leadership Theory (Northouse, 2018; Hersey &amp; Blanchard 1969). They tailor their approaches based on the readiness and maturity levels of their teams ensuring guidance and support in a changing and creatively demanding environment.</w:t>
      </w:r>
    </w:p>
    <w:p w14:paraId="23B04045" w14:textId="76258598"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 </w:t>
      </w:r>
    </w:p>
    <w:p w14:paraId="20E75D6E" w14:textId="7D8043B1" w:rsidR="00B15B53" w:rsidRDefault="3E9A9723" w:rsidP="38DD48D1">
      <w:pPr>
        <w:spacing w:line="360" w:lineRule="auto"/>
        <w:jc w:val="both"/>
        <w:rPr>
          <w:rFonts w:ascii="Arial" w:eastAsia="Arial" w:hAnsi="Arial" w:cs="Arial"/>
          <w:b/>
          <w:bCs/>
          <w:sz w:val="24"/>
          <w:szCs w:val="24"/>
        </w:rPr>
      </w:pPr>
      <w:r w:rsidRPr="38DD48D1">
        <w:rPr>
          <w:rFonts w:ascii="Arial" w:eastAsia="Arial" w:hAnsi="Arial" w:cs="Arial"/>
          <w:b/>
          <w:bCs/>
          <w:sz w:val="24"/>
          <w:szCs w:val="24"/>
        </w:rPr>
        <w:t>Linking Leadership Effectiveness to Managerial Functions</w:t>
      </w:r>
    </w:p>
    <w:p w14:paraId="347F9313" w14:textId="2CC52E4C"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 </w:t>
      </w:r>
    </w:p>
    <w:p w14:paraId="59AC94A5" w14:textId="33D64A3A"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Planning;</w:t>
      </w:r>
    </w:p>
    <w:p w14:paraId="68315CDE" w14:textId="7496C62E"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Leaders, like Sorenson who embrace leadership</w:t>
      </w:r>
      <w:r w:rsidR="00933F1C">
        <w:rPr>
          <w:rFonts w:ascii="Arial" w:eastAsia="Arial" w:hAnsi="Arial" w:cs="Arial"/>
          <w:sz w:val="24"/>
          <w:szCs w:val="24"/>
        </w:rPr>
        <w:t>,</w:t>
      </w:r>
      <w:r w:rsidRPr="38DD48D1">
        <w:rPr>
          <w:rFonts w:ascii="Arial" w:eastAsia="Arial" w:hAnsi="Arial" w:cs="Arial"/>
          <w:sz w:val="24"/>
          <w:szCs w:val="24"/>
        </w:rPr>
        <w:t xml:space="preserve"> contribute to planning by envisioning the future and setting ambitious goals (Bass &amp; Riggio 2006).</w:t>
      </w:r>
    </w:p>
    <w:p w14:paraId="6CB14E30" w14:textId="70C3EF8F"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The strategic planning process, in the hospitality industry is heavily influenced by a </w:t>
      </w:r>
      <w:r w:rsidR="00933F1C">
        <w:rPr>
          <w:rFonts w:ascii="Arial" w:eastAsia="Arial" w:hAnsi="Arial" w:cs="Arial"/>
          <w:sz w:val="24"/>
          <w:szCs w:val="24"/>
        </w:rPr>
        <w:t>forward-thinking</w:t>
      </w:r>
      <w:r w:rsidRPr="38DD48D1">
        <w:rPr>
          <w:rFonts w:ascii="Arial" w:eastAsia="Arial" w:hAnsi="Arial" w:cs="Arial"/>
          <w:sz w:val="24"/>
          <w:szCs w:val="24"/>
        </w:rPr>
        <w:t xml:space="preserve"> approach that focuses on creating innovative guest experiences.</w:t>
      </w:r>
    </w:p>
    <w:p w14:paraId="08F9119C" w14:textId="6BA6B2B8"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 </w:t>
      </w:r>
    </w:p>
    <w:p w14:paraId="78B592CF" w14:textId="0F7A3E28"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When it comes to organizing leaders who follow the leadership model, such as The Ritz Carlton, place importance on building a positive workplace culture that prioritizes delivering excellent service (Greenleaf, 1970). This kind of culture ensures that teams are </w:t>
      </w:r>
      <w:r w:rsidRPr="38DD48D1">
        <w:rPr>
          <w:rFonts w:ascii="Arial" w:eastAsia="Arial" w:hAnsi="Arial" w:cs="Arial"/>
          <w:sz w:val="24"/>
          <w:szCs w:val="24"/>
        </w:rPr>
        <w:lastRenderedPageBreak/>
        <w:t>coordinated, motivated and working towards the common goal of surpassing guest expectations.</w:t>
      </w:r>
    </w:p>
    <w:p w14:paraId="54CEEC93" w14:textId="4411A989"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 </w:t>
      </w:r>
    </w:p>
    <w:p w14:paraId="67C823BB" w14:textId="316F8C00"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In terms of directing companies like Google exemplify a laissez leadership style that empowers employees and fosters creativity (Northouse, 2018). In the hospitality industry</w:t>
      </w:r>
      <w:r w:rsidR="00933F1C">
        <w:rPr>
          <w:rFonts w:ascii="Arial" w:eastAsia="Arial" w:hAnsi="Arial" w:cs="Arial"/>
          <w:sz w:val="24"/>
          <w:szCs w:val="24"/>
        </w:rPr>
        <w:t>,</w:t>
      </w:r>
      <w:r w:rsidRPr="38DD48D1">
        <w:rPr>
          <w:rFonts w:ascii="Arial" w:eastAsia="Arial" w:hAnsi="Arial" w:cs="Arial"/>
          <w:sz w:val="24"/>
          <w:szCs w:val="24"/>
        </w:rPr>
        <w:t xml:space="preserve"> effective directing involves inspiring and motivating teams. A </w:t>
      </w:r>
      <w:r w:rsidR="00933F1C">
        <w:rPr>
          <w:rFonts w:ascii="Arial" w:eastAsia="Arial" w:hAnsi="Arial" w:cs="Arial"/>
          <w:sz w:val="24"/>
          <w:szCs w:val="24"/>
        </w:rPr>
        <w:t>laissez-faire</w:t>
      </w:r>
      <w:r w:rsidRPr="38DD48D1">
        <w:rPr>
          <w:rFonts w:ascii="Arial" w:eastAsia="Arial" w:hAnsi="Arial" w:cs="Arial"/>
          <w:sz w:val="24"/>
          <w:szCs w:val="24"/>
        </w:rPr>
        <w:t xml:space="preserve"> approach can be particularly beneficial in areas where innovation and creativity play roles.</w:t>
      </w:r>
    </w:p>
    <w:p w14:paraId="65A8F06B" w14:textId="48F0EF81"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 </w:t>
      </w:r>
    </w:p>
    <w:p w14:paraId="01CB2A8B" w14:textId="5245807A"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Controlling is greatly influenced by leaders found in establishments like Four Seasons Hotels and Resorts. These leaders emphasize expectations and rewards based on performance (Bass &amp; Riggio 2006). This approach ensures service delivery while upholding established standards.</w:t>
      </w:r>
    </w:p>
    <w:p w14:paraId="2807F2FA" w14:textId="0AD63FC9"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 </w:t>
      </w:r>
    </w:p>
    <w:p w14:paraId="42E7B470" w14:textId="57AED786"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The Walt Disney Company demonstrates adaptability in leadership styles through the Hersey Blanchard Situational Leadership model (Northouse, 2018; Hersey &amp; Blanchard 1969). They understand the significance of adjusting leadership approaches based on team readiness. This adaptability ensures that leadership is responsive to the demands of roles, within the hospitality industry.</w:t>
      </w:r>
    </w:p>
    <w:p w14:paraId="6B66ED91" w14:textId="7D7CDAB5"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 </w:t>
      </w:r>
    </w:p>
    <w:p w14:paraId="55339F76" w14:textId="53739C4A" w:rsidR="00B15B53" w:rsidRDefault="3E9A9723" w:rsidP="38DD48D1">
      <w:pPr>
        <w:spacing w:line="360" w:lineRule="auto"/>
        <w:jc w:val="both"/>
        <w:rPr>
          <w:rFonts w:ascii="Arial" w:eastAsia="Arial" w:hAnsi="Arial" w:cs="Arial"/>
          <w:b/>
          <w:bCs/>
          <w:sz w:val="24"/>
          <w:szCs w:val="24"/>
        </w:rPr>
      </w:pPr>
      <w:r w:rsidRPr="38DD48D1">
        <w:rPr>
          <w:rFonts w:ascii="Arial" w:eastAsia="Arial" w:hAnsi="Arial" w:cs="Arial"/>
          <w:b/>
          <w:bCs/>
          <w:sz w:val="24"/>
          <w:szCs w:val="24"/>
        </w:rPr>
        <w:t>In conclusion</w:t>
      </w:r>
    </w:p>
    <w:p w14:paraId="4C8D693B" w14:textId="08937005"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 </w:t>
      </w:r>
    </w:p>
    <w:p w14:paraId="24427116" w14:textId="262B5A75" w:rsidR="00B15B53" w:rsidRDefault="3E9A9723" w:rsidP="38DD48D1">
      <w:pPr>
        <w:spacing w:line="360" w:lineRule="auto"/>
        <w:jc w:val="both"/>
        <w:rPr>
          <w:rFonts w:ascii="Arial" w:eastAsia="Arial" w:hAnsi="Arial" w:cs="Arial"/>
          <w:sz w:val="24"/>
          <w:szCs w:val="24"/>
        </w:rPr>
      </w:pPr>
      <w:r w:rsidRPr="38DD48D1">
        <w:rPr>
          <w:rFonts w:ascii="Arial" w:eastAsia="Arial" w:hAnsi="Arial" w:cs="Arial"/>
          <w:sz w:val="24"/>
          <w:szCs w:val="24"/>
        </w:rPr>
        <w:t xml:space="preserve">Leadership styles, in the hospitality industry demonstrate the complex nature of leadership. Different approaches like servant, </w:t>
      </w:r>
      <w:r w:rsidR="00933F1C">
        <w:rPr>
          <w:rFonts w:ascii="Arial" w:eastAsia="Arial" w:hAnsi="Arial" w:cs="Arial"/>
          <w:sz w:val="24"/>
          <w:szCs w:val="24"/>
        </w:rPr>
        <w:t>laissez-faire</w:t>
      </w:r>
      <w:r w:rsidRPr="38DD48D1">
        <w:rPr>
          <w:rFonts w:ascii="Arial" w:eastAsia="Arial" w:hAnsi="Arial" w:cs="Arial"/>
          <w:sz w:val="24"/>
          <w:szCs w:val="24"/>
        </w:rPr>
        <w:t xml:space="preserve">, </w:t>
      </w:r>
      <w:r w:rsidR="00933F1C">
        <w:rPr>
          <w:rFonts w:ascii="Arial" w:eastAsia="Arial" w:hAnsi="Arial" w:cs="Arial"/>
          <w:sz w:val="24"/>
          <w:szCs w:val="24"/>
        </w:rPr>
        <w:t xml:space="preserve">and </w:t>
      </w:r>
      <w:r w:rsidRPr="38DD48D1">
        <w:rPr>
          <w:rFonts w:ascii="Arial" w:eastAsia="Arial" w:hAnsi="Arial" w:cs="Arial"/>
          <w:sz w:val="24"/>
          <w:szCs w:val="24"/>
        </w:rPr>
        <w:t xml:space="preserve">situational leadership contribute to the success of organizations, in this </w:t>
      </w:r>
      <w:r w:rsidR="00933F1C">
        <w:rPr>
          <w:rFonts w:ascii="Arial" w:eastAsia="Arial" w:hAnsi="Arial" w:cs="Arial"/>
          <w:sz w:val="24"/>
          <w:szCs w:val="24"/>
        </w:rPr>
        <w:t>ever-changing</w:t>
      </w:r>
      <w:r w:rsidRPr="38DD48D1">
        <w:rPr>
          <w:rFonts w:ascii="Arial" w:eastAsia="Arial" w:hAnsi="Arial" w:cs="Arial"/>
          <w:sz w:val="24"/>
          <w:szCs w:val="24"/>
        </w:rPr>
        <w:t xml:space="preserve"> sector. Skillful leaders who understand the dynamics of their industry excel in planning organizing directing and controlling processes. They create environments that foster innovation, excellent customer service and overall organizational achievement.</w:t>
      </w:r>
    </w:p>
    <w:p w14:paraId="4585FC0F" w14:textId="69769204" w:rsidR="38DD48D1" w:rsidRDefault="00933F1C" w:rsidP="38DD48D1">
      <w:pPr>
        <w:spacing w:line="360" w:lineRule="auto"/>
        <w:jc w:val="both"/>
        <w:rPr>
          <w:rFonts w:ascii="Arial" w:eastAsia="Arial" w:hAnsi="Arial" w:cs="Arial"/>
          <w:sz w:val="24"/>
          <w:szCs w:val="24"/>
        </w:rPr>
      </w:pPr>
      <w:r>
        <w:rPr>
          <w:rFonts w:ascii="Arial" w:eastAsia="Arial" w:hAnsi="Arial" w:cs="Arial"/>
          <w:sz w:val="24"/>
          <w:szCs w:val="24"/>
        </w:rPr>
        <w:lastRenderedPageBreak/>
        <w:t>Reference List</w:t>
      </w:r>
    </w:p>
    <w:p w14:paraId="1BC6859C" w14:textId="77777777" w:rsidR="00933F1C" w:rsidRDefault="00933F1C" w:rsidP="38DD48D1">
      <w:pPr>
        <w:spacing w:before="240" w:after="240"/>
        <w:jc w:val="both"/>
        <w:rPr>
          <w:rFonts w:ascii="Arial" w:eastAsia="Arial" w:hAnsi="Arial" w:cs="Arial"/>
          <w:color w:val="000000" w:themeColor="text1"/>
          <w:sz w:val="24"/>
          <w:szCs w:val="24"/>
        </w:rPr>
      </w:pPr>
      <w:r w:rsidRPr="38DD48D1">
        <w:rPr>
          <w:rFonts w:ascii="Arial" w:eastAsia="Arial" w:hAnsi="Arial" w:cs="Arial"/>
          <w:color w:val="000000" w:themeColor="text1"/>
          <w:sz w:val="24"/>
          <w:szCs w:val="24"/>
        </w:rPr>
        <w:t xml:space="preserve">Adair, J. (1983). </w:t>
      </w:r>
      <w:r w:rsidRPr="38DD48D1">
        <w:rPr>
          <w:rFonts w:ascii="Arial" w:eastAsia="Arial" w:hAnsi="Arial" w:cs="Arial"/>
          <w:i/>
          <w:iCs/>
          <w:color w:val="000000" w:themeColor="text1"/>
          <w:sz w:val="24"/>
          <w:szCs w:val="24"/>
        </w:rPr>
        <w:t>Action-Centered Leadership</w:t>
      </w:r>
      <w:r w:rsidRPr="38DD48D1">
        <w:rPr>
          <w:rFonts w:ascii="Arial" w:eastAsia="Arial" w:hAnsi="Arial" w:cs="Arial"/>
          <w:color w:val="000000" w:themeColor="text1"/>
          <w:sz w:val="24"/>
          <w:szCs w:val="24"/>
        </w:rPr>
        <w:t>. McGraw-Hill.</w:t>
      </w:r>
    </w:p>
    <w:p w14:paraId="2A006620" w14:textId="77777777" w:rsidR="00933F1C" w:rsidRDefault="00933F1C" w:rsidP="38DD48D1">
      <w:pPr>
        <w:spacing w:before="240" w:after="240"/>
        <w:jc w:val="both"/>
        <w:rPr>
          <w:rFonts w:ascii="Arial" w:eastAsia="Arial" w:hAnsi="Arial" w:cs="Arial"/>
          <w:color w:val="000000" w:themeColor="text1"/>
          <w:sz w:val="24"/>
          <w:szCs w:val="24"/>
        </w:rPr>
      </w:pPr>
      <w:r w:rsidRPr="38DD48D1">
        <w:rPr>
          <w:rFonts w:ascii="Arial" w:eastAsia="Arial" w:hAnsi="Arial" w:cs="Arial"/>
          <w:color w:val="000000" w:themeColor="text1"/>
          <w:sz w:val="24"/>
          <w:szCs w:val="24"/>
        </w:rPr>
        <w:t xml:space="preserve">Avolio, B. J., &amp; </w:t>
      </w:r>
      <w:proofErr w:type="spellStart"/>
      <w:r w:rsidRPr="38DD48D1">
        <w:rPr>
          <w:rFonts w:ascii="Arial" w:eastAsia="Arial" w:hAnsi="Arial" w:cs="Arial"/>
          <w:color w:val="000000" w:themeColor="text1"/>
          <w:sz w:val="24"/>
          <w:szCs w:val="24"/>
        </w:rPr>
        <w:t>Yammarino</w:t>
      </w:r>
      <w:proofErr w:type="spellEnd"/>
      <w:r w:rsidRPr="38DD48D1">
        <w:rPr>
          <w:rFonts w:ascii="Arial" w:eastAsia="Arial" w:hAnsi="Arial" w:cs="Arial"/>
          <w:color w:val="000000" w:themeColor="text1"/>
          <w:sz w:val="24"/>
          <w:szCs w:val="24"/>
        </w:rPr>
        <w:t xml:space="preserve">, F. J. (2013). </w:t>
      </w:r>
      <w:r w:rsidRPr="38DD48D1">
        <w:rPr>
          <w:rFonts w:ascii="Arial" w:eastAsia="Arial" w:hAnsi="Arial" w:cs="Arial"/>
          <w:i/>
          <w:iCs/>
          <w:color w:val="000000" w:themeColor="text1"/>
          <w:sz w:val="24"/>
          <w:szCs w:val="24"/>
        </w:rPr>
        <w:t>Transformational and Charismatic Leadership: The Road Ahead</w:t>
      </w:r>
      <w:r w:rsidRPr="38DD48D1">
        <w:rPr>
          <w:rFonts w:ascii="Arial" w:eastAsia="Arial" w:hAnsi="Arial" w:cs="Arial"/>
          <w:color w:val="000000" w:themeColor="text1"/>
          <w:sz w:val="24"/>
          <w:szCs w:val="24"/>
        </w:rPr>
        <w:t>. Oxford University Press.</w:t>
      </w:r>
    </w:p>
    <w:p w14:paraId="6C5A92CB" w14:textId="77777777" w:rsidR="00933F1C" w:rsidRDefault="00933F1C" w:rsidP="38DD48D1">
      <w:pPr>
        <w:spacing w:before="240" w:after="240"/>
        <w:jc w:val="both"/>
        <w:rPr>
          <w:rFonts w:ascii="Arial" w:eastAsia="Arial" w:hAnsi="Arial" w:cs="Arial"/>
          <w:color w:val="000000" w:themeColor="text1"/>
          <w:sz w:val="24"/>
          <w:szCs w:val="24"/>
        </w:rPr>
      </w:pPr>
      <w:r w:rsidRPr="38DD48D1">
        <w:rPr>
          <w:rFonts w:ascii="Arial" w:eastAsia="Arial" w:hAnsi="Arial" w:cs="Arial"/>
          <w:color w:val="000000" w:themeColor="text1"/>
          <w:sz w:val="24"/>
          <w:szCs w:val="24"/>
        </w:rPr>
        <w:t xml:space="preserve">Bass, B. M., &amp; Riggio, R. E. (2006). </w:t>
      </w:r>
      <w:r w:rsidRPr="38DD48D1">
        <w:rPr>
          <w:rFonts w:ascii="Arial" w:eastAsia="Arial" w:hAnsi="Arial" w:cs="Arial"/>
          <w:i/>
          <w:iCs/>
          <w:color w:val="000000" w:themeColor="text1"/>
          <w:sz w:val="24"/>
          <w:szCs w:val="24"/>
        </w:rPr>
        <w:t>Transformational Leadership</w:t>
      </w:r>
      <w:r w:rsidRPr="38DD48D1">
        <w:rPr>
          <w:rFonts w:ascii="Arial" w:eastAsia="Arial" w:hAnsi="Arial" w:cs="Arial"/>
          <w:color w:val="000000" w:themeColor="text1"/>
          <w:sz w:val="24"/>
          <w:szCs w:val="24"/>
        </w:rPr>
        <w:t xml:space="preserve"> (2nd ed.). Psychology Press.</w:t>
      </w:r>
    </w:p>
    <w:p w14:paraId="69BE6649" w14:textId="77777777" w:rsidR="00933F1C" w:rsidRDefault="00933F1C" w:rsidP="38DD48D1">
      <w:pPr>
        <w:spacing w:before="240" w:after="240"/>
        <w:jc w:val="both"/>
        <w:rPr>
          <w:rFonts w:ascii="Arial" w:eastAsia="Arial" w:hAnsi="Arial" w:cs="Arial"/>
          <w:color w:val="000000" w:themeColor="text1"/>
          <w:sz w:val="24"/>
          <w:szCs w:val="24"/>
        </w:rPr>
      </w:pPr>
      <w:r w:rsidRPr="38DD48D1">
        <w:rPr>
          <w:rFonts w:ascii="Arial" w:eastAsia="Arial" w:hAnsi="Arial" w:cs="Arial"/>
          <w:color w:val="000000" w:themeColor="text1"/>
          <w:sz w:val="24"/>
          <w:szCs w:val="24"/>
        </w:rPr>
        <w:t xml:space="preserve">Bennis, W., &amp; Nanus, B. (1985). </w:t>
      </w:r>
      <w:r w:rsidRPr="38DD48D1">
        <w:rPr>
          <w:rFonts w:ascii="Arial" w:eastAsia="Arial" w:hAnsi="Arial" w:cs="Arial"/>
          <w:i/>
          <w:iCs/>
          <w:color w:val="000000" w:themeColor="text1"/>
          <w:sz w:val="24"/>
          <w:szCs w:val="24"/>
        </w:rPr>
        <w:t>Leaders: Strategies for taking charge</w:t>
      </w:r>
      <w:r w:rsidRPr="38DD48D1">
        <w:rPr>
          <w:rFonts w:ascii="Arial" w:eastAsia="Arial" w:hAnsi="Arial" w:cs="Arial"/>
          <w:color w:val="000000" w:themeColor="text1"/>
          <w:sz w:val="24"/>
          <w:szCs w:val="24"/>
        </w:rPr>
        <w:t>. Harper &amp; Row.</w:t>
      </w:r>
    </w:p>
    <w:p w14:paraId="4866F821" w14:textId="77777777" w:rsidR="00933F1C" w:rsidRDefault="00933F1C" w:rsidP="38DD48D1">
      <w:pPr>
        <w:spacing w:before="240" w:after="240"/>
        <w:jc w:val="both"/>
        <w:rPr>
          <w:rFonts w:ascii="Arial" w:eastAsia="Arial" w:hAnsi="Arial" w:cs="Arial"/>
          <w:color w:val="000000" w:themeColor="text1"/>
          <w:sz w:val="24"/>
          <w:szCs w:val="24"/>
        </w:rPr>
      </w:pPr>
      <w:r w:rsidRPr="38DD48D1">
        <w:rPr>
          <w:rFonts w:ascii="Arial" w:eastAsia="Arial" w:hAnsi="Arial" w:cs="Arial"/>
          <w:color w:val="000000" w:themeColor="text1"/>
          <w:sz w:val="24"/>
          <w:szCs w:val="24"/>
        </w:rPr>
        <w:t xml:space="preserve">Blake, R. R., &amp; Mouton, J. S. (1964). </w:t>
      </w:r>
      <w:r w:rsidRPr="38DD48D1">
        <w:rPr>
          <w:rFonts w:ascii="Arial" w:eastAsia="Arial" w:hAnsi="Arial" w:cs="Arial"/>
          <w:i/>
          <w:iCs/>
          <w:color w:val="000000" w:themeColor="text1"/>
          <w:sz w:val="24"/>
          <w:szCs w:val="24"/>
        </w:rPr>
        <w:t>The Managerial Grid</w:t>
      </w:r>
      <w:r w:rsidRPr="38DD48D1">
        <w:rPr>
          <w:rFonts w:ascii="Arial" w:eastAsia="Arial" w:hAnsi="Arial" w:cs="Arial"/>
          <w:color w:val="000000" w:themeColor="text1"/>
          <w:sz w:val="24"/>
          <w:szCs w:val="24"/>
        </w:rPr>
        <w:t>. Gulf Publishing Company.</w:t>
      </w:r>
    </w:p>
    <w:p w14:paraId="3149DC43" w14:textId="77777777" w:rsidR="00933F1C" w:rsidRDefault="00933F1C" w:rsidP="38DD48D1">
      <w:pPr>
        <w:spacing w:before="240" w:after="240"/>
        <w:jc w:val="both"/>
        <w:rPr>
          <w:rFonts w:ascii="Arial" w:eastAsia="Arial" w:hAnsi="Arial" w:cs="Arial"/>
          <w:color w:val="000000" w:themeColor="text1"/>
          <w:sz w:val="24"/>
          <w:szCs w:val="24"/>
        </w:rPr>
      </w:pPr>
      <w:r w:rsidRPr="38DD48D1">
        <w:rPr>
          <w:rFonts w:ascii="Arial" w:eastAsia="Arial" w:hAnsi="Arial" w:cs="Arial"/>
          <w:color w:val="000000" w:themeColor="text1"/>
          <w:sz w:val="24"/>
          <w:szCs w:val="24"/>
        </w:rPr>
        <w:t xml:space="preserve">Burnes, B. (2004). Kurt Lewin and the Planned Approach to Change: A Re-appraisal. </w:t>
      </w:r>
      <w:r w:rsidRPr="38DD48D1">
        <w:rPr>
          <w:rFonts w:ascii="Arial" w:eastAsia="Arial" w:hAnsi="Arial" w:cs="Arial"/>
          <w:i/>
          <w:iCs/>
          <w:color w:val="000000" w:themeColor="text1"/>
          <w:sz w:val="24"/>
          <w:szCs w:val="24"/>
        </w:rPr>
        <w:t>Journal of Management Studies</w:t>
      </w:r>
      <w:r w:rsidRPr="38DD48D1">
        <w:rPr>
          <w:rFonts w:ascii="Arial" w:eastAsia="Arial" w:hAnsi="Arial" w:cs="Arial"/>
          <w:color w:val="000000" w:themeColor="text1"/>
          <w:sz w:val="24"/>
          <w:szCs w:val="24"/>
        </w:rPr>
        <w:t>, 41(6), 977–1002.</w:t>
      </w:r>
    </w:p>
    <w:p w14:paraId="7993BABF" w14:textId="77777777" w:rsidR="00933F1C" w:rsidRDefault="00933F1C" w:rsidP="38DD48D1">
      <w:pPr>
        <w:spacing w:before="240" w:after="240"/>
        <w:jc w:val="both"/>
        <w:rPr>
          <w:rFonts w:ascii="Arial" w:eastAsia="Arial" w:hAnsi="Arial" w:cs="Arial"/>
          <w:color w:val="000000" w:themeColor="text1"/>
          <w:sz w:val="24"/>
          <w:szCs w:val="24"/>
        </w:rPr>
      </w:pPr>
      <w:r w:rsidRPr="38DD48D1">
        <w:rPr>
          <w:rFonts w:ascii="Arial" w:eastAsia="Arial" w:hAnsi="Arial" w:cs="Arial"/>
          <w:color w:val="000000" w:themeColor="text1"/>
          <w:sz w:val="24"/>
          <w:szCs w:val="24"/>
        </w:rPr>
        <w:t xml:space="preserve">Ghiselli, E. E., La Lopa, J. M., &amp; Bai, B. (2001). A Re-examination of Blake and Mouton’s Managerial Grid: An Analysis of the Concern for Production and Concern for People Scales. </w:t>
      </w:r>
      <w:r w:rsidRPr="38DD48D1">
        <w:rPr>
          <w:rFonts w:ascii="Arial" w:eastAsia="Arial" w:hAnsi="Arial" w:cs="Arial"/>
          <w:i/>
          <w:iCs/>
          <w:color w:val="000000" w:themeColor="text1"/>
          <w:sz w:val="24"/>
          <w:szCs w:val="24"/>
        </w:rPr>
        <w:t>Educational and Psychological Measurement</w:t>
      </w:r>
      <w:r w:rsidRPr="38DD48D1">
        <w:rPr>
          <w:rFonts w:ascii="Arial" w:eastAsia="Arial" w:hAnsi="Arial" w:cs="Arial"/>
          <w:color w:val="000000" w:themeColor="text1"/>
          <w:sz w:val="24"/>
          <w:szCs w:val="24"/>
        </w:rPr>
        <w:t>, 61(1), 74–93.</w:t>
      </w:r>
    </w:p>
    <w:p w14:paraId="33702B5F" w14:textId="77777777" w:rsidR="00933F1C" w:rsidRDefault="00933F1C" w:rsidP="38DD48D1">
      <w:pPr>
        <w:spacing w:before="240" w:after="240"/>
        <w:jc w:val="both"/>
        <w:rPr>
          <w:rFonts w:ascii="Arial" w:eastAsia="Arial" w:hAnsi="Arial" w:cs="Arial"/>
          <w:color w:val="000000" w:themeColor="text1"/>
          <w:sz w:val="24"/>
          <w:szCs w:val="24"/>
        </w:rPr>
      </w:pPr>
      <w:r w:rsidRPr="38DD48D1">
        <w:rPr>
          <w:rFonts w:ascii="Arial" w:eastAsia="Arial" w:hAnsi="Arial" w:cs="Arial"/>
          <w:color w:val="000000" w:themeColor="text1"/>
          <w:sz w:val="24"/>
          <w:szCs w:val="24"/>
        </w:rPr>
        <w:t xml:space="preserve">Goleman, D. (2000). </w:t>
      </w:r>
      <w:r w:rsidRPr="38DD48D1">
        <w:rPr>
          <w:rFonts w:ascii="Arial" w:eastAsia="Arial" w:hAnsi="Arial" w:cs="Arial"/>
          <w:i/>
          <w:iCs/>
          <w:color w:val="000000" w:themeColor="text1"/>
          <w:sz w:val="24"/>
          <w:szCs w:val="24"/>
        </w:rPr>
        <w:t>Leadership that gets results.</w:t>
      </w:r>
      <w:r w:rsidRPr="38DD48D1">
        <w:rPr>
          <w:rFonts w:ascii="Arial" w:eastAsia="Arial" w:hAnsi="Arial" w:cs="Arial"/>
          <w:color w:val="000000" w:themeColor="text1"/>
          <w:sz w:val="24"/>
          <w:szCs w:val="24"/>
        </w:rPr>
        <w:t xml:space="preserve"> Harvard Business Review, 78(2), 78-90.</w:t>
      </w:r>
    </w:p>
    <w:p w14:paraId="713CAA42" w14:textId="77777777" w:rsidR="00933F1C" w:rsidRDefault="00933F1C" w:rsidP="38DD48D1">
      <w:pPr>
        <w:spacing w:before="240" w:after="240"/>
        <w:jc w:val="both"/>
        <w:rPr>
          <w:rFonts w:ascii="Arial" w:eastAsia="Arial" w:hAnsi="Arial" w:cs="Arial"/>
          <w:color w:val="000000" w:themeColor="text1"/>
          <w:sz w:val="24"/>
          <w:szCs w:val="24"/>
        </w:rPr>
      </w:pPr>
      <w:r w:rsidRPr="38DD48D1">
        <w:rPr>
          <w:rFonts w:ascii="Arial" w:eastAsia="Arial" w:hAnsi="Arial" w:cs="Arial"/>
          <w:color w:val="000000" w:themeColor="text1"/>
          <w:sz w:val="24"/>
          <w:szCs w:val="24"/>
        </w:rPr>
        <w:t xml:space="preserve">Greenleaf, R. K. (1970). </w:t>
      </w:r>
      <w:r w:rsidRPr="38DD48D1">
        <w:rPr>
          <w:rFonts w:ascii="Arial" w:eastAsia="Arial" w:hAnsi="Arial" w:cs="Arial"/>
          <w:i/>
          <w:iCs/>
          <w:color w:val="000000" w:themeColor="text1"/>
          <w:sz w:val="24"/>
          <w:szCs w:val="24"/>
        </w:rPr>
        <w:t>The Servant as Leader</w:t>
      </w:r>
      <w:r w:rsidRPr="38DD48D1">
        <w:rPr>
          <w:rFonts w:ascii="Arial" w:eastAsia="Arial" w:hAnsi="Arial" w:cs="Arial"/>
          <w:color w:val="000000" w:themeColor="text1"/>
          <w:sz w:val="24"/>
          <w:szCs w:val="24"/>
        </w:rPr>
        <w:t>. The Greenleaf Center for Servant Leadership.</w:t>
      </w:r>
    </w:p>
    <w:p w14:paraId="3F5CA282" w14:textId="77777777" w:rsidR="00933F1C" w:rsidRDefault="00933F1C" w:rsidP="38DD48D1">
      <w:pPr>
        <w:spacing w:before="240" w:after="240"/>
        <w:jc w:val="both"/>
        <w:rPr>
          <w:rFonts w:ascii="Arial" w:eastAsia="Arial" w:hAnsi="Arial" w:cs="Arial"/>
          <w:color w:val="000000" w:themeColor="text1"/>
          <w:sz w:val="24"/>
          <w:szCs w:val="24"/>
        </w:rPr>
      </w:pPr>
      <w:r w:rsidRPr="38DD48D1">
        <w:rPr>
          <w:rFonts w:ascii="Arial" w:eastAsia="Arial" w:hAnsi="Arial" w:cs="Arial"/>
          <w:color w:val="000000" w:themeColor="text1"/>
          <w:sz w:val="24"/>
          <w:szCs w:val="24"/>
        </w:rPr>
        <w:t xml:space="preserve">Hersey, P., &amp; Blanchard, K. H. (1969). Life Cycle Theory of Leadership. </w:t>
      </w:r>
      <w:r w:rsidRPr="38DD48D1">
        <w:rPr>
          <w:rFonts w:ascii="Arial" w:eastAsia="Arial" w:hAnsi="Arial" w:cs="Arial"/>
          <w:i/>
          <w:iCs/>
          <w:color w:val="000000" w:themeColor="text1"/>
          <w:sz w:val="24"/>
          <w:szCs w:val="24"/>
        </w:rPr>
        <w:t>Training and Development Journal</w:t>
      </w:r>
      <w:r w:rsidRPr="38DD48D1">
        <w:rPr>
          <w:rFonts w:ascii="Arial" w:eastAsia="Arial" w:hAnsi="Arial" w:cs="Arial"/>
          <w:color w:val="000000" w:themeColor="text1"/>
          <w:sz w:val="24"/>
          <w:szCs w:val="24"/>
        </w:rPr>
        <w:t>, 23(5), 26–34.</w:t>
      </w:r>
    </w:p>
    <w:p w14:paraId="5FD32ADE" w14:textId="77777777" w:rsidR="00933F1C" w:rsidRDefault="00933F1C" w:rsidP="38DD48D1">
      <w:pPr>
        <w:spacing w:before="240" w:after="240"/>
        <w:jc w:val="both"/>
        <w:rPr>
          <w:rFonts w:ascii="Arial" w:eastAsia="Arial" w:hAnsi="Arial" w:cs="Arial"/>
          <w:color w:val="000000" w:themeColor="text1"/>
          <w:sz w:val="24"/>
          <w:szCs w:val="24"/>
        </w:rPr>
      </w:pPr>
      <w:r w:rsidRPr="38DD48D1">
        <w:rPr>
          <w:rFonts w:ascii="Arial" w:eastAsia="Arial" w:hAnsi="Arial" w:cs="Arial"/>
          <w:color w:val="000000" w:themeColor="text1"/>
          <w:sz w:val="24"/>
          <w:szCs w:val="24"/>
        </w:rPr>
        <w:t xml:space="preserve">House, R. J. (1996). Path-goal theory of leadership: Lessons, legacy, and a reformulated theory. </w:t>
      </w:r>
      <w:r w:rsidRPr="38DD48D1">
        <w:rPr>
          <w:rFonts w:ascii="Arial" w:eastAsia="Arial" w:hAnsi="Arial" w:cs="Arial"/>
          <w:i/>
          <w:iCs/>
          <w:color w:val="000000" w:themeColor="text1"/>
          <w:sz w:val="24"/>
          <w:szCs w:val="24"/>
        </w:rPr>
        <w:t>Leadership Quarterly, 7</w:t>
      </w:r>
      <w:r w:rsidRPr="38DD48D1">
        <w:rPr>
          <w:rFonts w:ascii="Arial" w:eastAsia="Arial" w:hAnsi="Arial" w:cs="Arial"/>
          <w:color w:val="000000" w:themeColor="text1"/>
          <w:sz w:val="24"/>
          <w:szCs w:val="24"/>
        </w:rPr>
        <w:t>(3), 323-352.</w:t>
      </w:r>
    </w:p>
    <w:p w14:paraId="43207817" w14:textId="77777777" w:rsidR="00933F1C" w:rsidRDefault="00933F1C" w:rsidP="38DD48D1">
      <w:pPr>
        <w:spacing w:before="240" w:after="240"/>
        <w:jc w:val="both"/>
        <w:rPr>
          <w:rFonts w:ascii="Arial" w:eastAsia="Arial" w:hAnsi="Arial" w:cs="Arial"/>
          <w:color w:val="000000" w:themeColor="text1"/>
          <w:sz w:val="24"/>
          <w:szCs w:val="24"/>
        </w:rPr>
      </w:pPr>
      <w:r w:rsidRPr="38DD48D1">
        <w:rPr>
          <w:rFonts w:ascii="Arial" w:eastAsia="Arial" w:hAnsi="Arial" w:cs="Arial"/>
          <w:color w:val="000000" w:themeColor="text1"/>
          <w:sz w:val="24"/>
          <w:szCs w:val="24"/>
        </w:rPr>
        <w:t xml:space="preserve">House, R. J., &amp; Mitchell, T. R. (1974). Path-goal theory of leadership. </w:t>
      </w:r>
      <w:r w:rsidRPr="38DD48D1">
        <w:rPr>
          <w:rFonts w:ascii="Arial" w:eastAsia="Arial" w:hAnsi="Arial" w:cs="Arial"/>
          <w:i/>
          <w:iCs/>
          <w:color w:val="000000" w:themeColor="text1"/>
          <w:sz w:val="24"/>
          <w:szCs w:val="24"/>
        </w:rPr>
        <w:t>Journal of Contemporary Business, 3</w:t>
      </w:r>
      <w:r w:rsidRPr="38DD48D1">
        <w:rPr>
          <w:rFonts w:ascii="Arial" w:eastAsia="Arial" w:hAnsi="Arial" w:cs="Arial"/>
          <w:color w:val="000000" w:themeColor="text1"/>
          <w:sz w:val="24"/>
          <w:szCs w:val="24"/>
        </w:rPr>
        <w:t>(1), 81-97.</w:t>
      </w:r>
    </w:p>
    <w:p w14:paraId="4FABE458" w14:textId="77777777" w:rsidR="00933F1C" w:rsidRDefault="00933F1C" w:rsidP="38DD48D1">
      <w:pPr>
        <w:spacing w:before="240" w:after="240"/>
        <w:jc w:val="both"/>
        <w:rPr>
          <w:rFonts w:ascii="Arial" w:eastAsia="Arial" w:hAnsi="Arial" w:cs="Arial"/>
          <w:color w:val="000000" w:themeColor="text1"/>
          <w:sz w:val="24"/>
          <w:szCs w:val="24"/>
        </w:rPr>
      </w:pPr>
      <w:r w:rsidRPr="38DD48D1">
        <w:rPr>
          <w:rFonts w:ascii="Arial" w:eastAsia="Arial" w:hAnsi="Arial" w:cs="Arial"/>
          <w:color w:val="000000" w:themeColor="text1"/>
          <w:sz w:val="24"/>
          <w:szCs w:val="24"/>
        </w:rPr>
        <w:t xml:space="preserve">Koontz, H., O'Donnell, C., &amp; </w:t>
      </w:r>
      <w:proofErr w:type="spellStart"/>
      <w:r w:rsidRPr="38DD48D1">
        <w:rPr>
          <w:rFonts w:ascii="Arial" w:eastAsia="Arial" w:hAnsi="Arial" w:cs="Arial"/>
          <w:color w:val="000000" w:themeColor="text1"/>
          <w:sz w:val="24"/>
          <w:szCs w:val="24"/>
        </w:rPr>
        <w:t>Weihrich</w:t>
      </w:r>
      <w:proofErr w:type="spellEnd"/>
      <w:r w:rsidRPr="38DD48D1">
        <w:rPr>
          <w:rFonts w:ascii="Arial" w:eastAsia="Arial" w:hAnsi="Arial" w:cs="Arial"/>
          <w:color w:val="000000" w:themeColor="text1"/>
          <w:sz w:val="24"/>
          <w:szCs w:val="24"/>
        </w:rPr>
        <w:t xml:space="preserve">, H. (1980). </w:t>
      </w:r>
      <w:r w:rsidRPr="38DD48D1">
        <w:rPr>
          <w:rFonts w:ascii="Arial" w:eastAsia="Arial" w:hAnsi="Arial" w:cs="Arial"/>
          <w:i/>
          <w:iCs/>
          <w:color w:val="000000" w:themeColor="text1"/>
          <w:sz w:val="24"/>
          <w:szCs w:val="24"/>
        </w:rPr>
        <w:t>Essentials of Management</w:t>
      </w:r>
      <w:r w:rsidRPr="38DD48D1">
        <w:rPr>
          <w:rFonts w:ascii="Arial" w:eastAsia="Arial" w:hAnsi="Arial" w:cs="Arial"/>
          <w:color w:val="000000" w:themeColor="text1"/>
          <w:sz w:val="24"/>
          <w:szCs w:val="24"/>
        </w:rPr>
        <w:t>. Tata McGraw-Hill.</w:t>
      </w:r>
    </w:p>
    <w:p w14:paraId="1063E395" w14:textId="77777777" w:rsidR="00933F1C" w:rsidRDefault="00933F1C" w:rsidP="38DD48D1">
      <w:pPr>
        <w:spacing w:before="240" w:after="240"/>
        <w:jc w:val="both"/>
        <w:rPr>
          <w:rFonts w:ascii="Arial" w:eastAsia="Arial" w:hAnsi="Arial" w:cs="Arial"/>
          <w:i/>
          <w:iCs/>
          <w:color w:val="000000" w:themeColor="text1"/>
          <w:sz w:val="24"/>
          <w:szCs w:val="24"/>
        </w:rPr>
      </w:pPr>
      <w:r w:rsidRPr="38DD48D1">
        <w:rPr>
          <w:rFonts w:ascii="Arial" w:eastAsia="Arial" w:hAnsi="Arial" w:cs="Arial"/>
          <w:color w:val="000000" w:themeColor="text1"/>
          <w:sz w:val="24"/>
          <w:szCs w:val="24"/>
        </w:rPr>
        <w:t xml:space="preserve">Kotter, J. P. (1990). A force for change: How leadership differs from management. </w:t>
      </w:r>
      <w:r w:rsidRPr="38DD48D1">
        <w:rPr>
          <w:rFonts w:ascii="Arial" w:eastAsia="Arial" w:hAnsi="Arial" w:cs="Arial"/>
          <w:i/>
          <w:iCs/>
          <w:color w:val="000000" w:themeColor="text1"/>
          <w:sz w:val="24"/>
          <w:szCs w:val="24"/>
        </w:rPr>
        <w:t>New York: Free Press.</w:t>
      </w:r>
    </w:p>
    <w:p w14:paraId="631E75E9" w14:textId="77777777" w:rsidR="00933F1C" w:rsidRDefault="00933F1C" w:rsidP="38DD48D1">
      <w:pPr>
        <w:spacing w:before="240" w:after="240"/>
        <w:jc w:val="both"/>
        <w:rPr>
          <w:rFonts w:ascii="Arial" w:eastAsia="Arial" w:hAnsi="Arial" w:cs="Arial"/>
          <w:color w:val="000000" w:themeColor="text1"/>
          <w:sz w:val="24"/>
          <w:szCs w:val="24"/>
        </w:rPr>
      </w:pPr>
      <w:r w:rsidRPr="38DD48D1">
        <w:rPr>
          <w:rFonts w:ascii="Arial" w:eastAsia="Arial" w:hAnsi="Arial" w:cs="Arial"/>
          <w:color w:val="000000" w:themeColor="text1"/>
          <w:sz w:val="24"/>
          <w:szCs w:val="24"/>
        </w:rPr>
        <w:t xml:space="preserve">Liden, R. C., Wayne, S. J., Zhao, H., &amp; Henderson, D. (2008). Servant Leadership: Development of a Multidimensional Measure and Multi-Level Assessment. </w:t>
      </w:r>
      <w:r w:rsidRPr="38DD48D1">
        <w:rPr>
          <w:rFonts w:ascii="Arial" w:eastAsia="Arial" w:hAnsi="Arial" w:cs="Arial"/>
          <w:i/>
          <w:iCs/>
          <w:color w:val="000000" w:themeColor="text1"/>
          <w:sz w:val="24"/>
          <w:szCs w:val="24"/>
        </w:rPr>
        <w:t>The Leadership Quarterly</w:t>
      </w:r>
      <w:r w:rsidRPr="38DD48D1">
        <w:rPr>
          <w:rFonts w:ascii="Arial" w:eastAsia="Arial" w:hAnsi="Arial" w:cs="Arial"/>
          <w:color w:val="000000" w:themeColor="text1"/>
          <w:sz w:val="24"/>
          <w:szCs w:val="24"/>
        </w:rPr>
        <w:t xml:space="preserve">, 19(2), 161–177. </w:t>
      </w:r>
      <w:proofErr w:type="spellStart"/>
      <w:r w:rsidRPr="38DD48D1">
        <w:rPr>
          <w:rFonts w:ascii="Arial" w:eastAsia="Arial" w:hAnsi="Arial" w:cs="Arial"/>
          <w:color w:val="000000" w:themeColor="text1"/>
          <w:sz w:val="24"/>
          <w:szCs w:val="24"/>
        </w:rPr>
        <w:t>doi</w:t>
      </w:r>
      <w:proofErr w:type="spellEnd"/>
      <w:r w:rsidRPr="38DD48D1">
        <w:rPr>
          <w:rFonts w:ascii="Arial" w:eastAsia="Arial" w:hAnsi="Arial" w:cs="Arial"/>
          <w:color w:val="000000" w:themeColor="text1"/>
          <w:sz w:val="24"/>
          <w:szCs w:val="24"/>
        </w:rPr>
        <w:t>: 10.1016/j.leaqua.2008.01.006</w:t>
      </w:r>
    </w:p>
    <w:p w14:paraId="229E60FC" w14:textId="77777777" w:rsidR="00933F1C" w:rsidRDefault="00933F1C" w:rsidP="38DD48D1">
      <w:pPr>
        <w:spacing w:before="240" w:after="240"/>
        <w:jc w:val="both"/>
        <w:rPr>
          <w:rFonts w:ascii="Arial" w:eastAsia="Arial" w:hAnsi="Arial" w:cs="Arial"/>
          <w:color w:val="000000" w:themeColor="text1"/>
          <w:sz w:val="24"/>
          <w:szCs w:val="24"/>
        </w:rPr>
      </w:pPr>
      <w:r w:rsidRPr="38DD48D1">
        <w:rPr>
          <w:rFonts w:ascii="Arial" w:eastAsia="Arial" w:hAnsi="Arial" w:cs="Arial"/>
          <w:color w:val="000000" w:themeColor="text1"/>
          <w:sz w:val="24"/>
          <w:szCs w:val="24"/>
        </w:rPr>
        <w:lastRenderedPageBreak/>
        <w:t xml:space="preserve">McGregor, D. (1960). </w:t>
      </w:r>
      <w:r w:rsidRPr="38DD48D1">
        <w:rPr>
          <w:rFonts w:ascii="Arial" w:eastAsia="Arial" w:hAnsi="Arial" w:cs="Arial"/>
          <w:i/>
          <w:iCs/>
          <w:color w:val="000000" w:themeColor="text1"/>
          <w:sz w:val="24"/>
          <w:szCs w:val="24"/>
        </w:rPr>
        <w:t>The Human Side of Enterprise</w:t>
      </w:r>
      <w:r w:rsidRPr="38DD48D1">
        <w:rPr>
          <w:rFonts w:ascii="Arial" w:eastAsia="Arial" w:hAnsi="Arial" w:cs="Arial"/>
          <w:color w:val="000000" w:themeColor="text1"/>
          <w:sz w:val="24"/>
          <w:szCs w:val="24"/>
        </w:rPr>
        <w:t>. McGraw-Hill.</w:t>
      </w:r>
    </w:p>
    <w:p w14:paraId="30FB6842" w14:textId="77777777" w:rsidR="00933F1C" w:rsidRDefault="00933F1C" w:rsidP="38DD48D1">
      <w:pPr>
        <w:spacing w:before="240" w:after="240"/>
        <w:jc w:val="both"/>
        <w:rPr>
          <w:rFonts w:ascii="Arial" w:eastAsia="Arial" w:hAnsi="Arial" w:cs="Arial"/>
          <w:color w:val="000000" w:themeColor="text1"/>
          <w:sz w:val="24"/>
          <w:szCs w:val="24"/>
        </w:rPr>
      </w:pPr>
      <w:r w:rsidRPr="38DD48D1">
        <w:rPr>
          <w:rFonts w:ascii="Arial" w:eastAsia="Arial" w:hAnsi="Arial" w:cs="Arial"/>
          <w:color w:val="000000" w:themeColor="text1"/>
          <w:sz w:val="24"/>
          <w:szCs w:val="24"/>
        </w:rPr>
        <w:t xml:space="preserve">Northouse, P. G. (2018). </w:t>
      </w:r>
      <w:r w:rsidRPr="38DD48D1">
        <w:rPr>
          <w:rFonts w:ascii="Arial" w:eastAsia="Arial" w:hAnsi="Arial" w:cs="Arial"/>
          <w:i/>
          <w:iCs/>
          <w:color w:val="000000" w:themeColor="text1"/>
          <w:sz w:val="24"/>
          <w:szCs w:val="24"/>
        </w:rPr>
        <w:t>Leadership: Theory and Practice</w:t>
      </w:r>
      <w:r w:rsidRPr="38DD48D1">
        <w:rPr>
          <w:rFonts w:ascii="Arial" w:eastAsia="Arial" w:hAnsi="Arial" w:cs="Arial"/>
          <w:color w:val="000000" w:themeColor="text1"/>
          <w:sz w:val="24"/>
          <w:szCs w:val="24"/>
        </w:rPr>
        <w:t xml:space="preserve"> (8th ed.). Sage Publications</w:t>
      </w:r>
    </w:p>
    <w:p w14:paraId="37DB751B" w14:textId="77777777" w:rsidR="00933F1C" w:rsidRDefault="00933F1C" w:rsidP="38DD48D1">
      <w:pPr>
        <w:spacing w:before="240" w:after="240"/>
        <w:jc w:val="both"/>
        <w:rPr>
          <w:rFonts w:ascii="system-ui" w:eastAsia="system-ui" w:hAnsi="system-ui" w:cs="system-ui"/>
          <w:color w:val="000000" w:themeColor="text1"/>
          <w:sz w:val="24"/>
          <w:szCs w:val="24"/>
        </w:rPr>
      </w:pPr>
      <w:r w:rsidRPr="38DD48D1">
        <w:rPr>
          <w:rFonts w:ascii="Arial" w:eastAsia="Arial" w:hAnsi="Arial" w:cs="Arial"/>
          <w:color w:val="000000" w:themeColor="text1"/>
          <w:sz w:val="24"/>
          <w:szCs w:val="24"/>
        </w:rPr>
        <w:t xml:space="preserve">Tannenbaum, R., &amp; Schmidt, W. H. (1958). How to choose a leadership pattern. </w:t>
      </w:r>
      <w:r w:rsidRPr="38DD48D1">
        <w:rPr>
          <w:rFonts w:ascii="Arial" w:eastAsia="Arial" w:hAnsi="Arial" w:cs="Arial"/>
          <w:i/>
          <w:iCs/>
          <w:color w:val="000000" w:themeColor="text1"/>
          <w:sz w:val="24"/>
          <w:szCs w:val="24"/>
        </w:rPr>
        <w:t>Harvard Business Review, 36</w:t>
      </w:r>
      <w:r w:rsidRPr="38DD48D1">
        <w:rPr>
          <w:rFonts w:ascii="Arial" w:eastAsia="Arial" w:hAnsi="Arial" w:cs="Arial"/>
          <w:color w:val="000000" w:themeColor="text1"/>
          <w:sz w:val="24"/>
          <w:szCs w:val="24"/>
        </w:rPr>
        <w:t>(2), 95-101</w:t>
      </w:r>
      <w:r w:rsidRPr="38DD48D1">
        <w:rPr>
          <w:rFonts w:ascii="system-ui" w:eastAsia="system-ui" w:hAnsi="system-ui" w:cs="system-ui"/>
          <w:color w:val="000000" w:themeColor="text1"/>
          <w:sz w:val="24"/>
          <w:szCs w:val="24"/>
        </w:rPr>
        <w:t>.</w:t>
      </w:r>
    </w:p>
    <w:p w14:paraId="7928716F" w14:textId="77777777" w:rsidR="00933F1C" w:rsidRDefault="00933F1C" w:rsidP="38DD48D1">
      <w:pPr>
        <w:spacing w:before="240" w:after="240"/>
        <w:jc w:val="both"/>
        <w:rPr>
          <w:rFonts w:ascii="Arial" w:eastAsia="Arial" w:hAnsi="Arial" w:cs="Arial"/>
          <w:i/>
          <w:iCs/>
          <w:color w:val="000000" w:themeColor="text1"/>
          <w:sz w:val="24"/>
          <w:szCs w:val="24"/>
        </w:rPr>
      </w:pPr>
      <w:r w:rsidRPr="38DD48D1">
        <w:rPr>
          <w:rFonts w:ascii="Arial" w:eastAsia="Arial" w:hAnsi="Arial" w:cs="Arial"/>
          <w:color w:val="000000" w:themeColor="text1"/>
          <w:sz w:val="24"/>
          <w:szCs w:val="24"/>
        </w:rPr>
        <w:t xml:space="preserve">Vroom, V. H., &amp; Yetton, P. W. (1973). Leadership and decision-making. </w:t>
      </w:r>
      <w:r w:rsidRPr="38DD48D1">
        <w:rPr>
          <w:rFonts w:ascii="Arial" w:eastAsia="Arial" w:hAnsi="Arial" w:cs="Arial"/>
          <w:i/>
          <w:iCs/>
          <w:color w:val="000000" w:themeColor="text1"/>
          <w:sz w:val="24"/>
          <w:szCs w:val="24"/>
        </w:rPr>
        <w:t>Pittsburgh, PA: University of Pittsburgh Press.</w:t>
      </w:r>
    </w:p>
    <w:p w14:paraId="1F94AD5B" w14:textId="77777777" w:rsidR="00933F1C" w:rsidRDefault="00933F1C" w:rsidP="38DD48D1">
      <w:pPr>
        <w:spacing w:before="240" w:after="240"/>
        <w:jc w:val="both"/>
        <w:rPr>
          <w:rFonts w:ascii="Arial" w:eastAsia="Arial" w:hAnsi="Arial" w:cs="Arial"/>
          <w:color w:val="000000" w:themeColor="text1"/>
          <w:sz w:val="24"/>
          <w:szCs w:val="24"/>
        </w:rPr>
      </w:pPr>
      <w:r w:rsidRPr="38DD48D1">
        <w:rPr>
          <w:rFonts w:ascii="Arial" w:eastAsia="Arial" w:hAnsi="Arial" w:cs="Arial"/>
          <w:color w:val="000000" w:themeColor="text1"/>
          <w:sz w:val="24"/>
          <w:szCs w:val="24"/>
        </w:rPr>
        <w:t xml:space="preserve">Yukl, G. (1999). An evaluation of conceptual weaknesses in transformational and charismatic leadership theories. </w:t>
      </w:r>
      <w:r w:rsidRPr="38DD48D1">
        <w:rPr>
          <w:rFonts w:ascii="Arial" w:eastAsia="Arial" w:hAnsi="Arial" w:cs="Arial"/>
          <w:i/>
          <w:iCs/>
          <w:color w:val="000000" w:themeColor="text1"/>
          <w:sz w:val="24"/>
          <w:szCs w:val="24"/>
        </w:rPr>
        <w:t>Leadership Quarterly, 10</w:t>
      </w:r>
      <w:r w:rsidRPr="38DD48D1">
        <w:rPr>
          <w:rFonts w:ascii="Arial" w:eastAsia="Arial" w:hAnsi="Arial" w:cs="Arial"/>
          <w:color w:val="000000" w:themeColor="text1"/>
          <w:sz w:val="24"/>
          <w:szCs w:val="24"/>
        </w:rPr>
        <w:t>(2), 285-305.</w:t>
      </w:r>
    </w:p>
    <w:p w14:paraId="18C50712" w14:textId="1CF42BFB" w:rsidR="38DD48D1" w:rsidRDefault="38DD48D1" w:rsidP="38DD48D1">
      <w:pPr>
        <w:spacing w:line="360" w:lineRule="auto"/>
        <w:jc w:val="both"/>
        <w:rPr>
          <w:rFonts w:ascii="Arial" w:eastAsia="Arial" w:hAnsi="Arial" w:cs="Arial"/>
          <w:color w:val="000000" w:themeColor="text1"/>
          <w:sz w:val="24"/>
          <w:szCs w:val="24"/>
        </w:rPr>
      </w:pPr>
    </w:p>
    <w:sectPr w:rsidR="38DD48D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stem-ui">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D9A94A"/>
    <w:multiLevelType w:val="hybridMultilevel"/>
    <w:tmpl w:val="232A7316"/>
    <w:lvl w:ilvl="0" w:tplc="A5ECBBE6">
      <w:start w:val="1"/>
      <w:numFmt w:val="bullet"/>
      <w:lvlText w:val=""/>
      <w:lvlJc w:val="left"/>
      <w:pPr>
        <w:ind w:left="720" w:hanging="360"/>
      </w:pPr>
      <w:rPr>
        <w:rFonts w:ascii="Symbol" w:hAnsi="Symbol" w:hint="default"/>
      </w:rPr>
    </w:lvl>
    <w:lvl w:ilvl="1" w:tplc="FA74FEE4">
      <w:start w:val="1"/>
      <w:numFmt w:val="bullet"/>
      <w:lvlText w:val="o"/>
      <w:lvlJc w:val="left"/>
      <w:pPr>
        <w:ind w:left="1440" w:hanging="360"/>
      </w:pPr>
      <w:rPr>
        <w:rFonts w:ascii="Courier New" w:hAnsi="Courier New" w:hint="default"/>
      </w:rPr>
    </w:lvl>
    <w:lvl w:ilvl="2" w:tplc="3466A990">
      <w:start w:val="1"/>
      <w:numFmt w:val="bullet"/>
      <w:lvlText w:val=""/>
      <w:lvlJc w:val="left"/>
      <w:pPr>
        <w:ind w:left="2160" w:hanging="360"/>
      </w:pPr>
      <w:rPr>
        <w:rFonts w:ascii="Wingdings" w:hAnsi="Wingdings" w:hint="default"/>
      </w:rPr>
    </w:lvl>
    <w:lvl w:ilvl="3" w:tplc="8BF0EE62">
      <w:start w:val="1"/>
      <w:numFmt w:val="bullet"/>
      <w:lvlText w:val=""/>
      <w:lvlJc w:val="left"/>
      <w:pPr>
        <w:ind w:left="2880" w:hanging="360"/>
      </w:pPr>
      <w:rPr>
        <w:rFonts w:ascii="Symbol" w:hAnsi="Symbol" w:hint="default"/>
      </w:rPr>
    </w:lvl>
    <w:lvl w:ilvl="4" w:tplc="E4E6E9B0">
      <w:start w:val="1"/>
      <w:numFmt w:val="bullet"/>
      <w:lvlText w:val="o"/>
      <w:lvlJc w:val="left"/>
      <w:pPr>
        <w:ind w:left="3600" w:hanging="360"/>
      </w:pPr>
      <w:rPr>
        <w:rFonts w:ascii="Courier New" w:hAnsi="Courier New" w:hint="default"/>
      </w:rPr>
    </w:lvl>
    <w:lvl w:ilvl="5" w:tplc="A9CC8E7A">
      <w:start w:val="1"/>
      <w:numFmt w:val="bullet"/>
      <w:lvlText w:val=""/>
      <w:lvlJc w:val="left"/>
      <w:pPr>
        <w:ind w:left="4320" w:hanging="360"/>
      </w:pPr>
      <w:rPr>
        <w:rFonts w:ascii="Wingdings" w:hAnsi="Wingdings" w:hint="default"/>
      </w:rPr>
    </w:lvl>
    <w:lvl w:ilvl="6" w:tplc="6054E730">
      <w:start w:val="1"/>
      <w:numFmt w:val="bullet"/>
      <w:lvlText w:val=""/>
      <w:lvlJc w:val="left"/>
      <w:pPr>
        <w:ind w:left="5040" w:hanging="360"/>
      </w:pPr>
      <w:rPr>
        <w:rFonts w:ascii="Symbol" w:hAnsi="Symbol" w:hint="default"/>
      </w:rPr>
    </w:lvl>
    <w:lvl w:ilvl="7" w:tplc="D1181A1A">
      <w:start w:val="1"/>
      <w:numFmt w:val="bullet"/>
      <w:lvlText w:val="o"/>
      <w:lvlJc w:val="left"/>
      <w:pPr>
        <w:ind w:left="5760" w:hanging="360"/>
      </w:pPr>
      <w:rPr>
        <w:rFonts w:ascii="Courier New" w:hAnsi="Courier New" w:hint="default"/>
      </w:rPr>
    </w:lvl>
    <w:lvl w:ilvl="8" w:tplc="D7DCC608">
      <w:start w:val="1"/>
      <w:numFmt w:val="bullet"/>
      <w:lvlText w:val=""/>
      <w:lvlJc w:val="left"/>
      <w:pPr>
        <w:ind w:left="6480" w:hanging="360"/>
      </w:pPr>
      <w:rPr>
        <w:rFonts w:ascii="Wingdings" w:hAnsi="Wingdings" w:hint="default"/>
      </w:rPr>
    </w:lvl>
  </w:abstractNum>
  <w:abstractNum w:abstractNumId="1" w15:restartNumberingAfterBreak="0">
    <w:nsid w:val="5B6DE8B8"/>
    <w:multiLevelType w:val="hybridMultilevel"/>
    <w:tmpl w:val="840C3E16"/>
    <w:lvl w:ilvl="0" w:tplc="222E8624">
      <w:start w:val="1"/>
      <w:numFmt w:val="bullet"/>
      <w:lvlText w:val=""/>
      <w:lvlJc w:val="left"/>
      <w:pPr>
        <w:ind w:left="720" w:hanging="360"/>
      </w:pPr>
      <w:rPr>
        <w:rFonts w:ascii="Symbol" w:hAnsi="Symbol" w:hint="default"/>
      </w:rPr>
    </w:lvl>
    <w:lvl w:ilvl="1" w:tplc="B2A268C6">
      <w:start w:val="1"/>
      <w:numFmt w:val="bullet"/>
      <w:lvlText w:val="o"/>
      <w:lvlJc w:val="left"/>
      <w:pPr>
        <w:ind w:left="1440" w:hanging="360"/>
      </w:pPr>
      <w:rPr>
        <w:rFonts w:ascii="Courier New" w:hAnsi="Courier New" w:hint="default"/>
      </w:rPr>
    </w:lvl>
    <w:lvl w:ilvl="2" w:tplc="DBB0A090">
      <w:start w:val="1"/>
      <w:numFmt w:val="bullet"/>
      <w:lvlText w:val=""/>
      <w:lvlJc w:val="left"/>
      <w:pPr>
        <w:ind w:left="2160" w:hanging="360"/>
      </w:pPr>
      <w:rPr>
        <w:rFonts w:ascii="Wingdings" w:hAnsi="Wingdings" w:hint="default"/>
      </w:rPr>
    </w:lvl>
    <w:lvl w:ilvl="3" w:tplc="433EECEC">
      <w:start w:val="1"/>
      <w:numFmt w:val="bullet"/>
      <w:lvlText w:val=""/>
      <w:lvlJc w:val="left"/>
      <w:pPr>
        <w:ind w:left="2880" w:hanging="360"/>
      </w:pPr>
      <w:rPr>
        <w:rFonts w:ascii="Symbol" w:hAnsi="Symbol" w:hint="default"/>
      </w:rPr>
    </w:lvl>
    <w:lvl w:ilvl="4" w:tplc="A1B052F6">
      <w:start w:val="1"/>
      <w:numFmt w:val="bullet"/>
      <w:lvlText w:val="o"/>
      <w:lvlJc w:val="left"/>
      <w:pPr>
        <w:ind w:left="3600" w:hanging="360"/>
      </w:pPr>
      <w:rPr>
        <w:rFonts w:ascii="Courier New" w:hAnsi="Courier New" w:hint="default"/>
      </w:rPr>
    </w:lvl>
    <w:lvl w:ilvl="5" w:tplc="37668D0A">
      <w:start w:val="1"/>
      <w:numFmt w:val="bullet"/>
      <w:lvlText w:val=""/>
      <w:lvlJc w:val="left"/>
      <w:pPr>
        <w:ind w:left="4320" w:hanging="360"/>
      </w:pPr>
      <w:rPr>
        <w:rFonts w:ascii="Wingdings" w:hAnsi="Wingdings" w:hint="default"/>
      </w:rPr>
    </w:lvl>
    <w:lvl w:ilvl="6" w:tplc="1F24F4AC">
      <w:start w:val="1"/>
      <w:numFmt w:val="bullet"/>
      <w:lvlText w:val=""/>
      <w:lvlJc w:val="left"/>
      <w:pPr>
        <w:ind w:left="5040" w:hanging="360"/>
      </w:pPr>
      <w:rPr>
        <w:rFonts w:ascii="Symbol" w:hAnsi="Symbol" w:hint="default"/>
      </w:rPr>
    </w:lvl>
    <w:lvl w:ilvl="7" w:tplc="EA9A9D26">
      <w:start w:val="1"/>
      <w:numFmt w:val="bullet"/>
      <w:lvlText w:val="o"/>
      <w:lvlJc w:val="left"/>
      <w:pPr>
        <w:ind w:left="5760" w:hanging="360"/>
      </w:pPr>
      <w:rPr>
        <w:rFonts w:ascii="Courier New" w:hAnsi="Courier New" w:hint="default"/>
      </w:rPr>
    </w:lvl>
    <w:lvl w:ilvl="8" w:tplc="6A6666A0">
      <w:start w:val="1"/>
      <w:numFmt w:val="bullet"/>
      <w:lvlText w:val=""/>
      <w:lvlJc w:val="left"/>
      <w:pPr>
        <w:ind w:left="6480" w:hanging="360"/>
      </w:pPr>
      <w:rPr>
        <w:rFonts w:ascii="Wingdings" w:hAnsi="Wingdings" w:hint="default"/>
      </w:rPr>
    </w:lvl>
  </w:abstractNum>
  <w:num w:numId="1" w16cid:durableId="595747918">
    <w:abstractNumId w:val="1"/>
  </w:num>
  <w:num w:numId="2" w16cid:durableId="16155577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FE9BA0"/>
    <w:rsid w:val="00020CBA"/>
    <w:rsid w:val="00933F1C"/>
    <w:rsid w:val="00B15B53"/>
    <w:rsid w:val="053FF222"/>
    <w:rsid w:val="07FE9BA0"/>
    <w:rsid w:val="09345265"/>
    <w:rsid w:val="17159A72"/>
    <w:rsid w:val="18BB7E79"/>
    <w:rsid w:val="1D9CD074"/>
    <w:rsid w:val="2FF5A418"/>
    <w:rsid w:val="3163C1D3"/>
    <w:rsid w:val="35C5F3A9"/>
    <w:rsid w:val="37A58C09"/>
    <w:rsid w:val="38DD48D1"/>
    <w:rsid w:val="3E9A9723"/>
    <w:rsid w:val="53B36992"/>
    <w:rsid w:val="55B6CF08"/>
    <w:rsid w:val="5EFB3052"/>
    <w:rsid w:val="60517441"/>
    <w:rsid w:val="6A81C0CE"/>
    <w:rsid w:val="6CE9C9AE"/>
    <w:rsid w:val="786A8A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FE9BA0"/>
  <w15:chartTrackingRefBased/>
  <w15:docId w15:val="{3DA5042A-AB48-404B-BC5C-73F8DB2CD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933F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11</Pages>
  <Words>2315</Words>
  <Characters>14335</Characters>
  <Application>Microsoft Office Word</Application>
  <DocSecurity>0</DocSecurity>
  <Lines>281</Lines>
  <Paragraphs>91</Paragraphs>
  <ScaleCrop>false</ScaleCrop>
  <Company/>
  <LinksUpToDate>false</LinksUpToDate>
  <CharactersWithSpaces>16727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Bobe</dc:creator>
  <cp:keywords/>
  <dc:description/>
  <cp:lastModifiedBy>Cezar</cp:lastModifiedBy>
  <cp:revision>3</cp:revision>
  <dcterms:created xsi:type="dcterms:W3CDTF">2024-02-01T11:13:00Z</dcterms:created>
  <dcterms:modified xsi:type="dcterms:W3CDTF">2024-02-01T11:20:00Z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8b3e60c2217dde76404f16cd8518589c31534453f7095a5a09cec5f62573ed9a</vt:lpwstr>
  </property>
</Properties>
</file>