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89C82C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917FC">
              <w:rPr>
                <w:rFonts w:ascii="Times New Roman" w:hAnsi="Times New Roman" w:cs="Times New Roman"/>
                <w:b/>
                <w:color w:val="auto"/>
                <w:sz w:val="48"/>
              </w:rPr>
              <w:t>Jenny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6F4C12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917FC">
              <w:rPr>
                <w:rFonts w:ascii="Times New Roman" w:hAnsi="Times New Roman" w:cs="Times New Roman"/>
                <w:b/>
                <w:color w:val="auto"/>
                <w:sz w:val="48"/>
              </w:rPr>
              <w:t xml:space="preserve"> </w:t>
            </w:r>
            <w:r w:rsidR="005917FC">
              <w:rPr>
                <w:rFonts w:ascii="Times New Roman" w:hAnsi="Times New Roman" w:cs="Times New Roman"/>
                <w:b/>
                <w:color w:val="auto"/>
                <w:sz w:val="48"/>
              </w:rPr>
              <w:t>2520757@student.uwtsd.ac.uk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B9F4265" w14:textId="1C1F94AA" w:rsidR="005917FC" w:rsidRPr="005D3F07" w:rsidRDefault="005917F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2520757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77AF4CD7" w14:textId="77777777" w:rsidR="00756FA9" w:rsidRPr="00756FA9" w:rsidRDefault="00756FA9" w:rsidP="00756FA9">
            <w:pPr>
              <w:spacing w:line="360" w:lineRule="auto"/>
              <w:rPr>
                <w:rFonts w:asciiTheme="minorHAnsi" w:hAnsiTheme="minorHAnsi" w:cstheme="minorHAnsi"/>
                <w:b/>
                <w:bCs/>
                <w:i/>
                <w:iCs/>
                <w:sz w:val="24"/>
                <w:szCs w:val="24"/>
              </w:rPr>
            </w:pPr>
            <w:r w:rsidRPr="00756FA9">
              <w:rPr>
                <w:rFonts w:asciiTheme="minorHAnsi" w:hAnsiTheme="minorHAnsi" w:cstheme="minorHAnsi"/>
                <w:b/>
                <w:bCs/>
                <w:i/>
                <w:iCs/>
                <w:sz w:val="24"/>
                <w:szCs w:val="24"/>
              </w:rPr>
              <w:t>2 – service user</w:t>
            </w:r>
          </w:p>
          <w:p w14:paraId="1B23C2C7"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I currently work as a social worker within a Community Mental Health Team (CMHT), supporting individuals who experience difficulties with their mental health. The team is built up as a multi-disciplinary team of professionals, to include Psychiatrists, Community Psychiatric Nurses (CPN), Occupational Therapists, Social Workers and Psychologists. Working within a multi-disciplinary team promotes person-centred care, provides better outcomes through holistic assessments, improves communication between professionals and promotes risk management (Ellingford, 2024). Attending weekly Multi-Disciplinary Team Meetings (MDTs) allows individuals to be discussed across all professions, promoting coordinated support across health and social care services (Taberna </w:t>
            </w:r>
            <w:r w:rsidRPr="00756FA9">
              <w:rPr>
                <w:rFonts w:asciiTheme="minorHAnsi" w:hAnsiTheme="minorHAnsi" w:cstheme="minorHAnsi"/>
                <w:i/>
                <w:iCs/>
                <w:sz w:val="24"/>
                <w:szCs w:val="24"/>
              </w:rPr>
              <w:t xml:space="preserve">et al., </w:t>
            </w:r>
            <w:r w:rsidRPr="00756FA9">
              <w:rPr>
                <w:rFonts w:asciiTheme="minorHAnsi" w:hAnsiTheme="minorHAnsi" w:cstheme="minorHAnsi"/>
                <w:sz w:val="24"/>
                <w:szCs w:val="24"/>
              </w:rPr>
              <w:t xml:space="preserve">2020). </w:t>
            </w:r>
          </w:p>
          <w:p w14:paraId="45F40AB5"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My role as a Social Worker within the team is to work in line with the Social Services and Wellbeing (Wales) Act (SSWB(W)A) 2014, under this legislation I have a duty to assess the care and support needs of individuals who appear to be struggling with their mental health, support wellbeing, </w:t>
            </w:r>
            <w:r w:rsidRPr="00756FA9">
              <w:rPr>
                <w:rFonts w:asciiTheme="minorHAnsi" w:hAnsiTheme="minorHAnsi" w:cstheme="minorHAnsi"/>
                <w:sz w:val="24"/>
                <w:szCs w:val="24"/>
              </w:rPr>
              <w:lastRenderedPageBreak/>
              <w:t xml:space="preserve">promote independence, safeguard vulnerable individuals and to identify and manage risks (Social Care Wales [SCW], 2015). The overall aim of the SSWB(W)A 2014 is to support individuals to achieve the outcomes that matter to them and to support individuals in maintaining their independence and wellbeing (SCW, 2015). As a professional working within a Community Mental Health Team, I also work under the Mental Health (Wales) Measure 2010 in care coordination, creating and reviewing care and treatment plans. There are 8 elements that must be considered within the care and treatment plans to help ensure a person-centred and recovery focused plan (Welsh Government, 2017). </w:t>
            </w:r>
          </w:p>
          <w:p w14:paraId="3E4BA75B"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The Mental Health (Wales) Measure 2010 was introduced to make sure people with mental health difficulties can access support more easily and receive better coordinated care. In Wales, people receiving secondary mental health services have a legal right to a Care and Treatment Plan and a Care Coordinator, and people who have been discharged can refer themselves back to services without needing to go through their GP. Wales also provides statutory primary mental health support services. England does not have an equivalent law, and mental health support is mainly provided through NHS policies and local services rather than these specific legal rights (Welsh Parliament, 2025).</w:t>
            </w:r>
          </w:p>
          <w:p w14:paraId="77603395"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Wales has higher levels of poverty and more people living with long-term health conditions, which can have a negative impact on mental health. Suicide rates are also higher in Wales than in England, with around 15.7 deaths per 100,000 people in Wales compared with just over 11 per 100,000 in England (Welsh Parliament, 2026). Because of these challenges, Wales introduced the Mental Health (Wales) Measure 2010 to give people stronger rights and better access to mental health support and services (Turnbull, 2014).</w:t>
            </w:r>
          </w:p>
          <w:p w14:paraId="40A7E00D"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The reflection will focus on an individual who I will be referring to as 2 for the purpose of anonymity. 2 is a 35 year old male who has a previous history of drug induced psychosis, querying schizophrenia and had notable learning difficulties. 2 had been known to the CMHT for 6 years and was subject to a Care and Treatment Plan under the Mental Health (Wales) Measure 2010. Due to his previous hospital admission under Section 3 of the Mental Health Act (MHA) 1983, he was subject to Section 117 aftercare under the MHA 1983. This Section places duty on the Local Authority and the Local Health Board to provide free aftercare services to support an individual’s mental health and </w:t>
            </w:r>
            <w:r w:rsidRPr="00756FA9">
              <w:rPr>
                <w:rFonts w:asciiTheme="minorHAnsi" w:hAnsiTheme="minorHAnsi" w:cstheme="minorHAnsi"/>
                <w:sz w:val="24"/>
                <w:szCs w:val="24"/>
              </w:rPr>
              <w:lastRenderedPageBreak/>
              <w:t xml:space="preserve">wellbeing, reducing the risk relapsing in their mental health. The Section 117 aftercare remains in place until both the Local Authority and Local Health Board jointly agree that ongoing care and support is no longer required (NHS, 2024). </w:t>
            </w:r>
          </w:p>
          <w:p w14:paraId="034B358F"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Due to his learning difficulties, 2 presented as a vulnerable adult who was easily led by his peers. 2 struggled to manage his finances independently and as a result, he was under appointeeship with the Local Authority. Appointeeship is a legal arrangement in which another person or organisation is authorised to manage an individual's benefits and finances when they are unable to do so themselves due to a lack of mental capacity, mental illness, or a learning disability (Scope, 2025). </w:t>
            </w:r>
          </w:p>
          <w:p w14:paraId="77525276" w14:textId="77777777" w:rsidR="00756FA9" w:rsidRPr="00756FA9" w:rsidRDefault="00756FA9" w:rsidP="00756FA9">
            <w:pPr>
              <w:spacing w:line="360" w:lineRule="auto"/>
              <w:rPr>
                <w:rFonts w:asciiTheme="minorHAnsi" w:hAnsiTheme="minorHAnsi" w:cstheme="minorHAnsi"/>
                <w:sz w:val="24"/>
                <w:szCs w:val="24"/>
              </w:rPr>
            </w:pPr>
          </w:p>
          <w:p w14:paraId="2C327CD2"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Reflecting on my involvement with 2, there were several changes in his presentation and behaviour that, when viewed individually, may not have appeared significant, but collectively raised concerns and prompted further professional curiosity.</w:t>
            </w:r>
          </w:p>
          <w:p w14:paraId="27EB49C0"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One of the earliest indicators was 2's increasing attendance at the clinic requesting additional money outside of his agreed weekly allowance. Initially, this may have been viewed as a financial management issue; however, professional curiosity led me to explore the reasons behind these requests. I noticed that when asked about the purpose of the money, 2 became guarded and unwilling to provide clear explanations. This change in his openness and transparency caused me to consider whether there were underlying factors influencing his behaviour.</w:t>
            </w:r>
          </w:p>
          <w:p w14:paraId="08790CD7"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During home visits, I observed that there was very little food available in the property, despite 2 stating that he had spent his money on shopping. This inconsistency raised questions about where his money was being spent and whether his basic needs were being met. Reflecting on this, I recognised the importance of not accepting information at face value and of verifying circumstances through observation where possible (Barnet, 2025).</w:t>
            </w:r>
          </w:p>
          <w:p w14:paraId="26EE4F87"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Another notable concern was the disappearance of 2's games console. This was an item he used daily and appeared to gain enjoyment from. When I asked about its whereabouts, he avoided the subject, changed the topic of conversation, or provided vague responses. Looking back, this felt significant because it represented both the loss of a valued possession and a change in his willingness to discuss aspects of his life openly. It reinforced the need to remain curious about seemingly minor changes, as these can often indicate wider issues.</w:t>
            </w:r>
          </w:p>
          <w:p w14:paraId="1F6DA318"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lastRenderedPageBreak/>
              <w:t>Information shared by carers also played an important role in shaping my understanding. Carers, who visited daily to support 2 with maintaining his home environment and completing household tasks, reported finding drug paraphernalia in the property. Although it was known that 2 used drugs, the items found did not correspond with his known substance use. This discrepancy led me to consider whether other individuals were accessing the property and influencing what was occurring within it. Professional judgement suggested that the property may have been being used by others rather than solely by 2.</w:t>
            </w:r>
          </w:p>
          <w:p w14:paraId="4C169A46"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Further concerns emerged through discussions with the housing worker, who reported complaints from neighbouring residents regarding loud noise during the night and people visiting the flat at unsociable hours. Police had also been informed of the antisocial behaviour. Reflecting on this information, I recognised the importance of "piecing together the jigsaw", considering information from multiple sources rather than viewing incidents in isolation. When these reports were considered alongside concerns regarding finances, missing possessions, and the presence of unfamiliar drug paraphernalia, a clearer picture of vulnerability and potential exploitation began to emerge.</w:t>
            </w:r>
          </w:p>
          <w:p w14:paraId="1A293F02"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The most significant change was in 2's engagement with professionals. Historically, he had engaged well and maintained positive working relationships. However, he became increasingly withdrawn and less communicative. During an unannounced home visit, he refused professionals entry to the property and explained that his cousins from London were visiting. Whilst this explanation was possible, it felt inconsistent with his previous behaviour and, when considered alongside the other indicators, increased my concerns. Reflecting on this event, I recognised how changes in a person's usual presentation can often provide important safeguarding information.</w:t>
            </w:r>
          </w:p>
          <w:p w14:paraId="3B62DF75"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Overall, this experience reinforced the importance of professional curiosity, professional judgement, information sharing, and maintaining a holistic view of a person's circumstances. No single incident confirmed that 2 was being exploited; however, by remaining professionally curious, observing changes in behaviour, listening to information from partner agencies, and considering the cumulative impact of multiple indicators, a more comprehensive understanding of the risks facing 2 was developed. This reflection highlights the value of looking beyond individual incidents and recognising patterns that may indicate increased vulnerability, coercion, or exploitation.</w:t>
            </w:r>
          </w:p>
          <w:p w14:paraId="5B235A07"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lastRenderedPageBreak/>
              <w:t xml:space="preserve">Following assessment, my professional judgement indicated that there were concerns for </w:t>
            </w:r>
            <w:r w:rsidRPr="00756FA9">
              <w:rPr>
                <w:rFonts w:asciiTheme="minorHAnsi" w:hAnsiTheme="minorHAnsi" w:cstheme="minorHAnsi"/>
                <w:i/>
                <w:iCs/>
                <w:sz w:val="24"/>
                <w:szCs w:val="24"/>
              </w:rPr>
              <w:t>2</w:t>
            </w:r>
            <w:r w:rsidRPr="00756FA9">
              <w:rPr>
                <w:rFonts w:asciiTheme="minorHAnsi" w:hAnsiTheme="minorHAnsi" w:cstheme="minorHAnsi"/>
                <w:sz w:val="24"/>
                <w:szCs w:val="24"/>
              </w:rPr>
              <w:t>'s safety and wellbeing, as aspects of the situation suggested that he may have been at risk. These concerns were explored within the MDT, resulting in a collective decision to make a safeguarding referral. Under the Social Services and Well-being (Wales) Act 2014 and the Wales Safeguarding Procedures, a referral should be made where there is a reasonable concern that a child or adult is experiencing, or is at risk of, abuse, neglect, or harm (Safeguarding Wales, 2026). The safeguarding process in Wales does not require practitioners to have proof that harm has occurred; instead, referrals are made on the basis of reasonable suspicion or concern. This approach promotes early intervention and ensures that potential risks can be assessed and addressed before harm escalates (SCW, 2026).</w:t>
            </w:r>
          </w:p>
          <w:p w14:paraId="7641A62A" w14:textId="77777777" w:rsidR="00756FA9" w:rsidRPr="00756FA9" w:rsidRDefault="00756FA9" w:rsidP="00756FA9">
            <w:pPr>
              <w:spacing w:line="360" w:lineRule="auto"/>
              <w:rPr>
                <w:rFonts w:asciiTheme="minorHAnsi" w:hAnsiTheme="minorHAnsi" w:cstheme="minorHAnsi"/>
                <w:sz w:val="24"/>
                <w:szCs w:val="24"/>
                <w:highlight w:val="yellow"/>
              </w:rPr>
            </w:pPr>
            <w:r w:rsidRPr="00756FA9">
              <w:rPr>
                <w:rFonts w:asciiTheme="minorHAnsi" w:hAnsiTheme="minorHAnsi" w:cstheme="minorHAnsi"/>
                <w:sz w:val="24"/>
                <w:szCs w:val="24"/>
              </w:rPr>
              <w:t>Under Section 126(1), Part 7 (Safeguarding) of the SSWB(W)A 2014, an adult at risk is defined as an adult who is experiencing, or is at risk of, abuse or neglect; has needs for care and support; and, because of those needs, is unable to protect themselves from the abuse, neglect, or risk of harm. To be regarded as an adult at risk under the Act, all three elements of this definition must be present (Safeguarding Wales, 2026). As 2 met the requirements of being defined as an adult at risk, the outcome of the safeguarding referral was to progress to Section 126 enquiries under the Wales Safeguarding Procedures. The Wales Safeguarding Procedures provide a national framework for safeguarding adults and children who may be at risk of abuse, neglect, or harm (Safeguarding Wales, 2026). They support practitioners in implementing the requirements of the SSWB(W)A 2014 and promote a person-centred approach that focuses on an individual’s wellbeing, wishes, and personal outcomes (Safeguarding Wales, 2026). When concerns are identified, practitioners are required to recognise and report risks, assess whether the Section 126 Adult at Risk criteria are met, and, where appropriate, undertake safeguarding enquiries to determine what action is necessary to protect the individual. The procedures emphasise effective multi-agency collaboration, proportionality, advocacy, and robust risk management to ensure that adults at risk receive appropriate support, protection, and intervention (Safeguarding Wales, 2026).</w:t>
            </w:r>
          </w:p>
          <w:p w14:paraId="4F90A17A"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The procedures are also underpinned by a wider legislative and human rights framework, this includes the Mental Capacity Act 2005 which provides a legal framework for professionals supporting individuals who may lack capacity to make specific decisions and emphasises least restrictive practice and best interest decisions (NHS, 2024). My practice, alongside that of other </w:t>
            </w:r>
            <w:r w:rsidRPr="00756FA9">
              <w:rPr>
                <w:rFonts w:asciiTheme="minorHAnsi" w:hAnsiTheme="minorHAnsi" w:cstheme="minorHAnsi"/>
                <w:sz w:val="24"/>
                <w:szCs w:val="24"/>
              </w:rPr>
              <w:lastRenderedPageBreak/>
              <w:t>professionals involved in the safeguarding process, upheld the principles of the Human Rights Act 1998, including the right to privacy, the right to liberty and security, and the right to be free from torture and inhuman or degrading treatment. However, safeguarding can present an ethical dilemma, as interventions may, at times, restrict an individual's right to liberty and private life in order to protect them from harm. Social workers must therefore balance their duty to safeguard individuals with the need to uphold and respect their human rights. My practice also upheld the Equality Act 2010 by ensuring that Service User 2 was not discriminated against because of his mental health needs and learning disabilities (Equality and Human Rights Commission, 2026).</w:t>
            </w:r>
          </w:p>
          <w:p w14:paraId="7A8FA7D9" w14:textId="77777777" w:rsidR="00756FA9" w:rsidRPr="00756FA9" w:rsidRDefault="00756FA9" w:rsidP="00756FA9">
            <w:pPr>
              <w:spacing w:line="360" w:lineRule="auto"/>
              <w:rPr>
                <w:rFonts w:asciiTheme="minorHAnsi" w:hAnsiTheme="minorHAnsi" w:cstheme="minorHAnsi"/>
                <w:sz w:val="24"/>
                <w:szCs w:val="24"/>
              </w:rPr>
            </w:pPr>
          </w:p>
          <w:p w14:paraId="74272A90"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Police visited the property to carry out the S126 enquiries in gathering more information, he denied any criminal activity but stated that he did not know the individuals that were in his flat. Later that day, 2 disclosed to me and his CPN that he had met a person who he believed to be his friend, who had then invited their friends to his flat and subsequently began taking class A drugs. He disclosed that these individuals had been eating his food, sleeping in his bed, wearing his clothes and had sold his game console to fund their drug habit. 2 disclosed that there was one occasion where the individuals were taking drugs in his flat and one person had overdosed, the other individuals fled the property at this point, leaving 2 to manage the situation. 2 contacted emergency services for support. </w:t>
            </w:r>
          </w:p>
          <w:p w14:paraId="1D98C489"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Maslow's Hierarchy of Needs can help explain 2's vulnerability to exploitation and abuse. Prior to meeting these individuals, it appears that 2's basic physiological needs, such as food and shelter, were being met. However, there is evidence that his needs relating to safety, belonging, self-esteem and self-actualisation were not fully met. This may have increased his vulnerability and susceptibility to being exploited by others (McLeod, 2025). It appears that 2 was seeking friendship, acceptance and a sense of belonging. When he met these individuals, he may initially have felt that he had formed meaningful friendships, providing him with a sense of connection, acceptance and improved self-esteem. However, rather than supporting him, these individuals exploited him by using his home, consuming his food, taking his belongings and selling his games console to fund their drug use (Orth, 2019). This exploitation also had a significant impact on 2's safety and security. The presence of Class A drug use in his home, together with the incident in which an individual </w:t>
            </w:r>
            <w:r w:rsidRPr="00756FA9">
              <w:rPr>
                <w:rFonts w:asciiTheme="minorHAnsi" w:hAnsiTheme="minorHAnsi" w:cstheme="minorHAnsi"/>
                <w:sz w:val="24"/>
                <w:szCs w:val="24"/>
              </w:rPr>
              <w:lastRenderedPageBreak/>
              <w:t xml:space="preserve">overdosed and 2 was left to manage the situation alone, created an unsafe environment and placed him at risk of harm. As a result, rather than helping 2 progress towards higher-level needs, these experiences undermined his ability to meet them. Maslow suggests that individuals must have their basic needs met before they can progress towards self-esteem and self-actualisation (Maslow, 1943; McLeod, 2025). When needs relating to safety, security and belonging are not met, this can have a negative impact on both physical and mental wellbeing (McLeod, 2025). </w:t>
            </w:r>
          </w:p>
          <w:p w14:paraId="08B876BE"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People with learning disabilities may experience difficulties recognising exploitation, forming and maintaining meaningful friendships, managing social isolation, understanding risk, and having the confidence and self-esteem to challenge exploitative behaviours (UK Government, 2025). Attachment Theory (Bowlby, 1958) suggests that an individual's early relationships influence how they form and maintain relationships throughout their life. 2 experienced a difficult upbringing and described having poor relationships with his family. As a result, he may not have consistently experienced the love, security and sense of belonging that are typically associated with positive attachment relationships. Consequently, 2 may have been more likely to seek acceptance and connection from others and to value relationships that appeared to meet these emotional needs, even when they were unhealthy or exploitative (Cassidy </w:t>
            </w:r>
            <w:r w:rsidRPr="00756FA9">
              <w:rPr>
                <w:rFonts w:asciiTheme="minorHAnsi" w:hAnsiTheme="minorHAnsi" w:cstheme="minorHAnsi"/>
                <w:i/>
                <w:iCs/>
                <w:sz w:val="24"/>
                <w:szCs w:val="24"/>
              </w:rPr>
              <w:t>et al.</w:t>
            </w:r>
            <w:r w:rsidRPr="00756FA9">
              <w:rPr>
                <w:rFonts w:asciiTheme="minorHAnsi" w:hAnsiTheme="minorHAnsi" w:cstheme="minorHAnsi"/>
                <w:sz w:val="24"/>
                <w:szCs w:val="24"/>
              </w:rPr>
              <w:t>, 2014).</w:t>
            </w:r>
          </w:p>
          <w:p w14:paraId="27B008A1"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2's desire for friendship and social connection may have increased his vulnerability to individuals who appeared to offer friendship. He may have tolerated behaviours that had a negative impact on his wellbeing because these relationships fulfilled an emotional need for belonging and reduced feelings of loneliness. The Attachment Theory would suggest that the fear of losing these relationships, and the sense of belonging they provided, may have made it more difficult for 2 to recognise the extent of the exploitation, establish appropriate boundaries, and challenge the behaviour of those involved (Cassidy </w:t>
            </w:r>
            <w:r w:rsidRPr="00756FA9">
              <w:rPr>
                <w:rFonts w:asciiTheme="minorHAnsi" w:hAnsiTheme="minorHAnsi" w:cstheme="minorHAnsi"/>
                <w:i/>
                <w:iCs/>
                <w:sz w:val="24"/>
                <w:szCs w:val="24"/>
              </w:rPr>
              <w:t xml:space="preserve">et al., </w:t>
            </w:r>
            <w:r w:rsidRPr="00756FA9">
              <w:rPr>
                <w:rFonts w:asciiTheme="minorHAnsi" w:hAnsiTheme="minorHAnsi" w:cstheme="minorHAnsi"/>
                <w:sz w:val="24"/>
                <w:szCs w:val="24"/>
              </w:rPr>
              <w:t>2014). As a result, he remained vulnerable to ongoing abuse and exploitation despite the harm it was causing.</w:t>
            </w:r>
          </w:p>
          <w:p w14:paraId="2747C568"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Using open, sensitive communication, I assured 2 that he had done the right thing in reporting what had been happening. Using empathetic communication and providing a non-judgemental environment, I feel is what helped 2 feel safe enough to open up about his experiences. Sutton (2016) says that effective communication portrays understanding, encourages reflection, and creates psychological safety, making it more likely that a person will continue to share openly. </w:t>
            </w:r>
            <w:r w:rsidRPr="00756FA9">
              <w:rPr>
                <w:rFonts w:asciiTheme="minorHAnsi" w:hAnsiTheme="minorHAnsi" w:cstheme="minorHAnsi"/>
                <w:sz w:val="24"/>
                <w:szCs w:val="24"/>
              </w:rPr>
              <w:lastRenderedPageBreak/>
              <w:t xml:space="preserve">Under Section 3 of the Social Care Wales (SCW, 2017) Code of Professional Practice, social workers in Wales are required to ensure that individuals feel listened to and that appropriate action is taken in response to their concerns. </w:t>
            </w:r>
          </w:p>
          <w:p w14:paraId="076CF41C"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Cuckooing is a form of abuse and exploitation whereby the offender takes over the home of a vulnerable person and uses their home as a base for criminal activity, this could be for selling and taking drugs, financial abuse or as a base to conceal criminal evidence, leaving the person vulnerable to accusations and suspicions of crime (Uk Government, 2026). </w:t>
            </w:r>
          </w:p>
          <w:p w14:paraId="79DD9B07"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2 lives alone in a flat located in one of the 10% most deprived areas of Wales for domains including income, employment, health, education, community safety and physical environment according to the Welsh Index of Multiple Deprivation (WIMD) Consensus 2025 (Welsh Government, 2025). Higher levels of deprivation are more likely to experience poor physical and mental health outcomes, higher unemployment rates, increased reliance on benefits, housing difficulties and homelessness, substance misuse, greater vulnerability to exploitation and increased safeguarding concerns (Welsh Government, 2021). </w:t>
            </w:r>
          </w:p>
          <w:p w14:paraId="459158F9"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Using Bronfenbrenner’s Ecological Systems Theory (1979), I can understand that 2’s vulnerability to cuckooing is not solely a result of his personal circumstances, but also his wider environment (Bronfenbrenner, 1979; Guy-Evans, 2024). For example, this person is living with a mental health illness and learning difficulties whilst also residing in an area affected by deprivation, crime and county lines activity. 2 is also socially isolated, has limited support from family and has a regular income which increases his vulnerability to exploitation. The theory highlights how factors to include the individual’s environment, lack of family support, and community and societal levels interact to influence risk (Bronfenbrenner, 1979; Guy-Evans, 2024). This also highlights the importance of person centred, multiagency approach to safeguarding individuals to ensure the best outcomes for not only the individual but for other vulnerable individuals in the community (Dixon, 2022). </w:t>
            </w:r>
          </w:p>
          <w:p w14:paraId="740F24FE"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Following the disclosure of the criminal activity and 2’s experience of cuckooing, a strategy meeting under Section 126 of the Wales Safeguarding Procedures was convened, where a multiagency approach was taken by inviting all professionals involved in the case to discuss their role and how they could implement safety measures to reduce the risk of ongoing abuse. In this case, 2’s CPN, police, housing worker, care agency, occupational therapist and myself were invited to join the </w:t>
            </w:r>
            <w:r w:rsidRPr="00756FA9">
              <w:rPr>
                <w:rFonts w:asciiTheme="minorHAnsi" w:hAnsiTheme="minorHAnsi" w:cstheme="minorHAnsi"/>
                <w:sz w:val="24"/>
                <w:szCs w:val="24"/>
              </w:rPr>
              <w:lastRenderedPageBreak/>
              <w:t>meeting. A strategy meeting in adult safeguarding is held to bring together relevant professionals and agencies to share information, evaluate risks, and agree on a coordinated plan to safeguard an adult who may be at risk of harm. It promotes effective multi-agency collaboration, ensures safeguarding enquiries are managed appropriately, and supports a person-centred approach by considering the adult’s views, wishes, wellbeing, and desired outcomes when decisions are being made about their safety and protection (Safeguarding Wales, 2026).</w:t>
            </w:r>
          </w:p>
          <w:p w14:paraId="040B0AA1"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The outcome of the strategy meeting was that the housing worker would arrange additional security measures for the property, including an enhanced door entry code system and the installation of a key safe for carers. Care providers agreed to implement an additional 15-minute welfare check during the night and to contact the police if the individuals of concern were present during any visit. The police agreed to increase their presence in the area, particularly during the night, to provide reassurance and act as a deterrent, and the housing worker would report any further noise complaints to the police. The social worker and Community Psychiatric Nurse (CPN) would increase the frequency of home visits to monitor the situation closely. Support with shopping tasks would be provided by the social worker, CPN, or Occupational Therapist (OT). Financial matters would also be monitored closely to reduce the risk of exploitation. To ensure staff safety, all visits would be undertaken jointly, with no lone working taking place. Taking this multidisciplinary approach enables all professionals involved to work collaboratively, share information effectively, and coordinate interventions, ensuring that the individual's needs, safety, and wellbeing remain at the centre of decision-making and that the best possible outcomes are achieved (Social Care Institute for Excellence [SCIE], 2022).</w:t>
            </w:r>
          </w:p>
          <w:p w14:paraId="36A37AC3"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Reflecting on the outcome of the strategy meeting, I recognised how the strengths perspective was used throughout the intervention. Although there were significant safeguarding concerns, professionals focused on identifying ways to support the individual to remain safely in their own home rather than considering more restrictive options. The agreed actions built on the individual's existing strengths and support network, including the involvement of carers, housing services, health professionals, and the police (Westlake </w:t>
            </w:r>
            <w:r w:rsidRPr="00756FA9">
              <w:rPr>
                <w:rFonts w:asciiTheme="minorHAnsi" w:hAnsiTheme="minorHAnsi" w:cstheme="minorHAnsi"/>
                <w:i/>
                <w:iCs/>
                <w:sz w:val="24"/>
                <w:szCs w:val="24"/>
              </w:rPr>
              <w:t>et al.</w:t>
            </w:r>
            <w:r w:rsidRPr="00756FA9">
              <w:rPr>
                <w:rFonts w:asciiTheme="minorHAnsi" w:hAnsiTheme="minorHAnsi" w:cstheme="minorHAnsi"/>
                <w:sz w:val="24"/>
                <w:szCs w:val="24"/>
              </w:rPr>
              <w:t xml:space="preserve">, 2022). By increasing support around the individual, rather than taking control away from them, professionals aimed to promote independence while reducing identified risks (Westlake </w:t>
            </w:r>
            <w:r w:rsidRPr="00756FA9">
              <w:rPr>
                <w:rFonts w:asciiTheme="minorHAnsi" w:hAnsiTheme="minorHAnsi" w:cstheme="minorHAnsi"/>
                <w:i/>
                <w:iCs/>
                <w:sz w:val="24"/>
                <w:szCs w:val="24"/>
              </w:rPr>
              <w:t>et al.,</w:t>
            </w:r>
            <w:r w:rsidRPr="00756FA9">
              <w:rPr>
                <w:rFonts w:asciiTheme="minorHAnsi" w:hAnsiTheme="minorHAnsi" w:cstheme="minorHAnsi"/>
                <w:sz w:val="24"/>
                <w:szCs w:val="24"/>
              </w:rPr>
              <w:t xml:space="preserve"> 2022).</w:t>
            </w:r>
          </w:p>
          <w:p w14:paraId="38A94E20"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lastRenderedPageBreak/>
              <w:t xml:space="preserve">This demonstrated to me that strengths-based practice is not about ignoring risks, but about recognising the individual's abilities, preferences, and available resources when planning interventions (SCIE, 2026). The focus remained on enabling the individual to maintain their daily routines, access their community, and make decisions about their life, while ensuring appropriate safeguards were in place. This reinforced my understanding that effective social work practice involves balancing protection with empowerment, ensuring that individuals are supported to achieve the best possible outcomes while maintaining their dignity, choice, and independence (Duffy </w:t>
            </w:r>
            <w:r w:rsidRPr="00756FA9">
              <w:rPr>
                <w:rFonts w:asciiTheme="minorHAnsi" w:hAnsiTheme="minorHAnsi" w:cstheme="minorHAnsi"/>
                <w:i/>
                <w:iCs/>
                <w:sz w:val="24"/>
                <w:szCs w:val="24"/>
              </w:rPr>
              <w:t xml:space="preserve">et al., </w:t>
            </w:r>
            <w:r w:rsidRPr="00756FA9">
              <w:rPr>
                <w:rFonts w:asciiTheme="minorHAnsi" w:hAnsiTheme="minorHAnsi" w:cstheme="minorHAnsi"/>
                <w:sz w:val="24"/>
                <w:szCs w:val="24"/>
              </w:rPr>
              <w:t>2024).</w:t>
            </w:r>
          </w:p>
          <w:p w14:paraId="5226FFCF"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This case study has shown how complex safeguarding can be when working with adults who have mental health difficulties and learning disabilities. Reflecting on my involvement with Service User 2 helped me understand the importance of professional curiosity, good assessment skills, and effective professional judgement. Although there was no single piece of evidence to suggest exploitation was taking place, identifying patterns across different concerns helped build a clearer picture of the risks he was facing. </w:t>
            </w:r>
          </w:p>
          <w:p w14:paraId="3D308E67"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The case highlighted the importance of the Social Services and Well-being (Wales) Act 2014 and the Wales Safeguarding Procedures in protecting adults at risk. It also demonstrated the need to balance safeguarding responsibilities with an individual's rights, independence, and choice. Throughout the process, efforts were made to ensure that interventions were proportionate, person-centred, and based on the least restrictive approach. </w:t>
            </w:r>
          </w:p>
          <w:p w14:paraId="0AD3D5F8"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Using social work theories helped me better understand why Service User 2 was vulnerable to exploitation. Maslow's Hierarchy of Needs highlighted the impact of unmet needs for safety, belonging, and self-esteem, while Attachment Theory helped explain why he may have been seeking acceptance and friendship from others despite the risks involved. Bronfenbrenner's Ecological Systems Theory also showed how factors such as social isolation, deprivation, mental health difficulties, and limited support networks combined to increase his vulnerability. </w:t>
            </w:r>
          </w:p>
          <w:p w14:paraId="7BC448AE"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t xml:space="preserve">A key learning point from this case was the value of multi-agency working. The involvement of social work, health professionals, housing, carers, and the police ensured that information was shared effectively and that a coordinated safeguarding plan was put in place. This collaborative approach helped reduce risks while enabling the individual to remain safely in his own home. </w:t>
            </w:r>
          </w:p>
          <w:p w14:paraId="34254741" w14:textId="77777777" w:rsidR="00756FA9" w:rsidRPr="00756FA9" w:rsidRDefault="00756FA9" w:rsidP="00756FA9">
            <w:pPr>
              <w:spacing w:line="360" w:lineRule="auto"/>
              <w:rPr>
                <w:rFonts w:asciiTheme="minorHAnsi" w:hAnsiTheme="minorHAnsi" w:cstheme="minorHAnsi"/>
                <w:sz w:val="24"/>
                <w:szCs w:val="24"/>
              </w:rPr>
            </w:pPr>
            <w:r w:rsidRPr="00756FA9">
              <w:rPr>
                <w:rFonts w:asciiTheme="minorHAnsi" w:hAnsiTheme="minorHAnsi" w:cstheme="minorHAnsi"/>
                <w:sz w:val="24"/>
                <w:szCs w:val="24"/>
              </w:rPr>
              <w:lastRenderedPageBreak/>
              <w:t>Overall, this experience reinforced the importance of remaining professionally curious, recognising signs of exploitation, and taking a holistic approach to assessment and intervention. It has strengthened my understanding of safeguarding practice and highlighted the importance of balancing protection with empowerment. Effective safeguarding is not only about responding to harm but also about supporting individuals to maintain their wellbeing, independence, and quality of life.</w:t>
            </w:r>
          </w:p>
          <w:p w14:paraId="152B4ED3" w14:textId="77777777" w:rsidR="00756FA9" w:rsidRPr="00756FA9" w:rsidRDefault="00756FA9" w:rsidP="00756FA9">
            <w:pPr>
              <w:spacing w:line="360" w:lineRule="auto"/>
              <w:jc w:val="both"/>
              <w:rPr>
                <w:rFonts w:asciiTheme="minorHAnsi" w:hAnsiTheme="minorHAnsi" w:cstheme="minorHAnsi"/>
                <w:sz w:val="24"/>
                <w:szCs w:val="24"/>
              </w:rPr>
            </w:pPr>
          </w:p>
          <w:p w14:paraId="397BAFB2" w14:textId="77777777" w:rsidR="00756FA9" w:rsidRPr="00756FA9" w:rsidRDefault="00756FA9" w:rsidP="00756FA9">
            <w:pPr>
              <w:spacing w:line="360" w:lineRule="auto"/>
              <w:jc w:val="both"/>
              <w:rPr>
                <w:rFonts w:asciiTheme="minorHAnsi" w:hAnsiTheme="minorHAnsi" w:cstheme="minorHAnsi"/>
                <w:sz w:val="24"/>
                <w:szCs w:val="24"/>
              </w:rPr>
            </w:pPr>
            <w:r w:rsidRPr="00756FA9">
              <w:rPr>
                <w:rFonts w:asciiTheme="minorHAnsi" w:hAnsiTheme="minorHAnsi" w:cstheme="minorHAnsi"/>
                <w:sz w:val="24"/>
                <w:szCs w:val="24"/>
              </w:rPr>
              <w:t>Word count: 3759</w:t>
            </w:r>
          </w:p>
          <w:p w14:paraId="12DC2F24" w14:textId="24094196" w:rsidR="00D3203C" w:rsidRPr="00756FA9" w:rsidRDefault="00D3203C" w:rsidP="00FF7EBB">
            <w:pPr>
              <w:jc w:val="both"/>
              <w:rPr>
                <w:iCs/>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F4A89" w14:textId="77777777" w:rsidR="00A7682B" w:rsidRDefault="00A7682B">
      <w:r>
        <w:separator/>
      </w:r>
    </w:p>
  </w:endnote>
  <w:endnote w:type="continuationSeparator" w:id="0">
    <w:p w14:paraId="34BFE6AF" w14:textId="77777777" w:rsidR="00A7682B" w:rsidRDefault="00A76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0594D" w14:textId="77777777" w:rsidR="00A7682B" w:rsidRDefault="00A7682B">
      <w:r>
        <w:separator/>
      </w:r>
    </w:p>
  </w:footnote>
  <w:footnote w:type="continuationSeparator" w:id="0">
    <w:p w14:paraId="5BB42F3E" w14:textId="77777777" w:rsidR="00A7682B" w:rsidRDefault="00A76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6F7"/>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17FC"/>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6FA9"/>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2D1"/>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682B"/>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84D8508B77D44B887A2DC9CF6447F9" ma:contentTypeVersion="3" ma:contentTypeDescription="Create a new document." ma:contentTypeScope="" ma:versionID="34e7ce38f15a32c2144b47cb37f5481b">
  <xsd:schema xmlns:xsd="http://www.w3.org/2001/XMLSchema" xmlns:xs="http://www.w3.org/2001/XMLSchema" xmlns:p="http://schemas.microsoft.com/office/2006/metadata/properties" xmlns:ns2="175e71fa-ad2c-4069-a852-228a992f8219" targetNamespace="http://schemas.microsoft.com/office/2006/metadata/properties" ma:root="true" ma:fieldsID="a10bf6e2b187addff98b5211447711da" ns2:_="">
    <xsd:import namespace="175e71fa-ad2c-4069-a852-228a992f821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e71fa-ad2c-4069-a852-228a992f82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A730C977-AA1A-4BE5-BCF0-128EF8AE7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e71fa-ad2c-4069-a852-228a992f82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7CE4C4B2-C329-4B6D-8F16-5C5D47B9287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3982</Words>
  <Characters>22702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Jenny M. Thomas</cp:lastModifiedBy>
  <cp:revision>3</cp:revision>
  <cp:lastPrinted>2020-02-11T19:20:00Z</cp:lastPrinted>
  <dcterms:created xsi:type="dcterms:W3CDTF">2026-09-29T15:43:00Z</dcterms:created>
  <dcterms:modified xsi:type="dcterms:W3CDTF">2026-09-29T15:43:00Z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0x010100A584D8508B77D44B887A2DC9CF6447F9</vt:lpwstr>
  </property>
  <property fmtid="{D5CDD505-2E9C-101B-9397-08002B2CF9AE}" pid="3" name="docLang">
    <vt:lpwstr>en</vt:lpwstr>
  </property>
</Properties>
</file>