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53E78" w14:textId="191B30BF" w:rsidR="00E4232E" w:rsidRPr="00E4232E" w:rsidRDefault="00E4232E" w:rsidP="00E4232E">
      <w:pPr>
        <w:jc w:val="center"/>
        <w:rPr>
          <w:b/>
          <w:bCs/>
          <w:sz w:val="32"/>
          <w:szCs w:val="32"/>
        </w:rPr>
      </w:pPr>
      <w:bookmarkStart w:id="0" w:name="OLE_LINK7"/>
      <w:r w:rsidRPr="00E4232E">
        <w:rPr>
          <w:rFonts w:ascii="Arial" w:hAnsi="Arial" w:cs="Arial"/>
          <w:b/>
          <w:bCs/>
          <w:noProof/>
          <w:sz w:val="32"/>
          <w:szCs w:val="32"/>
        </w:rPr>
        <w:drawing>
          <wp:anchor distT="0" distB="0" distL="114300" distR="114300" simplePos="0" relativeHeight="251659264" behindDoc="0" locked="0" layoutInCell="1" allowOverlap="1" wp14:anchorId="4329DB97" wp14:editId="726D71E2">
            <wp:simplePos x="0" y="0"/>
            <wp:positionH relativeFrom="column">
              <wp:posOffset>2156178</wp:posOffset>
            </wp:positionH>
            <wp:positionV relativeFrom="paragraph">
              <wp:posOffset>383610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406A81F" w14:textId="77777777" w:rsidR="00E4232E" w:rsidRPr="00E4232E" w:rsidRDefault="00E4232E" w:rsidP="00E4232E">
      <w:pPr>
        <w:jc w:val="center"/>
        <w:rPr>
          <w:b/>
          <w:bCs/>
          <w:sz w:val="32"/>
          <w:szCs w:val="32"/>
        </w:rPr>
      </w:pPr>
    </w:p>
    <w:p w14:paraId="45371A3A" w14:textId="77777777" w:rsidR="00E4232E" w:rsidRPr="00E4232E" w:rsidRDefault="00E4232E" w:rsidP="00E4232E">
      <w:pPr>
        <w:jc w:val="center"/>
        <w:rPr>
          <w:b/>
          <w:bCs/>
          <w:sz w:val="32"/>
          <w:szCs w:val="32"/>
        </w:rPr>
      </w:pPr>
    </w:p>
    <w:p w14:paraId="324460D6" w14:textId="0BD633A0" w:rsidR="00E4232E" w:rsidRPr="003B0CAC" w:rsidRDefault="003B0CAC" w:rsidP="00E4232E">
      <w:pPr>
        <w:jc w:val="center"/>
        <w:rPr>
          <w:b/>
          <w:bCs/>
          <w:sz w:val="28"/>
          <w:szCs w:val="28"/>
        </w:rPr>
      </w:pPr>
      <w:r w:rsidRPr="003B0CAC">
        <w:rPr>
          <w:b/>
          <w:bCs/>
          <w:sz w:val="28"/>
          <w:szCs w:val="28"/>
        </w:rPr>
        <w:t xml:space="preserve">LCBB4013 </w:t>
      </w:r>
      <w:r w:rsidR="00E4232E" w:rsidRPr="003B0CAC">
        <w:rPr>
          <w:b/>
          <w:bCs/>
          <w:sz w:val="28"/>
          <w:szCs w:val="28"/>
        </w:rPr>
        <w:t>Stakeholder Engagement</w:t>
      </w:r>
    </w:p>
    <w:p w14:paraId="1934861A" w14:textId="777A6623" w:rsidR="00E4232E" w:rsidRPr="003B0CAC" w:rsidRDefault="00E4232E" w:rsidP="00E4232E">
      <w:pPr>
        <w:jc w:val="center"/>
        <w:rPr>
          <w:b/>
          <w:bCs/>
          <w:sz w:val="28"/>
          <w:szCs w:val="28"/>
        </w:rPr>
      </w:pPr>
      <w:r w:rsidRPr="003B0CAC">
        <w:rPr>
          <w:b/>
          <w:bCs/>
          <w:sz w:val="28"/>
          <w:szCs w:val="28"/>
        </w:rPr>
        <w:t>Component 1: Coursework-Portfolio (4 elements)</w:t>
      </w:r>
    </w:p>
    <w:p w14:paraId="68FFECA3" w14:textId="77777777" w:rsidR="003B0CAC" w:rsidRPr="003B0CAC" w:rsidRDefault="003B0CAC" w:rsidP="003B0CAC">
      <w:pPr>
        <w:jc w:val="center"/>
        <w:rPr>
          <w:b/>
          <w:bCs/>
          <w:sz w:val="28"/>
          <w:szCs w:val="28"/>
        </w:rPr>
      </w:pPr>
      <w:r w:rsidRPr="003B0CAC">
        <w:rPr>
          <w:b/>
          <w:bCs/>
          <w:sz w:val="28"/>
          <w:szCs w:val="28"/>
        </w:rPr>
        <w:t>Student name: Syed Mosharraf Ali</w:t>
      </w:r>
    </w:p>
    <w:p w14:paraId="2DAD3611" w14:textId="296EB6D7" w:rsidR="003B0CAC" w:rsidRPr="003B0CAC" w:rsidRDefault="003B0CAC" w:rsidP="003B0CAC">
      <w:pPr>
        <w:jc w:val="center"/>
        <w:rPr>
          <w:b/>
          <w:bCs/>
          <w:sz w:val="28"/>
          <w:szCs w:val="28"/>
        </w:rPr>
      </w:pPr>
      <w:r w:rsidRPr="003B0CAC">
        <w:rPr>
          <w:b/>
          <w:bCs/>
          <w:sz w:val="28"/>
          <w:szCs w:val="28"/>
        </w:rPr>
        <w:t>Student ID: 2028971</w:t>
      </w:r>
    </w:p>
    <w:p w14:paraId="749B9928" w14:textId="44B746E4" w:rsidR="00E4232E" w:rsidRPr="003B0CAC" w:rsidRDefault="00E4232E" w:rsidP="00E4232E">
      <w:pPr>
        <w:jc w:val="center"/>
        <w:rPr>
          <w:b/>
          <w:bCs/>
          <w:sz w:val="28"/>
          <w:szCs w:val="28"/>
        </w:rPr>
      </w:pPr>
      <w:r w:rsidRPr="003B0CAC">
        <w:rPr>
          <w:b/>
          <w:bCs/>
          <w:sz w:val="28"/>
          <w:szCs w:val="28"/>
        </w:rPr>
        <w:t>Word count: 3</w:t>
      </w:r>
      <w:r w:rsidR="003F43A5" w:rsidRPr="003B0CAC">
        <w:rPr>
          <w:b/>
          <w:bCs/>
          <w:sz w:val="28"/>
          <w:szCs w:val="28"/>
        </w:rPr>
        <w:t>2</w:t>
      </w:r>
      <w:r w:rsidR="00D379AF" w:rsidRPr="003B0CAC">
        <w:rPr>
          <w:b/>
          <w:bCs/>
          <w:sz w:val="28"/>
          <w:szCs w:val="28"/>
        </w:rPr>
        <w:t>31</w:t>
      </w:r>
      <w:r w:rsidRPr="003B0CAC">
        <w:rPr>
          <w:b/>
          <w:bCs/>
          <w:sz w:val="28"/>
          <w:szCs w:val="28"/>
        </w:rPr>
        <w:t xml:space="preserve"> words</w:t>
      </w:r>
    </w:p>
    <w:p w14:paraId="13754B7B" w14:textId="4F71F382" w:rsidR="00E4232E" w:rsidRDefault="00E4232E">
      <w:pPr>
        <w:spacing w:after="160" w:afterAutospacing="0" w:line="278" w:lineRule="auto"/>
        <w:jc w:val="left"/>
      </w:pPr>
      <w:r>
        <w:br w:type="page"/>
      </w:r>
    </w:p>
    <w:sdt>
      <w:sdtPr>
        <w:rPr>
          <w:rFonts w:ascii="Times New Roman" w:hAnsi="Times New Roman"/>
          <w:b/>
          <w:bCs/>
          <w:sz w:val="24"/>
          <w:szCs w:val="24"/>
          <w:lang w:bidi="bn-IN"/>
        </w:rPr>
        <w:id w:val="-40907138"/>
        <w:docPartObj>
          <w:docPartGallery w:val="Table of Contents"/>
          <w:docPartUnique/>
        </w:docPartObj>
      </w:sdtPr>
      <w:sdtEndPr>
        <w:rPr>
          <w:b w:val="0"/>
          <w:bCs w:val="0"/>
          <w:noProof/>
        </w:rPr>
      </w:sdtEndPr>
      <w:sdtContent>
        <w:p w14:paraId="09309425" w14:textId="36EB4507" w:rsidR="00E4232E" w:rsidRPr="00E4232E" w:rsidRDefault="00E4232E" w:rsidP="00E4232E">
          <w:pPr>
            <w:pStyle w:val="TOCHeading"/>
            <w:spacing w:before="0" w:line="240" w:lineRule="auto"/>
            <w:rPr>
              <w:rFonts w:ascii="Times New Roman" w:hAnsi="Times New Roman"/>
              <w:b/>
              <w:bCs/>
            </w:rPr>
          </w:pPr>
          <w:r w:rsidRPr="00E4232E">
            <w:rPr>
              <w:rFonts w:ascii="Times New Roman" w:hAnsi="Times New Roman"/>
              <w:b/>
              <w:bCs/>
            </w:rPr>
            <w:t>Table of Contents</w:t>
          </w:r>
        </w:p>
        <w:p w14:paraId="4202BA6B" w14:textId="08897254" w:rsidR="00E4232E" w:rsidRPr="00E4232E" w:rsidRDefault="00E4232E" w:rsidP="00E4232E">
          <w:pPr>
            <w:pStyle w:val="TOC1"/>
            <w:tabs>
              <w:tab w:val="right" w:leader="dot" w:pos="9350"/>
            </w:tabs>
            <w:spacing w:before="0" w:line="240" w:lineRule="auto"/>
            <w:rPr>
              <w:rFonts w:ascii="Times New Roman" w:eastAsiaTheme="minorEastAsia" w:hAnsi="Times New Roman" w:cs="Times New Roman"/>
              <w:b w:val="0"/>
              <w:bCs w:val="0"/>
              <w:i w:val="0"/>
              <w:iCs w:val="0"/>
              <w:noProof/>
              <w:kern w:val="2"/>
              <w:szCs w:val="30"/>
              <w14:ligatures w14:val="standardContextual"/>
            </w:rPr>
          </w:pPr>
          <w:r w:rsidRPr="00E4232E">
            <w:rPr>
              <w:rFonts w:ascii="Times New Roman" w:hAnsi="Times New Roman" w:cs="Times New Roman"/>
              <w:b w:val="0"/>
              <w:bCs w:val="0"/>
              <w:i w:val="0"/>
              <w:iCs w:val="0"/>
            </w:rPr>
            <w:fldChar w:fldCharType="begin"/>
          </w:r>
          <w:r w:rsidRPr="00E4232E">
            <w:rPr>
              <w:rFonts w:ascii="Times New Roman" w:hAnsi="Times New Roman" w:cs="Times New Roman"/>
              <w:b w:val="0"/>
              <w:bCs w:val="0"/>
              <w:i w:val="0"/>
              <w:iCs w:val="0"/>
            </w:rPr>
            <w:instrText xml:space="preserve"> TOC \o "1-3" \h \z \u </w:instrText>
          </w:r>
          <w:r w:rsidRPr="00E4232E">
            <w:rPr>
              <w:rFonts w:ascii="Times New Roman" w:hAnsi="Times New Roman" w:cs="Times New Roman"/>
              <w:b w:val="0"/>
              <w:bCs w:val="0"/>
              <w:i w:val="0"/>
              <w:iCs w:val="0"/>
            </w:rPr>
            <w:fldChar w:fldCharType="separate"/>
          </w:r>
          <w:hyperlink w:anchor="_Toc233789284" w:history="1">
            <w:r w:rsidRPr="00E4232E">
              <w:rPr>
                <w:rStyle w:val="Hyperlink"/>
                <w:rFonts w:ascii="Times New Roman" w:eastAsiaTheme="majorEastAsia" w:hAnsi="Times New Roman" w:cs="Times New Roman"/>
                <w:b w:val="0"/>
                <w:bCs w:val="0"/>
                <w:i w:val="0"/>
                <w:iCs w:val="0"/>
                <w:noProof/>
              </w:rPr>
              <w:t>Element 1: Introduction</w:t>
            </w:r>
            <w:r w:rsidRPr="00E4232E">
              <w:rPr>
                <w:rFonts w:ascii="Times New Roman" w:hAnsi="Times New Roman" w:cs="Times New Roman"/>
                <w:b w:val="0"/>
                <w:bCs w:val="0"/>
                <w:i w:val="0"/>
                <w:iCs w:val="0"/>
                <w:noProof/>
                <w:webHidden/>
              </w:rPr>
              <w:tab/>
            </w:r>
            <w:r w:rsidRPr="00E4232E">
              <w:rPr>
                <w:rFonts w:ascii="Times New Roman" w:hAnsi="Times New Roman" w:cs="Times New Roman"/>
                <w:b w:val="0"/>
                <w:bCs w:val="0"/>
                <w:i w:val="0"/>
                <w:iCs w:val="0"/>
                <w:noProof/>
                <w:webHidden/>
              </w:rPr>
              <w:fldChar w:fldCharType="begin"/>
            </w:r>
            <w:r w:rsidRPr="00E4232E">
              <w:rPr>
                <w:rFonts w:ascii="Times New Roman" w:hAnsi="Times New Roman" w:cs="Times New Roman"/>
                <w:b w:val="0"/>
                <w:bCs w:val="0"/>
                <w:i w:val="0"/>
                <w:iCs w:val="0"/>
                <w:noProof/>
                <w:webHidden/>
              </w:rPr>
              <w:instrText xml:space="preserve"> PAGEREF _Toc233789284 \h </w:instrText>
            </w:r>
            <w:r w:rsidRPr="00E4232E">
              <w:rPr>
                <w:rFonts w:ascii="Times New Roman" w:hAnsi="Times New Roman" w:cs="Times New Roman"/>
                <w:b w:val="0"/>
                <w:bCs w:val="0"/>
                <w:i w:val="0"/>
                <w:iCs w:val="0"/>
                <w:noProof/>
                <w:webHidden/>
              </w:rPr>
            </w:r>
            <w:r w:rsidRPr="00E4232E">
              <w:rPr>
                <w:rFonts w:ascii="Times New Roman" w:hAnsi="Times New Roman" w:cs="Times New Roman"/>
                <w:b w:val="0"/>
                <w:bCs w:val="0"/>
                <w:i w:val="0"/>
                <w:iCs w:val="0"/>
                <w:noProof/>
                <w:webHidden/>
              </w:rPr>
              <w:fldChar w:fldCharType="separate"/>
            </w:r>
            <w:r w:rsidR="0088640E">
              <w:rPr>
                <w:rFonts w:ascii="Times New Roman" w:hAnsi="Times New Roman" w:cs="Times New Roman"/>
                <w:b w:val="0"/>
                <w:bCs w:val="0"/>
                <w:i w:val="0"/>
                <w:iCs w:val="0"/>
                <w:noProof/>
                <w:webHidden/>
              </w:rPr>
              <w:t>4</w:t>
            </w:r>
            <w:r w:rsidRPr="00E4232E">
              <w:rPr>
                <w:rFonts w:ascii="Times New Roman" w:hAnsi="Times New Roman" w:cs="Times New Roman"/>
                <w:b w:val="0"/>
                <w:bCs w:val="0"/>
                <w:i w:val="0"/>
                <w:iCs w:val="0"/>
                <w:noProof/>
                <w:webHidden/>
              </w:rPr>
              <w:fldChar w:fldCharType="end"/>
            </w:r>
          </w:hyperlink>
        </w:p>
        <w:p w14:paraId="7DB679CD" w14:textId="7201A9C6"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85" w:history="1">
            <w:r w:rsidR="00E4232E" w:rsidRPr="00E4232E">
              <w:rPr>
                <w:rStyle w:val="Hyperlink"/>
                <w:rFonts w:ascii="Times New Roman" w:eastAsiaTheme="majorEastAsia" w:hAnsi="Times New Roman" w:cs="Times New Roman"/>
                <w:b w:val="0"/>
                <w:bCs w:val="0"/>
                <w:noProof/>
              </w:rPr>
              <w:t>1.1 Introduction to Stakeholder Engagement</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_Toc233789285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4</w:t>
            </w:r>
            <w:r w:rsidR="00E4232E" w:rsidRPr="00E4232E">
              <w:rPr>
                <w:rFonts w:ascii="Times New Roman" w:hAnsi="Times New Roman" w:cs="Times New Roman"/>
                <w:b w:val="0"/>
                <w:bCs w:val="0"/>
                <w:noProof/>
                <w:webHidden/>
              </w:rPr>
              <w:fldChar w:fldCharType="end"/>
            </w:r>
          </w:hyperlink>
        </w:p>
        <w:p w14:paraId="5C6BB2FE" w14:textId="23BFB06E"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86" w:history="1">
            <w:r w:rsidR="00E4232E" w:rsidRPr="00E4232E">
              <w:rPr>
                <w:rStyle w:val="Hyperlink"/>
                <w:rFonts w:ascii="Times New Roman" w:eastAsiaTheme="majorEastAsia" w:hAnsi="Times New Roman" w:cs="Times New Roman"/>
                <w:b w:val="0"/>
                <w:bCs w:val="0"/>
                <w:noProof/>
              </w:rPr>
              <w:t>1.2 Project Background</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_Toc233789286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5</w:t>
            </w:r>
            <w:r w:rsidR="00E4232E" w:rsidRPr="00E4232E">
              <w:rPr>
                <w:rFonts w:ascii="Times New Roman" w:hAnsi="Times New Roman" w:cs="Times New Roman"/>
                <w:b w:val="0"/>
                <w:bCs w:val="0"/>
                <w:noProof/>
                <w:webHidden/>
              </w:rPr>
              <w:fldChar w:fldCharType="end"/>
            </w:r>
          </w:hyperlink>
        </w:p>
        <w:p w14:paraId="2ABEAE57" w14:textId="33111B9B"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87" w:history="1">
            <w:r w:rsidR="00E4232E" w:rsidRPr="00E4232E">
              <w:rPr>
                <w:rStyle w:val="Hyperlink"/>
                <w:rFonts w:ascii="Times New Roman" w:eastAsiaTheme="majorEastAsia" w:hAnsi="Times New Roman" w:cs="Times New Roman"/>
                <w:b w:val="0"/>
                <w:bCs w:val="0"/>
                <w:noProof/>
              </w:rPr>
              <w:t>1.3 Project Relevance</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_Toc233789287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5</w:t>
            </w:r>
            <w:r w:rsidR="00E4232E" w:rsidRPr="00E4232E">
              <w:rPr>
                <w:rFonts w:ascii="Times New Roman" w:hAnsi="Times New Roman" w:cs="Times New Roman"/>
                <w:b w:val="0"/>
                <w:bCs w:val="0"/>
                <w:noProof/>
                <w:webHidden/>
              </w:rPr>
              <w:fldChar w:fldCharType="end"/>
            </w:r>
          </w:hyperlink>
        </w:p>
        <w:p w14:paraId="703300F1" w14:textId="303B1DB6"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88" w:history="1">
            <w:r w:rsidR="00E4232E" w:rsidRPr="00E4232E">
              <w:rPr>
                <w:rStyle w:val="Hyperlink"/>
                <w:rFonts w:ascii="Times New Roman" w:eastAsiaTheme="majorEastAsia" w:hAnsi="Times New Roman" w:cs="Times New Roman"/>
                <w:b w:val="0"/>
                <w:bCs w:val="0"/>
                <w:noProof/>
              </w:rPr>
              <w:t>1.4 Identification of Key Stakeholders</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_Toc233789288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5</w:t>
            </w:r>
            <w:r w:rsidR="00E4232E" w:rsidRPr="00E4232E">
              <w:rPr>
                <w:rFonts w:ascii="Times New Roman" w:hAnsi="Times New Roman" w:cs="Times New Roman"/>
                <w:b w:val="0"/>
                <w:bCs w:val="0"/>
                <w:noProof/>
                <w:webHidden/>
              </w:rPr>
              <w:fldChar w:fldCharType="end"/>
            </w:r>
          </w:hyperlink>
        </w:p>
        <w:p w14:paraId="6FB8065F" w14:textId="11518647" w:rsidR="00E4232E" w:rsidRPr="00E4232E" w:rsidRDefault="000C59FA" w:rsidP="00E4232E">
          <w:pPr>
            <w:pStyle w:val="TOC1"/>
            <w:tabs>
              <w:tab w:val="right" w:leader="dot" w:pos="9350"/>
            </w:tabs>
            <w:spacing w:before="0" w:line="240" w:lineRule="auto"/>
            <w:rPr>
              <w:rFonts w:ascii="Times New Roman" w:eastAsiaTheme="minorEastAsia" w:hAnsi="Times New Roman" w:cs="Times New Roman"/>
              <w:b w:val="0"/>
              <w:bCs w:val="0"/>
              <w:i w:val="0"/>
              <w:iCs w:val="0"/>
              <w:noProof/>
              <w:kern w:val="2"/>
              <w:szCs w:val="30"/>
              <w14:ligatures w14:val="standardContextual"/>
            </w:rPr>
          </w:pPr>
          <w:hyperlink w:anchor="_Toc233789289" w:history="1">
            <w:r w:rsidR="00E4232E" w:rsidRPr="00E4232E">
              <w:rPr>
                <w:rStyle w:val="Hyperlink"/>
                <w:rFonts w:ascii="Times New Roman" w:eastAsiaTheme="majorEastAsia" w:hAnsi="Times New Roman" w:cs="Times New Roman"/>
                <w:b w:val="0"/>
                <w:bCs w:val="0"/>
                <w:i w:val="0"/>
                <w:iCs w:val="0"/>
                <w:noProof/>
              </w:rPr>
              <w:t>ELEMENT 2: Application to Include Stakeholder Engagement Strategies</w:t>
            </w:r>
            <w:r w:rsidR="00E4232E" w:rsidRPr="00E4232E">
              <w:rPr>
                <w:rFonts w:ascii="Times New Roman" w:hAnsi="Times New Roman" w:cs="Times New Roman"/>
                <w:b w:val="0"/>
                <w:bCs w:val="0"/>
                <w:i w:val="0"/>
                <w:iCs w:val="0"/>
                <w:noProof/>
                <w:webHidden/>
              </w:rPr>
              <w:tab/>
            </w:r>
            <w:r w:rsidR="00E4232E" w:rsidRPr="00E4232E">
              <w:rPr>
                <w:rFonts w:ascii="Times New Roman" w:hAnsi="Times New Roman" w:cs="Times New Roman"/>
                <w:b w:val="0"/>
                <w:bCs w:val="0"/>
                <w:i w:val="0"/>
                <w:iCs w:val="0"/>
                <w:noProof/>
                <w:webHidden/>
              </w:rPr>
              <w:fldChar w:fldCharType="begin"/>
            </w:r>
            <w:r w:rsidR="00E4232E" w:rsidRPr="00E4232E">
              <w:rPr>
                <w:rFonts w:ascii="Times New Roman" w:hAnsi="Times New Roman" w:cs="Times New Roman"/>
                <w:b w:val="0"/>
                <w:bCs w:val="0"/>
                <w:i w:val="0"/>
                <w:iCs w:val="0"/>
                <w:noProof/>
                <w:webHidden/>
              </w:rPr>
              <w:instrText xml:space="preserve"> PAGEREF _Toc233789289 \h </w:instrText>
            </w:r>
            <w:r w:rsidR="00E4232E" w:rsidRPr="00E4232E">
              <w:rPr>
                <w:rFonts w:ascii="Times New Roman" w:hAnsi="Times New Roman" w:cs="Times New Roman"/>
                <w:b w:val="0"/>
                <w:bCs w:val="0"/>
                <w:i w:val="0"/>
                <w:iCs w:val="0"/>
                <w:noProof/>
                <w:webHidden/>
              </w:rPr>
            </w:r>
            <w:r w:rsidR="00E4232E" w:rsidRPr="00E4232E">
              <w:rPr>
                <w:rFonts w:ascii="Times New Roman" w:hAnsi="Times New Roman" w:cs="Times New Roman"/>
                <w:b w:val="0"/>
                <w:bCs w:val="0"/>
                <w:i w:val="0"/>
                <w:iCs w:val="0"/>
                <w:noProof/>
                <w:webHidden/>
              </w:rPr>
              <w:fldChar w:fldCharType="separate"/>
            </w:r>
            <w:r w:rsidR="0088640E">
              <w:rPr>
                <w:rFonts w:ascii="Times New Roman" w:hAnsi="Times New Roman" w:cs="Times New Roman"/>
                <w:b w:val="0"/>
                <w:bCs w:val="0"/>
                <w:i w:val="0"/>
                <w:iCs w:val="0"/>
                <w:noProof/>
                <w:webHidden/>
              </w:rPr>
              <w:t>7</w:t>
            </w:r>
            <w:r w:rsidR="00E4232E" w:rsidRPr="00E4232E">
              <w:rPr>
                <w:rFonts w:ascii="Times New Roman" w:hAnsi="Times New Roman" w:cs="Times New Roman"/>
                <w:b w:val="0"/>
                <w:bCs w:val="0"/>
                <w:i w:val="0"/>
                <w:iCs w:val="0"/>
                <w:noProof/>
                <w:webHidden/>
              </w:rPr>
              <w:fldChar w:fldCharType="end"/>
            </w:r>
          </w:hyperlink>
        </w:p>
        <w:p w14:paraId="01D96F37" w14:textId="2C019E86"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0" w:history="1">
            <w:r w:rsidR="00E4232E" w:rsidRPr="00E4232E">
              <w:rPr>
                <w:rStyle w:val="Hyperlink"/>
                <w:rFonts w:ascii="Times New Roman" w:eastAsiaTheme="majorEastAsia" w:hAnsi="Times New Roman" w:cs="Times New Roman"/>
                <w:b w:val="0"/>
                <w:bCs w:val="0"/>
                <w:noProof/>
              </w:rPr>
              <w:t>2.1 Introduction to Stakeholder Engagement Strategy</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_Toc233789290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7</w:t>
            </w:r>
            <w:r w:rsidR="00E4232E" w:rsidRPr="00E4232E">
              <w:rPr>
                <w:rFonts w:ascii="Times New Roman" w:hAnsi="Times New Roman" w:cs="Times New Roman"/>
                <w:b w:val="0"/>
                <w:bCs w:val="0"/>
                <w:noProof/>
                <w:webHidden/>
              </w:rPr>
              <w:fldChar w:fldCharType="end"/>
            </w:r>
          </w:hyperlink>
        </w:p>
        <w:p w14:paraId="0D8C3879" w14:textId="7A228650"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1" w:history="1">
            <w:r w:rsidR="00E4232E" w:rsidRPr="00E4232E">
              <w:rPr>
                <w:rStyle w:val="Hyperlink"/>
                <w:rFonts w:ascii="Times New Roman" w:eastAsiaTheme="majorEastAsia" w:hAnsi="Times New Roman" w:cs="Times New Roman"/>
                <w:b w:val="0"/>
                <w:bCs w:val="0"/>
                <w:noProof/>
              </w:rPr>
              <w:t>2.2 Stakeholder Power–Interest–Influence Analysis</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_Toc233789291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7</w:t>
            </w:r>
            <w:r w:rsidR="00E4232E" w:rsidRPr="00E4232E">
              <w:rPr>
                <w:rFonts w:ascii="Times New Roman" w:hAnsi="Times New Roman" w:cs="Times New Roman"/>
                <w:b w:val="0"/>
                <w:bCs w:val="0"/>
                <w:noProof/>
                <w:webHidden/>
              </w:rPr>
              <w:fldChar w:fldCharType="end"/>
            </w:r>
          </w:hyperlink>
        </w:p>
        <w:p w14:paraId="575F22DE" w14:textId="044F26A0"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2" w:history="1">
            <w:r w:rsidR="00E4232E" w:rsidRPr="00E4232E">
              <w:rPr>
                <w:rStyle w:val="Hyperlink"/>
                <w:rFonts w:ascii="Times New Roman" w:eastAsiaTheme="majorEastAsia" w:hAnsi="Times New Roman" w:cs="Times New Roman"/>
                <w:b w:val="0"/>
                <w:bCs w:val="0"/>
                <w:noProof/>
              </w:rPr>
              <w:t>2.3 Stakeholder Power–Interest Matrix</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_Toc233789292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9</w:t>
            </w:r>
            <w:r w:rsidR="00E4232E" w:rsidRPr="00E4232E">
              <w:rPr>
                <w:rFonts w:ascii="Times New Roman" w:hAnsi="Times New Roman" w:cs="Times New Roman"/>
                <w:b w:val="0"/>
                <w:bCs w:val="0"/>
                <w:noProof/>
                <w:webHidden/>
              </w:rPr>
              <w:fldChar w:fldCharType="end"/>
            </w:r>
          </w:hyperlink>
        </w:p>
        <w:p w14:paraId="77C9963B" w14:textId="170695B6"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3" w:history="1">
            <w:r w:rsidR="00E4232E" w:rsidRPr="00E4232E">
              <w:rPr>
                <w:rStyle w:val="Hyperlink"/>
                <w:rFonts w:ascii="Times New Roman" w:eastAsiaTheme="majorEastAsia" w:hAnsi="Times New Roman" w:cs="Times New Roman"/>
                <w:b w:val="0"/>
                <w:bCs w:val="0"/>
                <w:noProof/>
              </w:rPr>
              <w:t>2.4 Communication Plan</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_Toc233789293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11</w:t>
            </w:r>
            <w:r w:rsidR="00E4232E" w:rsidRPr="00E4232E">
              <w:rPr>
                <w:rFonts w:ascii="Times New Roman" w:hAnsi="Times New Roman" w:cs="Times New Roman"/>
                <w:b w:val="0"/>
                <w:bCs w:val="0"/>
                <w:noProof/>
                <w:webHidden/>
              </w:rPr>
              <w:fldChar w:fldCharType="end"/>
            </w:r>
          </w:hyperlink>
        </w:p>
        <w:p w14:paraId="0B9551BE" w14:textId="049CB5F2"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4" w:history="1">
            <w:r w:rsidR="00E4232E" w:rsidRPr="00E4232E">
              <w:rPr>
                <w:rStyle w:val="Hyperlink"/>
                <w:rFonts w:ascii="Times New Roman" w:eastAsiaTheme="majorEastAsia" w:hAnsi="Times New Roman" w:cs="Times New Roman"/>
                <w:b w:val="0"/>
                <w:bCs w:val="0"/>
                <w:noProof/>
              </w:rPr>
              <w:t>2.5 Consultation Strategy</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_Toc233789294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13</w:t>
            </w:r>
            <w:r w:rsidR="00E4232E" w:rsidRPr="00E4232E">
              <w:rPr>
                <w:rFonts w:ascii="Times New Roman" w:hAnsi="Times New Roman" w:cs="Times New Roman"/>
                <w:b w:val="0"/>
                <w:bCs w:val="0"/>
                <w:noProof/>
                <w:webHidden/>
              </w:rPr>
              <w:fldChar w:fldCharType="end"/>
            </w:r>
          </w:hyperlink>
        </w:p>
        <w:p w14:paraId="7A6DA6AF" w14:textId="19D9416B"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5" w:history="1">
            <w:r w:rsidR="00E4232E" w:rsidRPr="00E4232E">
              <w:rPr>
                <w:rStyle w:val="Hyperlink"/>
                <w:rFonts w:ascii="Times New Roman" w:eastAsiaTheme="majorEastAsia" w:hAnsi="Times New Roman" w:cs="Times New Roman"/>
                <w:b w:val="0"/>
                <w:bCs w:val="0"/>
                <w:noProof/>
              </w:rPr>
              <w:t>Element 3: Ethical Consideration in Stakeholder Consultation, Participation and Feedback</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_Toc233789295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14</w:t>
            </w:r>
            <w:r w:rsidR="00E4232E" w:rsidRPr="00E4232E">
              <w:rPr>
                <w:rFonts w:ascii="Times New Roman" w:hAnsi="Times New Roman" w:cs="Times New Roman"/>
                <w:b w:val="0"/>
                <w:bCs w:val="0"/>
                <w:noProof/>
                <w:webHidden/>
              </w:rPr>
              <w:fldChar w:fldCharType="end"/>
            </w:r>
          </w:hyperlink>
        </w:p>
        <w:p w14:paraId="5BA07E69" w14:textId="6C648A90"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6" w:history="1">
            <w:r w:rsidR="00E4232E" w:rsidRPr="00E4232E">
              <w:rPr>
                <w:rStyle w:val="Hyperlink"/>
                <w:rFonts w:ascii="Times New Roman" w:eastAsiaTheme="majorEastAsia" w:hAnsi="Times New Roman" w:cs="Times New Roman"/>
                <w:b w:val="0"/>
                <w:bCs w:val="0"/>
                <w:noProof/>
              </w:rPr>
              <w:t>3.1 Introduction to Ethical Stakeholder Consultation</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_Toc233789296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14</w:t>
            </w:r>
            <w:r w:rsidR="00E4232E" w:rsidRPr="00E4232E">
              <w:rPr>
                <w:rFonts w:ascii="Times New Roman" w:hAnsi="Times New Roman" w:cs="Times New Roman"/>
                <w:b w:val="0"/>
                <w:bCs w:val="0"/>
                <w:noProof/>
                <w:webHidden/>
              </w:rPr>
              <w:fldChar w:fldCharType="end"/>
            </w:r>
          </w:hyperlink>
        </w:p>
        <w:p w14:paraId="371E5F22" w14:textId="6404B17E"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7" w:history="1">
            <w:r w:rsidR="00E4232E" w:rsidRPr="00E4232E">
              <w:rPr>
                <w:rStyle w:val="Hyperlink"/>
                <w:rFonts w:ascii="Times New Roman" w:eastAsiaTheme="majorEastAsia" w:hAnsi="Times New Roman" w:cs="Times New Roman"/>
                <w:b w:val="0"/>
                <w:bCs w:val="0"/>
                <w:noProof/>
              </w:rPr>
              <w:t>3.2 Consultation Methods</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_Toc233789297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14</w:t>
            </w:r>
            <w:r w:rsidR="00E4232E" w:rsidRPr="00E4232E">
              <w:rPr>
                <w:rFonts w:ascii="Times New Roman" w:hAnsi="Times New Roman" w:cs="Times New Roman"/>
                <w:b w:val="0"/>
                <w:bCs w:val="0"/>
                <w:noProof/>
                <w:webHidden/>
              </w:rPr>
              <w:fldChar w:fldCharType="end"/>
            </w:r>
          </w:hyperlink>
        </w:p>
        <w:p w14:paraId="23345ECA" w14:textId="38DD5FCD"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8" w:history="1">
            <w:r w:rsidR="00E4232E" w:rsidRPr="00E4232E">
              <w:rPr>
                <w:rStyle w:val="Hyperlink"/>
                <w:rFonts w:ascii="Times New Roman" w:eastAsiaTheme="majorEastAsia" w:hAnsi="Times New Roman" w:cs="Times New Roman"/>
                <w:b w:val="0"/>
                <w:bCs w:val="0"/>
                <w:noProof/>
              </w:rPr>
              <w:t>3.3 Ethical Considerations in Data Collection</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_Toc233789298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15</w:t>
            </w:r>
            <w:r w:rsidR="00E4232E" w:rsidRPr="00E4232E">
              <w:rPr>
                <w:rFonts w:ascii="Times New Roman" w:hAnsi="Times New Roman" w:cs="Times New Roman"/>
                <w:b w:val="0"/>
                <w:bCs w:val="0"/>
                <w:noProof/>
                <w:webHidden/>
              </w:rPr>
              <w:fldChar w:fldCharType="end"/>
            </w:r>
          </w:hyperlink>
        </w:p>
        <w:p w14:paraId="2B253125" w14:textId="68E74015"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299" w:history="1">
            <w:r w:rsidR="00E4232E" w:rsidRPr="00E4232E">
              <w:rPr>
                <w:rStyle w:val="Hyperlink"/>
                <w:rFonts w:ascii="Times New Roman" w:eastAsiaTheme="majorEastAsia" w:hAnsi="Times New Roman" w:cs="Times New Roman"/>
                <w:b w:val="0"/>
                <w:bCs w:val="0"/>
                <w:noProof/>
              </w:rPr>
              <w:t>3.4 Bias in Stakeholder Consultation</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_Toc233789299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15</w:t>
            </w:r>
            <w:r w:rsidR="00E4232E" w:rsidRPr="00E4232E">
              <w:rPr>
                <w:rFonts w:ascii="Times New Roman" w:hAnsi="Times New Roman" w:cs="Times New Roman"/>
                <w:b w:val="0"/>
                <w:bCs w:val="0"/>
                <w:noProof/>
                <w:webHidden/>
              </w:rPr>
              <w:fldChar w:fldCharType="end"/>
            </w:r>
          </w:hyperlink>
        </w:p>
        <w:p w14:paraId="4CDB100A" w14:textId="2D4B0EB3"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300" w:history="1">
            <w:r w:rsidR="00E4232E" w:rsidRPr="00E4232E">
              <w:rPr>
                <w:rStyle w:val="Hyperlink"/>
                <w:rFonts w:ascii="Times New Roman" w:eastAsiaTheme="majorEastAsia" w:hAnsi="Times New Roman" w:cs="Times New Roman"/>
                <w:b w:val="0"/>
                <w:bCs w:val="0"/>
                <w:noProof/>
              </w:rPr>
              <w:t>3.5 Diversity, Equity and Inclusion (DEI)</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_Toc233789300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15</w:t>
            </w:r>
            <w:r w:rsidR="00E4232E" w:rsidRPr="00E4232E">
              <w:rPr>
                <w:rFonts w:ascii="Times New Roman" w:hAnsi="Times New Roman" w:cs="Times New Roman"/>
                <w:b w:val="0"/>
                <w:bCs w:val="0"/>
                <w:noProof/>
                <w:webHidden/>
              </w:rPr>
              <w:fldChar w:fldCharType="end"/>
            </w:r>
          </w:hyperlink>
        </w:p>
        <w:p w14:paraId="0B0320EF" w14:textId="44A90FBF"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301" w:history="1">
            <w:r w:rsidR="00E4232E" w:rsidRPr="00E4232E">
              <w:rPr>
                <w:rStyle w:val="Hyperlink"/>
                <w:rFonts w:ascii="Times New Roman" w:eastAsiaTheme="majorEastAsia" w:hAnsi="Times New Roman" w:cs="Times New Roman"/>
                <w:b w:val="0"/>
                <w:bCs w:val="0"/>
                <w:noProof/>
              </w:rPr>
              <w:t>3.6 Stakeholder Feedback Collection and Review</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_Toc233789301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16</w:t>
            </w:r>
            <w:r w:rsidR="00E4232E" w:rsidRPr="00E4232E">
              <w:rPr>
                <w:rFonts w:ascii="Times New Roman" w:hAnsi="Times New Roman" w:cs="Times New Roman"/>
                <w:b w:val="0"/>
                <w:bCs w:val="0"/>
                <w:noProof/>
                <w:webHidden/>
              </w:rPr>
              <w:fldChar w:fldCharType="end"/>
            </w:r>
          </w:hyperlink>
        </w:p>
        <w:p w14:paraId="12132760" w14:textId="0B7358AB" w:rsidR="00E4232E" w:rsidRPr="00E4232E" w:rsidRDefault="000C59FA" w:rsidP="00E4232E">
          <w:pPr>
            <w:pStyle w:val="TOC1"/>
            <w:tabs>
              <w:tab w:val="right" w:leader="dot" w:pos="9350"/>
            </w:tabs>
            <w:spacing w:before="0" w:line="240" w:lineRule="auto"/>
            <w:rPr>
              <w:rFonts w:ascii="Times New Roman" w:eastAsiaTheme="minorEastAsia" w:hAnsi="Times New Roman" w:cs="Times New Roman"/>
              <w:b w:val="0"/>
              <w:bCs w:val="0"/>
              <w:i w:val="0"/>
              <w:iCs w:val="0"/>
              <w:noProof/>
              <w:kern w:val="2"/>
              <w:szCs w:val="30"/>
              <w14:ligatures w14:val="standardContextual"/>
            </w:rPr>
          </w:pPr>
          <w:hyperlink w:anchor="_Toc233789302" w:history="1">
            <w:r w:rsidR="00E4232E" w:rsidRPr="00E4232E">
              <w:rPr>
                <w:rStyle w:val="Hyperlink"/>
                <w:rFonts w:ascii="Times New Roman" w:eastAsiaTheme="majorEastAsia" w:hAnsi="Times New Roman" w:cs="Times New Roman"/>
                <w:b w:val="0"/>
                <w:bCs w:val="0"/>
                <w:i w:val="0"/>
                <w:iCs w:val="0"/>
                <w:noProof/>
              </w:rPr>
              <w:t>Element 4: Conclusion and Reflection</w:t>
            </w:r>
            <w:r w:rsidR="00E4232E" w:rsidRPr="00E4232E">
              <w:rPr>
                <w:rFonts w:ascii="Times New Roman" w:hAnsi="Times New Roman" w:cs="Times New Roman"/>
                <w:b w:val="0"/>
                <w:bCs w:val="0"/>
                <w:i w:val="0"/>
                <w:iCs w:val="0"/>
                <w:noProof/>
                <w:webHidden/>
              </w:rPr>
              <w:tab/>
            </w:r>
            <w:r w:rsidR="00E4232E" w:rsidRPr="00E4232E">
              <w:rPr>
                <w:rFonts w:ascii="Times New Roman" w:hAnsi="Times New Roman" w:cs="Times New Roman"/>
                <w:b w:val="0"/>
                <w:bCs w:val="0"/>
                <w:i w:val="0"/>
                <w:iCs w:val="0"/>
                <w:noProof/>
                <w:webHidden/>
              </w:rPr>
              <w:fldChar w:fldCharType="begin"/>
            </w:r>
            <w:r w:rsidR="00E4232E" w:rsidRPr="00E4232E">
              <w:rPr>
                <w:rFonts w:ascii="Times New Roman" w:hAnsi="Times New Roman" w:cs="Times New Roman"/>
                <w:b w:val="0"/>
                <w:bCs w:val="0"/>
                <w:i w:val="0"/>
                <w:iCs w:val="0"/>
                <w:noProof/>
                <w:webHidden/>
              </w:rPr>
              <w:instrText xml:space="preserve"> PAGEREF _Toc233789302 \h </w:instrText>
            </w:r>
            <w:r w:rsidR="00E4232E" w:rsidRPr="00E4232E">
              <w:rPr>
                <w:rFonts w:ascii="Times New Roman" w:hAnsi="Times New Roman" w:cs="Times New Roman"/>
                <w:b w:val="0"/>
                <w:bCs w:val="0"/>
                <w:i w:val="0"/>
                <w:iCs w:val="0"/>
                <w:noProof/>
                <w:webHidden/>
              </w:rPr>
            </w:r>
            <w:r w:rsidR="00E4232E" w:rsidRPr="00E4232E">
              <w:rPr>
                <w:rFonts w:ascii="Times New Roman" w:hAnsi="Times New Roman" w:cs="Times New Roman"/>
                <w:b w:val="0"/>
                <w:bCs w:val="0"/>
                <w:i w:val="0"/>
                <w:iCs w:val="0"/>
                <w:noProof/>
                <w:webHidden/>
              </w:rPr>
              <w:fldChar w:fldCharType="separate"/>
            </w:r>
            <w:r w:rsidR="0088640E">
              <w:rPr>
                <w:rFonts w:ascii="Times New Roman" w:hAnsi="Times New Roman" w:cs="Times New Roman"/>
                <w:b w:val="0"/>
                <w:bCs w:val="0"/>
                <w:i w:val="0"/>
                <w:iCs w:val="0"/>
                <w:noProof/>
                <w:webHidden/>
              </w:rPr>
              <w:t>16</w:t>
            </w:r>
            <w:r w:rsidR="00E4232E" w:rsidRPr="00E4232E">
              <w:rPr>
                <w:rFonts w:ascii="Times New Roman" w:hAnsi="Times New Roman" w:cs="Times New Roman"/>
                <w:b w:val="0"/>
                <w:bCs w:val="0"/>
                <w:i w:val="0"/>
                <w:iCs w:val="0"/>
                <w:noProof/>
                <w:webHidden/>
              </w:rPr>
              <w:fldChar w:fldCharType="end"/>
            </w:r>
          </w:hyperlink>
        </w:p>
        <w:p w14:paraId="03DA4A59" w14:textId="7590E243"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303" w:history="1">
            <w:r w:rsidR="00E4232E" w:rsidRPr="00E4232E">
              <w:rPr>
                <w:rStyle w:val="Hyperlink"/>
                <w:rFonts w:ascii="Times New Roman" w:eastAsiaTheme="majorEastAsia" w:hAnsi="Times New Roman" w:cs="Times New Roman"/>
                <w:b w:val="0"/>
                <w:bCs w:val="0"/>
                <w:noProof/>
              </w:rPr>
              <w:t>4.1 Conclusion</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_Toc233789303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16</w:t>
            </w:r>
            <w:r w:rsidR="00E4232E" w:rsidRPr="00E4232E">
              <w:rPr>
                <w:rFonts w:ascii="Times New Roman" w:hAnsi="Times New Roman" w:cs="Times New Roman"/>
                <w:b w:val="0"/>
                <w:bCs w:val="0"/>
                <w:noProof/>
                <w:webHidden/>
              </w:rPr>
              <w:fldChar w:fldCharType="end"/>
            </w:r>
          </w:hyperlink>
        </w:p>
        <w:p w14:paraId="6862DBD9" w14:textId="3DAC874E" w:rsidR="00E4232E" w:rsidRPr="00E4232E" w:rsidRDefault="000C59FA" w:rsidP="00E4232E">
          <w:pPr>
            <w:pStyle w:val="TOC2"/>
            <w:tabs>
              <w:tab w:val="right" w:leader="dot" w:pos="9350"/>
            </w:tabs>
            <w:spacing w:before="0" w:line="240" w:lineRule="auto"/>
            <w:rPr>
              <w:rFonts w:ascii="Times New Roman" w:eastAsiaTheme="minorEastAsia" w:hAnsi="Times New Roman" w:cs="Times New Roman"/>
              <w:b w:val="0"/>
              <w:bCs w:val="0"/>
              <w:noProof/>
              <w:kern w:val="2"/>
              <w14:ligatures w14:val="standardContextual"/>
            </w:rPr>
          </w:pPr>
          <w:hyperlink w:anchor="_Toc233789304" w:history="1">
            <w:r w:rsidR="00E4232E" w:rsidRPr="00E4232E">
              <w:rPr>
                <w:rStyle w:val="Hyperlink"/>
                <w:rFonts w:ascii="Times New Roman" w:eastAsiaTheme="majorEastAsia" w:hAnsi="Times New Roman" w:cs="Times New Roman"/>
                <w:b w:val="0"/>
                <w:bCs w:val="0"/>
                <w:noProof/>
              </w:rPr>
              <w:t>4.2 Reflection (Gibbs’ Reflective Cycle)</w:t>
            </w:r>
            <w:r w:rsidR="00E4232E" w:rsidRPr="00E4232E">
              <w:rPr>
                <w:rFonts w:ascii="Times New Roman" w:hAnsi="Times New Roman" w:cs="Times New Roman"/>
                <w:b w:val="0"/>
                <w:bCs w:val="0"/>
                <w:noProof/>
                <w:webHidden/>
              </w:rPr>
              <w:tab/>
            </w:r>
            <w:r w:rsidR="00E4232E" w:rsidRPr="00E4232E">
              <w:rPr>
                <w:rFonts w:ascii="Times New Roman" w:hAnsi="Times New Roman" w:cs="Times New Roman"/>
                <w:b w:val="0"/>
                <w:bCs w:val="0"/>
                <w:noProof/>
                <w:webHidden/>
              </w:rPr>
              <w:fldChar w:fldCharType="begin"/>
            </w:r>
            <w:r w:rsidR="00E4232E" w:rsidRPr="00E4232E">
              <w:rPr>
                <w:rFonts w:ascii="Times New Roman" w:hAnsi="Times New Roman" w:cs="Times New Roman"/>
                <w:b w:val="0"/>
                <w:bCs w:val="0"/>
                <w:noProof/>
                <w:webHidden/>
              </w:rPr>
              <w:instrText xml:space="preserve"> PAGEREF _Toc233789304 \h </w:instrText>
            </w:r>
            <w:r w:rsidR="00E4232E" w:rsidRPr="00E4232E">
              <w:rPr>
                <w:rFonts w:ascii="Times New Roman" w:hAnsi="Times New Roman" w:cs="Times New Roman"/>
                <w:b w:val="0"/>
                <w:bCs w:val="0"/>
                <w:noProof/>
                <w:webHidden/>
              </w:rPr>
            </w:r>
            <w:r w:rsidR="00E4232E" w:rsidRPr="00E4232E">
              <w:rPr>
                <w:rFonts w:ascii="Times New Roman" w:hAnsi="Times New Roman" w:cs="Times New Roman"/>
                <w:b w:val="0"/>
                <w:bCs w:val="0"/>
                <w:noProof/>
                <w:webHidden/>
              </w:rPr>
              <w:fldChar w:fldCharType="separate"/>
            </w:r>
            <w:r w:rsidR="0088640E">
              <w:rPr>
                <w:rFonts w:ascii="Times New Roman" w:hAnsi="Times New Roman" w:cs="Times New Roman"/>
                <w:b w:val="0"/>
                <w:bCs w:val="0"/>
                <w:noProof/>
                <w:webHidden/>
              </w:rPr>
              <w:t>17</w:t>
            </w:r>
            <w:r w:rsidR="00E4232E" w:rsidRPr="00E4232E">
              <w:rPr>
                <w:rFonts w:ascii="Times New Roman" w:hAnsi="Times New Roman" w:cs="Times New Roman"/>
                <w:b w:val="0"/>
                <w:bCs w:val="0"/>
                <w:noProof/>
                <w:webHidden/>
              </w:rPr>
              <w:fldChar w:fldCharType="end"/>
            </w:r>
          </w:hyperlink>
        </w:p>
        <w:p w14:paraId="3398F16B" w14:textId="199B338D" w:rsidR="00E4232E" w:rsidRPr="00E4232E" w:rsidRDefault="000C59FA" w:rsidP="00E4232E">
          <w:pPr>
            <w:pStyle w:val="TOC1"/>
            <w:tabs>
              <w:tab w:val="right" w:leader="dot" w:pos="9350"/>
            </w:tabs>
            <w:spacing w:before="0" w:line="240" w:lineRule="auto"/>
            <w:rPr>
              <w:rFonts w:ascii="Times New Roman" w:eastAsiaTheme="minorEastAsia" w:hAnsi="Times New Roman" w:cs="Times New Roman"/>
              <w:b w:val="0"/>
              <w:bCs w:val="0"/>
              <w:i w:val="0"/>
              <w:iCs w:val="0"/>
              <w:noProof/>
              <w:kern w:val="2"/>
              <w:szCs w:val="30"/>
              <w14:ligatures w14:val="standardContextual"/>
            </w:rPr>
          </w:pPr>
          <w:hyperlink w:anchor="_Toc233789305" w:history="1">
            <w:r w:rsidR="00E4232E" w:rsidRPr="00E4232E">
              <w:rPr>
                <w:rStyle w:val="Hyperlink"/>
                <w:rFonts w:ascii="Times New Roman" w:eastAsiaTheme="majorEastAsia" w:hAnsi="Times New Roman" w:cs="Times New Roman"/>
                <w:b w:val="0"/>
                <w:bCs w:val="0"/>
                <w:i w:val="0"/>
                <w:iCs w:val="0"/>
                <w:noProof/>
              </w:rPr>
              <w:t>Reference List</w:t>
            </w:r>
            <w:r w:rsidR="00E4232E" w:rsidRPr="00E4232E">
              <w:rPr>
                <w:rFonts w:ascii="Times New Roman" w:hAnsi="Times New Roman" w:cs="Times New Roman"/>
                <w:b w:val="0"/>
                <w:bCs w:val="0"/>
                <w:i w:val="0"/>
                <w:iCs w:val="0"/>
                <w:noProof/>
                <w:webHidden/>
              </w:rPr>
              <w:tab/>
            </w:r>
            <w:r w:rsidR="00E4232E" w:rsidRPr="00E4232E">
              <w:rPr>
                <w:rFonts w:ascii="Times New Roman" w:hAnsi="Times New Roman" w:cs="Times New Roman"/>
                <w:b w:val="0"/>
                <w:bCs w:val="0"/>
                <w:i w:val="0"/>
                <w:iCs w:val="0"/>
                <w:noProof/>
                <w:webHidden/>
              </w:rPr>
              <w:fldChar w:fldCharType="begin"/>
            </w:r>
            <w:r w:rsidR="00E4232E" w:rsidRPr="00E4232E">
              <w:rPr>
                <w:rFonts w:ascii="Times New Roman" w:hAnsi="Times New Roman" w:cs="Times New Roman"/>
                <w:b w:val="0"/>
                <w:bCs w:val="0"/>
                <w:i w:val="0"/>
                <w:iCs w:val="0"/>
                <w:noProof/>
                <w:webHidden/>
              </w:rPr>
              <w:instrText xml:space="preserve"> PAGEREF _Toc233789305 \h </w:instrText>
            </w:r>
            <w:r w:rsidR="00E4232E" w:rsidRPr="00E4232E">
              <w:rPr>
                <w:rFonts w:ascii="Times New Roman" w:hAnsi="Times New Roman" w:cs="Times New Roman"/>
                <w:b w:val="0"/>
                <w:bCs w:val="0"/>
                <w:i w:val="0"/>
                <w:iCs w:val="0"/>
                <w:noProof/>
                <w:webHidden/>
              </w:rPr>
            </w:r>
            <w:r w:rsidR="00E4232E" w:rsidRPr="00E4232E">
              <w:rPr>
                <w:rFonts w:ascii="Times New Roman" w:hAnsi="Times New Roman" w:cs="Times New Roman"/>
                <w:b w:val="0"/>
                <w:bCs w:val="0"/>
                <w:i w:val="0"/>
                <w:iCs w:val="0"/>
                <w:noProof/>
                <w:webHidden/>
              </w:rPr>
              <w:fldChar w:fldCharType="separate"/>
            </w:r>
            <w:r w:rsidR="0088640E">
              <w:rPr>
                <w:rFonts w:ascii="Times New Roman" w:hAnsi="Times New Roman" w:cs="Times New Roman"/>
                <w:b w:val="0"/>
                <w:bCs w:val="0"/>
                <w:i w:val="0"/>
                <w:iCs w:val="0"/>
                <w:noProof/>
                <w:webHidden/>
              </w:rPr>
              <w:t>19</w:t>
            </w:r>
            <w:r w:rsidR="00E4232E" w:rsidRPr="00E4232E">
              <w:rPr>
                <w:rFonts w:ascii="Times New Roman" w:hAnsi="Times New Roman" w:cs="Times New Roman"/>
                <w:b w:val="0"/>
                <w:bCs w:val="0"/>
                <w:i w:val="0"/>
                <w:iCs w:val="0"/>
                <w:noProof/>
                <w:webHidden/>
              </w:rPr>
              <w:fldChar w:fldCharType="end"/>
            </w:r>
          </w:hyperlink>
        </w:p>
        <w:p w14:paraId="27B0125B" w14:textId="2777B86F" w:rsidR="00E4232E" w:rsidRDefault="00E4232E" w:rsidP="00E4232E">
          <w:pPr>
            <w:spacing w:line="240" w:lineRule="auto"/>
          </w:pPr>
          <w:r w:rsidRPr="00E4232E">
            <w:rPr>
              <w:noProof/>
            </w:rPr>
            <w:lastRenderedPageBreak/>
            <w:fldChar w:fldCharType="end"/>
          </w:r>
        </w:p>
      </w:sdtContent>
    </w:sdt>
    <w:p w14:paraId="514CE7F3" w14:textId="048D35E1" w:rsidR="00E4232E" w:rsidRPr="00E4232E" w:rsidRDefault="00E4232E">
      <w:pPr>
        <w:pStyle w:val="TableofFigures"/>
        <w:tabs>
          <w:tab w:val="right" w:leader="dot" w:pos="9350"/>
        </w:tabs>
        <w:rPr>
          <w:b/>
          <w:bCs/>
          <w:sz w:val="28"/>
          <w:szCs w:val="32"/>
        </w:rPr>
      </w:pPr>
      <w:r w:rsidRPr="00E4232E">
        <w:rPr>
          <w:b/>
          <w:bCs/>
          <w:sz w:val="28"/>
          <w:szCs w:val="32"/>
        </w:rPr>
        <w:t>List of Tables</w:t>
      </w:r>
    </w:p>
    <w:p w14:paraId="0B106C7A" w14:textId="7DB791E1" w:rsidR="00E4232E" w:rsidRDefault="00E4232E">
      <w:pPr>
        <w:pStyle w:val="TableofFigures"/>
        <w:tabs>
          <w:tab w:val="right" w:leader="dot" w:pos="9350"/>
        </w:tabs>
        <w:rPr>
          <w:noProof/>
        </w:rPr>
      </w:pPr>
      <w:r>
        <w:fldChar w:fldCharType="begin"/>
      </w:r>
      <w:r>
        <w:instrText xml:space="preserve"> TOC \h \z \c "Table" </w:instrText>
      </w:r>
      <w:r>
        <w:fldChar w:fldCharType="separate"/>
      </w:r>
      <w:hyperlink w:anchor="_Toc233789342" w:history="1">
        <w:r w:rsidRPr="00163C5B">
          <w:rPr>
            <w:rStyle w:val="Hyperlink"/>
            <w:noProof/>
          </w:rPr>
          <w:t>Table 1: Key Stakeholders and Expected Benefits</w:t>
        </w:r>
        <w:r>
          <w:rPr>
            <w:noProof/>
            <w:webHidden/>
          </w:rPr>
          <w:tab/>
        </w:r>
        <w:r>
          <w:rPr>
            <w:noProof/>
            <w:webHidden/>
          </w:rPr>
          <w:fldChar w:fldCharType="begin"/>
        </w:r>
        <w:r>
          <w:rPr>
            <w:noProof/>
            <w:webHidden/>
          </w:rPr>
          <w:instrText xml:space="preserve"> PAGEREF _Toc233789342 \h </w:instrText>
        </w:r>
        <w:r>
          <w:rPr>
            <w:noProof/>
            <w:webHidden/>
          </w:rPr>
        </w:r>
        <w:r>
          <w:rPr>
            <w:noProof/>
            <w:webHidden/>
          </w:rPr>
          <w:fldChar w:fldCharType="separate"/>
        </w:r>
        <w:r w:rsidR="0088640E">
          <w:rPr>
            <w:noProof/>
            <w:webHidden/>
          </w:rPr>
          <w:t>6</w:t>
        </w:r>
        <w:r>
          <w:rPr>
            <w:noProof/>
            <w:webHidden/>
          </w:rPr>
          <w:fldChar w:fldCharType="end"/>
        </w:r>
      </w:hyperlink>
    </w:p>
    <w:p w14:paraId="101E290A" w14:textId="532B329D" w:rsidR="00E4232E" w:rsidRDefault="000C59FA">
      <w:pPr>
        <w:pStyle w:val="TableofFigures"/>
        <w:tabs>
          <w:tab w:val="right" w:leader="dot" w:pos="9350"/>
        </w:tabs>
        <w:rPr>
          <w:noProof/>
        </w:rPr>
      </w:pPr>
      <w:hyperlink w:anchor="_Toc233789343" w:history="1">
        <w:r w:rsidR="00E4232E" w:rsidRPr="00163C5B">
          <w:rPr>
            <w:rStyle w:val="Hyperlink"/>
            <w:noProof/>
          </w:rPr>
          <w:t>Table 2: Power–Interest–Influence Analysis</w:t>
        </w:r>
        <w:r w:rsidR="00E4232E">
          <w:rPr>
            <w:noProof/>
            <w:webHidden/>
          </w:rPr>
          <w:tab/>
        </w:r>
        <w:r w:rsidR="00E4232E">
          <w:rPr>
            <w:noProof/>
            <w:webHidden/>
          </w:rPr>
          <w:fldChar w:fldCharType="begin"/>
        </w:r>
        <w:r w:rsidR="00E4232E">
          <w:rPr>
            <w:noProof/>
            <w:webHidden/>
          </w:rPr>
          <w:instrText xml:space="preserve"> PAGEREF _Toc233789343 \h </w:instrText>
        </w:r>
        <w:r w:rsidR="00E4232E">
          <w:rPr>
            <w:noProof/>
            <w:webHidden/>
          </w:rPr>
        </w:r>
        <w:r w:rsidR="00E4232E">
          <w:rPr>
            <w:noProof/>
            <w:webHidden/>
          </w:rPr>
          <w:fldChar w:fldCharType="separate"/>
        </w:r>
        <w:r w:rsidR="0088640E">
          <w:rPr>
            <w:noProof/>
            <w:webHidden/>
          </w:rPr>
          <w:t>8</w:t>
        </w:r>
        <w:r w:rsidR="00E4232E">
          <w:rPr>
            <w:noProof/>
            <w:webHidden/>
          </w:rPr>
          <w:fldChar w:fldCharType="end"/>
        </w:r>
      </w:hyperlink>
    </w:p>
    <w:p w14:paraId="70191841" w14:textId="5B29342D" w:rsidR="00E4232E" w:rsidRDefault="000C59FA">
      <w:pPr>
        <w:pStyle w:val="TableofFigures"/>
        <w:tabs>
          <w:tab w:val="right" w:leader="dot" w:pos="9350"/>
        </w:tabs>
        <w:rPr>
          <w:noProof/>
        </w:rPr>
      </w:pPr>
      <w:hyperlink w:anchor="_Toc233789344" w:history="1">
        <w:r w:rsidR="00E4232E" w:rsidRPr="00163C5B">
          <w:rPr>
            <w:rStyle w:val="Hyperlink"/>
            <w:noProof/>
          </w:rPr>
          <w:t>Table 3: Communication Plan</w:t>
        </w:r>
        <w:r w:rsidR="00E4232E">
          <w:rPr>
            <w:noProof/>
            <w:webHidden/>
          </w:rPr>
          <w:tab/>
        </w:r>
        <w:r w:rsidR="00E4232E">
          <w:rPr>
            <w:noProof/>
            <w:webHidden/>
          </w:rPr>
          <w:fldChar w:fldCharType="begin"/>
        </w:r>
        <w:r w:rsidR="00E4232E">
          <w:rPr>
            <w:noProof/>
            <w:webHidden/>
          </w:rPr>
          <w:instrText xml:space="preserve"> PAGEREF _Toc233789344 \h </w:instrText>
        </w:r>
        <w:r w:rsidR="00E4232E">
          <w:rPr>
            <w:noProof/>
            <w:webHidden/>
          </w:rPr>
        </w:r>
        <w:r w:rsidR="00E4232E">
          <w:rPr>
            <w:noProof/>
            <w:webHidden/>
          </w:rPr>
          <w:fldChar w:fldCharType="separate"/>
        </w:r>
        <w:r w:rsidR="0088640E">
          <w:rPr>
            <w:noProof/>
            <w:webHidden/>
          </w:rPr>
          <w:t>11</w:t>
        </w:r>
        <w:r w:rsidR="00E4232E">
          <w:rPr>
            <w:noProof/>
            <w:webHidden/>
          </w:rPr>
          <w:fldChar w:fldCharType="end"/>
        </w:r>
      </w:hyperlink>
    </w:p>
    <w:p w14:paraId="0DC47B97" w14:textId="27B34A41" w:rsidR="00E4232E" w:rsidRDefault="000C59FA">
      <w:pPr>
        <w:pStyle w:val="TableofFigures"/>
        <w:tabs>
          <w:tab w:val="right" w:leader="dot" w:pos="9350"/>
        </w:tabs>
        <w:rPr>
          <w:noProof/>
        </w:rPr>
      </w:pPr>
      <w:hyperlink w:anchor="_Toc233789345" w:history="1">
        <w:r w:rsidR="00E4232E" w:rsidRPr="00163C5B">
          <w:rPr>
            <w:rStyle w:val="Hyperlink"/>
            <w:noProof/>
          </w:rPr>
          <w:t>Table 4: Consultation Strategy</w:t>
        </w:r>
        <w:r w:rsidR="00E4232E">
          <w:rPr>
            <w:noProof/>
            <w:webHidden/>
          </w:rPr>
          <w:tab/>
        </w:r>
        <w:r w:rsidR="00E4232E">
          <w:rPr>
            <w:noProof/>
            <w:webHidden/>
          </w:rPr>
          <w:fldChar w:fldCharType="begin"/>
        </w:r>
        <w:r w:rsidR="00E4232E">
          <w:rPr>
            <w:noProof/>
            <w:webHidden/>
          </w:rPr>
          <w:instrText xml:space="preserve"> PAGEREF _Toc233789345 \h </w:instrText>
        </w:r>
        <w:r w:rsidR="00E4232E">
          <w:rPr>
            <w:noProof/>
            <w:webHidden/>
          </w:rPr>
        </w:r>
        <w:r w:rsidR="00E4232E">
          <w:rPr>
            <w:noProof/>
            <w:webHidden/>
          </w:rPr>
          <w:fldChar w:fldCharType="separate"/>
        </w:r>
        <w:r w:rsidR="0088640E">
          <w:rPr>
            <w:noProof/>
            <w:webHidden/>
          </w:rPr>
          <w:t>13</w:t>
        </w:r>
        <w:r w:rsidR="00E4232E">
          <w:rPr>
            <w:noProof/>
            <w:webHidden/>
          </w:rPr>
          <w:fldChar w:fldCharType="end"/>
        </w:r>
      </w:hyperlink>
    </w:p>
    <w:p w14:paraId="6197A4E8" w14:textId="7FDFDF72" w:rsidR="00E4232E" w:rsidRDefault="00E4232E" w:rsidP="00E4232E">
      <w:pPr>
        <w:rPr>
          <w:b/>
          <w:bCs/>
          <w:sz w:val="28"/>
          <w:szCs w:val="28"/>
        </w:rPr>
      </w:pPr>
      <w:r>
        <w:fldChar w:fldCharType="end"/>
      </w:r>
      <w:r w:rsidRPr="00E4232E">
        <w:rPr>
          <w:b/>
          <w:bCs/>
          <w:sz w:val="28"/>
          <w:szCs w:val="28"/>
        </w:rPr>
        <w:t>List of Figures</w:t>
      </w:r>
    </w:p>
    <w:p w14:paraId="1CD7C330" w14:textId="3C020794" w:rsidR="00E4232E" w:rsidRDefault="00E4232E">
      <w:pPr>
        <w:pStyle w:val="TableofFigures"/>
        <w:tabs>
          <w:tab w:val="right" w:leader="dot" w:pos="9350"/>
        </w:tabs>
        <w:rPr>
          <w:rFonts w:asciiTheme="minorHAnsi" w:eastAsiaTheme="minorEastAsia" w:hAnsiTheme="minorHAnsi" w:cs="Vrinda"/>
          <w:noProof/>
          <w:kern w:val="2"/>
          <w14:ligatures w14:val="standardContextual"/>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33789431" w:history="1">
        <w:r w:rsidRPr="003D2EC1">
          <w:rPr>
            <w:rStyle w:val="Hyperlink"/>
            <w:noProof/>
          </w:rPr>
          <w:t>Figure 1: Kingstanding Wellbeing Centre, Birmingham</w:t>
        </w:r>
        <w:r>
          <w:rPr>
            <w:noProof/>
            <w:webHidden/>
          </w:rPr>
          <w:tab/>
        </w:r>
        <w:r>
          <w:rPr>
            <w:noProof/>
            <w:webHidden/>
          </w:rPr>
          <w:fldChar w:fldCharType="begin"/>
        </w:r>
        <w:r>
          <w:rPr>
            <w:noProof/>
            <w:webHidden/>
          </w:rPr>
          <w:instrText xml:space="preserve"> PAGEREF _Toc233789431 \h </w:instrText>
        </w:r>
        <w:r>
          <w:rPr>
            <w:noProof/>
            <w:webHidden/>
          </w:rPr>
        </w:r>
        <w:r>
          <w:rPr>
            <w:noProof/>
            <w:webHidden/>
          </w:rPr>
          <w:fldChar w:fldCharType="separate"/>
        </w:r>
        <w:r w:rsidR="0088640E">
          <w:rPr>
            <w:noProof/>
            <w:webHidden/>
          </w:rPr>
          <w:t>4</w:t>
        </w:r>
        <w:r>
          <w:rPr>
            <w:noProof/>
            <w:webHidden/>
          </w:rPr>
          <w:fldChar w:fldCharType="end"/>
        </w:r>
      </w:hyperlink>
    </w:p>
    <w:p w14:paraId="1C67D2C5" w14:textId="7DF529A2" w:rsidR="00E4232E" w:rsidRDefault="000C59FA">
      <w:pPr>
        <w:pStyle w:val="TableofFigures"/>
        <w:tabs>
          <w:tab w:val="right" w:leader="dot" w:pos="9350"/>
        </w:tabs>
        <w:rPr>
          <w:rFonts w:asciiTheme="minorHAnsi" w:eastAsiaTheme="minorEastAsia" w:hAnsiTheme="minorHAnsi" w:cs="Vrinda"/>
          <w:noProof/>
          <w:kern w:val="2"/>
          <w14:ligatures w14:val="standardContextual"/>
        </w:rPr>
      </w:pPr>
      <w:hyperlink w:anchor="_Toc233789432" w:history="1">
        <w:r w:rsidR="00E4232E" w:rsidRPr="003D2EC1">
          <w:rPr>
            <w:rStyle w:val="Hyperlink"/>
            <w:noProof/>
          </w:rPr>
          <w:t>Figure 2: Stakeholder Power–Interest Matrix</w:t>
        </w:r>
        <w:r w:rsidR="00E4232E">
          <w:rPr>
            <w:noProof/>
            <w:webHidden/>
          </w:rPr>
          <w:tab/>
        </w:r>
        <w:r w:rsidR="00E4232E">
          <w:rPr>
            <w:noProof/>
            <w:webHidden/>
          </w:rPr>
          <w:fldChar w:fldCharType="begin"/>
        </w:r>
        <w:r w:rsidR="00E4232E">
          <w:rPr>
            <w:noProof/>
            <w:webHidden/>
          </w:rPr>
          <w:instrText xml:space="preserve"> PAGEREF _Toc233789432 \h </w:instrText>
        </w:r>
        <w:r w:rsidR="00E4232E">
          <w:rPr>
            <w:noProof/>
            <w:webHidden/>
          </w:rPr>
        </w:r>
        <w:r w:rsidR="00E4232E">
          <w:rPr>
            <w:noProof/>
            <w:webHidden/>
          </w:rPr>
          <w:fldChar w:fldCharType="separate"/>
        </w:r>
        <w:r w:rsidR="0088640E">
          <w:rPr>
            <w:noProof/>
            <w:webHidden/>
          </w:rPr>
          <w:t>10</w:t>
        </w:r>
        <w:r w:rsidR="00E4232E">
          <w:rPr>
            <w:noProof/>
            <w:webHidden/>
          </w:rPr>
          <w:fldChar w:fldCharType="end"/>
        </w:r>
      </w:hyperlink>
    </w:p>
    <w:p w14:paraId="4C410962" w14:textId="560D8A3C" w:rsidR="00E4232E" w:rsidRPr="00E4232E" w:rsidRDefault="00E4232E" w:rsidP="00E4232E">
      <w:pPr>
        <w:rPr>
          <w:b/>
          <w:bCs/>
          <w:sz w:val="28"/>
          <w:szCs w:val="28"/>
        </w:rPr>
      </w:pPr>
      <w:r>
        <w:rPr>
          <w:b/>
          <w:bCs/>
          <w:sz w:val="28"/>
          <w:szCs w:val="28"/>
        </w:rPr>
        <w:fldChar w:fldCharType="end"/>
      </w:r>
    </w:p>
    <w:p w14:paraId="7E3A7251" w14:textId="77777777" w:rsidR="00E4232E" w:rsidRDefault="00E4232E">
      <w:pPr>
        <w:spacing w:after="160" w:afterAutospacing="0" w:line="278" w:lineRule="auto"/>
        <w:jc w:val="left"/>
        <w:rPr>
          <w:b/>
          <w:bCs/>
          <w:sz w:val="32"/>
          <w:szCs w:val="32"/>
        </w:rPr>
      </w:pPr>
      <w:r>
        <w:br w:type="page"/>
      </w:r>
    </w:p>
    <w:p w14:paraId="3435D75B" w14:textId="119E3A97" w:rsidR="00CE3A16" w:rsidRPr="00525E97" w:rsidRDefault="00CE3A16" w:rsidP="00525E97">
      <w:pPr>
        <w:pStyle w:val="Heading1"/>
      </w:pPr>
      <w:bookmarkStart w:id="1" w:name="_Toc233789236"/>
      <w:bookmarkStart w:id="2" w:name="_Toc233789284"/>
      <w:r w:rsidRPr="00525E97">
        <w:lastRenderedPageBreak/>
        <w:t>Element 1: Introduction</w:t>
      </w:r>
      <w:bookmarkEnd w:id="1"/>
      <w:bookmarkEnd w:id="2"/>
    </w:p>
    <w:p w14:paraId="10939893" w14:textId="77777777" w:rsidR="00CE3A16" w:rsidRPr="00525E97" w:rsidRDefault="00CE3A16" w:rsidP="00525E97">
      <w:pPr>
        <w:pStyle w:val="Heading2"/>
      </w:pPr>
      <w:bookmarkStart w:id="3" w:name="_Toc233789237"/>
      <w:bookmarkStart w:id="4" w:name="_Toc233789285"/>
      <w:bookmarkStart w:id="5" w:name="OLE_LINK79"/>
      <w:r w:rsidRPr="00525E97">
        <w:t>1.1 Introduction to Stakeholder Engagement</w:t>
      </w:r>
      <w:bookmarkEnd w:id="3"/>
      <w:bookmarkEnd w:id="4"/>
    </w:p>
    <w:p w14:paraId="09510311" w14:textId="5FCEC57E" w:rsidR="00CE3A16" w:rsidRPr="00525E97" w:rsidRDefault="00744229" w:rsidP="00525E97">
      <w:r w:rsidRPr="00525E97">
        <w:t>Infrastructure projects bring together various stakeholder groups with varying expectations and interests. Stakeholder engagement is a tool that can be used to help project managers to understand these interests, minimise conflicts, and enhance decision-making. Freeman (1984) defines stakeholders as people or groups that have the ability to influence or be influenced by the goals of a project. So a good project must involve both external and internal stakeholders. Kujala et al. (2019) also conclude that long-term stakeholder relationships can help achieve sustainable project outcomes. This report is written as a Junior Stakeholder Manager and aims to develop a stakeholder management plan for the proposed enhancement of Kingstanding Leisure Centre in order to facilitate collaboration to maximise the long-term value of the project for the local community.</w:t>
      </w:r>
    </w:p>
    <w:p w14:paraId="481F4C4E" w14:textId="77777777" w:rsidR="00525E97" w:rsidRDefault="00C26F63" w:rsidP="00E4232E">
      <w:pPr>
        <w:keepNext/>
        <w:jc w:val="center"/>
      </w:pPr>
      <w:r>
        <w:fldChar w:fldCharType="begin"/>
      </w:r>
      <w:r>
        <w:instrText xml:space="preserve"> INCLUDEPICTURE "https://lh3.googleusercontent.com/gps-cs-s/APNQkAEUKBCy6znDqpMBu_E-zXA6IZZaTC-dB4d5COQlaF9FskwXpBPT-lgKOk7ptCapXiY99MvYGDnDXv08nKhNkjL3qN1S-j0AWSA-XHmblViipEoGH824bRuBUlxpLVkIJV-5zi5T5MqD3hD5=s1360-w1360-h1020-rw" \* MERGEFORMATINET </w:instrText>
      </w:r>
      <w:r>
        <w:fldChar w:fldCharType="separate"/>
      </w:r>
      <w:r>
        <w:rPr>
          <w:noProof/>
        </w:rPr>
        <w:drawing>
          <wp:inline distT="0" distB="0" distL="0" distR="0" wp14:anchorId="161F4A75" wp14:editId="229B37B6">
            <wp:extent cx="4673600" cy="3503703"/>
            <wp:effectExtent l="0" t="0" r="0" b="1905"/>
            <wp:docPr id="2042935357" name="Picture 6" descr="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4" descr="Phot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91895" cy="3517419"/>
                    </a:xfrm>
                    <a:prstGeom prst="rect">
                      <a:avLst/>
                    </a:prstGeom>
                    <a:noFill/>
                    <a:ln>
                      <a:noFill/>
                    </a:ln>
                  </pic:spPr>
                </pic:pic>
              </a:graphicData>
            </a:graphic>
          </wp:inline>
        </w:drawing>
      </w:r>
      <w:r>
        <w:fldChar w:fldCharType="end"/>
      </w:r>
    </w:p>
    <w:p w14:paraId="074749DD" w14:textId="4B549E4A" w:rsidR="00C26F63" w:rsidRPr="00525E97" w:rsidRDefault="00525E97" w:rsidP="00525E97">
      <w:pPr>
        <w:pStyle w:val="Caption"/>
      </w:pPr>
      <w:bookmarkStart w:id="6" w:name="_Toc233789431"/>
      <w:r w:rsidRPr="00525E97">
        <w:t xml:space="preserve">Figure </w:t>
      </w:r>
      <w:fldSimple w:instr=" SEQ Figure \* ARABIC ">
        <w:r w:rsidR="00356AD6">
          <w:rPr>
            <w:noProof/>
          </w:rPr>
          <w:t>1</w:t>
        </w:r>
      </w:fldSimple>
      <w:r w:rsidRPr="00525E97">
        <w:t>: Kingstanding Wellbeing Centre, Birmingham</w:t>
      </w:r>
      <w:bookmarkEnd w:id="6"/>
    </w:p>
    <w:p w14:paraId="7E9CD8E9" w14:textId="6F0B16C4" w:rsidR="00CE3A16" w:rsidRPr="00525E97" w:rsidRDefault="00CE3A16" w:rsidP="00525E97">
      <w:pPr>
        <w:pStyle w:val="p1"/>
        <w:jc w:val="center"/>
        <w:rPr>
          <w:sz w:val="20"/>
          <w:szCs w:val="20"/>
        </w:rPr>
      </w:pPr>
      <w:r w:rsidRPr="00525E97">
        <w:rPr>
          <w:sz w:val="20"/>
          <w:szCs w:val="20"/>
        </w:rPr>
        <w:t>(Source: Birmingham City Council</w:t>
      </w:r>
      <w:r w:rsidR="006F375A" w:rsidRPr="00525E97">
        <w:rPr>
          <w:sz w:val="20"/>
          <w:szCs w:val="20"/>
        </w:rPr>
        <w:t xml:space="preserve"> Website</w:t>
      </w:r>
      <w:r w:rsidRPr="00525E97">
        <w:rPr>
          <w:sz w:val="20"/>
          <w:szCs w:val="20"/>
        </w:rPr>
        <w:t>)</w:t>
      </w:r>
    </w:p>
    <w:p w14:paraId="03EF577B" w14:textId="77777777" w:rsidR="00CE3A16" w:rsidRPr="00CE3A16" w:rsidRDefault="00CE3A16" w:rsidP="00525E97">
      <w:pPr>
        <w:pStyle w:val="Heading2"/>
      </w:pPr>
      <w:bookmarkStart w:id="7" w:name="_Toc233789238"/>
      <w:bookmarkStart w:id="8" w:name="_Toc233789286"/>
      <w:r w:rsidRPr="00CE3A16">
        <w:lastRenderedPageBreak/>
        <w:t>1.2 Project Background</w:t>
      </w:r>
      <w:bookmarkEnd w:id="7"/>
      <w:bookmarkEnd w:id="8"/>
    </w:p>
    <w:p w14:paraId="53F97293" w14:textId="77777777" w:rsidR="00744229" w:rsidRPr="00744229" w:rsidRDefault="00744229" w:rsidP="00525E97">
      <w:r w:rsidRPr="00744229">
        <w:t xml:space="preserve">Kingstanding Leisure Centre, also referred to as Kingstanding Wellbeing Centre, is a leisure centre managed by Birmingham City Council and situated on Dulwich Road in Kingstanding. The centre offers swimming pool, gym, fitness classes, wellbeing activities and swimming lessons for children and adults. Birmingham residents can participate in subsidised or free gym classes, swimming and some fitness classes under the Be Active scheme, to help promote health and wider participation.  </w:t>
      </w:r>
    </w:p>
    <w:p w14:paraId="46586DCB" w14:textId="23AD6372" w:rsidR="00CE3A16" w:rsidRPr="00CE3A16" w:rsidRDefault="00744229" w:rsidP="00525E97">
      <w:r w:rsidRPr="00744229">
        <w:t>The centre is proposed to be enhanced to improve the facilities, accessibility and sustainability of the centre and to increase community participation. According to Higgins (2015), leisure centres are community health infrastructure as they encourage physical and mental health. Likewise, Birmingham City Council (2015) emphasises that better public spaces lead to healthier and sustainable communities. The project also supports Sport England’s objective of increasing participation in physical activity and reducing health inequalities (Sport England, 2016).</w:t>
      </w:r>
    </w:p>
    <w:p w14:paraId="248A5261" w14:textId="77777777" w:rsidR="00744229" w:rsidRPr="00744229" w:rsidRDefault="00744229" w:rsidP="00525E97">
      <w:pPr>
        <w:pStyle w:val="Heading2"/>
      </w:pPr>
      <w:bookmarkStart w:id="9" w:name="_Toc233789239"/>
      <w:bookmarkStart w:id="10" w:name="_Toc233789287"/>
      <w:r w:rsidRPr="00744229">
        <w:t>1.3 Project Relevance</w:t>
      </w:r>
      <w:bookmarkEnd w:id="9"/>
      <w:bookmarkEnd w:id="10"/>
    </w:p>
    <w:p w14:paraId="69871147" w14:textId="77777777" w:rsidR="00744229" w:rsidRPr="00744229" w:rsidRDefault="00744229" w:rsidP="00525E97">
      <w:r w:rsidRPr="00744229">
        <w:t>The proposed enhancement will contribute to enhancing wellbeing, access and social inclusion for the community and promote healthier living. Li et al (2022) discovered that communities are more likely to support infrastructure projects if they understand the environmental and social impacts. Similarly, Sport England (2016) highlight the importance of making leisure facilities accessible to promote regular exercise and increased community engagement. Thus, the project must be implemented in collaboration with the stakeholders to make sure that it meets local needs and yields sustainable results.</w:t>
      </w:r>
    </w:p>
    <w:p w14:paraId="7DAEB9EA" w14:textId="77777777" w:rsidR="00744229" w:rsidRPr="00744229" w:rsidRDefault="00744229" w:rsidP="00525E97">
      <w:pPr>
        <w:pStyle w:val="Heading2"/>
      </w:pPr>
      <w:bookmarkStart w:id="11" w:name="_Toc233789240"/>
      <w:bookmarkStart w:id="12" w:name="_Toc233789288"/>
      <w:r w:rsidRPr="00744229">
        <w:t>1.4 Identification of Key Stakeholders</w:t>
      </w:r>
      <w:bookmarkEnd w:id="11"/>
      <w:bookmarkEnd w:id="12"/>
    </w:p>
    <w:p w14:paraId="6DB20120" w14:textId="54FC5D84" w:rsidR="00525E97" w:rsidRPr="00CE3A16" w:rsidRDefault="00744229" w:rsidP="00525E97">
      <w:r w:rsidRPr="00744229">
        <w:t xml:space="preserve">This project reflects Freeman's (1984) stakeholder theory, which encompasses all interests involved or affected by the proposed enhancement. Key stakeholders include Birmingham City Council, leisure centre management, employees, local residents, schools, NHS and public health organisations, community groups, Sport England, local businesses and contractors. They will be </w:t>
      </w:r>
      <w:r w:rsidRPr="00744229">
        <w:lastRenderedPageBreak/>
        <w:t>involved in the project to help ensure it provides community, operation and long-term social benefits.</w:t>
      </w:r>
    </w:p>
    <w:p w14:paraId="305BFF01" w14:textId="0244587E" w:rsidR="00525E97" w:rsidRDefault="00525E97" w:rsidP="00525E97">
      <w:pPr>
        <w:pStyle w:val="Caption"/>
        <w:keepNext/>
      </w:pPr>
      <w:bookmarkStart w:id="13" w:name="_Toc233789342"/>
      <w:r>
        <w:t xml:space="preserve">Table </w:t>
      </w:r>
      <w:fldSimple w:instr=" SEQ Table \* ARABIC ">
        <w:r>
          <w:rPr>
            <w:noProof/>
          </w:rPr>
          <w:t>1</w:t>
        </w:r>
      </w:fldSimple>
      <w:r>
        <w:t xml:space="preserve">: </w:t>
      </w:r>
      <w:r w:rsidRPr="007928A9">
        <w:t>Key Stakeholders and Expected Benefits</w:t>
      </w:r>
      <w:bookmarkEnd w:id="13"/>
    </w:p>
    <w:tbl>
      <w:tblPr>
        <w:tblStyle w:val="GridTable4-Accent3"/>
        <w:tblW w:w="5000" w:type="pct"/>
        <w:tblLook w:val="04A0" w:firstRow="1" w:lastRow="0" w:firstColumn="1" w:lastColumn="0" w:noHBand="0" w:noVBand="1"/>
      </w:tblPr>
      <w:tblGrid>
        <w:gridCol w:w="2415"/>
        <w:gridCol w:w="2490"/>
        <w:gridCol w:w="4445"/>
      </w:tblGrid>
      <w:tr w:rsidR="00CE3A16" w:rsidRPr="00CE3A16" w14:paraId="5552C073" w14:textId="77777777" w:rsidTr="00FF74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bookmarkEnd w:id="5"/>
          <w:p w14:paraId="55AAC986" w14:textId="77777777" w:rsidR="00CE3A16" w:rsidRPr="00FF74E4" w:rsidRDefault="00CE3A16" w:rsidP="00FF74E4">
            <w:pPr>
              <w:jc w:val="center"/>
              <w:rPr>
                <w:color w:val="000000" w:themeColor="text1"/>
              </w:rPr>
            </w:pPr>
            <w:r w:rsidRPr="00FF74E4">
              <w:rPr>
                <w:color w:val="000000" w:themeColor="text1"/>
              </w:rPr>
              <w:t>Stakeholder</w:t>
            </w:r>
          </w:p>
        </w:tc>
        <w:tc>
          <w:tcPr>
            <w:tcW w:w="0" w:type="auto"/>
            <w:noWrap/>
            <w:hideMark/>
          </w:tcPr>
          <w:p w14:paraId="1401EBE1" w14:textId="77777777" w:rsidR="00CE3A16" w:rsidRPr="00FF74E4" w:rsidRDefault="00CE3A16" w:rsidP="00FF74E4">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F74E4">
              <w:rPr>
                <w:color w:val="000000" w:themeColor="text1"/>
              </w:rPr>
              <w:t>Role in the Project</w:t>
            </w:r>
          </w:p>
        </w:tc>
        <w:tc>
          <w:tcPr>
            <w:tcW w:w="0" w:type="auto"/>
            <w:noWrap/>
            <w:hideMark/>
          </w:tcPr>
          <w:p w14:paraId="28C2D42E" w14:textId="77777777" w:rsidR="00CE3A16" w:rsidRPr="00FF74E4" w:rsidRDefault="00CE3A16" w:rsidP="00FF74E4">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F74E4">
              <w:rPr>
                <w:color w:val="000000" w:themeColor="text1"/>
              </w:rPr>
              <w:t>Expected Benefit</w:t>
            </w:r>
          </w:p>
        </w:tc>
      </w:tr>
      <w:tr w:rsidR="00CE3A16" w:rsidRPr="00CE3A16" w14:paraId="2BB4507B" w14:textId="77777777" w:rsidTr="00FF74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62ADF084" w14:textId="77777777" w:rsidR="00CE3A16" w:rsidRPr="00CE3A16" w:rsidRDefault="00CE3A16" w:rsidP="00525E97">
            <w:r w:rsidRPr="00CE3A16">
              <w:t>Birmingham City Council</w:t>
            </w:r>
          </w:p>
        </w:tc>
        <w:tc>
          <w:tcPr>
            <w:tcW w:w="0" w:type="auto"/>
            <w:noWrap/>
            <w:hideMark/>
          </w:tcPr>
          <w:p w14:paraId="45F0D1A4"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Project owner</w:t>
            </w:r>
          </w:p>
        </w:tc>
        <w:tc>
          <w:tcPr>
            <w:tcW w:w="0" w:type="auto"/>
            <w:noWrap/>
            <w:hideMark/>
          </w:tcPr>
          <w:p w14:paraId="42A76AAD"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Improved public services and community wellbeing</w:t>
            </w:r>
          </w:p>
        </w:tc>
      </w:tr>
      <w:tr w:rsidR="00CE3A16" w:rsidRPr="00CE3A16" w14:paraId="7719F4C2" w14:textId="77777777" w:rsidTr="00FF74E4">
        <w:tc>
          <w:tcPr>
            <w:cnfStyle w:val="001000000000" w:firstRow="0" w:lastRow="0" w:firstColumn="1" w:lastColumn="0" w:oddVBand="0" w:evenVBand="0" w:oddHBand="0" w:evenHBand="0" w:firstRowFirstColumn="0" w:firstRowLastColumn="0" w:lastRowFirstColumn="0" w:lastRowLastColumn="0"/>
            <w:tcW w:w="0" w:type="auto"/>
            <w:noWrap/>
            <w:hideMark/>
          </w:tcPr>
          <w:p w14:paraId="3F804C29" w14:textId="77777777" w:rsidR="00CE3A16" w:rsidRPr="00CE3A16" w:rsidRDefault="00CE3A16" w:rsidP="00525E97">
            <w:r w:rsidRPr="00CE3A16">
              <w:t>Leisure Centre Management</w:t>
            </w:r>
          </w:p>
        </w:tc>
        <w:tc>
          <w:tcPr>
            <w:tcW w:w="0" w:type="auto"/>
            <w:noWrap/>
            <w:hideMark/>
          </w:tcPr>
          <w:p w14:paraId="37F693B1"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Operational management</w:t>
            </w:r>
          </w:p>
        </w:tc>
        <w:tc>
          <w:tcPr>
            <w:tcW w:w="0" w:type="auto"/>
            <w:noWrap/>
            <w:hideMark/>
          </w:tcPr>
          <w:p w14:paraId="098CBC21"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Modern facilities and improved operational efficiency</w:t>
            </w:r>
          </w:p>
        </w:tc>
      </w:tr>
      <w:tr w:rsidR="00CE3A16" w:rsidRPr="00CE3A16" w14:paraId="02AE5617" w14:textId="77777777" w:rsidTr="00FF74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39CFAE36" w14:textId="77777777" w:rsidR="00CE3A16" w:rsidRPr="00CE3A16" w:rsidRDefault="00CE3A16" w:rsidP="00525E97">
            <w:r w:rsidRPr="00CE3A16">
              <w:t>Employees</w:t>
            </w:r>
          </w:p>
        </w:tc>
        <w:tc>
          <w:tcPr>
            <w:tcW w:w="0" w:type="auto"/>
            <w:noWrap/>
            <w:hideMark/>
          </w:tcPr>
          <w:p w14:paraId="6F5B317E"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Service delivery</w:t>
            </w:r>
          </w:p>
        </w:tc>
        <w:tc>
          <w:tcPr>
            <w:tcW w:w="0" w:type="auto"/>
            <w:noWrap/>
            <w:hideMark/>
          </w:tcPr>
          <w:p w14:paraId="1886B3D9"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Better working environment and professional development</w:t>
            </w:r>
          </w:p>
        </w:tc>
      </w:tr>
      <w:tr w:rsidR="00CE3A16" w:rsidRPr="00CE3A16" w14:paraId="47E0FFAA" w14:textId="77777777" w:rsidTr="00FF74E4">
        <w:tc>
          <w:tcPr>
            <w:cnfStyle w:val="001000000000" w:firstRow="0" w:lastRow="0" w:firstColumn="1" w:lastColumn="0" w:oddVBand="0" w:evenVBand="0" w:oddHBand="0" w:evenHBand="0" w:firstRowFirstColumn="0" w:firstRowLastColumn="0" w:lastRowFirstColumn="0" w:lastRowLastColumn="0"/>
            <w:tcW w:w="0" w:type="auto"/>
            <w:noWrap/>
            <w:hideMark/>
          </w:tcPr>
          <w:p w14:paraId="7529640E" w14:textId="77777777" w:rsidR="00CE3A16" w:rsidRPr="00CE3A16" w:rsidRDefault="00CE3A16" w:rsidP="00525E97">
            <w:r w:rsidRPr="00CE3A16">
              <w:t>Local Residents</w:t>
            </w:r>
          </w:p>
        </w:tc>
        <w:tc>
          <w:tcPr>
            <w:tcW w:w="0" w:type="auto"/>
            <w:noWrap/>
            <w:hideMark/>
          </w:tcPr>
          <w:p w14:paraId="4FF053AA"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Primary users</w:t>
            </w:r>
          </w:p>
        </w:tc>
        <w:tc>
          <w:tcPr>
            <w:tcW w:w="0" w:type="auto"/>
            <w:noWrap/>
            <w:hideMark/>
          </w:tcPr>
          <w:p w14:paraId="51C684C9"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Improved health, wellbeing and recreational opportunities</w:t>
            </w:r>
          </w:p>
        </w:tc>
      </w:tr>
      <w:tr w:rsidR="00CE3A16" w:rsidRPr="00CE3A16" w14:paraId="77755BFF" w14:textId="77777777" w:rsidTr="00FF74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1DBD0523" w14:textId="77777777" w:rsidR="00CE3A16" w:rsidRPr="00CE3A16" w:rsidRDefault="00CE3A16" w:rsidP="00525E97">
            <w:r w:rsidRPr="00CE3A16">
              <w:t>Local Schools</w:t>
            </w:r>
          </w:p>
        </w:tc>
        <w:tc>
          <w:tcPr>
            <w:tcW w:w="0" w:type="auto"/>
            <w:noWrap/>
            <w:hideMark/>
          </w:tcPr>
          <w:p w14:paraId="777AC429"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Community users</w:t>
            </w:r>
          </w:p>
        </w:tc>
        <w:tc>
          <w:tcPr>
            <w:tcW w:w="0" w:type="auto"/>
            <w:noWrap/>
            <w:hideMark/>
          </w:tcPr>
          <w:p w14:paraId="3BC45ECB"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Better access to sports and educational programmes</w:t>
            </w:r>
          </w:p>
        </w:tc>
      </w:tr>
      <w:tr w:rsidR="00CE3A16" w:rsidRPr="00CE3A16" w14:paraId="508E615A" w14:textId="77777777" w:rsidTr="00FF74E4">
        <w:tc>
          <w:tcPr>
            <w:cnfStyle w:val="001000000000" w:firstRow="0" w:lastRow="0" w:firstColumn="1" w:lastColumn="0" w:oddVBand="0" w:evenVBand="0" w:oddHBand="0" w:evenHBand="0" w:firstRowFirstColumn="0" w:firstRowLastColumn="0" w:lastRowFirstColumn="0" w:lastRowLastColumn="0"/>
            <w:tcW w:w="0" w:type="auto"/>
            <w:noWrap/>
            <w:hideMark/>
          </w:tcPr>
          <w:p w14:paraId="6C574610" w14:textId="77777777" w:rsidR="00CE3A16" w:rsidRPr="00CE3A16" w:rsidRDefault="00CE3A16" w:rsidP="00525E97">
            <w:r w:rsidRPr="00CE3A16">
              <w:t>NHS/Public Health</w:t>
            </w:r>
          </w:p>
        </w:tc>
        <w:tc>
          <w:tcPr>
            <w:tcW w:w="0" w:type="auto"/>
            <w:noWrap/>
            <w:hideMark/>
          </w:tcPr>
          <w:p w14:paraId="6B27BA63"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Health promotion partner</w:t>
            </w:r>
          </w:p>
        </w:tc>
        <w:tc>
          <w:tcPr>
            <w:tcW w:w="0" w:type="auto"/>
            <w:noWrap/>
            <w:hideMark/>
          </w:tcPr>
          <w:p w14:paraId="6E265B6D"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Increased physical activity and preventive health outcomes</w:t>
            </w:r>
          </w:p>
        </w:tc>
      </w:tr>
      <w:tr w:rsidR="00CE3A16" w:rsidRPr="00CE3A16" w14:paraId="39A8BDCB" w14:textId="77777777" w:rsidTr="00FF74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0139A42C" w14:textId="77777777" w:rsidR="00CE3A16" w:rsidRPr="00CE3A16" w:rsidRDefault="00CE3A16" w:rsidP="00525E97">
            <w:r w:rsidRPr="00CE3A16">
              <w:t>Community Organisations</w:t>
            </w:r>
          </w:p>
        </w:tc>
        <w:tc>
          <w:tcPr>
            <w:tcW w:w="0" w:type="auto"/>
            <w:noWrap/>
            <w:hideMark/>
          </w:tcPr>
          <w:p w14:paraId="1B5BE3BC"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Community engagement</w:t>
            </w:r>
          </w:p>
        </w:tc>
        <w:tc>
          <w:tcPr>
            <w:tcW w:w="0" w:type="auto"/>
            <w:noWrap/>
            <w:hideMark/>
          </w:tcPr>
          <w:p w14:paraId="2F3C5C2C"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More inclusive community programmes and partnerships</w:t>
            </w:r>
          </w:p>
        </w:tc>
      </w:tr>
      <w:tr w:rsidR="00CE3A16" w:rsidRPr="00CE3A16" w14:paraId="35DCDBA9" w14:textId="77777777" w:rsidTr="00FF74E4">
        <w:tc>
          <w:tcPr>
            <w:cnfStyle w:val="001000000000" w:firstRow="0" w:lastRow="0" w:firstColumn="1" w:lastColumn="0" w:oddVBand="0" w:evenVBand="0" w:oddHBand="0" w:evenHBand="0" w:firstRowFirstColumn="0" w:firstRowLastColumn="0" w:lastRowFirstColumn="0" w:lastRowLastColumn="0"/>
            <w:tcW w:w="0" w:type="auto"/>
            <w:noWrap/>
            <w:hideMark/>
          </w:tcPr>
          <w:p w14:paraId="1985E09D" w14:textId="77777777" w:rsidR="00CE3A16" w:rsidRPr="00CE3A16" w:rsidRDefault="00CE3A16" w:rsidP="00525E97">
            <w:r w:rsidRPr="00CE3A16">
              <w:t>Sport England</w:t>
            </w:r>
          </w:p>
        </w:tc>
        <w:tc>
          <w:tcPr>
            <w:tcW w:w="0" w:type="auto"/>
            <w:noWrap/>
            <w:hideMark/>
          </w:tcPr>
          <w:p w14:paraId="4006AA52"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Funding and sport development</w:t>
            </w:r>
          </w:p>
        </w:tc>
        <w:tc>
          <w:tcPr>
            <w:tcW w:w="0" w:type="auto"/>
            <w:noWrap/>
            <w:hideMark/>
          </w:tcPr>
          <w:p w14:paraId="5AC0E9F9"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Increased participation in physical activity</w:t>
            </w:r>
          </w:p>
        </w:tc>
      </w:tr>
      <w:tr w:rsidR="00CE3A16" w:rsidRPr="00CE3A16" w14:paraId="662BEFA1" w14:textId="77777777" w:rsidTr="00FF74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74E3B2F1" w14:textId="77777777" w:rsidR="00CE3A16" w:rsidRPr="00CE3A16" w:rsidRDefault="00CE3A16" w:rsidP="00525E97">
            <w:r w:rsidRPr="00CE3A16">
              <w:t>Local Businesses</w:t>
            </w:r>
          </w:p>
        </w:tc>
        <w:tc>
          <w:tcPr>
            <w:tcW w:w="0" w:type="auto"/>
            <w:noWrap/>
            <w:hideMark/>
          </w:tcPr>
          <w:p w14:paraId="5E54AB81"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Economic stakeholders</w:t>
            </w:r>
          </w:p>
        </w:tc>
        <w:tc>
          <w:tcPr>
            <w:tcW w:w="0" w:type="auto"/>
            <w:noWrap/>
            <w:hideMark/>
          </w:tcPr>
          <w:p w14:paraId="7144598A" w14:textId="77777777" w:rsidR="00CE3A16" w:rsidRPr="00CE3A16" w:rsidRDefault="00CE3A16" w:rsidP="00525E97">
            <w:pPr>
              <w:cnfStyle w:val="000000100000" w:firstRow="0" w:lastRow="0" w:firstColumn="0" w:lastColumn="0" w:oddVBand="0" w:evenVBand="0" w:oddHBand="1" w:evenHBand="0" w:firstRowFirstColumn="0" w:firstRowLastColumn="0" w:lastRowFirstColumn="0" w:lastRowLastColumn="0"/>
            </w:pPr>
            <w:r w:rsidRPr="00CE3A16">
              <w:t>Increased visitor spending and local economic growth</w:t>
            </w:r>
          </w:p>
        </w:tc>
      </w:tr>
      <w:tr w:rsidR="00CE3A16" w:rsidRPr="00CE3A16" w14:paraId="161D5FF1" w14:textId="77777777" w:rsidTr="00FF74E4">
        <w:tc>
          <w:tcPr>
            <w:cnfStyle w:val="001000000000" w:firstRow="0" w:lastRow="0" w:firstColumn="1" w:lastColumn="0" w:oddVBand="0" w:evenVBand="0" w:oddHBand="0" w:evenHBand="0" w:firstRowFirstColumn="0" w:firstRowLastColumn="0" w:lastRowFirstColumn="0" w:lastRowLastColumn="0"/>
            <w:tcW w:w="0" w:type="auto"/>
            <w:noWrap/>
            <w:hideMark/>
          </w:tcPr>
          <w:p w14:paraId="3E94CDED" w14:textId="77777777" w:rsidR="00CE3A16" w:rsidRPr="00CE3A16" w:rsidRDefault="00CE3A16" w:rsidP="00525E97">
            <w:r w:rsidRPr="00CE3A16">
              <w:t>Contractors</w:t>
            </w:r>
          </w:p>
        </w:tc>
        <w:tc>
          <w:tcPr>
            <w:tcW w:w="0" w:type="auto"/>
            <w:noWrap/>
            <w:hideMark/>
          </w:tcPr>
          <w:p w14:paraId="6DACE027"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Infrastructure delivery</w:t>
            </w:r>
          </w:p>
        </w:tc>
        <w:tc>
          <w:tcPr>
            <w:tcW w:w="0" w:type="auto"/>
            <w:noWrap/>
            <w:hideMark/>
          </w:tcPr>
          <w:p w14:paraId="1C2016F4" w14:textId="77777777" w:rsidR="00CE3A16" w:rsidRPr="00CE3A16" w:rsidRDefault="00CE3A16" w:rsidP="00525E97">
            <w:pPr>
              <w:cnfStyle w:val="000000000000" w:firstRow="0" w:lastRow="0" w:firstColumn="0" w:lastColumn="0" w:oddVBand="0" w:evenVBand="0" w:oddHBand="0" w:evenHBand="0" w:firstRowFirstColumn="0" w:firstRowLastColumn="0" w:lastRowFirstColumn="0" w:lastRowLastColumn="0"/>
            </w:pPr>
            <w:r w:rsidRPr="00CE3A16">
              <w:t>Business opportunities and employment</w:t>
            </w:r>
          </w:p>
        </w:tc>
      </w:tr>
      <w:bookmarkEnd w:id="0"/>
    </w:tbl>
    <w:p w14:paraId="4E6CE5DD" w14:textId="01F5DA18" w:rsidR="00030C7B" w:rsidRPr="00030C7B" w:rsidRDefault="00030C7B" w:rsidP="00525E97"/>
    <w:p w14:paraId="3C8E75D9" w14:textId="77777777" w:rsidR="00FF74E4" w:rsidRDefault="00FF74E4">
      <w:pPr>
        <w:spacing w:after="160" w:afterAutospacing="0" w:line="278" w:lineRule="auto"/>
        <w:jc w:val="left"/>
        <w:rPr>
          <w:b/>
          <w:bCs/>
          <w:sz w:val="32"/>
          <w:szCs w:val="32"/>
        </w:rPr>
      </w:pPr>
      <w:bookmarkStart w:id="14" w:name="_Toc233789241"/>
      <w:bookmarkStart w:id="15" w:name="_Toc233789289"/>
      <w:bookmarkStart w:id="16" w:name="OLE_LINK80"/>
      <w:bookmarkStart w:id="17" w:name="OLE_LINK11"/>
      <w:bookmarkStart w:id="18" w:name="OLE_LINK9"/>
      <w:r>
        <w:br w:type="page"/>
      </w:r>
    </w:p>
    <w:p w14:paraId="6E0AE89F" w14:textId="709C7056" w:rsidR="00384A46" w:rsidRDefault="00384A46" w:rsidP="00525E97">
      <w:pPr>
        <w:pStyle w:val="Heading1"/>
      </w:pPr>
      <w:r w:rsidRPr="00384A46">
        <w:lastRenderedPageBreak/>
        <w:t>ELEMENT 2: Application to Include Stakeholder Engagement Strategies</w:t>
      </w:r>
      <w:bookmarkEnd w:id="14"/>
      <w:bookmarkEnd w:id="15"/>
    </w:p>
    <w:p w14:paraId="19481699" w14:textId="126CABE3" w:rsidR="00384A46" w:rsidRPr="00384A46" w:rsidRDefault="00384A46" w:rsidP="00525E97">
      <w:pPr>
        <w:pStyle w:val="Heading2"/>
      </w:pPr>
      <w:bookmarkStart w:id="19" w:name="_Toc233789242"/>
      <w:bookmarkStart w:id="20" w:name="_Toc233789290"/>
      <w:r w:rsidRPr="00384A46">
        <w:t>2.1 Introduction to Stakeholder Engagement Strategy</w:t>
      </w:r>
      <w:bookmarkEnd w:id="19"/>
      <w:bookmarkEnd w:id="20"/>
    </w:p>
    <w:p w14:paraId="1837AF35" w14:textId="29A429B0" w:rsidR="008C1523" w:rsidRDefault="008C1523" w:rsidP="00525E97">
      <w:bookmarkStart w:id="21" w:name="OLE_LINK17"/>
      <w:r w:rsidRPr="008C1523">
        <w:t>Stakeholder engagement offers a framework for handling infrastructure projects that have a range of stakeholder expectations. It helps project managers to understand the needs of the stakeholders, prioriti</w:t>
      </w:r>
      <w:r w:rsidR="007B577C">
        <w:t>s</w:t>
      </w:r>
      <w:r w:rsidRPr="008C1523">
        <w:t xml:space="preserve">e the resources, enhance communication and prevent any possible conflicts from impacting project deliverables. According to PMI </w:t>
      </w:r>
      <w:r>
        <w:t>(</w:t>
      </w:r>
      <w:r w:rsidRPr="008C1523">
        <w:t xml:space="preserve">2021), stakeholder management includes identifying stakeholders, analysing their influence, planning engagement, communicating effectively and continuously monitoring relationships throughout the project lifecycle. Similarly, TOR (2025) </w:t>
      </w:r>
      <w:r>
        <w:t>argue</w:t>
      </w:r>
      <w:r w:rsidRPr="008C1523">
        <w:t xml:space="preserve"> that if the stakeholder expectations are dynamic over time, then continuous stakeholder engagement is a key factor that leads to project success. The following stakeholder management strategies are therefore proposed to assist in the planned development of Kingstanding Leisure Centre from planning to operation and to help to promote collaboration and informed decision making.</w:t>
      </w:r>
    </w:p>
    <w:p w14:paraId="55546347" w14:textId="0DC34B98" w:rsidR="00384A46" w:rsidRPr="00384A46" w:rsidRDefault="00384A46" w:rsidP="00525E97">
      <w:pPr>
        <w:pStyle w:val="Heading2"/>
      </w:pPr>
      <w:bookmarkStart w:id="22" w:name="_Toc233789243"/>
      <w:bookmarkStart w:id="23" w:name="_Toc233789291"/>
      <w:r w:rsidRPr="00384A46">
        <w:t>2.2 Stakeholder Power–Interest–Influence Analysis</w:t>
      </w:r>
      <w:bookmarkEnd w:id="22"/>
      <w:bookmarkEnd w:id="23"/>
    </w:p>
    <w:p w14:paraId="1BDB297F" w14:textId="0A05EDF0" w:rsidR="00FF74E4" w:rsidRDefault="008C1523" w:rsidP="00525E97">
      <w:r w:rsidRPr="008C1523">
        <w:t>Stakeholder prioritisation allows project managers to target engagement efforts to those who are most likely to influence their project outcomes. A stakeholder power, interest, and influence assessment helps shape proactive decision-making processes, decrease conflict, and adapt stakeholder engagement strategies when priorities shift (Olander, 2007).</w:t>
      </w:r>
    </w:p>
    <w:p w14:paraId="45091F63" w14:textId="469363B9" w:rsidR="00525E97" w:rsidRDefault="00FF74E4" w:rsidP="00FF74E4">
      <w:pPr>
        <w:spacing w:after="160" w:afterAutospacing="0" w:line="278" w:lineRule="auto"/>
        <w:jc w:val="left"/>
      </w:pPr>
      <w:r>
        <w:br w:type="page"/>
      </w:r>
    </w:p>
    <w:p w14:paraId="147B8B52" w14:textId="4D91A391" w:rsidR="00525E97" w:rsidRDefault="00525E97" w:rsidP="00525E97">
      <w:pPr>
        <w:pStyle w:val="Caption"/>
        <w:keepNext/>
      </w:pPr>
      <w:bookmarkStart w:id="24" w:name="_Toc233789343"/>
      <w:r>
        <w:lastRenderedPageBreak/>
        <w:t xml:space="preserve">Table </w:t>
      </w:r>
      <w:fldSimple w:instr=" SEQ Table \* ARABIC ">
        <w:r>
          <w:rPr>
            <w:noProof/>
          </w:rPr>
          <w:t>2</w:t>
        </w:r>
      </w:fldSimple>
      <w:r>
        <w:t xml:space="preserve">: </w:t>
      </w:r>
      <w:r w:rsidRPr="009C2028">
        <w:t>Power–Interest–Influence Analysis</w:t>
      </w:r>
      <w:bookmarkEnd w:id="24"/>
    </w:p>
    <w:p w14:paraId="15C9BBE5" w14:textId="3F5BC2A6" w:rsidR="00FF74E4" w:rsidRDefault="00D379AF" w:rsidP="00525E97">
      <w:bookmarkStart w:id="25" w:name="OLE_LINK81"/>
      <w:bookmarkStart w:id="26" w:name="OLE_LINK18"/>
      <w:bookmarkEnd w:id="16"/>
      <w:bookmarkEnd w:id="17"/>
      <w:bookmarkEnd w:id="21"/>
      <w:r w:rsidRPr="00D379AF">
        <w:rPr>
          <w:noProof/>
        </w:rPr>
        <w:drawing>
          <wp:inline distT="0" distB="0" distL="0" distR="0" wp14:anchorId="3E473678" wp14:editId="6A1A815B">
            <wp:extent cx="5943600" cy="5597525"/>
            <wp:effectExtent l="0" t="0" r="0" b="3175"/>
            <wp:docPr id="681278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278552" name=""/>
                    <pic:cNvPicPr/>
                  </pic:nvPicPr>
                  <pic:blipFill>
                    <a:blip r:embed="rId10"/>
                    <a:stretch>
                      <a:fillRect/>
                    </a:stretch>
                  </pic:blipFill>
                  <pic:spPr>
                    <a:xfrm>
                      <a:off x="0" y="0"/>
                      <a:ext cx="5943600" cy="5597525"/>
                    </a:xfrm>
                    <a:prstGeom prst="rect">
                      <a:avLst/>
                    </a:prstGeom>
                  </pic:spPr>
                </pic:pic>
              </a:graphicData>
            </a:graphic>
          </wp:inline>
        </w:drawing>
      </w:r>
    </w:p>
    <w:p w14:paraId="2F48A768" w14:textId="4D8DCB09" w:rsidR="008C1523" w:rsidRPr="008C1523" w:rsidRDefault="008C1523" w:rsidP="00525E97">
      <w:r w:rsidRPr="008C1523">
        <w:t xml:space="preserve">Stakeholder involvement could be diminished as the Council has the formal authority and is solely responsible for taking decisions, but Birmingham City Council does own the building and control funding and make major decisions. However, the local people have little formal </w:t>
      </w:r>
      <w:r w:rsidR="00D379AF" w:rsidRPr="008C1523">
        <w:t>power but</w:t>
      </w:r>
      <w:r w:rsidRPr="008C1523">
        <w:t xml:space="preserve"> are highly influential in the local community as opinions and responses from consultations can impact on community support for the project. Stakeholder influence also varies over the life of a project, with a high influence in the construction phase, but diminished post construction (as cited in Olander, 2007). Likewise, Sport England also impacts on project priorities through funding, but </w:t>
      </w:r>
      <w:r w:rsidRPr="008C1523">
        <w:lastRenderedPageBreak/>
        <w:t>not through day-to-day operational decisions, and National sport policies. Local businesses have less influence, but better facilities could attract more visitors and hence more local economic activity.</w:t>
      </w:r>
    </w:p>
    <w:p w14:paraId="27AEAB36" w14:textId="422F7E71" w:rsidR="00356AD6" w:rsidRDefault="008C1523" w:rsidP="00525E97">
      <w:r w:rsidRPr="008C1523">
        <w:t>In many cases, government-backed infrastructure projects lead to power imbalances between authorities and communities (Wang et al. 2022). Thus, Birmingham City Council must combine formal power with clear consultation to improve the legitimacy of projects and go beyond institutional power. Failure to take account of high power stakeholders could see approvals delayed while failure to take account of residents could lead to opposition and less public confidence. Therefore, it is important to review stakeholder influence throughout the project, as expectations may change and require ongoing adaptations to engagement strategies (PMI, 2021). This is based on the understanding that stakeholder engagement is a process of relationship building, not stakeholder managing.</w:t>
      </w:r>
    </w:p>
    <w:p w14:paraId="561E7BDA" w14:textId="5A84FB23" w:rsidR="00384A46" w:rsidRDefault="00384A46" w:rsidP="00525E97">
      <w:pPr>
        <w:pStyle w:val="Heading2"/>
      </w:pPr>
      <w:bookmarkStart w:id="27" w:name="_Toc233789244"/>
      <w:bookmarkStart w:id="28" w:name="_Toc233789292"/>
      <w:r w:rsidRPr="00384A46">
        <w:t xml:space="preserve">2.3 Stakeholder </w:t>
      </w:r>
      <w:r w:rsidR="00356AD6">
        <w:t xml:space="preserve">Map and </w:t>
      </w:r>
      <w:r w:rsidRPr="00384A46">
        <w:t>Power–Interest Matrix</w:t>
      </w:r>
      <w:bookmarkEnd w:id="27"/>
      <w:bookmarkEnd w:id="28"/>
    </w:p>
    <w:p w14:paraId="630F7875" w14:textId="77777777" w:rsidR="00356AD6" w:rsidRDefault="00356AD6" w:rsidP="0028545F">
      <w:pPr>
        <w:keepNext/>
        <w:jc w:val="center"/>
      </w:pPr>
      <w:r w:rsidRPr="00356AD6">
        <w:rPr>
          <w:noProof/>
        </w:rPr>
        <w:drawing>
          <wp:inline distT="0" distB="0" distL="0" distR="0" wp14:anchorId="10704940" wp14:editId="1EBC1CCB">
            <wp:extent cx="5305778" cy="3113932"/>
            <wp:effectExtent l="0" t="0" r="3175" b="0"/>
            <wp:docPr id="1774816436" name="Picture 1"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16436" name="Picture 1" descr="A diagram of a project&#10;&#10;AI-generated content may be incorrect."/>
                    <pic:cNvPicPr/>
                  </pic:nvPicPr>
                  <pic:blipFill rotWithShape="1">
                    <a:blip r:embed="rId11"/>
                    <a:srcRect t="11966"/>
                    <a:stretch>
                      <a:fillRect/>
                    </a:stretch>
                  </pic:blipFill>
                  <pic:spPr bwMode="auto">
                    <a:xfrm>
                      <a:off x="0" y="0"/>
                      <a:ext cx="5334037" cy="3130517"/>
                    </a:xfrm>
                    <a:prstGeom prst="rect">
                      <a:avLst/>
                    </a:prstGeom>
                    <a:ln>
                      <a:noFill/>
                    </a:ln>
                    <a:extLst>
                      <a:ext uri="{53640926-AAD7-44D8-BBD7-CCE9431645EC}">
                        <a14:shadowObscured xmlns:a14="http://schemas.microsoft.com/office/drawing/2010/main"/>
                      </a:ext>
                    </a:extLst>
                  </pic:spPr>
                </pic:pic>
              </a:graphicData>
            </a:graphic>
          </wp:inline>
        </w:drawing>
      </w:r>
    </w:p>
    <w:p w14:paraId="72058D6A" w14:textId="5850E7F1" w:rsidR="00356AD6" w:rsidRPr="00356AD6" w:rsidRDefault="00356AD6" w:rsidP="00356AD6">
      <w:pPr>
        <w:pStyle w:val="Caption"/>
      </w:pPr>
      <w:r>
        <w:t xml:space="preserve">Figure </w:t>
      </w:r>
      <w:fldSimple w:instr=" SEQ Figure \* ARABIC ">
        <w:r>
          <w:rPr>
            <w:noProof/>
          </w:rPr>
          <w:t>2</w:t>
        </w:r>
      </w:fldSimple>
      <w:r>
        <w:t xml:space="preserve">: </w:t>
      </w:r>
      <w:r w:rsidRPr="00D66619">
        <w:t>Stakeholder Map for the Proposed Enhancement of Kingstanding Leisure Centre</w:t>
      </w:r>
    </w:p>
    <w:p w14:paraId="3BAC58B2" w14:textId="69297264" w:rsidR="00227A9B" w:rsidRDefault="00227A9B" w:rsidP="00525E97">
      <w:bookmarkStart w:id="29" w:name="OLE_LINK13"/>
      <w:r w:rsidRPr="00227A9B">
        <w:lastRenderedPageBreak/>
        <w:t xml:space="preserve">Figure 2 shows the key stakeholders connected to the proposed enhancement of Kingstanding Leisure Centre, demonstrating that successful project delivery depends on collaboration between public authorities, operational partners and community stakeholders throughout the project lifecycle (Freeman, 1984). </w:t>
      </w:r>
    </w:p>
    <w:p w14:paraId="12033FF6" w14:textId="6B5875CE" w:rsidR="008C1523" w:rsidRDefault="008C1523" w:rsidP="00525E97">
      <w:r w:rsidRPr="008C1523">
        <w:t xml:space="preserve">The stakeholder power–interest matrix </w:t>
      </w:r>
      <w:r w:rsidR="00356AD6">
        <w:t xml:space="preserve">in figure 3 </w:t>
      </w:r>
      <w:r w:rsidRPr="008C1523">
        <w:t>determines the most appropriate engagement strategy for each stakeholder group. This matrix differs from the previous analysis because it focuses on the degree of engagement needed, not just stakeholder influence. Given that stakeholder positions are dynamic and evolve over the life of the project, Olander (2007) suggests reassessing stakeholder positions throughout the project. So the matrix for the proposed improvement to Kingstanding Leisure Centre should not be fixed; it should be flexible.</w:t>
      </w:r>
    </w:p>
    <w:bookmarkEnd w:id="25"/>
    <w:bookmarkEnd w:id="29"/>
    <w:p w14:paraId="6BBEF629" w14:textId="77777777" w:rsidR="00525E97" w:rsidRDefault="00410284" w:rsidP="00525E97">
      <w:pPr>
        <w:keepNext/>
        <w:jc w:val="center"/>
      </w:pPr>
      <w:r w:rsidRPr="00410284">
        <w:rPr>
          <w:noProof/>
        </w:rPr>
        <w:drawing>
          <wp:inline distT="0" distB="0" distL="0" distR="0" wp14:anchorId="1ECDAB9B" wp14:editId="720565BE">
            <wp:extent cx="3431540" cy="3194473"/>
            <wp:effectExtent l="0" t="0" r="0" b="6350"/>
            <wp:docPr id="439780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80511" name=""/>
                    <pic:cNvPicPr/>
                  </pic:nvPicPr>
                  <pic:blipFill rotWithShape="1">
                    <a:blip r:embed="rId12"/>
                    <a:srcRect t="6909"/>
                    <a:stretch>
                      <a:fillRect/>
                    </a:stretch>
                  </pic:blipFill>
                  <pic:spPr bwMode="auto">
                    <a:xfrm>
                      <a:off x="0" y="0"/>
                      <a:ext cx="3442606" cy="3204775"/>
                    </a:xfrm>
                    <a:prstGeom prst="rect">
                      <a:avLst/>
                    </a:prstGeom>
                    <a:ln>
                      <a:noFill/>
                    </a:ln>
                    <a:extLst>
                      <a:ext uri="{53640926-AAD7-44D8-BBD7-CCE9431645EC}">
                        <a14:shadowObscured xmlns:a14="http://schemas.microsoft.com/office/drawing/2010/main"/>
                      </a:ext>
                    </a:extLst>
                  </pic:spPr>
                </pic:pic>
              </a:graphicData>
            </a:graphic>
          </wp:inline>
        </w:drawing>
      </w:r>
      <w:bookmarkStart w:id="30" w:name="OLE_LINK82"/>
    </w:p>
    <w:p w14:paraId="715E9068" w14:textId="457D5A60" w:rsidR="008C1523" w:rsidRDefault="00525E97" w:rsidP="00525E97">
      <w:pPr>
        <w:pStyle w:val="Caption"/>
      </w:pPr>
      <w:bookmarkStart w:id="31" w:name="_Toc233789432"/>
      <w:r>
        <w:t xml:space="preserve">Figure </w:t>
      </w:r>
      <w:fldSimple w:instr=" SEQ Figure \* ARABIC ">
        <w:r w:rsidR="00356AD6">
          <w:rPr>
            <w:noProof/>
          </w:rPr>
          <w:t>3</w:t>
        </w:r>
      </w:fldSimple>
      <w:r>
        <w:t xml:space="preserve">: </w:t>
      </w:r>
      <w:r w:rsidRPr="00C10F96">
        <w:t>Stakeholder Power–Interest Matrix</w:t>
      </w:r>
      <w:bookmarkEnd w:id="31"/>
    </w:p>
    <w:p w14:paraId="06D56B42" w14:textId="31BBB668" w:rsidR="0000137D" w:rsidRPr="0000137D" w:rsidRDefault="0000137D" w:rsidP="00525E97">
      <w:bookmarkStart w:id="32" w:name="OLE_LINK84"/>
      <w:bookmarkStart w:id="33" w:name="OLE_LINK19"/>
      <w:bookmarkEnd w:id="26"/>
      <w:r w:rsidRPr="0000137D">
        <w:t xml:space="preserve">Birmingham City Council and Leisure Centre Management are in the Manage Closely quadrant as they have access to funding, approvals, operational decisions and project delivery. As they possess high power and high </w:t>
      </w:r>
      <w:r w:rsidR="003B0CAC" w:rsidRPr="0000137D">
        <w:t>interest,</w:t>
      </w:r>
      <w:r w:rsidRPr="0000137D">
        <w:t xml:space="preserve"> they are well placed. Enforcing them in Keep Satisfied would limit opportunities for timely decision-making and project oversight.</w:t>
      </w:r>
    </w:p>
    <w:p w14:paraId="4480825E" w14:textId="77777777" w:rsidR="0000137D" w:rsidRPr="0000137D" w:rsidRDefault="0000137D" w:rsidP="00525E97">
      <w:r w:rsidRPr="0000137D">
        <w:lastRenderedPageBreak/>
        <w:t>Sport England and NHS/Public Health are regarded as Keep Satisfied because they do not engage in daily project management, but do have an impact on funding and public health. If further funding approvals and strategic policy decisions are required during implementation, however, their position may change to Manage Closely.</w:t>
      </w:r>
    </w:p>
    <w:p w14:paraId="11161D41" w14:textId="77777777" w:rsidR="0000137D" w:rsidRPr="0000137D" w:rsidRDefault="0000137D" w:rsidP="00525E97">
      <w:r w:rsidRPr="0000137D">
        <w:t xml:space="preserve">Local residents, schools, community organisations, local businesses are located in the Keep Informed quadrant as they are directly affected by changes to facilities and services, but lack formal authority. For Kingstanding Wellbeing Centre, regular updates and feedback is essential to keep public confidence and participation in the community programmes, swimming and Be Active programme. But if there is continued community opposition, that may lead residents to have a greater influence and to need a greater level of engagement.  </w:t>
      </w:r>
    </w:p>
    <w:p w14:paraId="186CF692" w14:textId="318482B1" w:rsidR="0000137D" w:rsidRPr="0000137D" w:rsidRDefault="0000137D" w:rsidP="00525E97">
      <w:r w:rsidRPr="0000137D">
        <w:t xml:space="preserve">Suppliers and occasional users stay in the Monitor quadrant as they have a low strategic influence and low interest. However, stakeholder mapping should be flexible as the project can be delayed or funding may shift, which can change stakeholder priorities. </w:t>
      </w:r>
      <w:r>
        <w:t>A</w:t>
      </w:r>
      <w:r w:rsidRPr="0000137D">
        <w:t>s suggested by Kujala et al. (2019)</w:t>
      </w:r>
      <w:r>
        <w:t xml:space="preserve"> s</w:t>
      </w:r>
      <w:r w:rsidRPr="0000137D">
        <w:t>ustainable project outcomes can be achieved through long-term stakeholder relationships. Thus, by monitoring stakeholder positions during planning, construction and operation, the project team can adjust engagement approaches and ensure they are keeping good stakeholder relationships.</w:t>
      </w:r>
    </w:p>
    <w:p w14:paraId="273BFC1C" w14:textId="77777777" w:rsidR="0000137D" w:rsidRPr="0000137D" w:rsidRDefault="0000137D" w:rsidP="00525E97">
      <w:pPr>
        <w:pStyle w:val="Heading2"/>
      </w:pPr>
      <w:bookmarkStart w:id="34" w:name="_Toc233789245"/>
      <w:bookmarkStart w:id="35" w:name="_Toc233789293"/>
      <w:r w:rsidRPr="0000137D">
        <w:t>2.4 Communication Plan</w:t>
      </w:r>
      <w:bookmarkEnd w:id="34"/>
      <w:bookmarkEnd w:id="35"/>
    </w:p>
    <w:p w14:paraId="70F9DAD6" w14:textId="60803EC2" w:rsidR="00384A46" w:rsidRDefault="0000137D" w:rsidP="00525E97">
      <w:r w:rsidRPr="0000137D">
        <w:t>Effective communication means that the stakeholders are provided with the right information, via the right means and at the right time. PMI (2021) argues that communication should be flexible to meet the needs of the stakeholders, not a single way. For this reason the communication plan for Kingstanding Leisure Centre differs depending on the roles and responsibilities of the different stakeholders.</w:t>
      </w:r>
    </w:p>
    <w:p w14:paraId="47CE6ED6" w14:textId="77777777" w:rsidR="0028545F" w:rsidRPr="00384A46" w:rsidRDefault="0028545F" w:rsidP="00525E97"/>
    <w:p w14:paraId="2E1B972A" w14:textId="209C0B25" w:rsidR="00525E97" w:rsidRDefault="00525E97" w:rsidP="00525E97">
      <w:pPr>
        <w:pStyle w:val="Caption"/>
        <w:keepNext/>
      </w:pPr>
      <w:bookmarkStart w:id="36" w:name="_Toc233789344"/>
      <w:r>
        <w:lastRenderedPageBreak/>
        <w:t xml:space="preserve">Table </w:t>
      </w:r>
      <w:fldSimple w:instr=" SEQ Table \* ARABIC ">
        <w:r>
          <w:rPr>
            <w:noProof/>
          </w:rPr>
          <w:t>3</w:t>
        </w:r>
      </w:fldSimple>
      <w:r>
        <w:t xml:space="preserve">: </w:t>
      </w:r>
      <w:r w:rsidRPr="00206086">
        <w:t>Communication Plan</w:t>
      </w:r>
      <w:bookmarkEnd w:id="36"/>
    </w:p>
    <w:tbl>
      <w:tblPr>
        <w:tblStyle w:val="GridTable4-Accent3"/>
        <w:tblW w:w="5000" w:type="pct"/>
        <w:tblLook w:val="04A0" w:firstRow="1" w:lastRow="0" w:firstColumn="1" w:lastColumn="0" w:noHBand="0" w:noVBand="1"/>
      </w:tblPr>
      <w:tblGrid>
        <w:gridCol w:w="1211"/>
        <w:gridCol w:w="2101"/>
        <w:gridCol w:w="2421"/>
        <w:gridCol w:w="586"/>
        <w:gridCol w:w="1284"/>
        <w:gridCol w:w="1747"/>
      </w:tblGrid>
      <w:tr w:rsidR="00384A46" w:rsidRPr="00384A46" w14:paraId="6C06C79E" w14:textId="77777777" w:rsidTr="00E043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bookmarkEnd w:id="30"/>
          <w:bookmarkEnd w:id="32"/>
          <w:p w14:paraId="3C4D2DEB" w14:textId="77777777" w:rsidR="00384A46" w:rsidRPr="00FF74E4" w:rsidRDefault="00384A46" w:rsidP="00FF74E4">
            <w:pPr>
              <w:jc w:val="center"/>
              <w:rPr>
                <w:color w:val="000000" w:themeColor="text1"/>
              </w:rPr>
            </w:pPr>
            <w:r w:rsidRPr="00FF74E4">
              <w:rPr>
                <w:color w:val="000000" w:themeColor="text1"/>
              </w:rPr>
              <w:t>Stakeholder</w:t>
            </w:r>
          </w:p>
        </w:tc>
        <w:tc>
          <w:tcPr>
            <w:tcW w:w="0" w:type="auto"/>
            <w:noWrap/>
            <w:hideMark/>
          </w:tcPr>
          <w:p w14:paraId="77E752AE" w14:textId="77777777" w:rsidR="00384A46" w:rsidRPr="00FF74E4" w:rsidRDefault="00384A46" w:rsidP="00FF74E4">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F74E4">
              <w:rPr>
                <w:color w:val="000000" w:themeColor="text1"/>
              </w:rPr>
              <w:t>Information Required</w:t>
            </w:r>
          </w:p>
        </w:tc>
        <w:tc>
          <w:tcPr>
            <w:tcW w:w="1114" w:type="pct"/>
            <w:noWrap/>
            <w:hideMark/>
          </w:tcPr>
          <w:p w14:paraId="005BD3E7" w14:textId="77777777" w:rsidR="00384A46" w:rsidRPr="00FF74E4" w:rsidRDefault="00384A46" w:rsidP="00FF74E4">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F74E4">
              <w:rPr>
                <w:color w:val="000000" w:themeColor="text1"/>
              </w:rPr>
              <w:t>Communication Method</w:t>
            </w:r>
          </w:p>
        </w:tc>
        <w:tc>
          <w:tcPr>
            <w:tcW w:w="494" w:type="pct"/>
            <w:noWrap/>
            <w:hideMark/>
          </w:tcPr>
          <w:p w14:paraId="5DDCED9A" w14:textId="77777777" w:rsidR="00384A46" w:rsidRPr="00FF74E4" w:rsidRDefault="00384A46" w:rsidP="00FF74E4">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F74E4">
              <w:rPr>
                <w:color w:val="000000" w:themeColor="text1"/>
              </w:rPr>
              <w:t>Frequency</w:t>
            </w:r>
          </w:p>
        </w:tc>
        <w:tc>
          <w:tcPr>
            <w:tcW w:w="0" w:type="auto"/>
            <w:noWrap/>
            <w:hideMark/>
          </w:tcPr>
          <w:p w14:paraId="7F941EFC" w14:textId="77777777" w:rsidR="00384A46" w:rsidRPr="00FF74E4" w:rsidRDefault="00384A46" w:rsidP="00FF74E4">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F74E4">
              <w:rPr>
                <w:color w:val="000000" w:themeColor="text1"/>
              </w:rPr>
              <w:t>Responsibility</w:t>
            </w:r>
          </w:p>
        </w:tc>
        <w:tc>
          <w:tcPr>
            <w:tcW w:w="0" w:type="auto"/>
            <w:noWrap/>
            <w:hideMark/>
          </w:tcPr>
          <w:p w14:paraId="7075A34D" w14:textId="77777777" w:rsidR="00384A46" w:rsidRPr="00FF74E4" w:rsidRDefault="00384A46" w:rsidP="00FF74E4">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F74E4">
              <w:rPr>
                <w:color w:val="000000" w:themeColor="text1"/>
              </w:rPr>
              <w:t>Justification</w:t>
            </w:r>
          </w:p>
        </w:tc>
      </w:tr>
      <w:tr w:rsidR="00384A46" w:rsidRPr="00384A46" w14:paraId="125A03A0" w14:textId="77777777" w:rsidTr="00E0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5B24E1F9" w14:textId="77777777" w:rsidR="00384A46" w:rsidRPr="00384A46" w:rsidRDefault="00384A46" w:rsidP="00525E97">
            <w:r w:rsidRPr="00384A46">
              <w:t>Birmingham City Council</w:t>
            </w:r>
          </w:p>
        </w:tc>
        <w:tc>
          <w:tcPr>
            <w:tcW w:w="0" w:type="auto"/>
            <w:noWrap/>
            <w:hideMark/>
          </w:tcPr>
          <w:p w14:paraId="30FDE4C0"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Project progress, budget and risks</w:t>
            </w:r>
          </w:p>
        </w:tc>
        <w:tc>
          <w:tcPr>
            <w:tcW w:w="1114" w:type="pct"/>
            <w:noWrap/>
            <w:hideMark/>
          </w:tcPr>
          <w:p w14:paraId="173D64AE"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Monthly meetings and reports</w:t>
            </w:r>
          </w:p>
        </w:tc>
        <w:tc>
          <w:tcPr>
            <w:tcW w:w="494" w:type="pct"/>
            <w:noWrap/>
            <w:hideMark/>
          </w:tcPr>
          <w:p w14:paraId="294C3344"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Monthly</w:t>
            </w:r>
          </w:p>
        </w:tc>
        <w:tc>
          <w:tcPr>
            <w:tcW w:w="0" w:type="auto"/>
            <w:noWrap/>
            <w:hideMark/>
          </w:tcPr>
          <w:p w14:paraId="6B577930"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Project Manager</w:t>
            </w:r>
          </w:p>
        </w:tc>
        <w:tc>
          <w:tcPr>
            <w:tcW w:w="0" w:type="auto"/>
            <w:noWrap/>
            <w:hideMark/>
          </w:tcPr>
          <w:p w14:paraId="15D11D34"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Supports strategic decisions</w:t>
            </w:r>
          </w:p>
        </w:tc>
      </w:tr>
      <w:tr w:rsidR="00384A46" w:rsidRPr="00384A46" w14:paraId="1FA12D1B" w14:textId="77777777" w:rsidTr="00E0434F">
        <w:tc>
          <w:tcPr>
            <w:cnfStyle w:val="001000000000" w:firstRow="0" w:lastRow="0" w:firstColumn="1" w:lastColumn="0" w:oddVBand="0" w:evenVBand="0" w:oddHBand="0" w:evenHBand="0" w:firstRowFirstColumn="0" w:firstRowLastColumn="0" w:lastRowFirstColumn="0" w:lastRowLastColumn="0"/>
            <w:tcW w:w="0" w:type="auto"/>
            <w:noWrap/>
            <w:hideMark/>
          </w:tcPr>
          <w:p w14:paraId="2249B94A" w14:textId="77777777" w:rsidR="00384A46" w:rsidRPr="00384A46" w:rsidRDefault="00384A46" w:rsidP="00525E97">
            <w:r w:rsidRPr="00384A46">
              <w:t>Leisure Centre Management</w:t>
            </w:r>
          </w:p>
        </w:tc>
        <w:tc>
          <w:tcPr>
            <w:tcW w:w="0" w:type="auto"/>
            <w:noWrap/>
            <w:hideMark/>
          </w:tcPr>
          <w:p w14:paraId="01560D26"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Construction updates, operational changes</w:t>
            </w:r>
          </w:p>
        </w:tc>
        <w:tc>
          <w:tcPr>
            <w:tcW w:w="1114" w:type="pct"/>
            <w:noWrap/>
            <w:hideMark/>
          </w:tcPr>
          <w:p w14:paraId="5D43264C"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Meetings and email</w:t>
            </w:r>
          </w:p>
        </w:tc>
        <w:tc>
          <w:tcPr>
            <w:tcW w:w="494" w:type="pct"/>
            <w:noWrap/>
            <w:hideMark/>
          </w:tcPr>
          <w:p w14:paraId="742113FD"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Fortnightly</w:t>
            </w:r>
          </w:p>
        </w:tc>
        <w:tc>
          <w:tcPr>
            <w:tcW w:w="0" w:type="auto"/>
            <w:noWrap/>
            <w:hideMark/>
          </w:tcPr>
          <w:p w14:paraId="3408C92C"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Project Manager</w:t>
            </w:r>
          </w:p>
        </w:tc>
        <w:tc>
          <w:tcPr>
            <w:tcW w:w="0" w:type="auto"/>
            <w:noWrap/>
            <w:hideMark/>
          </w:tcPr>
          <w:p w14:paraId="501A64FD"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Ensures operational continuity</w:t>
            </w:r>
          </w:p>
        </w:tc>
      </w:tr>
      <w:tr w:rsidR="00384A46" w:rsidRPr="00384A46" w14:paraId="58F1C32F" w14:textId="77777777" w:rsidTr="00E0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054C2D91" w14:textId="77777777" w:rsidR="00384A46" w:rsidRPr="00384A46" w:rsidRDefault="00384A46" w:rsidP="00525E97">
            <w:r w:rsidRPr="00384A46">
              <w:t>Local Residents</w:t>
            </w:r>
          </w:p>
        </w:tc>
        <w:tc>
          <w:tcPr>
            <w:tcW w:w="0" w:type="auto"/>
            <w:noWrap/>
            <w:hideMark/>
          </w:tcPr>
          <w:p w14:paraId="567CD576"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Construction schedule, service disruption, project benefits</w:t>
            </w:r>
          </w:p>
        </w:tc>
        <w:tc>
          <w:tcPr>
            <w:tcW w:w="1114" w:type="pct"/>
            <w:noWrap/>
            <w:hideMark/>
          </w:tcPr>
          <w:p w14:paraId="0E15FC24"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Community meetings, newsletters, social media and project website</w:t>
            </w:r>
          </w:p>
        </w:tc>
        <w:tc>
          <w:tcPr>
            <w:tcW w:w="494" w:type="pct"/>
            <w:noWrap/>
            <w:hideMark/>
          </w:tcPr>
          <w:p w14:paraId="7C76B69C"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Monthly</w:t>
            </w:r>
          </w:p>
        </w:tc>
        <w:tc>
          <w:tcPr>
            <w:tcW w:w="0" w:type="auto"/>
            <w:noWrap/>
            <w:hideMark/>
          </w:tcPr>
          <w:p w14:paraId="71486E16"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Community Engagement Officer</w:t>
            </w:r>
          </w:p>
        </w:tc>
        <w:tc>
          <w:tcPr>
            <w:tcW w:w="0" w:type="auto"/>
            <w:noWrap/>
            <w:hideMark/>
          </w:tcPr>
          <w:p w14:paraId="02B44618"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Promotes transparency and public participation</w:t>
            </w:r>
          </w:p>
        </w:tc>
      </w:tr>
      <w:tr w:rsidR="00384A46" w:rsidRPr="00384A46" w14:paraId="5B352C8E" w14:textId="77777777" w:rsidTr="00E0434F">
        <w:tc>
          <w:tcPr>
            <w:cnfStyle w:val="001000000000" w:firstRow="0" w:lastRow="0" w:firstColumn="1" w:lastColumn="0" w:oddVBand="0" w:evenVBand="0" w:oddHBand="0" w:evenHBand="0" w:firstRowFirstColumn="0" w:firstRowLastColumn="0" w:lastRowFirstColumn="0" w:lastRowLastColumn="0"/>
            <w:tcW w:w="0" w:type="auto"/>
            <w:noWrap/>
            <w:hideMark/>
          </w:tcPr>
          <w:p w14:paraId="4DD9D252" w14:textId="77777777" w:rsidR="00384A46" w:rsidRPr="00384A46" w:rsidRDefault="00384A46" w:rsidP="00525E97">
            <w:r w:rsidRPr="00384A46">
              <w:t>Contractors</w:t>
            </w:r>
          </w:p>
        </w:tc>
        <w:tc>
          <w:tcPr>
            <w:tcW w:w="0" w:type="auto"/>
            <w:noWrap/>
            <w:hideMark/>
          </w:tcPr>
          <w:p w14:paraId="38666204"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Technical drawings, health and safety updates</w:t>
            </w:r>
          </w:p>
        </w:tc>
        <w:tc>
          <w:tcPr>
            <w:tcW w:w="1114" w:type="pct"/>
            <w:noWrap/>
            <w:hideMark/>
          </w:tcPr>
          <w:p w14:paraId="4ACAFF35"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Site meetings and email</w:t>
            </w:r>
          </w:p>
        </w:tc>
        <w:tc>
          <w:tcPr>
            <w:tcW w:w="494" w:type="pct"/>
            <w:noWrap/>
            <w:hideMark/>
          </w:tcPr>
          <w:p w14:paraId="68AD603B"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Weekly</w:t>
            </w:r>
          </w:p>
        </w:tc>
        <w:tc>
          <w:tcPr>
            <w:tcW w:w="0" w:type="auto"/>
            <w:noWrap/>
            <w:hideMark/>
          </w:tcPr>
          <w:p w14:paraId="5E519850"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Site Manager</w:t>
            </w:r>
          </w:p>
        </w:tc>
        <w:tc>
          <w:tcPr>
            <w:tcW w:w="0" w:type="auto"/>
            <w:noWrap/>
            <w:hideMark/>
          </w:tcPr>
          <w:p w14:paraId="7B4D2FF1" w14:textId="77777777" w:rsidR="00384A46" w:rsidRPr="00384A46" w:rsidRDefault="00384A46" w:rsidP="00525E97">
            <w:pPr>
              <w:cnfStyle w:val="000000000000" w:firstRow="0" w:lastRow="0" w:firstColumn="0" w:lastColumn="0" w:oddVBand="0" w:evenVBand="0" w:oddHBand="0" w:evenHBand="0" w:firstRowFirstColumn="0" w:firstRowLastColumn="0" w:lastRowFirstColumn="0" w:lastRowLastColumn="0"/>
            </w:pPr>
            <w:r w:rsidRPr="00384A46">
              <w:t>Supports efficient project delivery</w:t>
            </w:r>
          </w:p>
        </w:tc>
      </w:tr>
      <w:tr w:rsidR="00384A46" w:rsidRPr="00384A46" w14:paraId="187FA8B4" w14:textId="77777777" w:rsidTr="00E0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21FB351B" w14:textId="77777777" w:rsidR="00384A46" w:rsidRPr="00384A46" w:rsidRDefault="00384A46" w:rsidP="00525E97">
            <w:bookmarkStart w:id="37" w:name="OLE_LINK85"/>
            <w:r w:rsidRPr="00384A46">
              <w:t>Local Schools</w:t>
            </w:r>
          </w:p>
        </w:tc>
        <w:tc>
          <w:tcPr>
            <w:tcW w:w="0" w:type="auto"/>
            <w:noWrap/>
            <w:hideMark/>
          </w:tcPr>
          <w:p w14:paraId="3D310767"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Programme availability and facility access</w:t>
            </w:r>
          </w:p>
        </w:tc>
        <w:tc>
          <w:tcPr>
            <w:tcW w:w="1114" w:type="pct"/>
            <w:noWrap/>
            <w:hideMark/>
          </w:tcPr>
          <w:p w14:paraId="1CF5D5E8"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Email and meetings</w:t>
            </w:r>
          </w:p>
        </w:tc>
        <w:tc>
          <w:tcPr>
            <w:tcW w:w="494" w:type="pct"/>
            <w:noWrap/>
            <w:hideMark/>
          </w:tcPr>
          <w:p w14:paraId="1E1BF6CE"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Quarterly</w:t>
            </w:r>
          </w:p>
        </w:tc>
        <w:tc>
          <w:tcPr>
            <w:tcW w:w="0" w:type="auto"/>
            <w:noWrap/>
            <w:hideMark/>
          </w:tcPr>
          <w:p w14:paraId="31D8084A"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Centre Manager</w:t>
            </w:r>
          </w:p>
        </w:tc>
        <w:tc>
          <w:tcPr>
            <w:tcW w:w="0" w:type="auto"/>
            <w:noWrap/>
            <w:hideMark/>
          </w:tcPr>
          <w:p w14:paraId="47C2D55A" w14:textId="77777777" w:rsidR="00384A46" w:rsidRPr="00384A46" w:rsidRDefault="00384A46" w:rsidP="00525E97">
            <w:pPr>
              <w:cnfStyle w:val="000000100000" w:firstRow="0" w:lastRow="0" w:firstColumn="0" w:lastColumn="0" w:oddVBand="0" w:evenVBand="0" w:oddHBand="1" w:evenHBand="0" w:firstRowFirstColumn="0" w:firstRowLastColumn="0" w:lastRowFirstColumn="0" w:lastRowLastColumn="0"/>
            </w:pPr>
            <w:r w:rsidRPr="00384A46">
              <w:t>Maintains educational partnerships</w:t>
            </w:r>
          </w:p>
        </w:tc>
      </w:tr>
    </w:tbl>
    <w:p w14:paraId="6E112AD1" w14:textId="77777777" w:rsidR="00525E97" w:rsidRDefault="00525E97" w:rsidP="00525E97"/>
    <w:p w14:paraId="3993DA69" w14:textId="353930C8" w:rsidR="00E77372" w:rsidRPr="00E77372" w:rsidRDefault="00E77372" w:rsidP="00525E97">
      <w:r w:rsidRPr="00E77372">
        <w:t xml:space="preserve">There are various communication methods needed for different stakeholders since they have different information needs and influence. Contractors must receive regular technical updates to ensure delivery of projects while local schools must receive regular information on programme availability. According to Tumpa and Naeni (2025), digital platforms have the potential of increasing transparency and engagement of stakeholders. But digital communication does not effectively address complex stakeholder concerns and stimulate dialogue. In-person interactions </w:t>
      </w:r>
      <w:r w:rsidRPr="00E77372">
        <w:lastRenderedPageBreak/>
        <w:t>help build trust, but are time consuming and resource-intensive. Hence, a balanced communication strategy should be used, for instance by including community meetings in conjunction with digital tools such as the project website, email newsletters and social media.</w:t>
      </w:r>
    </w:p>
    <w:p w14:paraId="5EC2B4BC" w14:textId="1B782D96" w:rsidR="00E0434F" w:rsidRPr="0028545F" w:rsidRDefault="00E77372" w:rsidP="0028545F">
      <w:r w:rsidRPr="00E77372">
        <w:t>Digital communication only might leave out older citizenship or those who do not have reliable access to the Internet. On the other hand, conventional approaches might be effective only for limited reach and/or slower information sharing. Communication should be timely, transparent and tailored to the needs of stakeholders (CIPR, 2025), and regular communication is important as it helps to recogni</w:t>
      </w:r>
      <w:r w:rsidR="007B577C">
        <w:t>s</w:t>
      </w:r>
      <w:r w:rsidRPr="00E77372">
        <w:t>e concerns before they become project risks (Song, Munyinda and Adu Sarfo, 2025). Therefore, combining digital and traditional communication increases access and deepens the trust of stakeholders and promotes better engagement throughout the enhancement project. This also follows the rule that all communications should be tailored to the preferences of the stakeholder, not a one-size-fits-all standard approach.</w:t>
      </w:r>
      <w:bookmarkStart w:id="38" w:name="_Toc233789246"/>
      <w:bookmarkStart w:id="39" w:name="_Toc233789294"/>
    </w:p>
    <w:p w14:paraId="366198B8" w14:textId="3A620E13" w:rsidR="00E77372" w:rsidRPr="00E77372" w:rsidRDefault="00E77372" w:rsidP="00525E97">
      <w:pPr>
        <w:pStyle w:val="Heading2"/>
      </w:pPr>
      <w:r w:rsidRPr="00E77372">
        <w:t>2.5 Consultation Strategy</w:t>
      </w:r>
      <w:bookmarkEnd w:id="38"/>
      <w:bookmarkEnd w:id="39"/>
    </w:p>
    <w:p w14:paraId="6DAC34B9" w14:textId="5538E19D" w:rsidR="00410284" w:rsidRDefault="00E77372" w:rsidP="00525E97">
      <w:r w:rsidRPr="00E77372">
        <w:t>Good consultation allows stakeholders to be involved in decision making, not just project updating. Cowl et al. (2021) suggest that there are a variety of approaches to consultation, but none is suitable for all stakeholder groups. For this reason the project for the improvement of Kingstanding Leisure Centre uses a variety of consultation techniques to help promote meaningful participation within the project.</w:t>
      </w:r>
    </w:p>
    <w:p w14:paraId="4E5F4927" w14:textId="77777777" w:rsidR="0028545F" w:rsidRDefault="0028545F" w:rsidP="00525E97"/>
    <w:p w14:paraId="2F1491DC" w14:textId="77777777" w:rsidR="0028545F" w:rsidRDefault="0028545F" w:rsidP="00525E97"/>
    <w:p w14:paraId="7072AA3C" w14:textId="77777777" w:rsidR="0028545F" w:rsidRDefault="0028545F" w:rsidP="00525E97"/>
    <w:p w14:paraId="201C4074" w14:textId="77777777" w:rsidR="0028545F" w:rsidRPr="00410284" w:rsidRDefault="0028545F" w:rsidP="00525E97"/>
    <w:p w14:paraId="173BF26C" w14:textId="5C7DCA09" w:rsidR="00525E97" w:rsidRDefault="00525E97" w:rsidP="00525E97">
      <w:pPr>
        <w:pStyle w:val="Caption"/>
        <w:keepNext/>
      </w:pPr>
      <w:bookmarkStart w:id="40" w:name="_Toc233789345"/>
      <w:r>
        <w:lastRenderedPageBreak/>
        <w:t xml:space="preserve">Table </w:t>
      </w:r>
      <w:fldSimple w:instr=" SEQ Table \* ARABIC ">
        <w:r>
          <w:rPr>
            <w:noProof/>
          </w:rPr>
          <w:t>4</w:t>
        </w:r>
      </w:fldSimple>
      <w:r>
        <w:t xml:space="preserve">: </w:t>
      </w:r>
      <w:r w:rsidRPr="00C744F8">
        <w:t>Consultation Strategy</w:t>
      </w:r>
      <w:bookmarkEnd w:id="40"/>
    </w:p>
    <w:tbl>
      <w:tblPr>
        <w:tblStyle w:val="GridTable4-Accent3"/>
        <w:tblW w:w="5000" w:type="pct"/>
        <w:tblLook w:val="04A0" w:firstRow="1" w:lastRow="0" w:firstColumn="1" w:lastColumn="0" w:noHBand="0" w:noVBand="1"/>
      </w:tblPr>
      <w:tblGrid>
        <w:gridCol w:w="1731"/>
        <w:gridCol w:w="1912"/>
        <w:gridCol w:w="1779"/>
        <w:gridCol w:w="2046"/>
        <w:gridCol w:w="1882"/>
      </w:tblGrid>
      <w:tr w:rsidR="00410284" w:rsidRPr="00410284" w14:paraId="092441C9" w14:textId="77777777" w:rsidTr="00E043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bookmarkEnd w:id="37"/>
          <w:p w14:paraId="026F7D1F" w14:textId="77777777" w:rsidR="00410284" w:rsidRPr="00E0434F" w:rsidRDefault="00410284" w:rsidP="00E0434F">
            <w:pPr>
              <w:jc w:val="center"/>
              <w:rPr>
                <w:color w:val="000000" w:themeColor="text1"/>
              </w:rPr>
            </w:pPr>
            <w:r w:rsidRPr="00E0434F">
              <w:rPr>
                <w:color w:val="000000" w:themeColor="text1"/>
              </w:rPr>
              <w:t>Stakeholder</w:t>
            </w:r>
          </w:p>
        </w:tc>
        <w:tc>
          <w:tcPr>
            <w:tcW w:w="0" w:type="auto"/>
            <w:noWrap/>
            <w:hideMark/>
          </w:tcPr>
          <w:p w14:paraId="0A1FAE8F" w14:textId="77777777" w:rsidR="00410284" w:rsidRPr="00E0434F" w:rsidRDefault="00410284" w:rsidP="00E0434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0434F">
              <w:rPr>
                <w:color w:val="000000" w:themeColor="text1"/>
              </w:rPr>
              <w:t>Consultation Method</w:t>
            </w:r>
          </w:p>
        </w:tc>
        <w:tc>
          <w:tcPr>
            <w:tcW w:w="0" w:type="auto"/>
            <w:noWrap/>
            <w:hideMark/>
          </w:tcPr>
          <w:p w14:paraId="7C786270" w14:textId="77777777" w:rsidR="00410284" w:rsidRPr="00E0434F" w:rsidRDefault="00410284" w:rsidP="00E0434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0434F">
              <w:rPr>
                <w:color w:val="000000" w:themeColor="text1"/>
              </w:rPr>
              <w:t>Purpose</w:t>
            </w:r>
          </w:p>
        </w:tc>
        <w:tc>
          <w:tcPr>
            <w:tcW w:w="0" w:type="auto"/>
            <w:noWrap/>
            <w:hideMark/>
          </w:tcPr>
          <w:p w14:paraId="31656641" w14:textId="77777777" w:rsidR="00410284" w:rsidRPr="00E0434F" w:rsidRDefault="00410284" w:rsidP="00E0434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0434F">
              <w:rPr>
                <w:color w:val="000000" w:themeColor="text1"/>
              </w:rPr>
              <w:t>Expected Outcome</w:t>
            </w:r>
          </w:p>
        </w:tc>
        <w:tc>
          <w:tcPr>
            <w:tcW w:w="0" w:type="auto"/>
            <w:noWrap/>
            <w:hideMark/>
          </w:tcPr>
          <w:p w14:paraId="1A1094AC" w14:textId="77777777" w:rsidR="00410284" w:rsidRPr="00E0434F" w:rsidRDefault="00410284" w:rsidP="00E0434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0434F">
              <w:rPr>
                <w:color w:val="000000" w:themeColor="text1"/>
              </w:rPr>
              <w:t>Justification</w:t>
            </w:r>
          </w:p>
        </w:tc>
      </w:tr>
      <w:tr w:rsidR="00410284" w:rsidRPr="00410284" w14:paraId="40A53D26" w14:textId="77777777" w:rsidTr="00E0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4EFC7171" w14:textId="77777777" w:rsidR="00410284" w:rsidRPr="00410284" w:rsidRDefault="00410284" w:rsidP="00525E97">
            <w:r w:rsidRPr="00410284">
              <w:t>Local Residents</w:t>
            </w:r>
          </w:p>
        </w:tc>
        <w:tc>
          <w:tcPr>
            <w:tcW w:w="0" w:type="auto"/>
            <w:noWrap/>
            <w:hideMark/>
          </w:tcPr>
          <w:p w14:paraId="4598E972" w14:textId="77777777" w:rsidR="00410284" w:rsidRPr="00410284" w:rsidRDefault="00410284" w:rsidP="00525E97">
            <w:pPr>
              <w:cnfStyle w:val="000000100000" w:firstRow="0" w:lastRow="0" w:firstColumn="0" w:lastColumn="0" w:oddVBand="0" w:evenVBand="0" w:oddHBand="1" w:evenHBand="0" w:firstRowFirstColumn="0" w:firstRowLastColumn="0" w:lastRowFirstColumn="0" w:lastRowLastColumn="0"/>
            </w:pPr>
            <w:r w:rsidRPr="00410284">
              <w:t>Public meetings, online surveys</w:t>
            </w:r>
          </w:p>
        </w:tc>
        <w:tc>
          <w:tcPr>
            <w:tcW w:w="0" w:type="auto"/>
            <w:noWrap/>
            <w:hideMark/>
          </w:tcPr>
          <w:p w14:paraId="16409BC0" w14:textId="77777777" w:rsidR="00410284" w:rsidRPr="00410284" w:rsidRDefault="00410284" w:rsidP="00525E97">
            <w:pPr>
              <w:cnfStyle w:val="000000100000" w:firstRow="0" w:lastRow="0" w:firstColumn="0" w:lastColumn="0" w:oddVBand="0" w:evenVBand="0" w:oddHBand="1" w:evenHBand="0" w:firstRowFirstColumn="0" w:firstRowLastColumn="0" w:lastRowFirstColumn="0" w:lastRowLastColumn="0"/>
            </w:pPr>
            <w:r w:rsidRPr="00410284">
              <w:t>Gather community views</w:t>
            </w:r>
          </w:p>
        </w:tc>
        <w:tc>
          <w:tcPr>
            <w:tcW w:w="0" w:type="auto"/>
            <w:noWrap/>
            <w:hideMark/>
          </w:tcPr>
          <w:p w14:paraId="47A3C65A" w14:textId="77777777" w:rsidR="00410284" w:rsidRPr="00410284" w:rsidRDefault="00410284" w:rsidP="00525E97">
            <w:pPr>
              <w:cnfStyle w:val="000000100000" w:firstRow="0" w:lastRow="0" w:firstColumn="0" w:lastColumn="0" w:oddVBand="0" w:evenVBand="0" w:oddHBand="1" w:evenHBand="0" w:firstRowFirstColumn="0" w:firstRowLastColumn="0" w:lastRowFirstColumn="0" w:lastRowLastColumn="0"/>
            </w:pPr>
            <w:r w:rsidRPr="00410284">
              <w:t>Improved project design</w:t>
            </w:r>
          </w:p>
        </w:tc>
        <w:tc>
          <w:tcPr>
            <w:tcW w:w="0" w:type="auto"/>
            <w:noWrap/>
            <w:hideMark/>
          </w:tcPr>
          <w:p w14:paraId="70FD4DF9" w14:textId="77777777" w:rsidR="00410284" w:rsidRPr="00410284" w:rsidRDefault="00410284" w:rsidP="00525E97">
            <w:pPr>
              <w:cnfStyle w:val="000000100000" w:firstRow="0" w:lastRow="0" w:firstColumn="0" w:lastColumn="0" w:oddVBand="0" w:evenVBand="0" w:oddHBand="1" w:evenHBand="0" w:firstRowFirstColumn="0" w:firstRowLastColumn="0" w:lastRowFirstColumn="0" w:lastRowLastColumn="0"/>
            </w:pPr>
            <w:r w:rsidRPr="00410284">
              <w:t>Directly affected by the project</w:t>
            </w:r>
          </w:p>
        </w:tc>
      </w:tr>
      <w:tr w:rsidR="00410284" w:rsidRPr="00410284" w14:paraId="5C5A99D8" w14:textId="77777777" w:rsidTr="00E0434F">
        <w:tc>
          <w:tcPr>
            <w:cnfStyle w:val="001000000000" w:firstRow="0" w:lastRow="0" w:firstColumn="1" w:lastColumn="0" w:oddVBand="0" w:evenVBand="0" w:oddHBand="0" w:evenHBand="0" w:firstRowFirstColumn="0" w:firstRowLastColumn="0" w:lastRowFirstColumn="0" w:lastRowLastColumn="0"/>
            <w:tcW w:w="0" w:type="auto"/>
            <w:noWrap/>
            <w:hideMark/>
          </w:tcPr>
          <w:p w14:paraId="1E279FAB" w14:textId="77777777" w:rsidR="00410284" w:rsidRPr="00410284" w:rsidRDefault="00410284" w:rsidP="00525E97">
            <w:r w:rsidRPr="00410284">
              <w:t>Local Schools</w:t>
            </w:r>
          </w:p>
        </w:tc>
        <w:tc>
          <w:tcPr>
            <w:tcW w:w="0" w:type="auto"/>
            <w:noWrap/>
            <w:hideMark/>
          </w:tcPr>
          <w:p w14:paraId="712513D2" w14:textId="77777777" w:rsidR="00410284" w:rsidRPr="00410284" w:rsidRDefault="00410284" w:rsidP="00525E97">
            <w:pPr>
              <w:cnfStyle w:val="000000000000" w:firstRow="0" w:lastRow="0" w:firstColumn="0" w:lastColumn="0" w:oddVBand="0" w:evenVBand="0" w:oddHBand="0" w:evenHBand="0" w:firstRowFirstColumn="0" w:firstRowLastColumn="0" w:lastRowFirstColumn="0" w:lastRowLastColumn="0"/>
            </w:pPr>
            <w:r w:rsidRPr="00410284">
              <w:t>Focus groups</w:t>
            </w:r>
          </w:p>
        </w:tc>
        <w:tc>
          <w:tcPr>
            <w:tcW w:w="0" w:type="auto"/>
            <w:noWrap/>
            <w:hideMark/>
          </w:tcPr>
          <w:p w14:paraId="3676620A" w14:textId="77777777" w:rsidR="00410284" w:rsidRPr="00410284" w:rsidRDefault="00410284" w:rsidP="00525E97">
            <w:pPr>
              <w:cnfStyle w:val="000000000000" w:firstRow="0" w:lastRow="0" w:firstColumn="0" w:lastColumn="0" w:oddVBand="0" w:evenVBand="0" w:oddHBand="0" w:evenHBand="0" w:firstRowFirstColumn="0" w:firstRowLastColumn="0" w:lastRowFirstColumn="0" w:lastRowLastColumn="0"/>
            </w:pPr>
            <w:r w:rsidRPr="00410284">
              <w:t>Identify facility requirements</w:t>
            </w:r>
          </w:p>
        </w:tc>
        <w:tc>
          <w:tcPr>
            <w:tcW w:w="0" w:type="auto"/>
            <w:noWrap/>
            <w:hideMark/>
          </w:tcPr>
          <w:p w14:paraId="769BF21F" w14:textId="77777777" w:rsidR="00410284" w:rsidRPr="00410284" w:rsidRDefault="00410284" w:rsidP="00525E97">
            <w:pPr>
              <w:cnfStyle w:val="000000000000" w:firstRow="0" w:lastRow="0" w:firstColumn="0" w:lastColumn="0" w:oddVBand="0" w:evenVBand="0" w:oddHBand="0" w:evenHBand="0" w:firstRowFirstColumn="0" w:firstRowLastColumn="0" w:lastRowFirstColumn="0" w:lastRowLastColumn="0"/>
            </w:pPr>
            <w:r w:rsidRPr="00410284">
              <w:t>Better educational access</w:t>
            </w:r>
          </w:p>
        </w:tc>
        <w:tc>
          <w:tcPr>
            <w:tcW w:w="0" w:type="auto"/>
            <w:noWrap/>
            <w:hideMark/>
          </w:tcPr>
          <w:p w14:paraId="57A47CF5" w14:textId="77777777" w:rsidR="00410284" w:rsidRPr="00410284" w:rsidRDefault="00410284" w:rsidP="00525E97">
            <w:pPr>
              <w:cnfStyle w:val="000000000000" w:firstRow="0" w:lastRow="0" w:firstColumn="0" w:lastColumn="0" w:oddVBand="0" w:evenVBand="0" w:oddHBand="0" w:evenHBand="0" w:firstRowFirstColumn="0" w:firstRowLastColumn="0" w:lastRowFirstColumn="0" w:lastRowLastColumn="0"/>
            </w:pPr>
            <w:r w:rsidRPr="00410284">
              <w:t>Regular users of the centre</w:t>
            </w:r>
          </w:p>
        </w:tc>
      </w:tr>
      <w:tr w:rsidR="00410284" w:rsidRPr="00410284" w14:paraId="3115D32A" w14:textId="77777777" w:rsidTr="00E04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1ACCE151" w14:textId="77777777" w:rsidR="00410284" w:rsidRPr="00410284" w:rsidRDefault="00410284" w:rsidP="00525E97">
            <w:r w:rsidRPr="00410284">
              <w:t>Community Organisations</w:t>
            </w:r>
          </w:p>
        </w:tc>
        <w:tc>
          <w:tcPr>
            <w:tcW w:w="0" w:type="auto"/>
            <w:noWrap/>
            <w:hideMark/>
          </w:tcPr>
          <w:p w14:paraId="40EC9ED7" w14:textId="77777777" w:rsidR="00410284" w:rsidRPr="00410284" w:rsidRDefault="00410284" w:rsidP="00525E97">
            <w:pPr>
              <w:cnfStyle w:val="000000100000" w:firstRow="0" w:lastRow="0" w:firstColumn="0" w:lastColumn="0" w:oddVBand="0" w:evenVBand="0" w:oddHBand="1" w:evenHBand="0" w:firstRowFirstColumn="0" w:firstRowLastColumn="0" w:lastRowFirstColumn="0" w:lastRowLastColumn="0"/>
            </w:pPr>
            <w:r w:rsidRPr="00410284">
              <w:t>Workshops</w:t>
            </w:r>
          </w:p>
        </w:tc>
        <w:tc>
          <w:tcPr>
            <w:tcW w:w="0" w:type="auto"/>
            <w:noWrap/>
            <w:hideMark/>
          </w:tcPr>
          <w:p w14:paraId="509683B5" w14:textId="77777777" w:rsidR="00410284" w:rsidRPr="00410284" w:rsidRDefault="00410284" w:rsidP="00525E97">
            <w:pPr>
              <w:cnfStyle w:val="000000100000" w:firstRow="0" w:lastRow="0" w:firstColumn="0" w:lastColumn="0" w:oddVBand="0" w:evenVBand="0" w:oddHBand="1" w:evenHBand="0" w:firstRowFirstColumn="0" w:firstRowLastColumn="0" w:lastRowFirstColumn="0" w:lastRowLastColumn="0"/>
            </w:pPr>
            <w:r w:rsidRPr="00410284">
              <w:t>Encourage collaboration</w:t>
            </w:r>
          </w:p>
        </w:tc>
        <w:tc>
          <w:tcPr>
            <w:tcW w:w="0" w:type="auto"/>
            <w:noWrap/>
            <w:hideMark/>
          </w:tcPr>
          <w:p w14:paraId="39479C48" w14:textId="77777777" w:rsidR="00410284" w:rsidRPr="00410284" w:rsidRDefault="00410284" w:rsidP="00525E97">
            <w:pPr>
              <w:cnfStyle w:val="000000100000" w:firstRow="0" w:lastRow="0" w:firstColumn="0" w:lastColumn="0" w:oddVBand="0" w:evenVBand="0" w:oddHBand="1" w:evenHBand="0" w:firstRowFirstColumn="0" w:firstRowLastColumn="0" w:lastRowFirstColumn="0" w:lastRowLastColumn="0"/>
            </w:pPr>
            <w:r w:rsidRPr="00410284">
              <w:t>Inclusive community programmes</w:t>
            </w:r>
          </w:p>
        </w:tc>
        <w:tc>
          <w:tcPr>
            <w:tcW w:w="0" w:type="auto"/>
            <w:noWrap/>
            <w:hideMark/>
          </w:tcPr>
          <w:p w14:paraId="0B4354B8" w14:textId="77777777" w:rsidR="00410284" w:rsidRPr="00410284" w:rsidRDefault="00410284" w:rsidP="00525E97">
            <w:pPr>
              <w:cnfStyle w:val="000000100000" w:firstRow="0" w:lastRow="0" w:firstColumn="0" w:lastColumn="0" w:oddVBand="0" w:evenVBand="0" w:oddHBand="1" w:evenHBand="0" w:firstRowFirstColumn="0" w:firstRowLastColumn="0" w:lastRowFirstColumn="0" w:lastRowLastColumn="0"/>
            </w:pPr>
            <w:r w:rsidRPr="00410284">
              <w:t>Represent local interests</w:t>
            </w:r>
          </w:p>
        </w:tc>
      </w:tr>
      <w:tr w:rsidR="00410284" w:rsidRPr="00410284" w14:paraId="5B83DC59" w14:textId="77777777" w:rsidTr="00E0434F">
        <w:tc>
          <w:tcPr>
            <w:cnfStyle w:val="001000000000" w:firstRow="0" w:lastRow="0" w:firstColumn="1" w:lastColumn="0" w:oddVBand="0" w:evenVBand="0" w:oddHBand="0" w:evenHBand="0" w:firstRowFirstColumn="0" w:firstRowLastColumn="0" w:lastRowFirstColumn="0" w:lastRowLastColumn="0"/>
            <w:tcW w:w="0" w:type="auto"/>
            <w:noWrap/>
            <w:hideMark/>
          </w:tcPr>
          <w:p w14:paraId="2D52AE34" w14:textId="77777777" w:rsidR="00410284" w:rsidRPr="00410284" w:rsidRDefault="00410284" w:rsidP="00525E97">
            <w:r w:rsidRPr="00410284">
              <w:t>Contractors</w:t>
            </w:r>
          </w:p>
        </w:tc>
        <w:tc>
          <w:tcPr>
            <w:tcW w:w="0" w:type="auto"/>
            <w:noWrap/>
            <w:hideMark/>
          </w:tcPr>
          <w:p w14:paraId="57F1C05B" w14:textId="77777777" w:rsidR="00410284" w:rsidRPr="00410284" w:rsidRDefault="00410284" w:rsidP="00525E97">
            <w:pPr>
              <w:cnfStyle w:val="000000000000" w:firstRow="0" w:lastRow="0" w:firstColumn="0" w:lastColumn="0" w:oddVBand="0" w:evenVBand="0" w:oddHBand="0" w:evenHBand="0" w:firstRowFirstColumn="0" w:firstRowLastColumn="0" w:lastRowFirstColumn="0" w:lastRowLastColumn="0"/>
            </w:pPr>
            <w:r w:rsidRPr="00410284">
              <w:t>Technical meetings</w:t>
            </w:r>
          </w:p>
        </w:tc>
        <w:tc>
          <w:tcPr>
            <w:tcW w:w="0" w:type="auto"/>
            <w:noWrap/>
            <w:hideMark/>
          </w:tcPr>
          <w:p w14:paraId="706D3720" w14:textId="77777777" w:rsidR="00410284" w:rsidRPr="00410284" w:rsidRDefault="00410284" w:rsidP="00525E97">
            <w:pPr>
              <w:cnfStyle w:val="000000000000" w:firstRow="0" w:lastRow="0" w:firstColumn="0" w:lastColumn="0" w:oddVBand="0" w:evenVBand="0" w:oddHBand="0" w:evenHBand="0" w:firstRowFirstColumn="0" w:firstRowLastColumn="0" w:lastRowFirstColumn="0" w:lastRowLastColumn="0"/>
            </w:pPr>
            <w:r w:rsidRPr="00410284">
              <w:t>Resolve construction issues</w:t>
            </w:r>
          </w:p>
        </w:tc>
        <w:tc>
          <w:tcPr>
            <w:tcW w:w="0" w:type="auto"/>
            <w:noWrap/>
            <w:hideMark/>
          </w:tcPr>
          <w:p w14:paraId="28E8BF30" w14:textId="77777777" w:rsidR="00410284" w:rsidRPr="00410284" w:rsidRDefault="00410284" w:rsidP="00525E97">
            <w:pPr>
              <w:cnfStyle w:val="000000000000" w:firstRow="0" w:lastRow="0" w:firstColumn="0" w:lastColumn="0" w:oddVBand="0" w:evenVBand="0" w:oddHBand="0" w:evenHBand="0" w:firstRowFirstColumn="0" w:firstRowLastColumn="0" w:lastRowFirstColumn="0" w:lastRowLastColumn="0"/>
            </w:pPr>
            <w:r w:rsidRPr="00410284">
              <w:t>Efficient project delivery</w:t>
            </w:r>
          </w:p>
        </w:tc>
        <w:tc>
          <w:tcPr>
            <w:tcW w:w="0" w:type="auto"/>
            <w:noWrap/>
            <w:hideMark/>
          </w:tcPr>
          <w:p w14:paraId="03FB51F5" w14:textId="77777777" w:rsidR="00410284" w:rsidRPr="00410284" w:rsidRDefault="00410284" w:rsidP="00525E97">
            <w:pPr>
              <w:cnfStyle w:val="000000000000" w:firstRow="0" w:lastRow="0" w:firstColumn="0" w:lastColumn="0" w:oddVBand="0" w:evenVBand="0" w:oddHBand="0" w:evenHBand="0" w:firstRowFirstColumn="0" w:firstRowLastColumn="0" w:lastRowFirstColumn="0" w:lastRowLastColumn="0"/>
            </w:pPr>
            <w:r w:rsidRPr="00410284">
              <w:t>Improve project coordination</w:t>
            </w:r>
          </w:p>
        </w:tc>
      </w:tr>
    </w:tbl>
    <w:p w14:paraId="5F4D7CB6" w14:textId="77777777" w:rsidR="00525E97" w:rsidRDefault="00525E97" w:rsidP="00525E97">
      <w:bookmarkStart w:id="41" w:name="OLE_LINK86"/>
      <w:bookmarkEnd w:id="33"/>
    </w:p>
    <w:p w14:paraId="7DF02D75" w14:textId="208D1438" w:rsidR="00410284" w:rsidRPr="00410284" w:rsidRDefault="00E77372" w:rsidP="00525E97">
      <w:r w:rsidRPr="00E77372">
        <w:t xml:space="preserve">Consultation should be done before, during, and after implementation to allow for stakeholder feedback to guide planning, track project development, and assess project outcomes. Local residents need to be consulted at the highest level since they are the main users and most impacted by construction activities. </w:t>
      </w:r>
      <w:r>
        <w:t>A</w:t>
      </w:r>
      <w:r w:rsidRPr="00E77372">
        <w:t>s mentioned by Zhang and Gu (2025)</w:t>
      </w:r>
      <w:r>
        <w:t xml:space="preserve"> i</w:t>
      </w:r>
      <w:r w:rsidRPr="00E77372">
        <w:t>f these concerns are not addressed at an early stage, they can lead to community opposition. Additionally, Tumpa and Naeni (2025) suggest using face-to-face meetings in conjunction with digital platforms (online surveys) to enhance participation and transparency. Therefore, the results of the consultation must be reviewed regularly and linked to the project's decisions in order to guarantee that the enhancement will be valid and have the support of the stakeholders in the long term.</w:t>
      </w:r>
    </w:p>
    <w:p w14:paraId="78A19045" w14:textId="77777777" w:rsidR="0028545F" w:rsidRDefault="0028545F">
      <w:pPr>
        <w:spacing w:after="160" w:afterAutospacing="0" w:line="278" w:lineRule="auto"/>
        <w:jc w:val="left"/>
        <w:rPr>
          <w:b/>
          <w:bCs/>
          <w:sz w:val="28"/>
          <w:szCs w:val="28"/>
        </w:rPr>
      </w:pPr>
      <w:bookmarkStart w:id="42" w:name="_Toc233789247"/>
      <w:bookmarkStart w:id="43" w:name="_Toc233789295"/>
      <w:r>
        <w:br w:type="page"/>
      </w:r>
    </w:p>
    <w:p w14:paraId="020CD978" w14:textId="0744E212" w:rsidR="00410284" w:rsidRPr="00410284" w:rsidRDefault="00410284" w:rsidP="00525E97">
      <w:pPr>
        <w:pStyle w:val="Heading2"/>
      </w:pPr>
      <w:r w:rsidRPr="00410284">
        <w:lastRenderedPageBreak/>
        <w:t>Element 3: Ethical Consideration in Stakeholder Consultation, Participation and Feedback</w:t>
      </w:r>
      <w:bookmarkEnd w:id="42"/>
      <w:bookmarkEnd w:id="43"/>
    </w:p>
    <w:p w14:paraId="41FF7CBA" w14:textId="77777777" w:rsidR="00410284" w:rsidRPr="00410284" w:rsidRDefault="00410284" w:rsidP="00525E97">
      <w:pPr>
        <w:pStyle w:val="Heading2"/>
      </w:pPr>
      <w:bookmarkStart w:id="44" w:name="_Toc233789248"/>
      <w:bookmarkStart w:id="45" w:name="_Toc233789296"/>
      <w:r w:rsidRPr="00410284">
        <w:t>3.1 Introduction to Ethical Stakeholder Consultation</w:t>
      </w:r>
      <w:bookmarkEnd w:id="44"/>
      <w:bookmarkEnd w:id="45"/>
    </w:p>
    <w:bookmarkEnd w:id="41"/>
    <w:p w14:paraId="6B6BCD9D" w14:textId="77777777" w:rsidR="00E77372" w:rsidRPr="00E77372" w:rsidRDefault="00E77372" w:rsidP="00525E97">
      <w:r w:rsidRPr="00E77372">
        <w:t>Ethical stakeholder consultation supports a fair, transparent and respectful process of participation, instead of merely gathering opinions. Dickert and Sugarman (2005) support the idea that consultation should respect the rights of the participants, but at the same time consider their needs and the needs of the group. As a result the proposed enhancement of Kingstanding Leisure Centre should aim to encourage voluntary involvement, respect privacy and build trust amongst stakeholders.</w:t>
      </w:r>
    </w:p>
    <w:p w14:paraId="21BBF500" w14:textId="77777777" w:rsidR="00E77372" w:rsidRPr="00E77372" w:rsidRDefault="00E77372" w:rsidP="00525E97">
      <w:pPr>
        <w:pStyle w:val="Heading2"/>
      </w:pPr>
      <w:bookmarkStart w:id="46" w:name="_Toc233789249"/>
      <w:bookmarkStart w:id="47" w:name="_Toc233789297"/>
      <w:r w:rsidRPr="00E77372">
        <w:t>3.2 Consultation Methods</w:t>
      </w:r>
      <w:bookmarkEnd w:id="46"/>
      <w:bookmarkEnd w:id="47"/>
    </w:p>
    <w:p w14:paraId="42B2C94E" w14:textId="77777777" w:rsidR="00E77372" w:rsidRPr="00E77372" w:rsidRDefault="00E77372" w:rsidP="00525E97">
      <w:r w:rsidRPr="00E77372">
        <w:t>The consultation techniques that have been established in Element 2 must be modified for specific groups of stakeholders. Community meetings and online surveys are the best ways to involve local residents, as they will be directly impacted by the project. Schools contribute in workshops and focus groups, contractors require technical and formal review meetings, and Birmingham City Council require technical and formal review meetings. Stakeholder needs differ and combining consultation methods leads to better decision quality, according to Cowl et al. (2021). Similarly, Tumpa and Naeni (2025) suggests the use of digital platforms along with in-person consultation to ensure transparency and engagement. But this approach could potentially leave out the elderly or those who are less technologically literate. So applying various consultation techniques will lead to more balanced stakeholder responses.</w:t>
      </w:r>
    </w:p>
    <w:p w14:paraId="026119C5" w14:textId="77777777" w:rsidR="00E0434F" w:rsidRDefault="00E0434F">
      <w:pPr>
        <w:spacing w:after="160" w:afterAutospacing="0" w:line="278" w:lineRule="auto"/>
        <w:jc w:val="left"/>
        <w:rPr>
          <w:b/>
          <w:bCs/>
          <w:sz w:val="28"/>
          <w:szCs w:val="28"/>
        </w:rPr>
      </w:pPr>
      <w:bookmarkStart w:id="48" w:name="_Toc233789250"/>
      <w:bookmarkStart w:id="49" w:name="_Toc233789298"/>
      <w:r>
        <w:br w:type="page"/>
      </w:r>
    </w:p>
    <w:p w14:paraId="5FE19A0A" w14:textId="792E5ADF" w:rsidR="00E77372" w:rsidRPr="00E77372" w:rsidRDefault="00E77372" w:rsidP="00525E97">
      <w:pPr>
        <w:pStyle w:val="Heading2"/>
      </w:pPr>
      <w:r w:rsidRPr="00E77372">
        <w:lastRenderedPageBreak/>
        <w:t>3.3 Ethical Considerations in Data Collection</w:t>
      </w:r>
      <w:bookmarkEnd w:id="48"/>
      <w:bookmarkEnd w:id="49"/>
    </w:p>
    <w:p w14:paraId="20360AAC" w14:textId="62265EAD" w:rsidR="00525E97" w:rsidRDefault="00E77372" w:rsidP="00525E97">
      <w:r w:rsidRPr="00E77372">
        <w:t xml:space="preserve">The collection of stakeholder information is to be done responsibly and in line with the UK data protection requirements (UK Data Service, 2025). Stakeholders should be aware of the reasons for collecting the data, who will use them and how confidentiality will be ensured. </w:t>
      </w:r>
      <w:r w:rsidR="00265F87" w:rsidRPr="00265F87">
        <w:t>The participation must be voluntary, meaning that they can leave at any time. According to Dickert and Sugarman (2005), informed consent, privacy, and participant autonomy are key to an ethical consultation. Records of consultation should also be kept and only accessed by authorised members of the project team in accordance with UK data protection guidance.</w:t>
      </w:r>
      <w:r w:rsidRPr="00E77372">
        <w:t xml:space="preserve"> Kornu (2026) also proves that ethics enhances trust and credibility among stakeholders and the project. Community confidence could be diminished and participation may lessen if confidential information is shared or consultation is not open. So, it is fundamental to ethical data management to ensure trust in Birmingham City Council and the project team.</w:t>
      </w:r>
    </w:p>
    <w:p w14:paraId="6B758E6B" w14:textId="492DD5B6" w:rsidR="00410284" w:rsidRPr="00410284" w:rsidRDefault="00410284" w:rsidP="00525E97">
      <w:pPr>
        <w:pStyle w:val="Heading2"/>
      </w:pPr>
      <w:bookmarkStart w:id="50" w:name="_Toc233789251"/>
      <w:bookmarkStart w:id="51" w:name="_Toc233789299"/>
      <w:bookmarkStart w:id="52" w:name="OLE_LINK87"/>
      <w:r w:rsidRPr="00410284">
        <w:t>3.4 Bias in Stakeholder Consultation</w:t>
      </w:r>
      <w:bookmarkEnd w:id="50"/>
      <w:bookmarkEnd w:id="51"/>
    </w:p>
    <w:p w14:paraId="77FB3F23" w14:textId="3E4D3065" w:rsidR="00BF6611" w:rsidRPr="00BF6611" w:rsidRDefault="00265F87" w:rsidP="00525E97">
      <w:r w:rsidRPr="00265F87">
        <w:t>Bias can lead to decisions that are not reflective of the broader community. If you consult only regular users, for instance, older adults may not be included, nor may occasional visitors or local businesses. Representative consultation is recommended by Cowl et al. (2021) to enhance decision quality</w:t>
      </w:r>
      <w:r w:rsidR="00BF6611" w:rsidRPr="00BF6611">
        <w:t xml:space="preserve">. Hence, the project should be implemented with different age groups, various methods of consultation with community organisations, schools and businesses. </w:t>
      </w:r>
      <w:r w:rsidRPr="00265F87">
        <w:t>This helps to minimi</w:t>
      </w:r>
      <w:r w:rsidR="007B577C">
        <w:t>s</w:t>
      </w:r>
      <w:r w:rsidRPr="00265F87">
        <w:t>e the bias and create a more balanced decision.</w:t>
      </w:r>
    </w:p>
    <w:p w14:paraId="7CB219E5" w14:textId="77777777" w:rsidR="00BF6611" w:rsidRPr="00BF6611" w:rsidRDefault="00BF6611" w:rsidP="00525E97">
      <w:pPr>
        <w:pStyle w:val="Heading2"/>
      </w:pPr>
      <w:bookmarkStart w:id="53" w:name="_Toc233789252"/>
      <w:bookmarkStart w:id="54" w:name="_Toc233789300"/>
      <w:r w:rsidRPr="00BF6611">
        <w:t>3.5 Diversity, Equity and Inclusion (DEI)</w:t>
      </w:r>
      <w:bookmarkEnd w:id="53"/>
      <w:bookmarkEnd w:id="54"/>
    </w:p>
    <w:p w14:paraId="579873E1" w14:textId="4A7ED4A0" w:rsidR="00BF6611" w:rsidRPr="00BF6611" w:rsidRDefault="00265F87" w:rsidP="00525E97">
      <w:r w:rsidRPr="00265F87">
        <w:t>Older people, young people, disabled people, women, minority ethnic groups and low-income households should be involved in consultation. Practical measures include venues that are easy to access, flexible meeting times, and the provision of large print materials as well as a blend of online and face-to-face sessions</w:t>
      </w:r>
      <w:r w:rsidR="00BF6611" w:rsidRPr="00BF6611">
        <w:t xml:space="preserve">. Kingstanding Wellbeing Centre already has features like step free access, parking and hearing assistance to help make participation inclusive. Borg Ellul and Friggieri (2025) state that inclusive engagement is a key factor in building resilience in </w:t>
      </w:r>
      <w:r w:rsidR="00BF6611" w:rsidRPr="00BF6611">
        <w:lastRenderedPageBreak/>
        <w:t>communities, and Sport England (2016) believe that accessible leisure facilities help to enhance health and social participation. Inclusive consultation yields project decisions that are reflective of community needs, not just the loudest voice.</w:t>
      </w:r>
    </w:p>
    <w:p w14:paraId="0EA26B2A" w14:textId="77777777" w:rsidR="00BF6611" w:rsidRPr="00BF6611" w:rsidRDefault="00BF6611" w:rsidP="00525E97">
      <w:pPr>
        <w:pStyle w:val="Heading2"/>
      </w:pPr>
      <w:bookmarkStart w:id="55" w:name="_Toc233789253"/>
      <w:bookmarkStart w:id="56" w:name="_Toc233789301"/>
      <w:r w:rsidRPr="00BF6611">
        <w:t>3.6 Stakeholder Feedback Collection and Review</w:t>
      </w:r>
      <w:bookmarkEnd w:id="55"/>
      <w:bookmarkEnd w:id="56"/>
    </w:p>
    <w:p w14:paraId="13B12FEB" w14:textId="07F5D75E" w:rsidR="00410284" w:rsidRDefault="00BF6611" w:rsidP="00525E97">
      <w:r w:rsidRPr="00BF6611">
        <w:t>The feedback should be gathered via surveys, meetings and workshops, and then documented, analysed and discussed by the project team. Project plans should be updated, if applicable, and sent to stakeholders as to the results. Adjei (2026) states that continuous feedback in the community enhances the improvement of projects related to infrastructure and PMI (2021) advises that stakeholder engagement be monitored throughout the project lifecycle. Failure to consider the voice of the stakeholders can lead to loss of trust and a rise in opposition from the community. Stakeholder relationships and project delivery are thus enhanced through continuous review.</w:t>
      </w:r>
    </w:p>
    <w:p w14:paraId="19C15B50" w14:textId="77777777" w:rsidR="00410284" w:rsidRPr="00410284" w:rsidRDefault="00410284" w:rsidP="00525E97">
      <w:pPr>
        <w:pStyle w:val="Heading1"/>
      </w:pPr>
      <w:bookmarkStart w:id="57" w:name="_Toc233789254"/>
      <w:bookmarkStart w:id="58" w:name="_Toc233789302"/>
      <w:r w:rsidRPr="00410284">
        <w:t>Element 4: Conclusion and Reflection</w:t>
      </w:r>
      <w:bookmarkEnd w:id="57"/>
      <w:bookmarkEnd w:id="58"/>
    </w:p>
    <w:p w14:paraId="29D8C443" w14:textId="77777777" w:rsidR="00410284" w:rsidRPr="00410284" w:rsidRDefault="00410284" w:rsidP="00525E97">
      <w:pPr>
        <w:pStyle w:val="Heading2"/>
      </w:pPr>
      <w:bookmarkStart w:id="59" w:name="_Toc233789255"/>
      <w:bookmarkStart w:id="60" w:name="_Toc233789303"/>
      <w:r w:rsidRPr="00410284">
        <w:t>4.1 Conclusion</w:t>
      </w:r>
      <w:bookmarkEnd w:id="59"/>
      <w:bookmarkEnd w:id="60"/>
    </w:p>
    <w:p w14:paraId="0AA9D0BE" w14:textId="77777777" w:rsidR="00BF6611" w:rsidRDefault="00BF6611" w:rsidP="00525E97">
      <w:r w:rsidRPr="00BF6611">
        <w:t xml:space="preserve">This stakeholder management plan has shown that stakeholder engagement is an essential part of delivering the successful enhancement of Kingstanding Leisure Centre. Stakeholder identification and prioritisation helps project managers to understand the expectations from various stakeholders and assigns a stakeholder engagement strategy. Clear communication, meaningful consultation and ethical participation complement each other to enhance decision making, decrease conflict, and increase community support. Rather than relying on a one-off consultation, continuous stakeholder input gives the project team the opportunity to tailor the project to meet evolving needs throughout its life cycle. According to TOR (2025), active stakeholder involvement can enhance project outcomes by fostering greater collaboration, and according to Kujala et al. (2019), long-term stakeholder relationships can facilitate sustainable results. In addition, PMI (2021) notes that stakeholder involvement needs to be tracked over time because there are evolving stakeholder needs. In conclusion, the project will benefit from clear and co-operative working with the community before, throughout and after the enhancement work takes place which will enhance </w:t>
      </w:r>
      <w:r w:rsidRPr="00BF6611">
        <w:lastRenderedPageBreak/>
        <w:t>project delivery, increase the community's satisfaction and ensure long term sustainability of Kingstanding Leisure Centre.</w:t>
      </w:r>
    </w:p>
    <w:p w14:paraId="73B5E156" w14:textId="00885ECF" w:rsidR="00410284" w:rsidRPr="00410284" w:rsidRDefault="00410284" w:rsidP="00525E97">
      <w:pPr>
        <w:pStyle w:val="Heading2"/>
      </w:pPr>
      <w:bookmarkStart w:id="61" w:name="_Toc233789256"/>
      <w:bookmarkStart w:id="62" w:name="_Toc233789304"/>
      <w:r w:rsidRPr="00410284">
        <w:t>4.2 Reflection (Gibbs’ Reflective Cycle)</w:t>
      </w:r>
      <w:bookmarkEnd w:id="61"/>
      <w:bookmarkEnd w:id="62"/>
    </w:p>
    <w:p w14:paraId="23928612" w14:textId="42928464" w:rsidR="00410284" w:rsidRPr="00410284" w:rsidRDefault="00410284" w:rsidP="00525E97">
      <w:r w:rsidRPr="00410284">
        <w:rPr>
          <w:b/>
          <w:bCs/>
        </w:rPr>
        <w:t>Description:</w:t>
      </w:r>
      <w:r w:rsidRPr="00410284">
        <w:t xml:space="preserve"> </w:t>
      </w:r>
      <w:r w:rsidR="00BF6611" w:rsidRPr="00BF6611">
        <w:t>As a Junior Stakeholder Manager, I created a Stakeholder Management Plan for the proposed enhancement of Kingstanding Leisure Centre. This included identifying stakeholders, their priorities, developing communication and consultation plans, and thinking ethically about stakeholder engagement.</w:t>
      </w:r>
    </w:p>
    <w:p w14:paraId="472E34AF" w14:textId="7BA9421A" w:rsidR="00410284" w:rsidRPr="00410284" w:rsidRDefault="00410284" w:rsidP="00525E97">
      <w:r w:rsidRPr="00410284">
        <w:rPr>
          <w:b/>
          <w:bCs/>
        </w:rPr>
        <w:t>Feelings:</w:t>
      </w:r>
      <w:r w:rsidRPr="00410284">
        <w:t xml:space="preserve"> </w:t>
      </w:r>
      <w:r w:rsidR="00BF6611" w:rsidRPr="00BF6611">
        <w:t>Initially, I viewed stakeholder management as mainly identifying stakeholders. But I reali</w:t>
      </w:r>
      <w:r w:rsidR="007B577C">
        <w:t>s</w:t>
      </w:r>
      <w:r w:rsidR="00BF6611" w:rsidRPr="00BF6611">
        <w:t>ed that it was not as straightforward as I had thought to balance different interests with effective communication. This changed my understanding of project management.</w:t>
      </w:r>
    </w:p>
    <w:p w14:paraId="52A7F6BD" w14:textId="429CD169" w:rsidR="00410284" w:rsidRPr="00410284" w:rsidRDefault="00410284" w:rsidP="00525E97">
      <w:r w:rsidRPr="00410284">
        <w:rPr>
          <w:b/>
          <w:bCs/>
        </w:rPr>
        <w:t>Evaluation:</w:t>
      </w:r>
      <w:r w:rsidRPr="00410284">
        <w:t xml:space="preserve"> </w:t>
      </w:r>
      <w:r w:rsidR="00BF6611" w:rsidRPr="00BF6611">
        <w:t>Preparing the stakeholder matrix and communication plan were useful in gaining an understanding about how priorities of stakeholders affect project decisions. The use of stakeholder theories was also useful to me in analy</w:t>
      </w:r>
      <w:r w:rsidR="007B577C">
        <w:t>s</w:t>
      </w:r>
      <w:r w:rsidR="00BF6611" w:rsidRPr="00BF6611">
        <w:t>ing and justifying management decisions in a real community project. It was confirmed that it is important to keep relationships throughout the project, as TOR (2025) showed that a continuous engagement process can lead to project success.</w:t>
      </w:r>
    </w:p>
    <w:p w14:paraId="10B19059" w14:textId="33B2BFA5" w:rsidR="00410284" w:rsidRPr="00410284" w:rsidRDefault="00410284" w:rsidP="00525E97">
      <w:r w:rsidRPr="00410284">
        <w:rPr>
          <w:b/>
          <w:bCs/>
        </w:rPr>
        <w:t>Analysis:</w:t>
      </w:r>
      <w:r w:rsidRPr="00410284">
        <w:t xml:space="preserve"> </w:t>
      </w:r>
      <w:r w:rsidR="00BF6611" w:rsidRPr="00BF6611">
        <w:t>This planning process identified that the key to stakeholder management is to communicate, negotiate and make ethical decisions – not just rely on technical expertise. APM Competence Framework recogni</w:t>
      </w:r>
      <w:r w:rsidR="007B577C">
        <w:t>s</w:t>
      </w:r>
      <w:r w:rsidR="00BF6611" w:rsidRPr="00BF6611">
        <w:t>es communication and leadership along with stakeholder engagement as key professional skills of project managers (APM, 2025).   The Gibbs' Reflective Cycle also helped me reflect on my strengths and challenges rather than just simply describing my experience (Sow et al., 2024). I also understood that if I did not address stakeholder concerns, public trust would be diminished and this would impact the outcomes of the project.</w:t>
      </w:r>
    </w:p>
    <w:p w14:paraId="06FB5817" w14:textId="632916FA" w:rsidR="00410284" w:rsidRPr="00410284" w:rsidRDefault="00410284" w:rsidP="00525E97">
      <w:r w:rsidRPr="00410284">
        <w:rPr>
          <w:b/>
          <w:bCs/>
        </w:rPr>
        <w:t>Conclusion:</w:t>
      </w:r>
      <w:r w:rsidRPr="00410284">
        <w:t xml:space="preserve"> </w:t>
      </w:r>
      <w:r w:rsidR="00BF6611" w:rsidRPr="00BF6611">
        <w:t>This assignment reinforced the knowledge that for the successful completion of the infrastructure project, it is critical to engage the stakeholders effectively, provide ethical consultation and communicate continuously throughout the project.</w:t>
      </w:r>
    </w:p>
    <w:p w14:paraId="1E28B011" w14:textId="7376558F" w:rsidR="0043222A" w:rsidRDefault="00410284" w:rsidP="00525E97">
      <w:r w:rsidRPr="00410284">
        <w:rPr>
          <w:b/>
          <w:bCs/>
        </w:rPr>
        <w:lastRenderedPageBreak/>
        <w:t>Action Plan:</w:t>
      </w:r>
      <w:r w:rsidRPr="00410284">
        <w:t xml:space="preserve"> </w:t>
      </w:r>
      <w:bookmarkEnd w:id="52"/>
      <w:r w:rsidR="00BF6611" w:rsidRPr="00BF6611">
        <w:t>For future projects, I will keep building on my communication skills, stakeholder analysis and negotiation skills using well-known stakeholder management frameworks and additional professional development to enhance my Project Manager effectiveness.</w:t>
      </w:r>
    </w:p>
    <w:p w14:paraId="269C44DF" w14:textId="77777777" w:rsidR="00525E97" w:rsidRDefault="00525E97">
      <w:pPr>
        <w:spacing w:after="160" w:afterAutospacing="0" w:line="278" w:lineRule="auto"/>
        <w:jc w:val="left"/>
        <w:rPr>
          <w:b/>
          <w:bCs/>
          <w:sz w:val="32"/>
          <w:szCs w:val="32"/>
        </w:rPr>
      </w:pPr>
      <w:r>
        <w:br w:type="page"/>
      </w:r>
    </w:p>
    <w:p w14:paraId="3D9969BA" w14:textId="0175FDF5" w:rsidR="0043222A" w:rsidRDefault="0043222A" w:rsidP="00525E97">
      <w:pPr>
        <w:pStyle w:val="Heading1"/>
      </w:pPr>
      <w:bookmarkStart w:id="63" w:name="_Toc233789257"/>
      <w:bookmarkStart w:id="64" w:name="_Toc233789305"/>
      <w:r w:rsidRPr="0043222A">
        <w:lastRenderedPageBreak/>
        <w:t>Reference List</w:t>
      </w:r>
      <w:bookmarkEnd w:id="63"/>
      <w:bookmarkEnd w:id="64"/>
    </w:p>
    <w:p w14:paraId="19642E26" w14:textId="01011E15" w:rsidR="00525E97" w:rsidRDefault="00525E97" w:rsidP="00525E97">
      <w:pPr>
        <w:pStyle w:val="NormalWeb"/>
        <w:spacing w:before="0" w:beforeAutospacing="0" w:after="240" w:afterAutospacing="0" w:line="360" w:lineRule="auto"/>
        <w:jc w:val="both"/>
      </w:pPr>
      <w:r>
        <w:t xml:space="preserve">Adjei, H., Dzansi, D.Y. and Atiase, V.Y. (2026). Mediating Effect of Civic Engagement in CSR Effects on Mining Community Infrastructure: Evidence from Ghana. </w:t>
      </w:r>
      <w:r>
        <w:rPr>
          <w:i/>
          <w:iCs/>
        </w:rPr>
        <w:t>Sustainability</w:t>
      </w:r>
      <w:r>
        <w:t>, 18(5), p.2293. doi: https://doi.org/10.3390/su18052293.</w:t>
      </w:r>
    </w:p>
    <w:p w14:paraId="334B1CA1" w14:textId="77777777" w:rsidR="00525E97" w:rsidRDefault="00525E97" w:rsidP="00525E97">
      <w:pPr>
        <w:pStyle w:val="NormalWeb"/>
        <w:spacing w:before="0" w:beforeAutospacing="0" w:after="240" w:afterAutospacing="0" w:line="360" w:lineRule="auto"/>
        <w:jc w:val="both"/>
      </w:pPr>
      <w:r>
        <w:t xml:space="preserve">APM (2025). </w:t>
      </w:r>
      <w:r>
        <w:rPr>
          <w:i/>
          <w:iCs/>
        </w:rPr>
        <w:t>APM Competence Framework - Overview</w:t>
      </w:r>
      <w:r>
        <w:t>. [online] www.apm.org.uk. Available at: https://www.apm.org.uk/resources/find-a-resource/competence-framework/overview/.</w:t>
      </w:r>
    </w:p>
    <w:p w14:paraId="63962880" w14:textId="77777777" w:rsidR="00525E97" w:rsidRDefault="00525E97" w:rsidP="00525E97">
      <w:pPr>
        <w:pStyle w:val="NormalWeb"/>
        <w:spacing w:before="0" w:beforeAutospacing="0" w:after="240" w:afterAutospacing="0" w:line="360" w:lineRule="auto"/>
        <w:jc w:val="both"/>
      </w:pPr>
      <w:r>
        <w:t xml:space="preserve">Birmingham City Council (2015). </w:t>
      </w:r>
      <w:r>
        <w:rPr>
          <w:i/>
          <w:iCs/>
        </w:rPr>
        <w:t>Sustainability Appraisal of the Birmingham Development Plan Revised Sustainability Report</w:t>
      </w:r>
      <w:r>
        <w:t>. [online] Available at: https://www.birmingham.gov.uk/download/downloads/id/16825/ebd2_sustainability_appraisal_report_of_the_bdp_june_2015.pdf [Accessed 28 Jun. 2026].</w:t>
      </w:r>
    </w:p>
    <w:p w14:paraId="129C9271" w14:textId="77777777" w:rsidR="00525E97" w:rsidRDefault="00525E97" w:rsidP="00525E97">
      <w:pPr>
        <w:pStyle w:val="NormalWeb"/>
        <w:spacing w:before="0" w:beforeAutospacing="0" w:after="240" w:afterAutospacing="0" w:line="360" w:lineRule="auto"/>
        <w:jc w:val="both"/>
      </w:pPr>
      <w:r>
        <w:t xml:space="preserve">Chartered Institute of Public Relations (CIPR) (2025). </w:t>
      </w:r>
      <w:r>
        <w:rPr>
          <w:i/>
          <w:iCs/>
        </w:rPr>
        <w:t>Stakeholder engagement</w:t>
      </w:r>
      <w:r>
        <w:t>. [online] Cipr.co.uk. Available at: https://cipr.co.uk/CIPR/CIPR/Events/Training.aspx?EventKey=STK020725&amp;TrainingCode=STK [Accessed 30 Jun. 2026].</w:t>
      </w:r>
    </w:p>
    <w:p w14:paraId="1BAAA7A9" w14:textId="77777777" w:rsidR="00525E97" w:rsidRDefault="00525E97" w:rsidP="00525E97">
      <w:pPr>
        <w:pStyle w:val="NormalWeb"/>
        <w:spacing w:before="0" w:beforeAutospacing="0" w:after="240" w:afterAutospacing="0" w:line="360" w:lineRule="auto"/>
        <w:jc w:val="both"/>
      </w:pPr>
      <w:r>
        <w:t xml:space="preserve">Cowl, J., Armstrong, M., Schaefer, C. and Fielding, J. (2021). </w:t>
      </w:r>
      <w:r>
        <w:rPr>
          <w:i/>
          <w:iCs/>
        </w:rPr>
        <w:t>How to conduct public and targeted consultation</w:t>
      </w:r>
      <w:r>
        <w:t>. [online] Available at: https://g-i-n.net/wp-content/uploads/2021/04/Consultation-final-for-pdf-publication-1.pdf.</w:t>
      </w:r>
    </w:p>
    <w:p w14:paraId="7CEEB11E" w14:textId="42D48BE7" w:rsidR="00525E97" w:rsidRDefault="00525E97" w:rsidP="00525E97">
      <w:pPr>
        <w:pStyle w:val="NormalWeb"/>
        <w:spacing w:before="0" w:beforeAutospacing="0" w:after="240" w:afterAutospacing="0" w:line="360" w:lineRule="auto"/>
        <w:jc w:val="both"/>
      </w:pPr>
      <w:r>
        <w:t xml:space="preserve">Dickert, N. and Sugarman, J. (2005). Ethical Goals of Community Consultation in Research. </w:t>
      </w:r>
      <w:r>
        <w:rPr>
          <w:i/>
          <w:iCs/>
        </w:rPr>
        <w:t>American Journal of Public Health</w:t>
      </w:r>
      <w:r>
        <w:t>, 95(7), pp.1123–1127. doi: https://doi.org/10.2105/ajph.2004.058933.</w:t>
      </w:r>
    </w:p>
    <w:p w14:paraId="6C0DCAF9" w14:textId="21BFE910" w:rsidR="00525E97" w:rsidRDefault="00525E97" w:rsidP="00525E97">
      <w:pPr>
        <w:pStyle w:val="NormalWeb"/>
        <w:spacing w:before="0" w:beforeAutospacing="0" w:after="240" w:afterAutospacing="0" w:line="360" w:lineRule="auto"/>
        <w:jc w:val="both"/>
      </w:pPr>
      <w:r>
        <w:t xml:space="preserve">Ellul, D.B. and Friggieri, J. (2025). A Thriving Future through Diversity, Equity, and Inclusion for Resilient and Innovative Communities. </w:t>
      </w:r>
      <w:r>
        <w:rPr>
          <w:i/>
          <w:iCs/>
        </w:rPr>
        <w:t>IntechOpen eBooks</w:t>
      </w:r>
      <w:r>
        <w:t>. [online] doi: https://doi.org/10.5772/intechopen.1008368.</w:t>
      </w:r>
    </w:p>
    <w:p w14:paraId="6830B50E" w14:textId="77777777" w:rsidR="00525E97" w:rsidRDefault="00525E97" w:rsidP="00525E97">
      <w:pPr>
        <w:pStyle w:val="NormalWeb"/>
        <w:spacing w:before="0" w:beforeAutospacing="0" w:after="240" w:afterAutospacing="0" w:line="360" w:lineRule="auto"/>
        <w:jc w:val="both"/>
      </w:pPr>
      <w:r>
        <w:t xml:space="preserve">Freeman, R.E. (1984). </w:t>
      </w:r>
      <w:r>
        <w:rPr>
          <w:i/>
          <w:iCs/>
        </w:rPr>
        <w:t>Strategic Management: a Stakeholder Approach</w:t>
      </w:r>
      <w:r>
        <w:t>. Cambridge: Cambridge University Press.</w:t>
      </w:r>
    </w:p>
    <w:p w14:paraId="2F9ECB01" w14:textId="77777777" w:rsidR="00525E97" w:rsidRDefault="00525E97" w:rsidP="00525E97">
      <w:pPr>
        <w:pStyle w:val="NormalWeb"/>
        <w:spacing w:before="0" w:beforeAutospacing="0" w:after="240" w:afterAutospacing="0" w:line="360" w:lineRule="auto"/>
        <w:jc w:val="both"/>
      </w:pPr>
      <w:r>
        <w:lastRenderedPageBreak/>
        <w:t xml:space="preserve">Higgins, M., Arnott, J. and Douglas, M. (2015). </w:t>
      </w:r>
      <w:r>
        <w:rPr>
          <w:i/>
          <w:iCs/>
        </w:rPr>
        <w:t>Community Venues and Facilities for Sports, Leisure and Culture -Impacts on Health: a Guide</w:t>
      </w:r>
      <w:r>
        <w:t>. [online] Available at: https://www.scotphn.net/wp-content/uploads/2015/10/SHIIAN_Community_Venues_and_Health_Guide1.pdf.</w:t>
      </w:r>
    </w:p>
    <w:p w14:paraId="79DEB4EF" w14:textId="33D764BA" w:rsidR="00525E97" w:rsidRDefault="00525E97" w:rsidP="00525E97">
      <w:pPr>
        <w:pStyle w:val="NormalWeb"/>
        <w:spacing w:before="0" w:beforeAutospacing="0" w:after="240" w:afterAutospacing="0" w:line="360" w:lineRule="auto"/>
        <w:jc w:val="both"/>
      </w:pPr>
      <w:r>
        <w:t xml:space="preserve">Kornu, R.K., Dzansi, D.Y. and Atiase, V.Y. (2026). The Double-Edged Sword of Integrity: How Ethical Compliance Attenuates the Capability–Performance Link in Ghana’s Local Government Projects. </w:t>
      </w:r>
      <w:r>
        <w:rPr>
          <w:i/>
          <w:iCs/>
        </w:rPr>
        <w:t>Administrative Sciences</w:t>
      </w:r>
      <w:r>
        <w:t>, 16(4), p.165. doi: https://doi.org/10.3390/admsci16040165.</w:t>
      </w:r>
    </w:p>
    <w:p w14:paraId="6FD03147" w14:textId="77777777" w:rsidR="00525E97" w:rsidRDefault="00525E97" w:rsidP="00525E97">
      <w:pPr>
        <w:pStyle w:val="NormalWeb"/>
        <w:spacing w:before="0" w:beforeAutospacing="0" w:after="240" w:afterAutospacing="0" w:line="360" w:lineRule="auto"/>
        <w:jc w:val="both"/>
      </w:pPr>
      <w:r>
        <w:t xml:space="preserve">Kujala, J., Lehtimäki, H. and Freeman, R.E. (2019). A Stakeholder Approach to Value Creation and Leadership. </w:t>
      </w:r>
      <w:r>
        <w:rPr>
          <w:i/>
          <w:iCs/>
        </w:rPr>
        <w:t>ResearchGate</w:t>
      </w:r>
      <w:r>
        <w:t>. [online] Available at: https://www.researchgate.net/publication/332098002_A_Stakeholder_Approach_to_Value_Creation_and_Leadership.</w:t>
      </w:r>
    </w:p>
    <w:p w14:paraId="20FF65C2" w14:textId="584C9274" w:rsidR="00525E97" w:rsidRDefault="00525E97" w:rsidP="00525E97">
      <w:pPr>
        <w:pStyle w:val="NormalWeb"/>
        <w:spacing w:before="0" w:beforeAutospacing="0" w:after="240" w:afterAutospacing="0" w:line="360" w:lineRule="auto"/>
        <w:jc w:val="both"/>
      </w:pPr>
      <w:r>
        <w:t xml:space="preserve">Li, H., Jiang, T., Mao, P., Zheng, J., Fang, Y., Skitmore, M. and Wu, D. (2022). Stakeholder Perceptions of Sustainable Infrastructure Project Delivery: A Comparative Analysis between Guangdong, Hong Kong, and Macao. </w:t>
      </w:r>
      <w:r>
        <w:rPr>
          <w:i/>
          <w:iCs/>
        </w:rPr>
        <w:t>Journal of Environmental and Public Health</w:t>
      </w:r>
      <w:r>
        <w:t>, 2022, pp.1–16. doi: https://doi.org/10.1155/2022/5398706.</w:t>
      </w:r>
    </w:p>
    <w:p w14:paraId="00EF8BC9" w14:textId="3F9E5467" w:rsidR="00525E97" w:rsidRDefault="00525E97" w:rsidP="00525E97">
      <w:pPr>
        <w:pStyle w:val="NormalWeb"/>
        <w:spacing w:before="0" w:beforeAutospacing="0" w:after="240" w:afterAutospacing="0" w:line="360" w:lineRule="auto"/>
        <w:jc w:val="both"/>
      </w:pPr>
      <w:r>
        <w:t xml:space="preserve">Olander, S. (2017). Stakeholder impact analysis in construction project management. </w:t>
      </w:r>
      <w:r>
        <w:rPr>
          <w:i/>
          <w:iCs/>
        </w:rPr>
        <w:t>Construction Management and Economics</w:t>
      </w:r>
      <w:r>
        <w:t>, 25(3), pp.277–287. doi: https://doi.org/10.1080/01446190600879125.</w:t>
      </w:r>
    </w:p>
    <w:p w14:paraId="00D25C5D" w14:textId="77777777" w:rsidR="00525E97" w:rsidRDefault="00525E97" w:rsidP="00525E97">
      <w:pPr>
        <w:pStyle w:val="NormalWeb"/>
        <w:spacing w:before="0" w:beforeAutospacing="0" w:after="240" w:afterAutospacing="0" w:line="360" w:lineRule="auto"/>
        <w:jc w:val="both"/>
      </w:pPr>
      <w:r>
        <w:t xml:space="preserve">PMI (2021). </w:t>
      </w:r>
      <w:r>
        <w:rPr>
          <w:i/>
          <w:iCs/>
        </w:rPr>
        <w:t>PMBOK® Guide A Guide to the Project Management Body of Knowledge</w:t>
      </w:r>
      <w:r>
        <w:t xml:space="preserve">. [online] </w:t>
      </w:r>
      <w:r>
        <w:rPr>
          <w:i/>
          <w:iCs/>
        </w:rPr>
        <w:t>Pmi.org</w:t>
      </w:r>
      <w:r>
        <w:t>. Project Management Institute. Available at: https://www.pmi.org/standards/pmbok.</w:t>
      </w:r>
    </w:p>
    <w:p w14:paraId="212E140F" w14:textId="29EBF5A2" w:rsidR="00525E97" w:rsidRDefault="00525E97" w:rsidP="00525E97">
      <w:pPr>
        <w:pStyle w:val="NormalWeb"/>
        <w:spacing w:before="0" w:beforeAutospacing="0" w:after="240" w:afterAutospacing="0" w:line="360" w:lineRule="auto"/>
        <w:jc w:val="both"/>
      </w:pPr>
      <w:r>
        <w:t xml:space="preserve">Song, J., Munyinda, M. and Adu Sarfo, P. (2025). Examining the impact of risk management practices on sustainable project performance in the construction industry: the role of stakeholder engagement. </w:t>
      </w:r>
      <w:r>
        <w:rPr>
          <w:i/>
          <w:iCs/>
        </w:rPr>
        <w:t>Frontiers in Built Environment</w:t>
      </w:r>
      <w:r>
        <w:t>, [online] 11. doi: https://doi.org/10.3389/fbuil.2025.1575827.</w:t>
      </w:r>
    </w:p>
    <w:p w14:paraId="7FC4523B" w14:textId="6251E2F0" w:rsidR="00525E97" w:rsidRDefault="00525E97" w:rsidP="00525E97">
      <w:pPr>
        <w:pStyle w:val="NormalWeb"/>
        <w:spacing w:before="0" w:beforeAutospacing="0" w:after="240" w:afterAutospacing="0" w:line="360" w:lineRule="auto"/>
        <w:jc w:val="both"/>
      </w:pPr>
      <w:r>
        <w:lastRenderedPageBreak/>
        <w:t xml:space="preserve">Sow, C.-F., Rasiah, S. and Er, H.M. (2024). A critical Exploration of Theoretical Frameworks for Reflective Learning: Reflections from a Faculty Development Workshop. </w:t>
      </w:r>
      <w:r>
        <w:rPr>
          <w:i/>
          <w:iCs/>
        </w:rPr>
        <w:t>Medical Science Educator</w:t>
      </w:r>
      <w:r>
        <w:t>, [online] 35(1). doi: https://doi.org/10.1007/s40670-024-02173-y.</w:t>
      </w:r>
    </w:p>
    <w:p w14:paraId="29939DA1" w14:textId="77777777" w:rsidR="00525E97" w:rsidRDefault="00525E97" w:rsidP="00525E97">
      <w:pPr>
        <w:pStyle w:val="NormalWeb"/>
        <w:spacing w:before="0" w:beforeAutospacing="0" w:after="240" w:afterAutospacing="0" w:line="360" w:lineRule="auto"/>
        <w:jc w:val="both"/>
      </w:pPr>
      <w:r>
        <w:t xml:space="preserve">Sport England (2016). </w:t>
      </w:r>
      <w:r>
        <w:rPr>
          <w:i/>
          <w:iCs/>
        </w:rPr>
        <w:t>New strategy to tackle inactivity | Sport England</w:t>
      </w:r>
      <w:r>
        <w:t>. [online] www.sportengland.org. Available at: https://www.sportengland.org/news/sport-england-triples-investment-in-tackling-inactivity.</w:t>
      </w:r>
    </w:p>
    <w:p w14:paraId="1F12F2D8" w14:textId="0258562A" w:rsidR="00525E97" w:rsidRDefault="00525E97" w:rsidP="00525E97">
      <w:pPr>
        <w:pStyle w:val="NormalWeb"/>
        <w:spacing w:before="0" w:beforeAutospacing="0" w:after="240" w:afterAutospacing="0" w:line="360" w:lineRule="auto"/>
        <w:jc w:val="both"/>
      </w:pPr>
      <w:r>
        <w:t xml:space="preserve">TOR, M.A. (2025). Effect of Stakeholder Engagement Strategies on the Timely Completion of Construction Projects in North-Central Nigeria: A Conceptual and Theoretical Perspective. </w:t>
      </w:r>
      <w:r>
        <w:rPr>
          <w:i/>
          <w:iCs/>
        </w:rPr>
        <w:t>Pakistan Journal of Life and Social Sciences (PJLSS)</w:t>
      </w:r>
      <w:r>
        <w:t>, [online] 23(1). doi: https://doi.org/10.57239/pjlss-2025-23.1.00590.</w:t>
      </w:r>
    </w:p>
    <w:p w14:paraId="34FB1BA4" w14:textId="7901E7F9" w:rsidR="00525E97" w:rsidRDefault="00525E97" w:rsidP="00525E97">
      <w:pPr>
        <w:pStyle w:val="NormalWeb"/>
        <w:spacing w:before="0" w:beforeAutospacing="0" w:after="240" w:afterAutospacing="0" w:line="360" w:lineRule="auto"/>
        <w:jc w:val="both"/>
      </w:pPr>
      <w:r>
        <w:t xml:space="preserve">Tumpa, R.J. and Naeni, L. (2025). Improving decision-making and stakeholder engagement at project governance using digital technology for sustainable infrastructure projects. </w:t>
      </w:r>
      <w:r>
        <w:rPr>
          <w:i/>
          <w:iCs/>
        </w:rPr>
        <w:t>Smart and Sustainable Built Environment</w:t>
      </w:r>
      <w:r>
        <w:t>, 14(4). doi: https://doi.org/10.1108/sasbe-10-2024-0451.</w:t>
      </w:r>
    </w:p>
    <w:p w14:paraId="20602DE2" w14:textId="41F2949D" w:rsidR="00525E97" w:rsidRDefault="00525E97" w:rsidP="00525E97">
      <w:pPr>
        <w:pStyle w:val="NormalWeb"/>
        <w:spacing w:before="0" w:beforeAutospacing="0" w:after="240" w:afterAutospacing="0" w:line="360" w:lineRule="auto"/>
        <w:jc w:val="both"/>
      </w:pPr>
      <w:r>
        <w:t xml:space="preserve">UK Data Archive (2025). </w:t>
      </w:r>
      <w:r>
        <w:rPr>
          <w:i/>
          <w:iCs/>
        </w:rPr>
        <w:t>Ethical and legal guidelines in data sharing</w:t>
      </w:r>
      <w:r>
        <w:t xml:space="preserve">. [online] Available at: https://ukdataservice.ac.uk/app/uploads/ethical_and_legal_guidelines_in_data_sharing_2025-10-16.pdf [Accessed </w:t>
      </w:r>
      <w:r w:rsidR="007B577C">
        <w:t>29</w:t>
      </w:r>
      <w:r>
        <w:t xml:space="preserve"> </w:t>
      </w:r>
      <w:r w:rsidR="007B577C">
        <w:t>June</w:t>
      </w:r>
      <w:r>
        <w:t>. 202</w:t>
      </w:r>
      <w:r w:rsidR="007B577C">
        <w:t>6</w:t>
      </w:r>
      <w:r>
        <w:t>].</w:t>
      </w:r>
    </w:p>
    <w:p w14:paraId="24CCFFA2" w14:textId="34851487" w:rsidR="00525E97" w:rsidRDefault="00525E97" w:rsidP="00525E97">
      <w:pPr>
        <w:pStyle w:val="NormalWeb"/>
        <w:spacing w:before="0" w:beforeAutospacing="0" w:after="240" w:afterAutospacing="0" w:line="360" w:lineRule="auto"/>
        <w:jc w:val="both"/>
      </w:pPr>
      <w:r>
        <w:t xml:space="preserve">Wang, J., Yang, Y., Huang, H. and Wang, F. (2022). Stakeholder Management in Government-Led Urban Regeneration: A Case Study of the Eastern Suburbs in Chengdu, China. </w:t>
      </w:r>
      <w:r>
        <w:rPr>
          <w:i/>
          <w:iCs/>
        </w:rPr>
        <w:t>Sustainability</w:t>
      </w:r>
      <w:r>
        <w:t>, 14(7), p.4357. doi: https://doi.org/10.3390/su14074357.</w:t>
      </w:r>
    </w:p>
    <w:p w14:paraId="6777BD18" w14:textId="4723CB02" w:rsidR="00525E97" w:rsidRDefault="00525E97" w:rsidP="00525E97">
      <w:pPr>
        <w:pStyle w:val="NormalWeb"/>
        <w:spacing w:before="0" w:beforeAutospacing="0" w:after="240" w:afterAutospacing="0" w:line="360" w:lineRule="auto"/>
        <w:jc w:val="both"/>
      </w:pPr>
      <w:r>
        <w:t xml:space="preserve">Zhang, J. and Gu, X. (2025). Multi-stakeholder perspectives on urban regeneration: a spatial gradient analysis of heat and pollution effects. </w:t>
      </w:r>
      <w:r>
        <w:rPr>
          <w:i/>
          <w:iCs/>
        </w:rPr>
        <w:t>International Journal of Biometeorology</w:t>
      </w:r>
      <w:r>
        <w:t>, [online] 69(6), pp.1325–1345. doi: https://doi.org/10.1007/s00484-025-02894-8.</w:t>
      </w:r>
    </w:p>
    <w:p w14:paraId="40564A45" w14:textId="77777777" w:rsidR="00525E97" w:rsidRPr="00525E97" w:rsidRDefault="00525E97" w:rsidP="00525E97"/>
    <w:p w14:paraId="1B32A87A" w14:textId="77777777" w:rsidR="00525E97" w:rsidRPr="00525E97" w:rsidRDefault="00525E97" w:rsidP="00525E97"/>
    <w:bookmarkEnd w:id="18"/>
    <w:p w14:paraId="37548EFA" w14:textId="77777777" w:rsidR="00410284" w:rsidRPr="00410284" w:rsidRDefault="00410284" w:rsidP="00525E97"/>
    <w:sectPr w:rsidR="00410284" w:rsidRPr="00410284" w:rsidSect="006F375A">
      <w:footerReference w:type="even"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AA084" w14:textId="77777777" w:rsidR="000C59FA" w:rsidRDefault="000C59FA" w:rsidP="00525E97">
      <w:r>
        <w:separator/>
      </w:r>
    </w:p>
  </w:endnote>
  <w:endnote w:type="continuationSeparator" w:id="0">
    <w:p w14:paraId="21E69150" w14:textId="77777777" w:rsidR="000C59FA" w:rsidRDefault="000C59FA" w:rsidP="00525E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6171403"/>
      <w:docPartObj>
        <w:docPartGallery w:val="Page Numbers (Bottom of Page)"/>
        <w:docPartUnique/>
      </w:docPartObj>
    </w:sdtPr>
    <w:sdtEndPr>
      <w:rPr>
        <w:rStyle w:val="PageNumber"/>
      </w:rPr>
    </w:sdtEndPr>
    <w:sdtContent>
      <w:p w14:paraId="089C5245" w14:textId="36D84EF4" w:rsidR="006F47DC" w:rsidRDefault="006F47DC" w:rsidP="007F5A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7DBA03" w14:textId="5DA58B2B" w:rsidR="006F375A" w:rsidRDefault="006F375A" w:rsidP="006F47DC">
    <w:pPr>
      <w:pStyle w:val="Footer"/>
      <w:ind w:right="360"/>
      <w:rPr>
        <w:rStyle w:val="PageNumber"/>
      </w:rPr>
    </w:pPr>
  </w:p>
  <w:p w14:paraId="2547EDE2" w14:textId="77777777" w:rsidR="006F375A" w:rsidRDefault="006F375A" w:rsidP="00525E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1602896"/>
      <w:docPartObj>
        <w:docPartGallery w:val="Page Numbers (Bottom of Page)"/>
        <w:docPartUnique/>
      </w:docPartObj>
    </w:sdtPr>
    <w:sdtEndPr>
      <w:rPr>
        <w:rStyle w:val="PageNumber"/>
      </w:rPr>
    </w:sdtEndPr>
    <w:sdtContent>
      <w:p w14:paraId="4A585D6A" w14:textId="60AF1697" w:rsidR="006F47DC" w:rsidRDefault="006F47DC" w:rsidP="007F5A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42D5F735" w14:textId="54C2891F" w:rsidR="006F375A" w:rsidRDefault="006F375A" w:rsidP="006F47DC">
    <w:pPr>
      <w:pStyle w:val="Footer"/>
      <w:ind w:right="360"/>
      <w:rPr>
        <w:rStyle w:val="PageNumber"/>
      </w:rPr>
    </w:pPr>
  </w:p>
  <w:p w14:paraId="0C12A87A" w14:textId="77777777" w:rsidR="006F375A" w:rsidRDefault="006F375A" w:rsidP="00525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FD746" w14:textId="77777777" w:rsidR="000C59FA" w:rsidRDefault="000C59FA" w:rsidP="00525E97">
      <w:r>
        <w:separator/>
      </w:r>
    </w:p>
  </w:footnote>
  <w:footnote w:type="continuationSeparator" w:id="0">
    <w:p w14:paraId="4D44505A" w14:textId="77777777" w:rsidR="000C59FA" w:rsidRDefault="000C59FA" w:rsidP="00525E9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C7B"/>
    <w:rsid w:val="0000137D"/>
    <w:rsid w:val="000203E7"/>
    <w:rsid w:val="00030C7B"/>
    <w:rsid w:val="000469A1"/>
    <w:rsid w:val="00083AA9"/>
    <w:rsid w:val="000C286C"/>
    <w:rsid w:val="000C59FA"/>
    <w:rsid w:val="00217D4E"/>
    <w:rsid w:val="00222B4F"/>
    <w:rsid w:val="00227A9B"/>
    <w:rsid w:val="00265F87"/>
    <w:rsid w:val="00266925"/>
    <w:rsid w:val="0026701C"/>
    <w:rsid w:val="0028545F"/>
    <w:rsid w:val="002D6870"/>
    <w:rsid w:val="002F6D7B"/>
    <w:rsid w:val="00333B57"/>
    <w:rsid w:val="00356AD6"/>
    <w:rsid w:val="00384A46"/>
    <w:rsid w:val="00386BE7"/>
    <w:rsid w:val="003B0CAC"/>
    <w:rsid w:val="003E5B63"/>
    <w:rsid w:val="003F43A5"/>
    <w:rsid w:val="0040430A"/>
    <w:rsid w:val="00410284"/>
    <w:rsid w:val="004214E1"/>
    <w:rsid w:val="004249A3"/>
    <w:rsid w:val="0043222A"/>
    <w:rsid w:val="00434C8C"/>
    <w:rsid w:val="00490B06"/>
    <w:rsid w:val="004955DE"/>
    <w:rsid w:val="00525E97"/>
    <w:rsid w:val="00661222"/>
    <w:rsid w:val="00686D38"/>
    <w:rsid w:val="006F375A"/>
    <w:rsid w:val="006F47DC"/>
    <w:rsid w:val="007058DC"/>
    <w:rsid w:val="00744229"/>
    <w:rsid w:val="0078426E"/>
    <w:rsid w:val="007B14B3"/>
    <w:rsid w:val="007B577C"/>
    <w:rsid w:val="007C141B"/>
    <w:rsid w:val="008263FD"/>
    <w:rsid w:val="0088640E"/>
    <w:rsid w:val="008C1523"/>
    <w:rsid w:val="009878C8"/>
    <w:rsid w:val="009A2F7C"/>
    <w:rsid w:val="009F367D"/>
    <w:rsid w:val="00A20B10"/>
    <w:rsid w:val="00A557C9"/>
    <w:rsid w:val="00B04EB6"/>
    <w:rsid w:val="00BC06F2"/>
    <w:rsid w:val="00BE6971"/>
    <w:rsid w:val="00BF6611"/>
    <w:rsid w:val="00C26F63"/>
    <w:rsid w:val="00C96701"/>
    <w:rsid w:val="00CE3A16"/>
    <w:rsid w:val="00D1529F"/>
    <w:rsid w:val="00D379AF"/>
    <w:rsid w:val="00D44A25"/>
    <w:rsid w:val="00D63E81"/>
    <w:rsid w:val="00D800DC"/>
    <w:rsid w:val="00DC4231"/>
    <w:rsid w:val="00E0434F"/>
    <w:rsid w:val="00E10EE9"/>
    <w:rsid w:val="00E20DFE"/>
    <w:rsid w:val="00E4232E"/>
    <w:rsid w:val="00E77372"/>
    <w:rsid w:val="00F048B1"/>
    <w:rsid w:val="00F82530"/>
    <w:rsid w:val="00F91E15"/>
    <w:rsid w:val="00FF74E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48723D"/>
  <w15:chartTrackingRefBased/>
  <w15:docId w15:val="{5BA3DA3B-6D86-8440-B751-3DE99E743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E97"/>
    <w:pPr>
      <w:spacing w:after="100" w:afterAutospacing="1" w:line="360" w:lineRule="auto"/>
      <w:jc w:val="both"/>
    </w:pPr>
    <w:rPr>
      <w:rFonts w:eastAsia="Times New Roman" w:cs="Times New Roman"/>
      <w:kern w:val="0"/>
      <w:szCs w:val="24"/>
      <w14:ligatures w14:val="none"/>
    </w:rPr>
  </w:style>
  <w:style w:type="paragraph" w:styleId="Heading1">
    <w:name w:val="heading 1"/>
    <w:basedOn w:val="Normal"/>
    <w:next w:val="Normal"/>
    <w:link w:val="Heading1Char"/>
    <w:uiPriority w:val="9"/>
    <w:qFormat/>
    <w:rsid w:val="00525E97"/>
    <w:pPr>
      <w:outlineLvl w:val="0"/>
    </w:pPr>
    <w:rPr>
      <w:b/>
      <w:bCs/>
      <w:sz w:val="32"/>
      <w:szCs w:val="32"/>
    </w:rPr>
  </w:style>
  <w:style w:type="paragraph" w:styleId="Heading2">
    <w:name w:val="heading 2"/>
    <w:basedOn w:val="Heading1"/>
    <w:next w:val="Normal"/>
    <w:link w:val="Heading2Char"/>
    <w:uiPriority w:val="9"/>
    <w:unhideWhenUsed/>
    <w:qFormat/>
    <w:rsid w:val="00525E97"/>
    <w:pPr>
      <w:outlineLvl w:val="1"/>
    </w:pPr>
    <w:rPr>
      <w:sz w:val="28"/>
      <w:szCs w:val="28"/>
    </w:rPr>
  </w:style>
  <w:style w:type="paragraph" w:styleId="Heading3">
    <w:name w:val="heading 3"/>
    <w:basedOn w:val="Normal"/>
    <w:next w:val="Normal"/>
    <w:link w:val="Heading3Char"/>
    <w:uiPriority w:val="9"/>
    <w:unhideWhenUsed/>
    <w:qFormat/>
    <w:rsid w:val="00030C7B"/>
    <w:pPr>
      <w:keepNext/>
      <w:keepLines/>
      <w:spacing w:before="160" w:after="80"/>
      <w:outlineLvl w:val="2"/>
    </w:pPr>
    <w:rPr>
      <w:rFonts w:asciiTheme="minorHAnsi" w:eastAsiaTheme="majorEastAsia" w:hAnsiTheme="minorHAnsi"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030C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30C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30C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0C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0C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0C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E97"/>
    <w:rPr>
      <w:rFonts w:eastAsia="Times New Roman" w:cs="Times New Roman"/>
      <w:b/>
      <w:bCs/>
      <w:kern w:val="0"/>
      <w:sz w:val="32"/>
      <w:szCs w:val="32"/>
      <w14:ligatures w14:val="none"/>
    </w:rPr>
  </w:style>
  <w:style w:type="paragraph" w:styleId="TOCHeading">
    <w:name w:val="TOC Heading"/>
    <w:basedOn w:val="Heading1"/>
    <w:next w:val="Normal"/>
    <w:uiPriority w:val="39"/>
    <w:unhideWhenUsed/>
    <w:qFormat/>
    <w:rsid w:val="00A557C9"/>
    <w:pPr>
      <w:spacing w:before="480" w:after="0" w:line="276" w:lineRule="auto"/>
      <w:outlineLvl w:val="9"/>
    </w:pPr>
    <w:rPr>
      <w:rFonts w:asciiTheme="majorBidi" w:hAnsiTheme="majorBidi"/>
      <w:b w:val="0"/>
      <w:bCs w:val="0"/>
      <w:sz w:val="28"/>
      <w:szCs w:val="28"/>
      <w:lang w:bidi="ar-SA"/>
    </w:rPr>
  </w:style>
  <w:style w:type="paragraph" w:styleId="TOC1">
    <w:name w:val="toc 1"/>
    <w:aliases w:val="My TOC"/>
    <w:basedOn w:val="Normal"/>
    <w:next w:val="Normal"/>
    <w:autoRedefine/>
    <w:uiPriority w:val="39"/>
    <w:unhideWhenUsed/>
    <w:rsid w:val="002D6870"/>
    <w:pPr>
      <w:spacing w:before="120" w:after="0"/>
      <w:jc w:val="left"/>
    </w:pPr>
    <w:rPr>
      <w:rFonts w:asciiTheme="minorHAnsi" w:hAnsiTheme="minorHAnsi" w:cs="Vrinda"/>
      <w:b/>
      <w:bCs/>
      <w:i/>
      <w:iCs/>
    </w:rPr>
  </w:style>
  <w:style w:type="paragraph" w:styleId="NoSpacing">
    <w:name w:val="No Spacing"/>
    <w:uiPriority w:val="1"/>
    <w:qFormat/>
    <w:rsid w:val="00D63E81"/>
    <w:pPr>
      <w:spacing w:after="0" w:line="240" w:lineRule="auto"/>
    </w:pPr>
  </w:style>
  <w:style w:type="character" w:customStyle="1" w:styleId="Heading2Char">
    <w:name w:val="Heading 2 Char"/>
    <w:basedOn w:val="DefaultParagraphFont"/>
    <w:link w:val="Heading2"/>
    <w:uiPriority w:val="9"/>
    <w:rsid w:val="00525E97"/>
    <w:rPr>
      <w:rFonts w:eastAsia="Times New Roman" w:cs="Times New Roman"/>
      <w:b/>
      <w:bCs/>
      <w:kern w:val="0"/>
      <w:sz w:val="28"/>
      <w:szCs w:val="28"/>
      <w14:ligatures w14:val="none"/>
    </w:rPr>
  </w:style>
  <w:style w:type="character" w:customStyle="1" w:styleId="Heading3Char">
    <w:name w:val="Heading 3 Char"/>
    <w:basedOn w:val="DefaultParagraphFont"/>
    <w:link w:val="Heading3"/>
    <w:uiPriority w:val="9"/>
    <w:rsid w:val="00030C7B"/>
    <w:rPr>
      <w:rFonts w:asciiTheme="minorHAnsi" w:eastAsiaTheme="majorEastAsia" w:hAnsiTheme="minorHAnsi"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030C7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30C7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30C7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30C7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30C7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30C7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30C7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030C7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030C7B"/>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30C7B"/>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030C7B"/>
    <w:pPr>
      <w:spacing w:before="160"/>
      <w:jc w:val="center"/>
    </w:pPr>
    <w:rPr>
      <w:i/>
      <w:iCs/>
      <w:color w:val="404040" w:themeColor="text1" w:themeTint="BF"/>
    </w:rPr>
  </w:style>
  <w:style w:type="character" w:customStyle="1" w:styleId="QuoteChar">
    <w:name w:val="Quote Char"/>
    <w:basedOn w:val="DefaultParagraphFont"/>
    <w:link w:val="Quote"/>
    <w:uiPriority w:val="29"/>
    <w:rsid w:val="00030C7B"/>
    <w:rPr>
      <w:i/>
      <w:iCs/>
      <w:color w:val="404040" w:themeColor="text1" w:themeTint="BF"/>
    </w:rPr>
  </w:style>
  <w:style w:type="paragraph" w:styleId="ListParagraph">
    <w:name w:val="List Paragraph"/>
    <w:basedOn w:val="Normal"/>
    <w:uiPriority w:val="34"/>
    <w:qFormat/>
    <w:rsid w:val="00030C7B"/>
    <w:pPr>
      <w:ind w:left="720"/>
      <w:contextualSpacing/>
    </w:pPr>
  </w:style>
  <w:style w:type="character" w:styleId="IntenseEmphasis">
    <w:name w:val="Intense Emphasis"/>
    <w:basedOn w:val="DefaultParagraphFont"/>
    <w:uiPriority w:val="21"/>
    <w:qFormat/>
    <w:rsid w:val="00030C7B"/>
    <w:rPr>
      <w:i/>
      <w:iCs/>
      <w:color w:val="0F4761" w:themeColor="accent1" w:themeShade="BF"/>
    </w:rPr>
  </w:style>
  <w:style w:type="paragraph" w:styleId="IntenseQuote">
    <w:name w:val="Intense Quote"/>
    <w:basedOn w:val="Normal"/>
    <w:next w:val="Normal"/>
    <w:link w:val="IntenseQuoteChar"/>
    <w:uiPriority w:val="30"/>
    <w:qFormat/>
    <w:rsid w:val="00030C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C7B"/>
    <w:rPr>
      <w:i/>
      <w:iCs/>
      <w:color w:val="0F4761" w:themeColor="accent1" w:themeShade="BF"/>
    </w:rPr>
  </w:style>
  <w:style w:type="character" w:styleId="IntenseReference">
    <w:name w:val="Intense Reference"/>
    <w:basedOn w:val="DefaultParagraphFont"/>
    <w:uiPriority w:val="32"/>
    <w:qFormat/>
    <w:rsid w:val="00030C7B"/>
    <w:rPr>
      <w:b/>
      <w:bCs/>
      <w:smallCaps/>
      <w:color w:val="0F4761" w:themeColor="accent1" w:themeShade="BF"/>
      <w:spacing w:val="5"/>
    </w:rPr>
  </w:style>
  <w:style w:type="paragraph" w:customStyle="1" w:styleId="p1">
    <w:name w:val="p1"/>
    <w:basedOn w:val="Normal"/>
    <w:rsid w:val="00030C7B"/>
    <w:pPr>
      <w:spacing w:before="100" w:beforeAutospacing="1" w:line="240" w:lineRule="auto"/>
    </w:pPr>
  </w:style>
  <w:style w:type="character" w:customStyle="1" w:styleId="apple-tab-span">
    <w:name w:val="apple-tab-span"/>
    <w:basedOn w:val="DefaultParagraphFont"/>
    <w:rsid w:val="00030C7B"/>
  </w:style>
  <w:style w:type="character" w:customStyle="1" w:styleId="apple-converted-space">
    <w:name w:val="apple-converted-space"/>
    <w:basedOn w:val="DefaultParagraphFont"/>
    <w:rsid w:val="00030C7B"/>
  </w:style>
  <w:style w:type="character" w:customStyle="1" w:styleId="s1">
    <w:name w:val="s1"/>
    <w:basedOn w:val="DefaultParagraphFont"/>
    <w:rsid w:val="00030C7B"/>
  </w:style>
  <w:style w:type="paragraph" w:customStyle="1" w:styleId="p3">
    <w:name w:val="p3"/>
    <w:basedOn w:val="Normal"/>
    <w:rsid w:val="00030C7B"/>
    <w:pPr>
      <w:spacing w:before="100" w:beforeAutospacing="1" w:line="240" w:lineRule="auto"/>
    </w:pPr>
  </w:style>
  <w:style w:type="character" w:customStyle="1" w:styleId="s2">
    <w:name w:val="s2"/>
    <w:basedOn w:val="DefaultParagraphFont"/>
    <w:rsid w:val="00030C7B"/>
  </w:style>
  <w:style w:type="paragraph" w:customStyle="1" w:styleId="p4">
    <w:name w:val="p4"/>
    <w:basedOn w:val="Normal"/>
    <w:rsid w:val="00030C7B"/>
    <w:pPr>
      <w:spacing w:before="100" w:beforeAutospacing="1" w:line="240" w:lineRule="auto"/>
    </w:pPr>
  </w:style>
  <w:style w:type="paragraph" w:customStyle="1" w:styleId="p5">
    <w:name w:val="p5"/>
    <w:basedOn w:val="Normal"/>
    <w:rsid w:val="00030C7B"/>
    <w:pPr>
      <w:spacing w:before="100" w:beforeAutospacing="1" w:line="240" w:lineRule="auto"/>
    </w:pPr>
  </w:style>
  <w:style w:type="paragraph" w:customStyle="1" w:styleId="p6">
    <w:name w:val="p6"/>
    <w:basedOn w:val="Normal"/>
    <w:rsid w:val="00030C7B"/>
    <w:pPr>
      <w:spacing w:before="100" w:beforeAutospacing="1" w:line="240" w:lineRule="auto"/>
    </w:pPr>
  </w:style>
  <w:style w:type="paragraph" w:customStyle="1" w:styleId="p2">
    <w:name w:val="p2"/>
    <w:basedOn w:val="Normal"/>
    <w:rsid w:val="00030C7B"/>
    <w:pPr>
      <w:spacing w:before="100" w:beforeAutospacing="1" w:line="240" w:lineRule="auto"/>
    </w:pPr>
  </w:style>
  <w:style w:type="paragraph" w:customStyle="1" w:styleId="p7">
    <w:name w:val="p7"/>
    <w:basedOn w:val="Normal"/>
    <w:rsid w:val="00030C7B"/>
    <w:pPr>
      <w:spacing w:before="100" w:beforeAutospacing="1" w:line="240" w:lineRule="auto"/>
    </w:pPr>
  </w:style>
  <w:style w:type="character" w:styleId="Hyperlink">
    <w:name w:val="Hyperlink"/>
    <w:basedOn w:val="DefaultParagraphFont"/>
    <w:uiPriority w:val="99"/>
    <w:unhideWhenUsed/>
    <w:rsid w:val="00030C7B"/>
    <w:rPr>
      <w:color w:val="0000FF"/>
      <w:u w:val="single"/>
    </w:rPr>
  </w:style>
  <w:style w:type="paragraph" w:styleId="HTMLPreformatted">
    <w:name w:val="HTML Preformatted"/>
    <w:basedOn w:val="Normal"/>
    <w:link w:val="HTMLPreformattedChar"/>
    <w:uiPriority w:val="99"/>
    <w:semiHidden/>
    <w:unhideWhenUsed/>
    <w:rsid w:val="00030C7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030C7B"/>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030C7B"/>
    <w:rPr>
      <w:rFonts w:ascii="Courier New" w:eastAsia="Times New Roman" w:hAnsi="Courier New" w:cs="Courier New"/>
      <w:sz w:val="20"/>
      <w:szCs w:val="20"/>
    </w:rPr>
  </w:style>
  <w:style w:type="paragraph" w:styleId="Footer">
    <w:name w:val="footer"/>
    <w:basedOn w:val="Normal"/>
    <w:link w:val="FooterChar"/>
    <w:uiPriority w:val="99"/>
    <w:unhideWhenUsed/>
    <w:rsid w:val="006F37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375A"/>
  </w:style>
  <w:style w:type="character" w:styleId="PageNumber">
    <w:name w:val="page number"/>
    <w:basedOn w:val="DefaultParagraphFont"/>
    <w:uiPriority w:val="99"/>
    <w:semiHidden/>
    <w:unhideWhenUsed/>
    <w:rsid w:val="006F375A"/>
  </w:style>
  <w:style w:type="paragraph" w:styleId="Caption">
    <w:name w:val="caption"/>
    <w:basedOn w:val="Normal"/>
    <w:next w:val="Normal"/>
    <w:uiPriority w:val="35"/>
    <w:unhideWhenUsed/>
    <w:qFormat/>
    <w:rsid w:val="00525E97"/>
    <w:pPr>
      <w:spacing w:after="200" w:line="240" w:lineRule="auto"/>
      <w:jc w:val="center"/>
    </w:pPr>
    <w:rPr>
      <w:i/>
      <w:iCs/>
      <w:color w:val="0E2841" w:themeColor="text2"/>
      <w:sz w:val="20"/>
    </w:rPr>
  </w:style>
  <w:style w:type="paragraph" w:styleId="NormalWeb">
    <w:name w:val="Normal (Web)"/>
    <w:basedOn w:val="Normal"/>
    <w:uiPriority w:val="99"/>
    <w:semiHidden/>
    <w:unhideWhenUsed/>
    <w:rsid w:val="00525E97"/>
    <w:pPr>
      <w:spacing w:before="100" w:beforeAutospacing="1" w:line="240" w:lineRule="auto"/>
      <w:jc w:val="left"/>
    </w:pPr>
  </w:style>
  <w:style w:type="paragraph" w:styleId="TOC2">
    <w:name w:val="toc 2"/>
    <w:basedOn w:val="Normal"/>
    <w:next w:val="Normal"/>
    <w:autoRedefine/>
    <w:uiPriority w:val="39"/>
    <w:unhideWhenUsed/>
    <w:rsid w:val="00E4232E"/>
    <w:pPr>
      <w:spacing w:before="120" w:after="0"/>
      <w:ind w:left="240"/>
      <w:jc w:val="left"/>
    </w:pPr>
    <w:rPr>
      <w:rFonts w:asciiTheme="minorHAnsi" w:hAnsiTheme="minorHAnsi" w:cs="Vrinda"/>
      <w:b/>
      <w:bCs/>
      <w:sz w:val="22"/>
      <w:szCs w:val="22"/>
    </w:rPr>
  </w:style>
  <w:style w:type="paragraph" w:styleId="TOC3">
    <w:name w:val="toc 3"/>
    <w:basedOn w:val="Normal"/>
    <w:next w:val="Normal"/>
    <w:autoRedefine/>
    <w:uiPriority w:val="39"/>
    <w:semiHidden/>
    <w:unhideWhenUsed/>
    <w:rsid w:val="00E4232E"/>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E4232E"/>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E4232E"/>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E4232E"/>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E4232E"/>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E4232E"/>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E4232E"/>
    <w:pPr>
      <w:spacing w:after="0"/>
      <w:ind w:left="1920"/>
      <w:jc w:val="left"/>
    </w:pPr>
    <w:rPr>
      <w:rFonts w:asciiTheme="minorHAnsi" w:hAnsiTheme="minorHAnsi" w:cs="Vrinda"/>
      <w:sz w:val="20"/>
      <w:szCs w:val="20"/>
    </w:rPr>
  </w:style>
  <w:style w:type="paragraph" w:styleId="TableofFigures">
    <w:name w:val="table of figures"/>
    <w:basedOn w:val="Normal"/>
    <w:next w:val="Normal"/>
    <w:uiPriority w:val="99"/>
    <w:unhideWhenUsed/>
    <w:rsid w:val="00E4232E"/>
    <w:pPr>
      <w:spacing w:after="0"/>
    </w:pPr>
    <w:rPr>
      <w:szCs w:val="30"/>
    </w:rPr>
  </w:style>
  <w:style w:type="table" w:styleId="GridTable4-Accent3">
    <w:name w:val="Grid Table 4 Accent 3"/>
    <w:basedOn w:val="TableNormal"/>
    <w:uiPriority w:val="49"/>
    <w:rsid w:val="00FF74E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383ACB-3343-EA42-8463-90C3CE520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22</Pages>
  <Words>4830</Words>
  <Characters>27535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32301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42</cp:revision>
  <dcterms:created xsi:type="dcterms:W3CDTF">2026-06-30T10:46:00Z</dcterms:created>
  <dcterms:modified xsi:type="dcterms:W3CDTF">2026-07-10T22:37:00Z</dcterms:modified>
  <cp:category/>
</cp:coreProperties>
</file>