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81553" w14:textId="77777777" w:rsidR="006B110F" w:rsidRDefault="006B110F" w:rsidP="00706999">
      <w:pPr>
        <w:pStyle w:val="Heading1"/>
        <w:spacing w:line="360" w:lineRule="auto"/>
        <w:jc w:val="both"/>
        <w:rPr>
          <w:rFonts w:ascii="Arial" w:hAnsi="Arial" w:cs="Arial"/>
        </w:rPr>
      </w:pPr>
    </w:p>
    <w:p w14:paraId="54E87C2F" w14:textId="77777777" w:rsidR="001670FE" w:rsidRPr="001670FE" w:rsidRDefault="001670FE" w:rsidP="001670FE">
      <w:pPr>
        <w:rPr>
          <w:sz w:val="56"/>
          <w:szCs w:val="56"/>
        </w:rPr>
      </w:pPr>
      <w:r w:rsidRPr="001670FE">
        <w:rPr>
          <w:sz w:val="56"/>
          <w:szCs w:val="56"/>
        </w:rPr>
        <w:t>Student Name: Cristina Larisa Negesc</w:t>
      </w:r>
    </w:p>
    <w:p w14:paraId="75F0F961" w14:textId="77777777" w:rsidR="001670FE" w:rsidRPr="001670FE" w:rsidRDefault="001670FE" w:rsidP="001670FE">
      <w:pPr>
        <w:rPr>
          <w:sz w:val="56"/>
          <w:szCs w:val="56"/>
        </w:rPr>
      </w:pPr>
      <w:r w:rsidRPr="001670FE">
        <w:rPr>
          <w:sz w:val="56"/>
          <w:szCs w:val="56"/>
        </w:rPr>
        <w:t>Student ID: 1917996</w:t>
      </w:r>
    </w:p>
    <w:p w14:paraId="389BE411" w14:textId="3A9DE6E8" w:rsidR="001670FE" w:rsidRPr="001670FE" w:rsidRDefault="001670FE" w:rsidP="001670FE">
      <w:pPr>
        <w:rPr>
          <w:sz w:val="56"/>
          <w:szCs w:val="56"/>
        </w:rPr>
      </w:pPr>
      <w:r w:rsidRPr="001670FE">
        <w:rPr>
          <w:sz w:val="56"/>
          <w:szCs w:val="56"/>
        </w:rPr>
        <w:t>Module code: BMSW5101</w:t>
      </w:r>
    </w:p>
    <w:p w14:paraId="4F893452" w14:textId="539407BB" w:rsidR="001670FE" w:rsidRPr="001670FE" w:rsidRDefault="001670FE" w:rsidP="001670FE">
      <w:pPr>
        <w:rPr>
          <w:sz w:val="56"/>
          <w:szCs w:val="56"/>
        </w:rPr>
      </w:pPr>
      <w:r w:rsidRPr="001670FE">
        <w:rPr>
          <w:sz w:val="56"/>
          <w:szCs w:val="56"/>
        </w:rPr>
        <w:t>Assignment section: How Individuals’ beliefs, attitudes and values impact on workplace behaviour.</w:t>
      </w:r>
    </w:p>
    <w:p w14:paraId="5DA906F4" w14:textId="77777777" w:rsidR="001670FE" w:rsidRPr="001670FE" w:rsidRDefault="001670FE" w:rsidP="001670FE">
      <w:pPr>
        <w:rPr>
          <w:sz w:val="56"/>
          <w:szCs w:val="56"/>
        </w:rPr>
      </w:pPr>
      <w:r w:rsidRPr="001670FE">
        <w:rPr>
          <w:sz w:val="56"/>
          <w:szCs w:val="56"/>
        </w:rPr>
        <w:t>Lecturer’s name: Obinna Nkwocha</w:t>
      </w:r>
    </w:p>
    <w:p w14:paraId="57BF14A1" w14:textId="77777777" w:rsidR="006B110F" w:rsidRDefault="006B110F" w:rsidP="00706999">
      <w:pPr>
        <w:pStyle w:val="Heading1"/>
        <w:spacing w:line="360" w:lineRule="auto"/>
        <w:jc w:val="both"/>
        <w:rPr>
          <w:rFonts w:ascii="Arial" w:hAnsi="Arial" w:cs="Arial"/>
        </w:rPr>
      </w:pPr>
    </w:p>
    <w:p w14:paraId="568BD867" w14:textId="77777777" w:rsidR="006B110F" w:rsidRDefault="006B110F" w:rsidP="00706999">
      <w:pPr>
        <w:pStyle w:val="Heading1"/>
        <w:spacing w:line="360" w:lineRule="auto"/>
        <w:jc w:val="both"/>
        <w:rPr>
          <w:rFonts w:ascii="Arial" w:hAnsi="Arial" w:cs="Arial"/>
        </w:rPr>
      </w:pPr>
    </w:p>
    <w:p w14:paraId="42EA1894" w14:textId="707457EB" w:rsidR="006B110F" w:rsidRDefault="006B110F" w:rsidP="00706999">
      <w:pPr>
        <w:pStyle w:val="Heading1"/>
        <w:spacing w:line="360" w:lineRule="auto"/>
        <w:jc w:val="both"/>
        <w:rPr>
          <w:rFonts w:ascii="Arial" w:hAnsi="Arial" w:cs="Arial"/>
        </w:rPr>
      </w:pPr>
    </w:p>
    <w:p w14:paraId="3A5DBDD2" w14:textId="3947E70C" w:rsidR="001670FE" w:rsidRDefault="001670FE" w:rsidP="001670FE"/>
    <w:p w14:paraId="16779553" w14:textId="04A83C17" w:rsidR="001670FE" w:rsidRDefault="001670FE" w:rsidP="001670FE"/>
    <w:p w14:paraId="4515F4E7" w14:textId="766124BF" w:rsidR="001670FE" w:rsidRDefault="001670FE" w:rsidP="001670FE"/>
    <w:p w14:paraId="07CBA3A2" w14:textId="2A51353A" w:rsidR="001670FE" w:rsidRDefault="001670FE" w:rsidP="001670FE"/>
    <w:p w14:paraId="0873AE77" w14:textId="77777777" w:rsidR="001670FE" w:rsidRPr="001670FE" w:rsidRDefault="001670FE" w:rsidP="001670FE"/>
    <w:p w14:paraId="6D0DEA44" w14:textId="77777777" w:rsidR="006B110F" w:rsidRDefault="006B110F" w:rsidP="00706999">
      <w:pPr>
        <w:pStyle w:val="Heading1"/>
        <w:spacing w:line="360" w:lineRule="auto"/>
        <w:jc w:val="both"/>
        <w:rPr>
          <w:rFonts w:ascii="Arial" w:hAnsi="Arial" w:cs="Arial"/>
        </w:rPr>
      </w:pPr>
    </w:p>
    <w:p w14:paraId="5D6DF6FE" w14:textId="77777777" w:rsidR="006B110F" w:rsidRDefault="006B110F" w:rsidP="00706999">
      <w:pPr>
        <w:pStyle w:val="Heading1"/>
        <w:spacing w:line="360" w:lineRule="auto"/>
        <w:jc w:val="both"/>
        <w:rPr>
          <w:rFonts w:ascii="Arial" w:hAnsi="Arial" w:cs="Arial"/>
        </w:rPr>
      </w:pPr>
    </w:p>
    <w:p w14:paraId="2159DA06" w14:textId="77777777" w:rsidR="006B110F" w:rsidRDefault="006B110F" w:rsidP="00706999">
      <w:pPr>
        <w:pStyle w:val="Heading1"/>
        <w:spacing w:line="360" w:lineRule="auto"/>
        <w:jc w:val="both"/>
        <w:rPr>
          <w:rFonts w:ascii="Arial" w:hAnsi="Arial" w:cs="Arial"/>
        </w:rPr>
      </w:pPr>
    </w:p>
    <w:sdt>
      <w:sdtPr>
        <w:rPr>
          <w:rFonts w:ascii="Arial" w:eastAsiaTheme="minorHAnsi" w:hAnsi="Arial" w:cs="Arial"/>
          <w:color w:val="auto"/>
          <w:sz w:val="22"/>
          <w:szCs w:val="22"/>
          <w:lang w:val="en-GB"/>
        </w:rPr>
        <w:id w:val="1908799951"/>
        <w:docPartObj>
          <w:docPartGallery w:val="Table of Contents"/>
          <w:docPartUnique/>
        </w:docPartObj>
      </w:sdtPr>
      <w:sdtEndPr>
        <w:rPr>
          <w:b/>
          <w:bCs/>
          <w:noProof/>
        </w:rPr>
      </w:sdtEndPr>
      <w:sdtContent>
        <w:p w14:paraId="258AE7FE" w14:textId="5244EA73" w:rsidR="006B110F" w:rsidRDefault="006B110F">
          <w:pPr>
            <w:pStyle w:val="TOCHeading"/>
          </w:pPr>
          <w:r>
            <w:t>Contents</w:t>
          </w:r>
        </w:p>
        <w:p w14:paraId="5B7C0FE4" w14:textId="7E6C1B6F" w:rsidR="001670FE" w:rsidRDefault="001670FE">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"1-6" \h \z \u </w:instrText>
          </w:r>
          <w:r>
            <w:fldChar w:fldCharType="separate"/>
          </w:r>
          <w:hyperlink w:anchor="_Toc77876484" w:history="1">
            <w:r w:rsidRPr="00847606">
              <w:rPr>
                <w:rStyle w:val="Hyperlink"/>
                <w:noProof/>
              </w:rPr>
              <w:t>1 Introduction</w:t>
            </w:r>
            <w:r>
              <w:rPr>
                <w:noProof/>
                <w:webHidden/>
              </w:rPr>
              <w:tab/>
            </w:r>
            <w:r>
              <w:rPr>
                <w:noProof/>
                <w:webHidden/>
              </w:rPr>
              <w:fldChar w:fldCharType="begin"/>
            </w:r>
            <w:r>
              <w:rPr>
                <w:noProof/>
                <w:webHidden/>
              </w:rPr>
              <w:instrText xml:space="preserve"> PAGEREF _Toc77876484 \h </w:instrText>
            </w:r>
            <w:r>
              <w:rPr>
                <w:noProof/>
                <w:webHidden/>
              </w:rPr>
            </w:r>
            <w:r>
              <w:rPr>
                <w:noProof/>
                <w:webHidden/>
              </w:rPr>
              <w:fldChar w:fldCharType="separate"/>
            </w:r>
            <w:r>
              <w:rPr>
                <w:noProof/>
                <w:webHidden/>
              </w:rPr>
              <w:t>3</w:t>
            </w:r>
            <w:r>
              <w:rPr>
                <w:noProof/>
                <w:webHidden/>
              </w:rPr>
              <w:fldChar w:fldCharType="end"/>
            </w:r>
          </w:hyperlink>
        </w:p>
        <w:p w14:paraId="417A938A" w14:textId="56391A8F" w:rsidR="001670FE" w:rsidRDefault="00466057">
          <w:pPr>
            <w:pStyle w:val="TOC1"/>
            <w:tabs>
              <w:tab w:val="right" w:leader="dot" w:pos="9016"/>
            </w:tabs>
            <w:rPr>
              <w:rFonts w:asciiTheme="minorHAnsi" w:eastAsiaTheme="minorEastAsia" w:hAnsiTheme="minorHAnsi" w:cstheme="minorBidi"/>
              <w:noProof/>
              <w:lang w:eastAsia="en-GB"/>
            </w:rPr>
          </w:pPr>
          <w:hyperlink w:anchor="_Toc77876485" w:history="1">
            <w:r w:rsidR="001670FE" w:rsidRPr="00847606">
              <w:rPr>
                <w:rStyle w:val="Hyperlink"/>
                <w:noProof/>
              </w:rPr>
              <w:t>2 Beliefs</w:t>
            </w:r>
            <w:r w:rsidR="001670FE">
              <w:rPr>
                <w:noProof/>
                <w:webHidden/>
              </w:rPr>
              <w:tab/>
            </w:r>
            <w:r w:rsidR="001670FE">
              <w:rPr>
                <w:noProof/>
                <w:webHidden/>
              </w:rPr>
              <w:fldChar w:fldCharType="begin"/>
            </w:r>
            <w:r w:rsidR="001670FE">
              <w:rPr>
                <w:noProof/>
                <w:webHidden/>
              </w:rPr>
              <w:instrText xml:space="preserve"> PAGEREF _Toc77876485 \h </w:instrText>
            </w:r>
            <w:r w:rsidR="001670FE">
              <w:rPr>
                <w:noProof/>
                <w:webHidden/>
              </w:rPr>
            </w:r>
            <w:r w:rsidR="001670FE">
              <w:rPr>
                <w:noProof/>
                <w:webHidden/>
              </w:rPr>
              <w:fldChar w:fldCharType="separate"/>
            </w:r>
            <w:r w:rsidR="001670FE">
              <w:rPr>
                <w:noProof/>
                <w:webHidden/>
              </w:rPr>
              <w:t>3</w:t>
            </w:r>
            <w:r w:rsidR="001670FE">
              <w:rPr>
                <w:noProof/>
                <w:webHidden/>
              </w:rPr>
              <w:fldChar w:fldCharType="end"/>
            </w:r>
          </w:hyperlink>
        </w:p>
        <w:p w14:paraId="167AFCB0" w14:textId="66FF911E" w:rsidR="001670FE" w:rsidRDefault="00466057">
          <w:pPr>
            <w:pStyle w:val="TOC2"/>
            <w:tabs>
              <w:tab w:val="right" w:leader="dot" w:pos="9016"/>
            </w:tabs>
            <w:rPr>
              <w:rFonts w:asciiTheme="minorHAnsi" w:eastAsiaTheme="minorEastAsia" w:hAnsiTheme="minorHAnsi" w:cstheme="minorBidi"/>
              <w:noProof/>
              <w:lang w:eastAsia="en-GB"/>
            </w:rPr>
          </w:pPr>
          <w:hyperlink w:anchor="_Toc77876486" w:history="1">
            <w:r w:rsidR="001670FE" w:rsidRPr="00847606">
              <w:rPr>
                <w:rStyle w:val="Hyperlink"/>
                <w:noProof/>
              </w:rPr>
              <w:t>2.1 Religion beliefs</w:t>
            </w:r>
            <w:r w:rsidR="001670FE">
              <w:rPr>
                <w:noProof/>
                <w:webHidden/>
              </w:rPr>
              <w:tab/>
            </w:r>
            <w:r w:rsidR="001670FE">
              <w:rPr>
                <w:noProof/>
                <w:webHidden/>
              </w:rPr>
              <w:fldChar w:fldCharType="begin"/>
            </w:r>
            <w:r w:rsidR="001670FE">
              <w:rPr>
                <w:noProof/>
                <w:webHidden/>
              </w:rPr>
              <w:instrText xml:space="preserve"> PAGEREF _Toc77876486 \h </w:instrText>
            </w:r>
            <w:r w:rsidR="001670FE">
              <w:rPr>
                <w:noProof/>
                <w:webHidden/>
              </w:rPr>
            </w:r>
            <w:r w:rsidR="001670FE">
              <w:rPr>
                <w:noProof/>
                <w:webHidden/>
              </w:rPr>
              <w:fldChar w:fldCharType="separate"/>
            </w:r>
            <w:r w:rsidR="001670FE">
              <w:rPr>
                <w:noProof/>
                <w:webHidden/>
              </w:rPr>
              <w:t>3</w:t>
            </w:r>
            <w:r w:rsidR="001670FE">
              <w:rPr>
                <w:noProof/>
                <w:webHidden/>
              </w:rPr>
              <w:fldChar w:fldCharType="end"/>
            </w:r>
          </w:hyperlink>
        </w:p>
        <w:p w14:paraId="073CA077" w14:textId="2016940A" w:rsidR="001670FE" w:rsidRDefault="00466057">
          <w:pPr>
            <w:pStyle w:val="TOC3"/>
            <w:tabs>
              <w:tab w:val="right" w:leader="dot" w:pos="9016"/>
            </w:tabs>
            <w:rPr>
              <w:rFonts w:asciiTheme="minorHAnsi" w:eastAsiaTheme="minorEastAsia" w:hAnsiTheme="minorHAnsi" w:cstheme="minorBidi"/>
              <w:noProof/>
              <w:lang w:eastAsia="en-GB"/>
            </w:rPr>
          </w:pPr>
          <w:hyperlink w:anchor="_Toc77876487" w:history="1">
            <w:r w:rsidR="001670FE" w:rsidRPr="00847606">
              <w:rPr>
                <w:rStyle w:val="Hyperlink"/>
                <w:noProof/>
              </w:rPr>
              <w:t>2.2 Cultural beliefs</w:t>
            </w:r>
            <w:r w:rsidR="001670FE">
              <w:rPr>
                <w:noProof/>
                <w:webHidden/>
              </w:rPr>
              <w:tab/>
            </w:r>
            <w:r w:rsidR="001670FE">
              <w:rPr>
                <w:noProof/>
                <w:webHidden/>
              </w:rPr>
              <w:fldChar w:fldCharType="begin"/>
            </w:r>
            <w:r w:rsidR="001670FE">
              <w:rPr>
                <w:noProof/>
                <w:webHidden/>
              </w:rPr>
              <w:instrText xml:space="preserve"> PAGEREF _Toc77876487 \h </w:instrText>
            </w:r>
            <w:r w:rsidR="001670FE">
              <w:rPr>
                <w:noProof/>
                <w:webHidden/>
              </w:rPr>
            </w:r>
            <w:r w:rsidR="001670FE">
              <w:rPr>
                <w:noProof/>
                <w:webHidden/>
              </w:rPr>
              <w:fldChar w:fldCharType="separate"/>
            </w:r>
            <w:r w:rsidR="001670FE">
              <w:rPr>
                <w:noProof/>
                <w:webHidden/>
              </w:rPr>
              <w:t>4</w:t>
            </w:r>
            <w:r w:rsidR="001670FE">
              <w:rPr>
                <w:noProof/>
                <w:webHidden/>
              </w:rPr>
              <w:fldChar w:fldCharType="end"/>
            </w:r>
          </w:hyperlink>
        </w:p>
        <w:p w14:paraId="3BE4B55F" w14:textId="329E3874" w:rsidR="001670FE" w:rsidRDefault="00466057">
          <w:pPr>
            <w:pStyle w:val="TOC4"/>
            <w:tabs>
              <w:tab w:val="right" w:leader="dot" w:pos="9016"/>
            </w:tabs>
            <w:rPr>
              <w:noProof/>
            </w:rPr>
          </w:pPr>
          <w:hyperlink w:anchor="_Toc77876488" w:history="1">
            <w:r w:rsidR="001670FE" w:rsidRPr="00847606">
              <w:rPr>
                <w:rStyle w:val="Hyperlink"/>
                <w:noProof/>
              </w:rPr>
              <w:t>2.3 Educational beliefs</w:t>
            </w:r>
            <w:r w:rsidR="001670FE">
              <w:rPr>
                <w:noProof/>
                <w:webHidden/>
              </w:rPr>
              <w:tab/>
            </w:r>
            <w:r w:rsidR="001670FE">
              <w:rPr>
                <w:noProof/>
                <w:webHidden/>
              </w:rPr>
              <w:fldChar w:fldCharType="begin"/>
            </w:r>
            <w:r w:rsidR="001670FE">
              <w:rPr>
                <w:noProof/>
                <w:webHidden/>
              </w:rPr>
              <w:instrText xml:space="preserve"> PAGEREF _Toc77876488 \h </w:instrText>
            </w:r>
            <w:r w:rsidR="001670FE">
              <w:rPr>
                <w:noProof/>
                <w:webHidden/>
              </w:rPr>
            </w:r>
            <w:r w:rsidR="001670FE">
              <w:rPr>
                <w:noProof/>
                <w:webHidden/>
              </w:rPr>
              <w:fldChar w:fldCharType="separate"/>
            </w:r>
            <w:r w:rsidR="001670FE">
              <w:rPr>
                <w:noProof/>
                <w:webHidden/>
              </w:rPr>
              <w:t>4</w:t>
            </w:r>
            <w:r w:rsidR="001670FE">
              <w:rPr>
                <w:noProof/>
                <w:webHidden/>
              </w:rPr>
              <w:fldChar w:fldCharType="end"/>
            </w:r>
          </w:hyperlink>
        </w:p>
        <w:p w14:paraId="500EC392" w14:textId="68CF0663" w:rsidR="001670FE" w:rsidRDefault="00466057">
          <w:pPr>
            <w:pStyle w:val="TOC5"/>
            <w:tabs>
              <w:tab w:val="right" w:leader="dot" w:pos="9016"/>
            </w:tabs>
            <w:rPr>
              <w:noProof/>
            </w:rPr>
          </w:pPr>
          <w:hyperlink w:anchor="_Toc77876489" w:history="1">
            <w:r w:rsidR="001670FE" w:rsidRPr="00847606">
              <w:rPr>
                <w:rStyle w:val="Hyperlink"/>
                <w:noProof/>
              </w:rPr>
              <w:t>2.4 Experience beliefs</w:t>
            </w:r>
            <w:r w:rsidR="001670FE">
              <w:rPr>
                <w:noProof/>
                <w:webHidden/>
              </w:rPr>
              <w:tab/>
            </w:r>
            <w:r w:rsidR="001670FE">
              <w:rPr>
                <w:noProof/>
                <w:webHidden/>
              </w:rPr>
              <w:fldChar w:fldCharType="begin"/>
            </w:r>
            <w:r w:rsidR="001670FE">
              <w:rPr>
                <w:noProof/>
                <w:webHidden/>
              </w:rPr>
              <w:instrText xml:space="preserve"> PAGEREF _Toc77876489 \h </w:instrText>
            </w:r>
            <w:r w:rsidR="001670FE">
              <w:rPr>
                <w:noProof/>
                <w:webHidden/>
              </w:rPr>
            </w:r>
            <w:r w:rsidR="001670FE">
              <w:rPr>
                <w:noProof/>
                <w:webHidden/>
              </w:rPr>
              <w:fldChar w:fldCharType="separate"/>
            </w:r>
            <w:r w:rsidR="001670FE">
              <w:rPr>
                <w:noProof/>
                <w:webHidden/>
              </w:rPr>
              <w:t>5</w:t>
            </w:r>
            <w:r w:rsidR="001670FE">
              <w:rPr>
                <w:noProof/>
                <w:webHidden/>
              </w:rPr>
              <w:fldChar w:fldCharType="end"/>
            </w:r>
          </w:hyperlink>
        </w:p>
        <w:p w14:paraId="61718B82" w14:textId="451343DD" w:rsidR="001670FE" w:rsidRDefault="00466057">
          <w:pPr>
            <w:pStyle w:val="TOC6"/>
            <w:tabs>
              <w:tab w:val="right" w:leader="dot" w:pos="9016"/>
            </w:tabs>
            <w:rPr>
              <w:noProof/>
            </w:rPr>
          </w:pPr>
          <w:hyperlink w:anchor="_Toc77876490" w:history="1">
            <w:r w:rsidR="001670FE" w:rsidRPr="00847606">
              <w:rPr>
                <w:rStyle w:val="Hyperlink"/>
                <w:noProof/>
              </w:rPr>
              <w:t>2.5 Gender Beliefs</w:t>
            </w:r>
            <w:r w:rsidR="001670FE">
              <w:rPr>
                <w:noProof/>
                <w:webHidden/>
              </w:rPr>
              <w:tab/>
            </w:r>
            <w:r w:rsidR="001670FE">
              <w:rPr>
                <w:noProof/>
                <w:webHidden/>
              </w:rPr>
              <w:fldChar w:fldCharType="begin"/>
            </w:r>
            <w:r w:rsidR="001670FE">
              <w:rPr>
                <w:noProof/>
                <w:webHidden/>
              </w:rPr>
              <w:instrText xml:space="preserve"> PAGEREF _Toc77876490 \h </w:instrText>
            </w:r>
            <w:r w:rsidR="001670FE">
              <w:rPr>
                <w:noProof/>
                <w:webHidden/>
              </w:rPr>
            </w:r>
            <w:r w:rsidR="001670FE">
              <w:rPr>
                <w:noProof/>
                <w:webHidden/>
              </w:rPr>
              <w:fldChar w:fldCharType="separate"/>
            </w:r>
            <w:r w:rsidR="001670FE">
              <w:rPr>
                <w:noProof/>
                <w:webHidden/>
              </w:rPr>
              <w:t>6</w:t>
            </w:r>
            <w:r w:rsidR="001670FE">
              <w:rPr>
                <w:noProof/>
                <w:webHidden/>
              </w:rPr>
              <w:fldChar w:fldCharType="end"/>
            </w:r>
          </w:hyperlink>
        </w:p>
        <w:p w14:paraId="5C01E167" w14:textId="7305AEE6" w:rsidR="001670FE" w:rsidRDefault="00466057">
          <w:pPr>
            <w:pStyle w:val="TOC1"/>
            <w:tabs>
              <w:tab w:val="right" w:leader="dot" w:pos="9016"/>
            </w:tabs>
            <w:rPr>
              <w:rFonts w:asciiTheme="minorHAnsi" w:eastAsiaTheme="minorEastAsia" w:hAnsiTheme="minorHAnsi" w:cstheme="minorBidi"/>
              <w:noProof/>
              <w:lang w:eastAsia="en-GB"/>
            </w:rPr>
          </w:pPr>
          <w:hyperlink w:anchor="_Toc77876491" w:history="1">
            <w:r w:rsidR="001670FE" w:rsidRPr="00847606">
              <w:rPr>
                <w:rStyle w:val="Hyperlink"/>
                <w:noProof/>
              </w:rPr>
              <w:t>3 Recommendations</w:t>
            </w:r>
            <w:r w:rsidR="001670FE">
              <w:rPr>
                <w:noProof/>
                <w:webHidden/>
              </w:rPr>
              <w:tab/>
            </w:r>
            <w:r w:rsidR="001670FE">
              <w:rPr>
                <w:noProof/>
                <w:webHidden/>
              </w:rPr>
              <w:fldChar w:fldCharType="begin"/>
            </w:r>
            <w:r w:rsidR="001670FE">
              <w:rPr>
                <w:noProof/>
                <w:webHidden/>
              </w:rPr>
              <w:instrText xml:space="preserve"> PAGEREF _Toc77876491 \h </w:instrText>
            </w:r>
            <w:r w:rsidR="001670FE">
              <w:rPr>
                <w:noProof/>
                <w:webHidden/>
              </w:rPr>
            </w:r>
            <w:r w:rsidR="001670FE">
              <w:rPr>
                <w:noProof/>
                <w:webHidden/>
              </w:rPr>
              <w:fldChar w:fldCharType="separate"/>
            </w:r>
            <w:r w:rsidR="001670FE">
              <w:rPr>
                <w:noProof/>
                <w:webHidden/>
              </w:rPr>
              <w:t>6</w:t>
            </w:r>
            <w:r w:rsidR="001670FE">
              <w:rPr>
                <w:noProof/>
                <w:webHidden/>
              </w:rPr>
              <w:fldChar w:fldCharType="end"/>
            </w:r>
          </w:hyperlink>
        </w:p>
        <w:p w14:paraId="4F310AD4" w14:textId="3146BDC5" w:rsidR="001670FE" w:rsidRDefault="00466057">
          <w:pPr>
            <w:pStyle w:val="TOC1"/>
            <w:tabs>
              <w:tab w:val="right" w:leader="dot" w:pos="9016"/>
            </w:tabs>
            <w:rPr>
              <w:rFonts w:asciiTheme="minorHAnsi" w:eastAsiaTheme="minorEastAsia" w:hAnsiTheme="minorHAnsi" w:cstheme="minorBidi"/>
              <w:noProof/>
              <w:lang w:eastAsia="en-GB"/>
            </w:rPr>
          </w:pPr>
          <w:hyperlink w:anchor="_Toc77876492" w:history="1">
            <w:r w:rsidR="001670FE" w:rsidRPr="00847606">
              <w:rPr>
                <w:rStyle w:val="Hyperlink"/>
                <w:noProof/>
              </w:rPr>
              <w:t>4 Conclusion</w:t>
            </w:r>
            <w:r w:rsidR="001670FE">
              <w:rPr>
                <w:noProof/>
                <w:webHidden/>
              </w:rPr>
              <w:tab/>
            </w:r>
            <w:r w:rsidR="001670FE">
              <w:rPr>
                <w:noProof/>
                <w:webHidden/>
              </w:rPr>
              <w:fldChar w:fldCharType="begin"/>
            </w:r>
            <w:r w:rsidR="001670FE">
              <w:rPr>
                <w:noProof/>
                <w:webHidden/>
              </w:rPr>
              <w:instrText xml:space="preserve"> PAGEREF _Toc77876492 \h </w:instrText>
            </w:r>
            <w:r w:rsidR="001670FE">
              <w:rPr>
                <w:noProof/>
                <w:webHidden/>
              </w:rPr>
            </w:r>
            <w:r w:rsidR="001670FE">
              <w:rPr>
                <w:noProof/>
                <w:webHidden/>
              </w:rPr>
              <w:fldChar w:fldCharType="separate"/>
            </w:r>
            <w:r w:rsidR="001670FE">
              <w:rPr>
                <w:noProof/>
                <w:webHidden/>
              </w:rPr>
              <w:t>7</w:t>
            </w:r>
            <w:r w:rsidR="001670FE">
              <w:rPr>
                <w:noProof/>
                <w:webHidden/>
              </w:rPr>
              <w:fldChar w:fldCharType="end"/>
            </w:r>
          </w:hyperlink>
        </w:p>
        <w:p w14:paraId="27793BC3" w14:textId="3EF8D921" w:rsidR="001670FE" w:rsidRDefault="00466057">
          <w:pPr>
            <w:pStyle w:val="TOC1"/>
            <w:tabs>
              <w:tab w:val="right" w:leader="dot" w:pos="9016"/>
            </w:tabs>
            <w:rPr>
              <w:rFonts w:asciiTheme="minorHAnsi" w:eastAsiaTheme="minorEastAsia" w:hAnsiTheme="minorHAnsi" w:cstheme="minorBidi"/>
              <w:noProof/>
              <w:lang w:eastAsia="en-GB"/>
            </w:rPr>
          </w:pPr>
          <w:hyperlink w:anchor="_Toc77876493" w:history="1">
            <w:r w:rsidR="001670FE" w:rsidRPr="00847606">
              <w:rPr>
                <w:rStyle w:val="Hyperlink"/>
                <w:noProof/>
              </w:rPr>
              <w:t>References</w:t>
            </w:r>
            <w:r w:rsidR="001670FE">
              <w:rPr>
                <w:noProof/>
                <w:webHidden/>
              </w:rPr>
              <w:tab/>
            </w:r>
            <w:r w:rsidR="001670FE">
              <w:rPr>
                <w:noProof/>
                <w:webHidden/>
              </w:rPr>
              <w:fldChar w:fldCharType="begin"/>
            </w:r>
            <w:r w:rsidR="001670FE">
              <w:rPr>
                <w:noProof/>
                <w:webHidden/>
              </w:rPr>
              <w:instrText xml:space="preserve"> PAGEREF _Toc77876493 \h </w:instrText>
            </w:r>
            <w:r w:rsidR="001670FE">
              <w:rPr>
                <w:noProof/>
                <w:webHidden/>
              </w:rPr>
            </w:r>
            <w:r w:rsidR="001670FE">
              <w:rPr>
                <w:noProof/>
                <w:webHidden/>
              </w:rPr>
              <w:fldChar w:fldCharType="separate"/>
            </w:r>
            <w:r w:rsidR="001670FE">
              <w:rPr>
                <w:noProof/>
                <w:webHidden/>
              </w:rPr>
              <w:t>7</w:t>
            </w:r>
            <w:r w:rsidR="001670FE">
              <w:rPr>
                <w:noProof/>
                <w:webHidden/>
              </w:rPr>
              <w:fldChar w:fldCharType="end"/>
            </w:r>
          </w:hyperlink>
        </w:p>
        <w:p w14:paraId="70F66C06" w14:textId="41D7E8B8" w:rsidR="001670FE" w:rsidRDefault="00466057">
          <w:pPr>
            <w:pStyle w:val="TOC1"/>
            <w:tabs>
              <w:tab w:val="right" w:leader="dot" w:pos="9016"/>
            </w:tabs>
            <w:rPr>
              <w:rFonts w:asciiTheme="minorHAnsi" w:eastAsiaTheme="minorEastAsia" w:hAnsiTheme="minorHAnsi" w:cstheme="minorBidi"/>
              <w:noProof/>
              <w:lang w:eastAsia="en-GB"/>
            </w:rPr>
          </w:pPr>
          <w:hyperlink w:anchor="_Toc77876494" w:history="1">
            <w:r w:rsidR="001670FE" w:rsidRPr="00847606">
              <w:rPr>
                <w:rStyle w:val="Hyperlink"/>
                <w:noProof/>
              </w:rPr>
              <w:t>5 Introduction</w:t>
            </w:r>
            <w:r w:rsidR="001670FE">
              <w:rPr>
                <w:noProof/>
                <w:webHidden/>
              </w:rPr>
              <w:tab/>
            </w:r>
            <w:r w:rsidR="001670FE">
              <w:rPr>
                <w:noProof/>
                <w:webHidden/>
              </w:rPr>
              <w:fldChar w:fldCharType="begin"/>
            </w:r>
            <w:r w:rsidR="001670FE">
              <w:rPr>
                <w:noProof/>
                <w:webHidden/>
              </w:rPr>
              <w:instrText xml:space="preserve"> PAGEREF _Toc77876494 \h </w:instrText>
            </w:r>
            <w:r w:rsidR="001670FE">
              <w:rPr>
                <w:noProof/>
                <w:webHidden/>
              </w:rPr>
            </w:r>
            <w:r w:rsidR="001670FE">
              <w:rPr>
                <w:noProof/>
                <w:webHidden/>
              </w:rPr>
              <w:fldChar w:fldCharType="separate"/>
            </w:r>
            <w:r w:rsidR="001670FE">
              <w:rPr>
                <w:noProof/>
                <w:webHidden/>
              </w:rPr>
              <w:t>9</w:t>
            </w:r>
            <w:r w:rsidR="001670FE">
              <w:rPr>
                <w:noProof/>
                <w:webHidden/>
              </w:rPr>
              <w:fldChar w:fldCharType="end"/>
            </w:r>
          </w:hyperlink>
        </w:p>
        <w:p w14:paraId="389B0742" w14:textId="0BBC6237" w:rsidR="001670FE" w:rsidRDefault="00466057">
          <w:pPr>
            <w:pStyle w:val="TOC1"/>
            <w:tabs>
              <w:tab w:val="right" w:leader="dot" w:pos="9016"/>
            </w:tabs>
            <w:rPr>
              <w:rFonts w:asciiTheme="minorHAnsi" w:eastAsiaTheme="minorEastAsia" w:hAnsiTheme="minorHAnsi" w:cstheme="minorBidi"/>
              <w:noProof/>
              <w:lang w:eastAsia="en-GB"/>
            </w:rPr>
          </w:pPr>
          <w:hyperlink w:anchor="_Toc77876495" w:history="1">
            <w:r w:rsidR="001670FE" w:rsidRPr="00847606">
              <w:rPr>
                <w:rStyle w:val="Hyperlink"/>
                <w:noProof/>
              </w:rPr>
              <w:t>6 Driscoll Reflective Model</w:t>
            </w:r>
            <w:r w:rsidR="001670FE">
              <w:rPr>
                <w:noProof/>
                <w:webHidden/>
              </w:rPr>
              <w:tab/>
            </w:r>
            <w:r w:rsidR="001670FE">
              <w:rPr>
                <w:noProof/>
                <w:webHidden/>
              </w:rPr>
              <w:fldChar w:fldCharType="begin"/>
            </w:r>
            <w:r w:rsidR="001670FE">
              <w:rPr>
                <w:noProof/>
                <w:webHidden/>
              </w:rPr>
              <w:instrText xml:space="preserve"> PAGEREF _Toc77876495 \h </w:instrText>
            </w:r>
            <w:r w:rsidR="001670FE">
              <w:rPr>
                <w:noProof/>
                <w:webHidden/>
              </w:rPr>
            </w:r>
            <w:r w:rsidR="001670FE">
              <w:rPr>
                <w:noProof/>
                <w:webHidden/>
              </w:rPr>
              <w:fldChar w:fldCharType="separate"/>
            </w:r>
            <w:r w:rsidR="001670FE">
              <w:rPr>
                <w:noProof/>
                <w:webHidden/>
              </w:rPr>
              <w:t>9</w:t>
            </w:r>
            <w:r w:rsidR="001670FE">
              <w:rPr>
                <w:noProof/>
                <w:webHidden/>
              </w:rPr>
              <w:fldChar w:fldCharType="end"/>
            </w:r>
          </w:hyperlink>
        </w:p>
        <w:p w14:paraId="2E724A2A" w14:textId="59B841CA" w:rsidR="001670FE" w:rsidRDefault="00466057">
          <w:pPr>
            <w:pStyle w:val="TOC2"/>
            <w:tabs>
              <w:tab w:val="right" w:leader="dot" w:pos="9016"/>
            </w:tabs>
            <w:rPr>
              <w:rFonts w:asciiTheme="minorHAnsi" w:eastAsiaTheme="minorEastAsia" w:hAnsiTheme="minorHAnsi" w:cstheme="minorBidi"/>
              <w:noProof/>
              <w:lang w:eastAsia="en-GB"/>
            </w:rPr>
          </w:pPr>
          <w:hyperlink w:anchor="_Toc77876496" w:history="1">
            <w:r w:rsidR="001670FE" w:rsidRPr="00847606">
              <w:rPr>
                <w:rStyle w:val="Hyperlink"/>
                <w:noProof/>
              </w:rPr>
              <w:t>6.1 What?</w:t>
            </w:r>
            <w:r w:rsidR="001670FE">
              <w:rPr>
                <w:noProof/>
                <w:webHidden/>
              </w:rPr>
              <w:tab/>
            </w:r>
            <w:r w:rsidR="001670FE">
              <w:rPr>
                <w:noProof/>
                <w:webHidden/>
              </w:rPr>
              <w:fldChar w:fldCharType="begin"/>
            </w:r>
            <w:r w:rsidR="001670FE">
              <w:rPr>
                <w:noProof/>
                <w:webHidden/>
              </w:rPr>
              <w:instrText xml:space="preserve"> PAGEREF _Toc77876496 \h </w:instrText>
            </w:r>
            <w:r w:rsidR="001670FE">
              <w:rPr>
                <w:noProof/>
                <w:webHidden/>
              </w:rPr>
            </w:r>
            <w:r w:rsidR="001670FE">
              <w:rPr>
                <w:noProof/>
                <w:webHidden/>
              </w:rPr>
              <w:fldChar w:fldCharType="separate"/>
            </w:r>
            <w:r w:rsidR="001670FE">
              <w:rPr>
                <w:noProof/>
                <w:webHidden/>
              </w:rPr>
              <w:t>10</w:t>
            </w:r>
            <w:r w:rsidR="001670FE">
              <w:rPr>
                <w:noProof/>
                <w:webHidden/>
              </w:rPr>
              <w:fldChar w:fldCharType="end"/>
            </w:r>
          </w:hyperlink>
        </w:p>
        <w:p w14:paraId="71940944" w14:textId="4213903A" w:rsidR="001670FE" w:rsidRDefault="00466057">
          <w:pPr>
            <w:pStyle w:val="TOC3"/>
            <w:tabs>
              <w:tab w:val="right" w:leader="dot" w:pos="9016"/>
            </w:tabs>
            <w:rPr>
              <w:rFonts w:asciiTheme="minorHAnsi" w:eastAsiaTheme="minorEastAsia" w:hAnsiTheme="minorHAnsi" w:cstheme="minorBidi"/>
              <w:noProof/>
              <w:lang w:eastAsia="en-GB"/>
            </w:rPr>
          </w:pPr>
          <w:hyperlink w:anchor="_Toc77876497" w:history="1">
            <w:r w:rsidR="001670FE" w:rsidRPr="00847606">
              <w:rPr>
                <w:rStyle w:val="Hyperlink"/>
                <w:noProof/>
              </w:rPr>
              <w:t>6.2 So What?</w:t>
            </w:r>
            <w:r w:rsidR="001670FE">
              <w:rPr>
                <w:noProof/>
                <w:webHidden/>
              </w:rPr>
              <w:tab/>
            </w:r>
            <w:r w:rsidR="001670FE">
              <w:rPr>
                <w:noProof/>
                <w:webHidden/>
              </w:rPr>
              <w:fldChar w:fldCharType="begin"/>
            </w:r>
            <w:r w:rsidR="001670FE">
              <w:rPr>
                <w:noProof/>
                <w:webHidden/>
              </w:rPr>
              <w:instrText xml:space="preserve"> PAGEREF _Toc77876497 \h </w:instrText>
            </w:r>
            <w:r w:rsidR="001670FE">
              <w:rPr>
                <w:noProof/>
                <w:webHidden/>
              </w:rPr>
            </w:r>
            <w:r w:rsidR="001670FE">
              <w:rPr>
                <w:noProof/>
                <w:webHidden/>
              </w:rPr>
              <w:fldChar w:fldCharType="separate"/>
            </w:r>
            <w:r w:rsidR="001670FE">
              <w:rPr>
                <w:noProof/>
                <w:webHidden/>
              </w:rPr>
              <w:t>10</w:t>
            </w:r>
            <w:r w:rsidR="001670FE">
              <w:rPr>
                <w:noProof/>
                <w:webHidden/>
              </w:rPr>
              <w:fldChar w:fldCharType="end"/>
            </w:r>
          </w:hyperlink>
        </w:p>
        <w:p w14:paraId="57347801" w14:textId="03FBA148" w:rsidR="001670FE" w:rsidRDefault="00466057">
          <w:pPr>
            <w:pStyle w:val="TOC4"/>
            <w:tabs>
              <w:tab w:val="right" w:leader="dot" w:pos="9016"/>
            </w:tabs>
            <w:rPr>
              <w:noProof/>
            </w:rPr>
          </w:pPr>
          <w:hyperlink w:anchor="_Toc77876498" w:history="1">
            <w:r w:rsidR="001670FE" w:rsidRPr="00847606">
              <w:rPr>
                <w:rStyle w:val="Hyperlink"/>
                <w:noProof/>
              </w:rPr>
              <w:t>6.3 Now What?</w:t>
            </w:r>
            <w:r w:rsidR="001670FE">
              <w:rPr>
                <w:noProof/>
                <w:webHidden/>
              </w:rPr>
              <w:tab/>
            </w:r>
            <w:r w:rsidR="001670FE">
              <w:rPr>
                <w:noProof/>
                <w:webHidden/>
              </w:rPr>
              <w:fldChar w:fldCharType="begin"/>
            </w:r>
            <w:r w:rsidR="001670FE">
              <w:rPr>
                <w:noProof/>
                <w:webHidden/>
              </w:rPr>
              <w:instrText xml:space="preserve"> PAGEREF _Toc77876498 \h </w:instrText>
            </w:r>
            <w:r w:rsidR="001670FE">
              <w:rPr>
                <w:noProof/>
                <w:webHidden/>
              </w:rPr>
            </w:r>
            <w:r w:rsidR="001670FE">
              <w:rPr>
                <w:noProof/>
                <w:webHidden/>
              </w:rPr>
              <w:fldChar w:fldCharType="separate"/>
            </w:r>
            <w:r w:rsidR="001670FE">
              <w:rPr>
                <w:noProof/>
                <w:webHidden/>
              </w:rPr>
              <w:t>11</w:t>
            </w:r>
            <w:r w:rsidR="001670FE">
              <w:rPr>
                <w:noProof/>
                <w:webHidden/>
              </w:rPr>
              <w:fldChar w:fldCharType="end"/>
            </w:r>
          </w:hyperlink>
        </w:p>
        <w:p w14:paraId="12EC9369" w14:textId="6027EFA1" w:rsidR="001670FE" w:rsidRDefault="00466057">
          <w:pPr>
            <w:pStyle w:val="TOC1"/>
            <w:tabs>
              <w:tab w:val="right" w:leader="dot" w:pos="9016"/>
            </w:tabs>
            <w:rPr>
              <w:rFonts w:asciiTheme="minorHAnsi" w:eastAsiaTheme="minorEastAsia" w:hAnsiTheme="minorHAnsi" w:cstheme="minorBidi"/>
              <w:noProof/>
              <w:lang w:eastAsia="en-GB"/>
            </w:rPr>
          </w:pPr>
          <w:hyperlink w:anchor="_Toc77876499" w:history="1">
            <w:r w:rsidR="001670FE" w:rsidRPr="00847606">
              <w:rPr>
                <w:rStyle w:val="Hyperlink"/>
                <w:noProof/>
              </w:rPr>
              <w:t>References</w:t>
            </w:r>
            <w:r w:rsidR="001670FE">
              <w:rPr>
                <w:noProof/>
                <w:webHidden/>
              </w:rPr>
              <w:tab/>
            </w:r>
            <w:r w:rsidR="001670FE">
              <w:rPr>
                <w:noProof/>
                <w:webHidden/>
              </w:rPr>
              <w:fldChar w:fldCharType="begin"/>
            </w:r>
            <w:r w:rsidR="001670FE">
              <w:rPr>
                <w:noProof/>
                <w:webHidden/>
              </w:rPr>
              <w:instrText xml:space="preserve"> PAGEREF _Toc77876499 \h </w:instrText>
            </w:r>
            <w:r w:rsidR="001670FE">
              <w:rPr>
                <w:noProof/>
                <w:webHidden/>
              </w:rPr>
            </w:r>
            <w:r w:rsidR="001670FE">
              <w:rPr>
                <w:noProof/>
                <w:webHidden/>
              </w:rPr>
              <w:fldChar w:fldCharType="separate"/>
            </w:r>
            <w:r w:rsidR="001670FE">
              <w:rPr>
                <w:noProof/>
                <w:webHidden/>
              </w:rPr>
              <w:t>11</w:t>
            </w:r>
            <w:r w:rsidR="001670FE">
              <w:rPr>
                <w:noProof/>
                <w:webHidden/>
              </w:rPr>
              <w:fldChar w:fldCharType="end"/>
            </w:r>
          </w:hyperlink>
        </w:p>
        <w:p w14:paraId="5CF2B0D9" w14:textId="18DFDCD8" w:rsidR="006B110F" w:rsidRDefault="001670FE">
          <w:r>
            <w:fldChar w:fldCharType="end"/>
          </w:r>
        </w:p>
      </w:sdtContent>
    </w:sdt>
    <w:p w14:paraId="2477E216" w14:textId="77777777" w:rsidR="006B110F" w:rsidRDefault="006B110F" w:rsidP="00706999">
      <w:pPr>
        <w:pStyle w:val="Heading1"/>
        <w:spacing w:line="360" w:lineRule="auto"/>
        <w:jc w:val="both"/>
        <w:rPr>
          <w:rFonts w:ascii="Arial" w:hAnsi="Arial" w:cs="Arial"/>
        </w:rPr>
      </w:pPr>
    </w:p>
    <w:p w14:paraId="1471E35C" w14:textId="77777777" w:rsidR="006B110F" w:rsidRDefault="006B110F" w:rsidP="00706999">
      <w:pPr>
        <w:pStyle w:val="Heading1"/>
        <w:spacing w:line="360" w:lineRule="auto"/>
        <w:jc w:val="both"/>
        <w:rPr>
          <w:rFonts w:ascii="Arial" w:hAnsi="Arial" w:cs="Arial"/>
        </w:rPr>
      </w:pPr>
    </w:p>
    <w:p w14:paraId="63075B67" w14:textId="77777777" w:rsidR="006B110F" w:rsidRDefault="006B110F" w:rsidP="00706999">
      <w:pPr>
        <w:pStyle w:val="Heading1"/>
        <w:spacing w:line="360" w:lineRule="auto"/>
        <w:jc w:val="both"/>
        <w:rPr>
          <w:rFonts w:ascii="Arial" w:hAnsi="Arial" w:cs="Arial"/>
        </w:rPr>
      </w:pPr>
    </w:p>
    <w:p w14:paraId="3F27FF9C" w14:textId="77777777" w:rsidR="006B110F" w:rsidRDefault="006B110F" w:rsidP="00706999">
      <w:pPr>
        <w:pStyle w:val="Heading1"/>
        <w:spacing w:line="360" w:lineRule="auto"/>
        <w:jc w:val="both"/>
        <w:rPr>
          <w:rFonts w:ascii="Arial" w:hAnsi="Arial" w:cs="Arial"/>
        </w:rPr>
      </w:pPr>
    </w:p>
    <w:p w14:paraId="2C3B3E86" w14:textId="58F8CE24" w:rsidR="006B110F" w:rsidRDefault="006B110F" w:rsidP="006B110F"/>
    <w:p w14:paraId="5C091CC9" w14:textId="77777777" w:rsidR="001670FE" w:rsidRPr="006B110F" w:rsidRDefault="001670FE" w:rsidP="006B110F"/>
    <w:p w14:paraId="579C1132" w14:textId="30BB9541" w:rsidR="00E47EF0" w:rsidRDefault="003604DA" w:rsidP="00706999">
      <w:pPr>
        <w:pStyle w:val="Heading1"/>
        <w:spacing w:line="360" w:lineRule="auto"/>
        <w:jc w:val="both"/>
        <w:rPr>
          <w:rFonts w:ascii="Arial" w:hAnsi="Arial" w:cs="Arial"/>
        </w:rPr>
      </w:pPr>
      <w:bookmarkStart w:id="0" w:name="_Toc77876484"/>
      <w:r>
        <w:rPr>
          <w:rFonts w:ascii="Arial" w:hAnsi="Arial" w:cs="Arial"/>
        </w:rPr>
        <w:lastRenderedPageBreak/>
        <w:t xml:space="preserve">1 </w:t>
      </w:r>
      <w:r w:rsidR="00E47EF0" w:rsidRPr="00F9152D">
        <w:rPr>
          <w:rFonts w:ascii="Arial" w:hAnsi="Arial" w:cs="Arial"/>
        </w:rPr>
        <w:t>Introduction</w:t>
      </w:r>
      <w:bookmarkEnd w:id="0"/>
    </w:p>
    <w:p w14:paraId="4189D483" w14:textId="67B9B457" w:rsidR="00706999" w:rsidRDefault="00706999" w:rsidP="00706999">
      <w:pPr>
        <w:spacing w:line="360" w:lineRule="auto"/>
        <w:jc w:val="both"/>
      </w:pPr>
      <w:r>
        <w:t>The purpose of this report is to analyse</w:t>
      </w:r>
      <w:r w:rsidRPr="00706999">
        <w:t xml:space="preserve"> the impact of individual beliefs on workplace behaviour.</w:t>
      </w:r>
      <w:r>
        <w:t xml:space="preserve"> Beliefs will be defined, and 5 beliefs will be chosen and analysed</w:t>
      </w:r>
      <w:r w:rsidR="003039C7">
        <w:t xml:space="preserve"> in order to understand how will impact an individual behaviour at the workplace</w:t>
      </w:r>
      <w:r>
        <w:t>.</w:t>
      </w:r>
      <w:r w:rsidR="00F24979">
        <w:t xml:space="preserve"> </w:t>
      </w:r>
      <w:r w:rsidR="003039C7">
        <w:t>This report</w:t>
      </w:r>
      <w:r w:rsidR="00F24979">
        <w:t xml:space="preserve"> will include Religion Beliefs, Cultural Beliefs, Educational Beliefs, Experience Beliefs and Gender Beliefs.</w:t>
      </w:r>
      <w:r>
        <w:t xml:space="preserve"> </w:t>
      </w:r>
      <w:r w:rsidR="003039C7">
        <w:t xml:space="preserve">The report will be based on secondary research. </w:t>
      </w:r>
      <w:r>
        <w:t>This report will provide recommendations on how to reduce the negative impact of beliefs in the workplace and will end with a conclusion</w:t>
      </w:r>
      <w:r w:rsidR="003039C7">
        <w:t xml:space="preserve"> which will summarise the key factors found in the analyses</w:t>
      </w:r>
      <w:r>
        <w:t>.</w:t>
      </w:r>
    </w:p>
    <w:p w14:paraId="29A5515F" w14:textId="77777777" w:rsidR="00E47EF0" w:rsidRPr="009D2DBE" w:rsidRDefault="00E47EF0" w:rsidP="00706999">
      <w:pPr>
        <w:spacing w:line="360" w:lineRule="auto"/>
        <w:jc w:val="both"/>
      </w:pPr>
    </w:p>
    <w:p w14:paraId="462F69A6" w14:textId="788B8AEA" w:rsidR="00E47EF0" w:rsidRPr="001670FE" w:rsidRDefault="003604DA" w:rsidP="00706999">
      <w:pPr>
        <w:pStyle w:val="Heading1"/>
        <w:spacing w:line="360" w:lineRule="auto"/>
        <w:jc w:val="both"/>
        <w:rPr>
          <w:rFonts w:ascii="Arial" w:hAnsi="Arial" w:cs="Arial"/>
        </w:rPr>
      </w:pPr>
      <w:bookmarkStart w:id="1" w:name="_Toc77876485"/>
      <w:r w:rsidRPr="001670FE">
        <w:rPr>
          <w:rFonts w:ascii="Arial" w:hAnsi="Arial" w:cs="Arial"/>
        </w:rPr>
        <w:t xml:space="preserve">2 </w:t>
      </w:r>
      <w:r w:rsidR="00E47EF0" w:rsidRPr="001670FE">
        <w:rPr>
          <w:rFonts w:ascii="Arial" w:hAnsi="Arial" w:cs="Arial"/>
        </w:rPr>
        <w:t>Beliefs</w:t>
      </w:r>
      <w:bookmarkEnd w:id="1"/>
    </w:p>
    <w:p w14:paraId="06EA400B" w14:textId="6819029D" w:rsidR="00E47EF0" w:rsidRPr="001670FE" w:rsidRDefault="00E47EF0" w:rsidP="00706999">
      <w:pPr>
        <w:spacing w:line="360" w:lineRule="auto"/>
        <w:jc w:val="both"/>
      </w:pPr>
      <w:r w:rsidRPr="001670FE">
        <w:t xml:space="preserve">The term belief initiated in the sixth century B.C in the Greek World. Around this time was possible for an individual to start using his brain as we use it today. In fact, the author states that belief is not a natural ability for human beings, but more likely a cultural accomplishment which started happening after some historical events made it possible (Johnson, 1987). In today’s days, </w:t>
      </w:r>
      <w:proofErr w:type="gramStart"/>
      <w:r w:rsidRPr="001670FE">
        <w:t>We</w:t>
      </w:r>
      <w:proofErr w:type="gramEnd"/>
      <w:r w:rsidRPr="001670FE">
        <w:t xml:space="preserve"> "simply believe" some concepts and "more than believe we know" other concepts. Knowledge refers to concepts we "know more than believe," although beliefs refers to things we simply believe (Leatham, 2006). Abelson (1979), gives a slightly different definition of belief, but one that is important from an individual perspective: the believer is aware that others may hold alternative beliefs. For instance, a belief is a familiar concept based on personal experience </w:t>
      </w:r>
      <w:sdt>
        <w:sdtPr>
          <w:id w:val="874127774"/>
          <w:citation/>
        </w:sdtPr>
        <w:sdtEndPr/>
        <w:sdtContent>
          <w:r w:rsidR="00E02958" w:rsidRPr="001670FE">
            <w:fldChar w:fldCharType="begin"/>
          </w:r>
          <w:r w:rsidR="00E02958" w:rsidRPr="001670FE">
            <w:instrText xml:space="preserve"> CITATION Peh03 \l 2057 </w:instrText>
          </w:r>
          <w:r w:rsidR="00E02958" w:rsidRPr="001670FE">
            <w:fldChar w:fldCharType="separate"/>
          </w:r>
          <w:r w:rsidR="00E02958" w:rsidRPr="001670FE">
            <w:rPr>
              <w:noProof/>
            </w:rPr>
            <w:t>(Pehkonen &amp; Pietilä, 2003)</w:t>
          </w:r>
          <w:r w:rsidR="00E02958" w:rsidRPr="001670FE">
            <w:fldChar w:fldCharType="end"/>
          </w:r>
        </w:sdtContent>
      </w:sdt>
      <w:r w:rsidRPr="001670FE">
        <w:t>. Another good example of belief is, an internal sensation that something is real, even if it is unverified or unreasonable, is referred to as a belief</w:t>
      </w:r>
      <w:r w:rsidR="00E02958" w:rsidRPr="001670FE">
        <w:t xml:space="preserve"> </w:t>
      </w:r>
      <w:sdt>
        <w:sdtPr>
          <w:id w:val="-1107881365"/>
          <w:citation/>
        </w:sdtPr>
        <w:sdtEndPr/>
        <w:sdtContent>
          <w:r w:rsidR="00E02958" w:rsidRPr="001670FE">
            <w:fldChar w:fldCharType="begin"/>
          </w:r>
          <w:r w:rsidR="00E02958" w:rsidRPr="001670FE">
            <w:instrText xml:space="preserve"> CITATION And09 \l 2057 </w:instrText>
          </w:r>
          <w:r w:rsidR="00E02958" w:rsidRPr="001670FE">
            <w:fldChar w:fldCharType="separate"/>
          </w:r>
          <w:r w:rsidR="00E02958" w:rsidRPr="001670FE">
            <w:rPr>
              <w:noProof/>
            </w:rPr>
            <w:t>(Anderson &amp; De Silva, 2009)</w:t>
          </w:r>
          <w:r w:rsidR="00E02958" w:rsidRPr="001670FE">
            <w:fldChar w:fldCharType="end"/>
          </w:r>
        </w:sdtContent>
      </w:sdt>
      <w:r w:rsidRPr="001670FE">
        <w:t xml:space="preserve">. Beliefs and behaviour are related, in fact, an individual behaviour is driven by beliefs and values. Understanding the beliefs that drive our thinking is therefore crucial to understanding our performance at work (Tolle, </w:t>
      </w:r>
      <w:r w:rsidRPr="001670FE">
        <w:rPr>
          <w:color w:val="000000" w:themeColor="text1"/>
        </w:rPr>
        <w:t>2021).</w:t>
      </w:r>
    </w:p>
    <w:p w14:paraId="069C605C" w14:textId="31B7319C" w:rsidR="00EE6040" w:rsidRPr="001670FE" w:rsidRDefault="00EE6040" w:rsidP="00706999">
      <w:pPr>
        <w:spacing w:line="360" w:lineRule="auto"/>
        <w:jc w:val="both"/>
      </w:pPr>
    </w:p>
    <w:p w14:paraId="3E97C691" w14:textId="77777777" w:rsidR="00D07927" w:rsidRPr="001670FE" w:rsidRDefault="00D07927" w:rsidP="00706999">
      <w:pPr>
        <w:spacing w:line="360" w:lineRule="auto"/>
        <w:jc w:val="both"/>
      </w:pPr>
    </w:p>
    <w:p w14:paraId="339AFB8F" w14:textId="199ED103" w:rsidR="00E47EF0" w:rsidRPr="001670FE" w:rsidRDefault="003604DA" w:rsidP="001670FE">
      <w:pPr>
        <w:pStyle w:val="Heading2"/>
        <w:rPr>
          <w:rFonts w:ascii="Arial" w:hAnsi="Arial" w:cs="Arial"/>
          <w:sz w:val="28"/>
          <w:szCs w:val="28"/>
        </w:rPr>
      </w:pPr>
      <w:bookmarkStart w:id="2" w:name="_Toc77876486"/>
      <w:r w:rsidRPr="001670FE">
        <w:rPr>
          <w:rFonts w:ascii="Arial" w:hAnsi="Arial" w:cs="Arial"/>
          <w:sz w:val="28"/>
          <w:szCs w:val="28"/>
        </w:rPr>
        <w:t xml:space="preserve">2.1 </w:t>
      </w:r>
      <w:r w:rsidR="00E47EF0" w:rsidRPr="001670FE">
        <w:rPr>
          <w:rFonts w:ascii="Arial" w:hAnsi="Arial" w:cs="Arial"/>
          <w:sz w:val="28"/>
          <w:szCs w:val="28"/>
        </w:rPr>
        <w:t>Religion beliefs</w:t>
      </w:r>
      <w:bookmarkEnd w:id="2"/>
    </w:p>
    <w:p w14:paraId="5BB17763" w14:textId="1BFDA007" w:rsidR="00E47EF0" w:rsidRPr="001670FE" w:rsidRDefault="00E47EF0" w:rsidP="00706999">
      <w:pPr>
        <w:spacing w:line="360" w:lineRule="auto"/>
        <w:jc w:val="both"/>
        <w:rPr>
          <w:color w:val="000000" w:themeColor="text1"/>
        </w:rPr>
      </w:pPr>
      <w:r w:rsidRPr="001670FE">
        <w:rPr>
          <w:color w:val="000000" w:themeColor="text1"/>
        </w:rPr>
        <w:t xml:space="preserve">Religious beliefs and practices can have a substantial impact on human </w:t>
      </w:r>
      <w:r w:rsidR="00702DFE" w:rsidRPr="001670FE">
        <w:rPr>
          <w:color w:val="000000" w:themeColor="text1"/>
        </w:rPr>
        <w:t>behaviour</w:t>
      </w:r>
      <w:r w:rsidRPr="001670FE">
        <w:rPr>
          <w:color w:val="000000" w:themeColor="text1"/>
        </w:rPr>
        <w:t xml:space="preserve">, but little is known about how they interact with work. Religion has the capacity to alter people's attitudes, beliefs, and behaviours </w:t>
      </w:r>
      <w:sdt>
        <w:sdtPr>
          <w:rPr>
            <w:color w:val="000000" w:themeColor="text1"/>
          </w:rPr>
          <w:id w:val="-347717435"/>
          <w:citation/>
        </w:sdtPr>
        <w:sdtEndPr/>
        <w:sdtContent>
          <w:r w:rsidR="00E02958" w:rsidRPr="001670FE">
            <w:rPr>
              <w:color w:val="000000" w:themeColor="text1"/>
            </w:rPr>
            <w:fldChar w:fldCharType="begin"/>
          </w:r>
          <w:r w:rsidR="00E02958" w:rsidRPr="001670FE">
            <w:rPr>
              <w:color w:val="000000" w:themeColor="text1"/>
            </w:rPr>
            <w:instrText xml:space="preserve"> CITATION Reg05 \l 2057 </w:instrText>
          </w:r>
          <w:r w:rsidR="00E02958" w:rsidRPr="001670FE">
            <w:rPr>
              <w:color w:val="000000" w:themeColor="text1"/>
            </w:rPr>
            <w:fldChar w:fldCharType="separate"/>
          </w:r>
          <w:r w:rsidR="00E02958" w:rsidRPr="001670FE">
            <w:rPr>
              <w:noProof/>
              <w:color w:val="000000" w:themeColor="text1"/>
            </w:rPr>
            <w:t>(Regnerus &amp; Smith, 2005)</w:t>
          </w:r>
          <w:r w:rsidR="00E02958" w:rsidRPr="001670FE">
            <w:rPr>
              <w:color w:val="000000" w:themeColor="text1"/>
            </w:rPr>
            <w:fldChar w:fldCharType="end"/>
          </w:r>
        </w:sdtContent>
      </w:sdt>
      <w:r w:rsidRPr="001670FE">
        <w:rPr>
          <w:color w:val="000000" w:themeColor="text1"/>
        </w:rPr>
        <w:t xml:space="preserve">, as well as work-related practices like stress management, career advancement, risk taking, and values (Vitell, 2009). Employees can benefit from religious devotion. The main religions promote moral frameworks that involve empathy for others. Various studies have revealed that the majority of business professionals </w:t>
      </w:r>
      <w:r w:rsidRPr="001670FE">
        <w:rPr>
          <w:color w:val="000000" w:themeColor="text1"/>
        </w:rPr>
        <w:lastRenderedPageBreak/>
        <w:t xml:space="preserve">believe that their religious values play an essential part in making ethical business decisions </w:t>
      </w:r>
      <w:sdt>
        <w:sdtPr>
          <w:rPr>
            <w:color w:val="000000" w:themeColor="text1"/>
          </w:rPr>
          <w:id w:val="1775210871"/>
          <w:citation/>
        </w:sdtPr>
        <w:sdtEndPr/>
        <w:sdtContent>
          <w:r w:rsidR="00E02958" w:rsidRPr="001670FE">
            <w:rPr>
              <w:color w:val="000000" w:themeColor="text1"/>
            </w:rPr>
            <w:fldChar w:fldCharType="begin"/>
          </w:r>
          <w:r w:rsidR="00E02958" w:rsidRPr="001670FE">
            <w:rPr>
              <w:color w:val="000000" w:themeColor="text1"/>
            </w:rPr>
            <w:instrText xml:space="preserve"> CITATION Lew02 \l 2057 </w:instrText>
          </w:r>
          <w:r w:rsidR="00E02958" w:rsidRPr="001670FE">
            <w:rPr>
              <w:color w:val="000000" w:themeColor="text1"/>
            </w:rPr>
            <w:fldChar w:fldCharType="separate"/>
          </w:r>
          <w:r w:rsidR="00E02958" w:rsidRPr="001670FE">
            <w:rPr>
              <w:noProof/>
              <w:color w:val="000000" w:themeColor="text1"/>
            </w:rPr>
            <w:t>(Lewis &amp; Hardin, 2002)</w:t>
          </w:r>
          <w:r w:rsidR="00E02958" w:rsidRPr="001670FE">
            <w:rPr>
              <w:color w:val="000000" w:themeColor="text1"/>
            </w:rPr>
            <w:fldChar w:fldCharType="end"/>
          </w:r>
        </w:sdtContent>
      </w:sdt>
      <w:r w:rsidRPr="001670FE">
        <w:rPr>
          <w:color w:val="000000" w:themeColor="text1"/>
        </w:rPr>
        <w:t>, and that these judgments should be founded on respect for customers, colleagues, and employees (Vitell</w:t>
      </w:r>
      <w:r w:rsidR="004F5488" w:rsidRPr="001670FE">
        <w:rPr>
          <w:color w:val="000000" w:themeColor="text1"/>
        </w:rPr>
        <w:t>,</w:t>
      </w:r>
      <w:r w:rsidRPr="001670FE">
        <w:rPr>
          <w:color w:val="000000" w:themeColor="text1"/>
        </w:rPr>
        <w:t xml:space="preserve"> 2009). For instance, Buddhism and some Hindu faiths, emphasize the value of people working together harmoniously toward a mutual objective (Rich</w:t>
      </w:r>
      <w:r w:rsidR="004B4138" w:rsidRPr="001670FE">
        <w:rPr>
          <w:color w:val="000000" w:themeColor="text1"/>
        </w:rPr>
        <w:t>,</w:t>
      </w:r>
      <w:r w:rsidRPr="001670FE">
        <w:rPr>
          <w:color w:val="000000" w:themeColor="text1"/>
        </w:rPr>
        <w:t xml:space="preserve"> 2007). Judaism is noted for its humanitarian precepts, as does Islam, where donations giving to those in need is one of the religion's 5 pillars </w:t>
      </w:r>
      <w:sdt>
        <w:sdtPr>
          <w:rPr>
            <w:color w:val="000000" w:themeColor="text1"/>
          </w:rPr>
          <w:id w:val="488136627"/>
          <w:citation/>
        </w:sdtPr>
        <w:sdtEndPr/>
        <w:sdtContent>
          <w:r w:rsidR="00E02958" w:rsidRPr="001670FE">
            <w:rPr>
              <w:color w:val="000000" w:themeColor="text1"/>
            </w:rPr>
            <w:fldChar w:fldCharType="begin"/>
          </w:r>
          <w:r w:rsidR="00E02958" w:rsidRPr="001670FE">
            <w:rPr>
              <w:color w:val="000000" w:themeColor="text1"/>
            </w:rPr>
            <w:instrText xml:space="preserve"> CITATION Dun11 \l 2057 </w:instrText>
          </w:r>
          <w:r w:rsidR="00E02958" w:rsidRPr="001670FE">
            <w:rPr>
              <w:color w:val="000000" w:themeColor="text1"/>
            </w:rPr>
            <w:fldChar w:fldCharType="separate"/>
          </w:r>
          <w:r w:rsidR="00E02958" w:rsidRPr="001670FE">
            <w:rPr>
              <w:noProof/>
              <w:color w:val="000000" w:themeColor="text1"/>
            </w:rPr>
            <w:t>(Dunn &amp; Galloway, 2011)</w:t>
          </w:r>
          <w:r w:rsidR="00E02958" w:rsidRPr="001670FE">
            <w:rPr>
              <w:color w:val="000000" w:themeColor="text1"/>
            </w:rPr>
            <w:fldChar w:fldCharType="end"/>
          </w:r>
        </w:sdtContent>
      </w:sdt>
      <w:r w:rsidRPr="001670FE">
        <w:rPr>
          <w:color w:val="000000" w:themeColor="text1"/>
        </w:rPr>
        <w:t>. One of the most important commandments for Christians is to “do to others as you would have them do to you” (Bible, Luke 6:31). Christians and Muslims are expected to treat their employees fairly, knowing that God is watching</w:t>
      </w:r>
      <w:r w:rsidR="00702DFE" w:rsidRPr="001670FE">
        <w:rPr>
          <w:color w:val="000000" w:themeColor="text1"/>
        </w:rPr>
        <w:t xml:space="preserve"> all the time</w:t>
      </w:r>
      <w:r w:rsidRPr="001670FE">
        <w:rPr>
          <w:color w:val="000000" w:themeColor="text1"/>
        </w:rPr>
        <w:t xml:space="preserve"> (Al-</w:t>
      </w:r>
      <w:proofErr w:type="spellStart"/>
      <w:r w:rsidRPr="001670FE">
        <w:rPr>
          <w:color w:val="000000" w:themeColor="text1"/>
        </w:rPr>
        <w:t>Qazwini</w:t>
      </w:r>
      <w:proofErr w:type="spellEnd"/>
      <w:r w:rsidRPr="001670FE">
        <w:rPr>
          <w:color w:val="000000" w:themeColor="text1"/>
        </w:rPr>
        <w:t xml:space="preserve"> 1999; Bible, Colossians 4:1).</w:t>
      </w:r>
      <w:r w:rsidR="00702DFE" w:rsidRPr="001670FE">
        <w:rPr>
          <w:color w:val="000000" w:themeColor="text1"/>
        </w:rPr>
        <w:t xml:space="preserve"> However, apart from this good example, Religion should be left at home when being at work. </w:t>
      </w:r>
      <w:r w:rsidR="0004323D" w:rsidRPr="001670FE">
        <w:rPr>
          <w:color w:val="000000" w:themeColor="text1"/>
        </w:rPr>
        <w:t xml:space="preserve">In a multicultural city, like Birmingham </w:t>
      </w:r>
      <w:r w:rsidR="000F4954" w:rsidRPr="001670FE">
        <w:rPr>
          <w:color w:val="000000" w:themeColor="text1"/>
        </w:rPr>
        <w:t>with every individual believing their religion is the absolute truth it shouldn’t be discussed at work</w:t>
      </w:r>
      <w:r w:rsidR="00605935" w:rsidRPr="001670FE">
        <w:rPr>
          <w:color w:val="000000" w:themeColor="text1"/>
        </w:rPr>
        <w:t xml:space="preserve"> as it may bring negative effects</w:t>
      </w:r>
      <w:r w:rsidR="000F4954" w:rsidRPr="001670FE">
        <w:rPr>
          <w:color w:val="000000" w:themeColor="text1"/>
        </w:rPr>
        <w:t xml:space="preserve">. </w:t>
      </w:r>
    </w:p>
    <w:p w14:paraId="0D7257A6" w14:textId="3AA4A95D" w:rsidR="00E47EF0" w:rsidRPr="001670FE" w:rsidRDefault="00E47EF0" w:rsidP="00706999">
      <w:pPr>
        <w:spacing w:line="360" w:lineRule="auto"/>
        <w:jc w:val="both"/>
      </w:pPr>
    </w:p>
    <w:p w14:paraId="41DEFF26" w14:textId="39C55F2A" w:rsidR="00E47EF0" w:rsidRPr="001670FE" w:rsidRDefault="00E47EF0" w:rsidP="00706999">
      <w:pPr>
        <w:spacing w:line="360" w:lineRule="auto"/>
        <w:jc w:val="both"/>
      </w:pPr>
    </w:p>
    <w:p w14:paraId="3A3F140B" w14:textId="30582E00" w:rsidR="00D07927" w:rsidRPr="001670FE" w:rsidRDefault="003604DA" w:rsidP="001670FE">
      <w:pPr>
        <w:pStyle w:val="Heading3"/>
        <w:rPr>
          <w:rFonts w:ascii="Arial" w:hAnsi="Arial" w:cs="Arial"/>
        </w:rPr>
      </w:pPr>
      <w:bookmarkStart w:id="3" w:name="_Toc77876487"/>
      <w:r w:rsidRPr="001670FE">
        <w:rPr>
          <w:rFonts w:ascii="Arial" w:hAnsi="Arial" w:cs="Arial"/>
        </w:rPr>
        <w:t xml:space="preserve">2.2 </w:t>
      </w:r>
      <w:r w:rsidR="00D07927" w:rsidRPr="001670FE">
        <w:rPr>
          <w:rFonts w:ascii="Arial" w:hAnsi="Arial" w:cs="Arial"/>
        </w:rPr>
        <w:t>Cultural beliefs</w:t>
      </w:r>
      <w:bookmarkEnd w:id="3"/>
    </w:p>
    <w:p w14:paraId="63E09849" w14:textId="008BCCFB" w:rsidR="00D07927" w:rsidRPr="001670FE" w:rsidRDefault="000F783A" w:rsidP="00706999">
      <w:pPr>
        <w:spacing w:line="360" w:lineRule="auto"/>
        <w:jc w:val="both"/>
      </w:pPr>
      <w:r w:rsidRPr="001670FE">
        <w:t>Differences in perspective and other circumstances may prevent the creation of harmony when a group of culturally diverse employees is brought together to cooperate toward a similar objective via collective effort and collaboration. Deep-level resemblance has a positive influence on team cohesion, whereas deep-level discrepancy has a negative impact, according to</w:t>
      </w:r>
      <w:sdt>
        <w:sdtPr>
          <w:id w:val="-1325653896"/>
          <w:citation/>
        </w:sdtPr>
        <w:sdtEndPr/>
        <w:sdtContent>
          <w:r w:rsidRPr="001670FE">
            <w:fldChar w:fldCharType="begin"/>
          </w:r>
          <w:r w:rsidRPr="001670FE">
            <w:instrText xml:space="preserve"> CITATION Har98 \l 2057 </w:instrText>
          </w:r>
          <w:r w:rsidRPr="001670FE">
            <w:fldChar w:fldCharType="separate"/>
          </w:r>
          <w:r w:rsidRPr="001670FE">
            <w:rPr>
              <w:noProof/>
            </w:rPr>
            <w:t xml:space="preserve"> (Harrison, et al., 1998)</w:t>
          </w:r>
          <w:r w:rsidRPr="001670FE">
            <w:fldChar w:fldCharType="end"/>
          </w:r>
        </w:sdtContent>
      </w:sdt>
      <w:r w:rsidRPr="001670FE">
        <w:t xml:space="preserve">. Employees may argue with one another for reasons that are unconnected to their work. For example, a South African and an Indian employee may argue on a cricket match in which India lost to South Africa. An employee from Japan and an employee from the United States could have a disagreement regarding the Battle of Pearl </w:t>
      </w:r>
      <w:proofErr w:type="spellStart"/>
      <w:r w:rsidRPr="001670FE">
        <w:t>Harbor</w:t>
      </w:r>
      <w:proofErr w:type="spellEnd"/>
      <w:r w:rsidRPr="001670FE">
        <w:t xml:space="preserve">. The motives can range from major to insignificant. Interpersonal conflict, regardless of its source, leads to a drop in productivity and the spread of negative sentiments among co-workers, both of which can be negative to the organization. Similarly, workplace diversity aids an organization's shift from a physical location to an online platform. Diversity aids in the introduction of a new product, the formulation of a marketing plan, the development of a new idea, the design of a new operation, and the evaluation of new trends </w:t>
      </w:r>
      <w:sdt>
        <w:sdtPr>
          <w:id w:val="-229226870"/>
          <w:citation/>
        </w:sdtPr>
        <w:sdtEndPr/>
        <w:sdtContent>
          <w:r w:rsidRPr="001670FE">
            <w:fldChar w:fldCharType="begin"/>
          </w:r>
          <w:r w:rsidRPr="001670FE">
            <w:instrText xml:space="preserve"> CITATION Adl02 \l 2057 </w:instrText>
          </w:r>
          <w:r w:rsidRPr="001670FE">
            <w:fldChar w:fldCharType="separate"/>
          </w:r>
          <w:r w:rsidRPr="001670FE">
            <w:rPr>
              <w:noProof/>
            </w:rPr>
            <w:t>(Adler, 2002)</w:t>
          </w:r>
          <w:r w:rsidRPr="001670FE">
            <w:fldChar w:fldCharType="end"/>
          </w:r>
        </w:sdtContent>
      </w:sdt>
      <w:r w:rsidRPr="001670FE">
        <w:t>.</w:t>
      </w:r>
      <w:r w:rsidR="00CF45AA" w:rsidRPr="001670FE">
        <w:t xml:space="preserve"> </w:t>
      </w:r>
      <w:proofErr w:type="spellStart"/>
      <w:r w:rsidR="00CF45AA" w:rsidRPr="001670FE">
        <w:t>Earley</w:t>
      </w:r>
      <w:proofErr w:type="spellEnd"/>
      <w:r w:rsidR="00CF45AA" w:rsidRPr="001670FE">
        <w:t xml:space="preserve"> (1993) examined the influence of individualistic/collectivist cultural attitudes on job performance in 163 managers from China, Israel, and the United States. Individualists' (Americans') performance was lower when they worked in a team than when they worked alone, but collectivists' (Chinese and Israelis') performance was worse when they worked alone than when they worked in a team.</w:t>
      </w:r>
    </w:p>
    <w:p w14:paraId="7F6E173F" w14:textId="77777777" w:rsidR="00D07927" w:rsidRPr="001670FE" w:rsidRDefault="00D07927" w:rsidP="00706999">
      <w:pPr>
        <w:spacing w:line="360" w:lineRule="auto"/>
        <w:jc w:val="both"/>
      </w:pPr>
    </w:p>
    <w:p w14:paraId="22EF2B93" w14:textId="09B48C7F" w:rsidR="00E47EF0" w:rsidRPr="001670FE" w:rsidRDefault="003604DA" w:rsidP="001670FE">
      <w:pPr>
        <w:pStyle w:val="Heading4"/>
        <w:rPr>
          <w:rFonts w:ascii="Arial" w:hAnsi="Arial" w:cs="Arial"/>
          <w:sz w:val="28"/>
          <w:szCs w:val="28"/>
        </w:rPr>
      </w:pPr>
      <w:bookmarkStart w:id="4" w:name="_Toc77876488"/>
      <w:r w:rsidRPr="001670FE">
        <w:rPr>
          <w:rFonts w:ascii="Arial" w:hAnsi="Arial" w:cs="Arial"/>
          <w:sz w:val="28"/>
          <w:szCs w:val="28"/>
        </w:rPr>
        <w:lastRenderedPageBreak/>
        <w:t xml:space="preserve">2.3 </w:t>
      </w:r>
      <w:r w:rsidR="00E47EF0" w:rsidRPr="001670FE">
        <w:rPr>
          <w:rFonts w:ascii="Arial" w:hAnsi="Arial" w:cs="Arial"/>
          <w:sz w:val="28"/>
          <w:szCs w:val="28"/>
        </w:rPr>
        <w:t>Educational beliefs</w:t>
      </w:r>
      <w:bookmarkEnd w:id="4"/>
    </w:p>
    <w:p w14:paraId="4C6766EA" w14:textId="0A20F420" w:rsidR="00E47EF0" w:rsidRPr="001670FE" w:rsidRDefault="00E47EF0" w:rsidP="00706999">
      <w:pPr>
        <w:spacing w:line="360" w:lineRule="auto"/>
        <w:jc w:val="both"/>
      </w:pPr>
      <w:r w:rsidRPr="001670FE">
        <w:t xml:space="preserve">One of the most common beliefs in the Eastern Europe is, “if you don’t have a degree, you would not have a successful career”. Although holding a degree doesn’t guarantee a successful career, it still is very important. </w:t>
      </w:r>
      <w:r w:rsidR="001A18FD" w:rsidRPr="001670FE">
        <w:t>Higher education improves one's chances of finding work (Department for Business, Innovation, and Skills,</w:t>
      </w:r>
      <w:r w:rsidR="000F4954" w:rsidRPr="001670FE">
        <w:t xml:space="preserve"> </w:t>
      </w:r>
      <w:r w:rsidR="001A18FD" w:rsidRPr="001670FE">
        <w:t xml:space="preserve">2015), joining upper social classes </w:t>
      </w:r>
      <w:r w:rsidR="00E02958" w:rsidRPr="001670FE">
        <w:t xml:space="preserve"> </w:t>
      </w:r>
      <w:sdt>
        <w:sdtPr>
          <w:id w:val="118358345"/>
          <w:citation/>
        </w:sdtPr>
        <w:sdtEndPr/>
        <w:sdtContent>
          <w:r w:rsidR="00E02958" w:rsidRPr="001670FE">
            <w:fldChar w:fldCharType="begin"/>
          </w:r>
          <w:r w:rsidR="00E02958" w:rsidRPr="001670FE">
            <w:instrText xml:space="preserve"> CITATION Buk11 \l 2057 </w:instrText>
          </w:r>
          <w:r w:rsidR="00E02958" w:rsidRPr="001670FE">
            <w:fldChar w:fldCharType="separate"/>
          </w:r>
          <w:r w:rsidR="00E02958" w:rsidRPr="001670FE">
            <w:rPr>
              <w:noProof/>
            </w:rPr>
            <w:t>(Bukodi &amp; Goldthorpe, 2011)</w:t>
          </w:r>
          <w:r w:rsidR="00E02958" w:rsidRPr="001670FE">
            <w:fldChar w:fldCharType="end"/>
          </w:r>
        </w:sdtContent>
      </w:sdt>
      <w:r w:rsidR="001A18FD" w:rsidRPr="001670FE">
        <w:t xml:space="preserve">, and earning higher wages </w:t>
      </w:r>
      <w:sdt>
        <w:sdtPr>
          <w:id w:val="1266338802"/>
          <w:citation/>
        </w:sdtPr>
        <w:sdtEndPr/>
        <w:sdtContent>
          <w:r w:rsidR="00E02958" w:rsidRPr="001670FE">
            <w:fldChar w:fldCharType="begin"/>
          </w:r>
          <w:r w:rsidR="00E02958" w:rsidRPr="001670FE">
            <w:instrText xml:space="preserve"> CITATION Blu05 \l 2057 </w:instrText>
          </w:r>
          <w:r w:rsidR="00E02958" w:rsidRPr="001670FE">
            <w:fldChar w:fldCharType="separate"/>
          </w:r>
          <w:r w:rsidR="00E02958" w:rsidRPr="001670FE">
            <w:rPr>
              <w:noProof/>
            </w:rPr>
            <w:t>(Blundell, et al., 2005)</w:t>
          </w:r>
          <w:r w:rsidR="00E02958" w:rsidRPr="001670FE">
            <w:fldChar w:fldCharType="end"/>
          </w:r>
        </w:sdtContent>
      </w:sdt>
      <w:r w:rsidR="001A18FD" w:rsidRPr="001670FE">
        <w:t>.</w:t>
      </w:r>
      <w:r w:rsidR="009D02F2" w:rsidRPr="001670FE">
        <w:t xml:space="preserve"> Higher education is required for thousands of people to succeed in the workplace. Higher education's major goal is to develop students into critical and logical reflecting individuals through improving their learning skills, attitude, and lifelong independence (Harvey, 2000). </w:t>
      </w:r>
      <w:r w:rsidR="00EC6CEA" w:rsidRPr="001670FE">
        <w:t>Higher Education, on the other hand, does not appear to be the major focus of students seeking employment. Furthermore, not everyone realized that a high education is a life preparation (John, et al., 2014) for the working world and that it should be personalised to the needs of the individual. Every institution, in general, prepares students for the workplace with the primary goal of education (</w:t>
      </w:r>
      <w:proofErr w:type="spellStart"/>
      <w:r w:rsidR="00EC6CEA" w:rsidRPr="001670FE">
        <w:t>Warrick</w:t>
      </w:r>
      <w:proofErr w:type="spellEnd"/>
      <w:r w:rsidR="00EC6CEA" w:rsidRPr="001670FE">
        <w:t xml:space="preserve">, et al., 2010). </w:t>
      </w:r>
      <w:r w:rsidR="00785AEB" w:rsidRPr="001670FE">
        <w:t>Institutions and the working world, on the other hand, have very different settings, and universities do not guarantee student employment.</w:t>
      </w:r>
      <w:r w:rsidR="006A0900" w:rsidRPr="001670FE">
        <w:t xml:space="preserve"> In addition to this, the university fees are high and not everyone can afford to attend a university.</w:t>
      </w:r>
      <w:r w:rsidR="009831CE" w:rsidRPr="001670FE">
        <w:t xml:space="preserve"> </w:t>
      </w:r>
      <w:r w:rsidR="00605935" w:rsidRPr="001670FE">
        <w:t>Another aspect</w:t>
      </w:r>
      <w:r w:rsidR="009831CE" w:rsidRPr="001670FE">
        <w:t xml:space="preserve"> is an individual meaning of “success”, for some being a doctor means having a successful career, while for others being a make up artist, a hairdresser or opening his own company means a successful </w:t>
      </w:r>
      <w:r w:rsidR="00605935" w:rsidRPr="001670FE">
        <w:t>career</w:t>
      </w:r>
      <w:r w:rsidR="009831CE" w:rsidRPr="001670FE">
        <w:t xml:space="preserve">. </w:t>
      </w:r>
      <w:proofErr w:type="gramStart"/>
      <w:r w:rsidR="00605935" w:rsidRPr="001670FE">
        <w:t>That being said, this</w:t>
      </w:r>
      <w:proofErr w:type="gramEnd"/>
      <w:r w:rsidR="00605935" w:rsidRPr="001670FE">
        <w:t xml:space="preserve"> belief applies to those who see success in a work position which requires a degree.</w:t>
      </w:r>
    </w:p>
    <w:p w14:paraId="5A0217D8" w14:textId="5FA98270" w:rsidR="00E47EF0" w:rsidRPr="001670FE" w:rsidRDefault="00E47EF0" w:rsidP="00706999">
      <w:pPr>
        <w:spacing w:line="360" w:lineRule="auto"/>
        <w:jc w:val="both"/>
      </w:pPr>
    </w:p>
    <w:p w14:paraId="4831A2A7" w14:textId="5290B9BB" w:rsidR="00D07927" w:rsidRPr="001670FE" w:rsidRDefault="003604DA" w:rsidP="001670FE">
      <w:pPr>
        <w:pStyle w:val="Heading5"/>
        <w:rPr>
          <w:rFonts w:ascii="Arial" w:hAnsi="Arial" w:cs="Arial"/>
          <w:sz w:val="28"/>
          <w:szCs w:val="28"/>
        </w:rPr>
      </w:pPr>
      <w:bookmarkStart w:id="5" w:name="_Toc77876489"/>
      <w:r w:rsidRPr="001670FE">
        <w:rPr>
          <w:rFonts w:ascii="Arial" w:hAnsi="Arial" w:cs="Arial"/>
          <w:sz w:val="28"/>
          <w:szCs w:val="28"/>
        </w:rPr>
        <w:t xml:space="preserve">2.4 </w:t>
      </w:r>
      <w:r w:rsidR="00D07927" w:rsidRPr="001670FE">
        <w:rPr>
          <w:rFonts w:ascii="Arial" w:hAnsi="Arial" w:cs="Arial"/>
          <w:sz w:val="28"/>
          <w:szCs w:val="28"/>
        </w:rPr>
        <w:t>Experience beliefs</w:t>
      </w:r>
      <w:bookmarkEnd w:id="5"/>
    </w:p>
    <w:p w14:paraId="3339C5F9" w14:textId="0C1F4819" w:rsidR="00D07927" w:rsidRPr="001670FE" w:rsidRDefault="00D07927" w:rsidP="00706999">
      <w:pPr>
        <w:spacing w:line="360" w:lineRule="auto"/>
        <w:jc w:val="both"/>
      </w:pPr>
      <w:r w:rsidRPr="001670FE">
        <w:t xml:space="preserve">A very common believe around the work industry is “If you lack </w:t>
      </w:r>
      <w:proofErr w:type="spellStart"/>
      <w:r w:rsidRPr="001670FE">
        <w:t>on</w:t>
      </w:r>
      <w:proofErr w:type="spellEnd"/>
      <w:r w:rsidRPr="001670FE">
        <w:t xml:space="preserve"> experience, you will not be hired in this sector.” Partially it is true, as depending on the job one is applying, in the description it always requires at least 1 year of experience in the sector. According to </w:t>
      </w:r>
      <w:proofErr w:type="spellStart"/>
      <w:r w:rsidRPr="001670FE">
        <w:t>Levit</w:t>
      </w:r>
      <w:proofErr w:type="spellEnd"/>
      <w:r w:rsidR="00FD17FF" w:rsidRPr="001670FE">
        <w:t xml:space="preserve"> </w:t>
      </w:r>
      <w:r w:rsidRPr="001670FE">
        <w:t xml:space="preserve">(2019) the less an employer must train new employees, better for him. Companies require to know an individual performed well in a similar position and </w:t>
      </w:r>
      <w:proofErr w:type="gramStart"/>
      <w:r w:rsidRPr="001670FE">
        <w:t>are able to</w:t>
      </w:r>
      <w:proofErr w:type="gramEnd"/>
      <w:r w:rsidRPr="001670FE">
        <w:t xml:space="preserve"> cope with the duties. However, according to different experts, even if the years requested are not met, the individual can still apply for the position within good reason of course. Goodman</w:t>
      </w:r>
      <w:r w:rsidR="00FD17FF" w:rsidRPr="001670FE">
        <w:t xml:space="preserve"> </w:t>
      </w:r>
      <w:r w:rsidRPr="001670FE">
        <w:t>(2016) advise that if a company require 5 years of experience and the individual only has 2, h</w:t>
      </w:r>
      <w:r w:rsidR="004C2532" w:rsidRPr="001670FE">
        <w:t>e</w:t>
      </w:r>
      <w:r w:rsidRPr="001670FE">
        <w:t xml:space="preserve"> is still a good fit for the position and his CV will be looked at. Another point of view, expressed by </w:t>
      </w:r>
      <w:proofErr w:type="spellStart"/>
      <w:r w:rsidRPr="001670FE">
        <w:t>Salpenter</w:t>
      </w:r>
      <w:proofErr w:type="spellEnd"/>
      <w:r w:rsidRPr="001670FE">
        <w:t xml:space="preserve"> (2012), is that if the candidate </w:t>
      </w:r>
      <w:r w:rsidR="00A948FE" w:rsidRPr="001670FE">
        <w:t>has</w:t>
      </w:r>
      <w:r w:rsidRPr="001670FE">
        <w:t xml:space="preserve"> skills that pleas</w:t>
      </w:r>
      <w:r w:rsidR="004C2532" w:rsidRPr="001670FE">
        <w:t>e</w:t>
      </w:r>
      <w:r w:rsidRPr="001670FE">
        <w:t xml:space="preserve"> the employer, which can be volunteer experience, it is possible that the company will oversee the experience years requested. </w:t>
      </w:r>
      <w:proofErr w:type="spellStart"/>
      <w:r w:rsidRPr="001670FE">
        <w:t>Thottam</w:t>
      </w:r>
      <w:proofErr w:type="spellEnd"/>
      <w:r w:rsidRPr="001670FE">
        <w:t xml:space="preserve"> (2021), states that experience is important but if the individual lacks on it he should take advantage of his transferable skills acquired via different experiences, have a good resume and highlight them. Another way to succeed in an individual’s job dream without experience, is to find an </w:t>
      </w:r>
      <w:r w:rsidRPr="001670FE">
        <w:lastRenderedPageBreak/>
        <w:t xml:space="preserve">internship or apprenticeship. This will not be paid with a normal salary but will help the individual build the experience requested within the sector </w:t>
      </w:r>
      <w:sdt>
        <w:sdtPr>
          <w:id w:val="-2009048289"/>
          <w:citation/>
        </w:sdtPr>
        <w:sdtEndPr/>
        <w:sdtContent>
          <w:r w:rsidRPr="001670FE">
            <w:fldChar w:fldCharType="begin"/>
          </w:r>
          <w:r w:rsidRPr="001670FE">
            <w:instrText xml:space="preserve"> CITATION Sch19 \l 2057 </w:instrText>
          </w:r>
          <w:r w:rsidRPr="001670FE">
            <w:fldChar w:fldCharType="separate"/>
          </w:r>
          <w:r w:rsidR="00DA1091" w:rsidRPr="001670FE">
            <w:rPr>
              <w:noProof/>
            </w:rPr>
            <w:t>(Schooley, 2019)</w:t>
          </w:r>
          <w:r w:rsidRPr="001670FE">
            <w:fldChar w:fldCharType="end"/>
          </w:r>
        </w:sdtContent>
      </w:sdt>
      <w:r w:rsidRPr="001670FE">
        <w:t>.</w:t>
      </w:r>
    </w:p>
    <w:p w14:paraId="04FDF3C2" w14:textId="3D7ECAE4" w:rsidR="00D07927" w:rsidRPr="001670FE" w:rsidRDefault="00D07927" w:rsidP="00706999">
      <w:pPr>
        <w:spacing w:line="360" w:lineRule="auto"/>
        <w:jc w:val="both"/>
      </w:pPr>
    </w:p>
    <w:p w14:paraId="443A622C" w14:textId="2F258F1E" w:rsidR="00D07927" w:rsidRPr="001670FE" w:rsidRDefault="003604DA" w:rsidP="001670FE">
      <w:pPr>
        <w:pStyle w:val="Heading6"/>
        <w:rPr>
          <w:rFonts w:ascii="Arial" w:hAnsi="Arial" w:cs="Arial"/>
          <w:sz w:val="28"/>
          <w:szCs w:val="28"/>
        </w:rPr>
      </w:pPr>
      <w:bookmarkStart w:id="6" w:name="_Toc77876490"/>
      <w:r w:rsidRPr="001670FE">
        <w:rPr>
          <w:rFonts w:ascii="Arial" w:hAnsi="Arial" w:cs="Arial"/>
          <w:sz w:val="28"/>
          <w:szCs w:val="28"/>
        </w:rPr>
        <w:t xml:space="preserve">2.5 </w:t>
      </w:r>
      <w:r w:rsidR="00D07927" w:rsidRPr="001670FE">
        <w:rPr>
          <w:rFonts w:ascii="Arial" w:hAnsi="Arial" w:cs="Arial"/>
          <w:sz w:val="28"/>
          <w:szCs w:val="28"/>
        </w:rPr>
        <w:t>Gender Beliefs</w:t>
      </w:r>
      <w:bookmarkEnd w:id="6"/>
    </w:p>
    <w:p w14:paraId="51EDE6BD" w14:textId="536C4500" w:rsidR="00DC20CD" w:rsidRPr="001670FE" w:rsidRDefault="00D07927" w:rsidP="00706999">
      <w:pPr>
        <w:spacing w:line="360" w:lineRule="auto"/>
        <w:jc w:val="both"/>
      </w:pPr>
      <w:r w:rsidRPr="001670FE">
        <w:t>There are many beliefs about gender, but the most important one, is the differen</w:t>
      </w:r>
      <w:r w:rsidR="006A61CC" w:rsidRPr="001670FE">
        <w:t>t position held by</w:t>
      </w:r>
      <w:r w:rsidRPr="001670FE">
        <w:t xml:space="preserve"> women and men. This goes back centuries ago and affects the entire population, when it was believed that women should cook, take care of the children and clean the house, while men </w:t>
      </w:r>
      <w:r w:rsidR="00954727" w:rsidRPr="001670FE">
        <w:t>should provide food, do home repairs and jobs women were not strong enough to do.</w:t>
      </w:r>
      <w:r w:rsidR="00B93D02" w:rsidRPr="001670FE">
        <w:t xml:space="preserve"> </w:t>
      </w:r>
      <w:r w:rsidR="0095032F" w:rsidRPr="001670FE">
        <w:t xml:space="preserve">In general, modern stereotypes portray women as more communal, while men are more </w:t>
      </w:r>
      <w:r w:rsidR="00DE628A" w:rsidRPr="001670FE">
        <w:t>independent</w:t>
      </w:r>
      <w:r w:rsidR="0095032F" w:rsidRPr="001670FE">
        <w:t xml:space="preserve"> and instrumental </w:t>
      </w:r>
      <w:sdt>
        <w:sdtPr>
          <w:id w:val="285554813"/>
          <w:citation/>
        </w:sdtPr>
        <w:sdtEndPr/>
        <w:sdtContent>
          <w:r w:rsidR="00E02958" w:rsidRPr="001670FE">
            <w:fldChar w:fldCharType="begin"/>
          </w:r>
          <w:r w:rsidR="00E02958" w:rsidRPr="001670FE">
            <w:instrText xml:space="preserve"> CITATION Eag00 \l 2057 </w:instrText>
          </w:r>
          <w:r w:rsidR="00E02958" w:rsidRPr="001670FE">
            <w:fldChar w:fldCharType="separate"/>
          </w:r>
          <w:r w:rsidR="00E02958" w:rsidRPr="001670FE">
            <w:rPr>
              <w:noProof/>
            </w:rPr>
            <w:t>(Eagly &amp; Diekman, 2000)</w:t>
          </w:r>
          <w:r w:rsidR="00E02958" w:rsidRPr="001670FE">
            <w:fldChar w:fldCharType="end"/>
          </w:r>
        </w:sdtContent>
      </w:sdt>
      <w:r w:rsidR="0095032F" w:rsidRPr="001670FE">
        <w:t>. Gender beliefs have a hierarchical component of status inequality</w:t>
      </w:r>
      <w:r w:rsidR="00DE628A" w:rsidRPr="001670FE">
        <w:t xml:space="preserve">. </w:t>
      </w:r>
      <w:r w:rsidR="0095032F" w:rsidRPr="001670FE">
        <w:t>Men are perceived to be more status worthy and competent in general, as well as more competent in the areas that “count the most</w:t>
      </w:r>
      <w:r w:rsidR="00DE628A" w:rsidRPr="001670FE">
        <w:t xml:space="preserve">”. </w:t>
      </w:r>
      <w:r w:rsidR="0095032F" w:rsidRPr="001670FE">
        <w:t xml:space="preserve">Women are perceived to be less competent in general, but “nicer” and better at communal </w:t>
      </w:r>
      <w:r w:rsidR="00B92B00" w:rsidRPr="001670FE">
        <w:t>tasks</w:t>
      </w:r>
      <w:r w:rsidR="0095032F" w:rsidRPr="001670FE">
        <w:t xml:space="preserve">, </w:t>
      </w:r>
      <w:r w:rsidR="00DB6D51" w:rsidRPr="001670FE">
        <w:t>even though</w:t>
      </w:r>
      <w:r w:rsidR="0095032F" w:rsidRPr="001670FE">
        <w:t xml:space="preserve"> these tasks themselves are less valued </w:t>
      </w:r>
      <w:sdt>
        <w:sdtPr>
          <w:id w:val="-1912381887"/>
          <w:citation/>
        </w:sdtPr>
        <w:sdtEndPr/>
        <w:sdtContent>
          <w:r w:rsidR="00E02958" w:rsidRPr="001670FE">
            <w:fldChar w:fldCharType="begin"/>
          </w:r>
          <w:r w:rsidR="00E02958" w:rsidRPr="001670FE">
            <w:instrText xml:space="preserve"> CITATION Fis02 \l 2057 </w:instrText>
          </w:r>
          <w:r w:rsidR="00E02958" w:rsidRPr="001670FE">
            <w:fldChar w:fldCharType="separate"/>
          </w:r>
          <w:r w:rsidR="00E02958" w:rsidRPr="001670FE">
            <w:rPr>
              <w:noProof/>
            </w:rPr>
            <w:t>(Fiske, et al., 2002)</w:t>
          </w:r>
          <w:r w:rsidR="00E02958" w:rsidRPr="001670FE">
            <w:fldChar w:fldCharType="end"/>
          </w:r>
        </w:sdtContent>
      </w:sdt>
      <w:r w:rsidR="0095032F" w:rsidRPr="001670FE">
        <w:t>.</w:t>
      </w:r>
      <w:r w:rsidR="00C3308C" w:rsidRPr="001670FE">
        <w:t xml:space="preserve"> Although inequality continues, women's status in the public eye has improved significantly in recent </w:t>
      </w:r>
      <w:r w:rsidR="00DB6D51" w:rsidRPr="001670FE">
        <w:t>years</w:t>
      </w:r>
      <w:r w:rsidR="00C3308C" w:rsidRPr="001670FE">
        <w:t>,</w:t>
      </w:r>
      <w:r w:rsidR="00DB6D51" w:rsidRPr="001670FE">
        <w:t xml:space="preserve"> there has been an improvement in </w:t>
      </w:r>
      <w:r w:rsidR="00C3308C" w:rsidRPr="001670FE">
        <w:t xml:space="preserve">the salary gap between men and women and women </w:t>
      </w:r>
      <w:r w:rsidR="00DB6D51" w:rsidRPr="001670FE">
        <w:t>became more achievable</w:t>
      </w:r>
      <w:r w:rsidR="00C3308C" w:rsidRPr="001670FE">
        <w:t xml:space="preserve"> </w:t>
      </w:r>
      <w:r w:rsidR="00AE15F5" w:rsidRPr="001670FE">
        <w:t xml:space="preserve">reaching </w:t>
      </w:r>
      <w:r w:rsidR="00C3308C" w:rsidRPr="001670FE">
        <w:t>high-status jobs</w:t>
      </w:r>
      <w:r w:rsidR="00E02958" w:rsidRPr="001670FE">
        <w:t xml:space="preserve"> </w:t>
      </w:r>
      <w:sdt>
        <w:sdtPr>
          <w:id w:val="843053342"/>
          <w:citation/>
        </w:sdtPr>
        <w:sdtEndPr/>
        <w:sdtContent>
          <w:r w:rsidR="00E02958" w:rsidRPr="001670FE">
            <w:fldChar w:fldCharType="begin"/>
          </w:r>
          <w:r w:rsidR="00E02958" w:rsidRPr="001670FE">
            <w:instrText xml:space="preserve"> CITATION Pad02 \l 2057 </w:instrText>
          </w:r>
          <w:r w:rsidR="00E02958" w:rsidRPr="001670FE">
            <w:fldChar w:fldCharType="separate"/>
          </w:r>
          <w:r w:rsidR="00E02958" w:rsidRPr="001670FE">
            <w:rPr>
              <w:noProof/>
            </w:rPr>
            <w:t>(Padovic &amp; Reskin, 2002)</w:t>
          </w:r>
          <w:r w:rsidR="00E02958" w:rsidRPr="001670FE">
            <w:fldChar w:fldCharType="end"/>
          </w:r>
        </w:sdtContent>
      </w:sdt>
      <w:r w:rsidR="00C3308C" w:rsidRPr="001670FE">
        <w:t xml:space="preserve">. As a result of these </w:t>
      </w:r>
      <w:r w:rsidR="00DB6D51" w:rsidRPr="001670FE">
        <w:t>progresses</w:t>
      </w:r>
      <w:r w:rsidR="00C3308C" w:rsidRPr="001670FE">
        <w:t>, some believe that gender inequality in the employment and education</w:t>
      </w:r>
      <w:r w:rsidR="00B92B00" w:rsidRPr="001670FE">
        <w:t xml:space="preserve"> sectors</w:t>
      </w:r>
      <w:r w:rsidR="00C3308C" w:rsidRPr="001670FE">
        <w:t xml:space="preserve"> is mostly “over” or at the very least on a declining </w:t>
      </w:r>
      <w:r w:rsidR="00DB6D51" w:rsidRPr="001670FE">
        <w:t>point</w:t>
      </w:r>
      <w:r w:rsidR="00E02958" w:rsidRPr="001670FE">
        <w:t xml:space="preserve"> </w:t>
      </w:r>
      <w:sdt>
        <w:sdtPr>
          <w:id w:val="-2059389853"/>
          <w:citation/>
        </w:sdtPr>
        <w:sdtEndPr/>
        <w:sdtContent>
          <w:r w:rsidR="00E02958" w:rsidRPr="001670FE">
            <w:fldChar w:fldCharType="begin"/>
          </w:r>
          <w:r w:rsidR="00E02958" w:rsidRPr="001670FE">
            <w:instrText xml:space="preserve"> CITATION Pet00 \l 2057 </w:instrText>
          </w:r>
          <w:r w:rsidR="00E02958" w:rsidRPr="001670FE">
            <w:fldChar w:fldCharType="separate"/>
          </w:r>
          <w:r w:rsidR="00E02958" w:rsidRPr="001670FE">
            <w:rPr>
              <w:noProof/>
            </w:rPr>
            <w:t>(Petersen, et al., 2000)</w:t>
          </w:r>
          <w:r w:rsidR="00E02958" w:rsidRPr="001670FE">
            <w:fldChar w:fldCharType="end"/>
          </w:r>
        </w:sdtContent>
      </w:sdt>
      <w:r w:rsidR="00C3308C" w:rsidRPr="001670FE">
        <w:t>.</w:t>
      </w:r>
      <w:r w:rsidR="00B53560" w:rsidRPr="001670FE">
        <w:t xml:space="preserve"> </w:t>
      </w:r>
    </w:p>
    <w:p w14:paraId="0AB2BC3E" w14:textId="18043C4E" w:rsidR="00D07927" w:rsidRPr="001670FE" w:rsidRDefault="00B92B00" w:rsidP="00706999">
      <w:pPr>
        <w:spacing w:line="360" w:lineRule="auto"/>
        <w:jc w:val="both"/>
      </w:pPr>
      <w:r w:rsidRPr="001670FE">
        <w:t>H</w:t>
      </w:r>
      <w:r w:rsidR="00AE15F5" w:rsidRPr="001670FE">
        <w:t>owever</w:t>
      </w:r>
      <w:r w:rsidRPr="001670FE">
        <w:t>, a study was conducted in 2016 to test whether employers avoided hiring women and were more wi</w:t>
      </w:r>
      <w:r w:rsidR="004C2532" w:rsidRPr="001670FE">
        <w:t>l</w:t>
      </w:r>
      <w:r w:rsidRPr="001670FE">
        <w:t>ling to hire men.</w:t>
      </w:r>
      <w:r w:rsidR="00DC20CD" w:rsidRPr="001670FE">
        <w:t xml:space="preserve"> To asses this fact, false CVs were made for both men and women with similar education, work experience and with the parenthood status. Several sets of </w:t>
      </w:r>
      <w:proofErr w:type="gramStart"/>
      <w:r w:rsidR="00DC20CD" w:rsidRPr="001670FE">
        <w:t>CVS</w:t>
      </w:r>
      <w:proofErr w:type="gramEnd"/>
      <w:r w:rsidR="00DC20CD" w:rsidRPr="001670FE">
        <w:t xml:space="preserve"> have been sent to employers ranging from minimum</w:t>
      </w:r>
      <w:r w:rsidR="00262A23" w:rsidRPr="001670FE">
        <w:t xml:space="preserve"> to extra</w:t>
      </w:r>
      <w:r w:rsidR="00DC20CD" w:rsidRPr="001670FE">
        <w:t xml:space="preserve"> requirements </w:t>
      </w:r>
      <w:r w:rsidR="00262A23" w:rsidRPr="001670FE">
        <w:t xml:space="preserve">for each position. The results indicated that employers avoided hiring women for two main factors. The first being the belief that women’s productivity was lower, and the second factor was based on the parenthood situation. A mother is less likely to be hired than a father with the same skills and experience thanks to the inequality between genders and the fact that mothers are associated more with placing the family first, while men are associated more with work and independence </w:t>
      </w:r>
      <w:sdt>
        <w:sdtPr>
          <w:id w:val="-1942601665"/>
          <w:citation/>
        </w:sdtPr>
        <w:sdtEndPr/>
        <w:sdtContent>
          <w:r w:rsidR="00437005" w:rsidRPr="001670FE">
            <w:fldChar w:fldCharType="begin"/>
          </w:r>
          <w:r w:rsidR="00437005" w:rsidRPr="001670FE">
            <w:instrText xml:space="preserve"> CITATION Gon19 \l 2057 </w:instrText>
          </w:r>
          <w:r w:rsidR="00437005" w:rsidRPr="001670FE">
            <w:fldChar w:fldCharType="separate"/>
          </w:r>
          <w:r w:rsidR="00437005" w:rsidRPr="001670FE">
            <w:rPr>
              <w:noProof/>
            </w:rPr>
            <w:t>(Gonzalez, et al., 2019)</w:t>
          </w:r>
          <w:r w:rsidR="00437005" w:rsidRPr="001670FE">
            <w:fldChar w:fldCharType="end"/>
          </w:r>
        </w:sdtContent>
      </w:sdt>
      <w:r w:rsidR="00437005" w:rsidRPr="001670FE">
        <w:t>.</w:t>
      </w:r>
      <w:r w:rsidR="00262A23" w:rsidRPr="001670FE">
        <w:t xml:space="preserve"> </w:t>
      </w:r>
    </w:p>
    <w:p w14:paraId="4FA88F08" w14:textId="1083F4F5" w:rsidR="009E2838" w:rsidRPr="001670FE" w:rsidRDefault="009E2838" w:rsidP="00706999">
      <w:pPr>
        <w:spacing w:line="360" w:lineRule="auto"/>
        <w:jc w:val="both"/>
      </w:pPr>
    </w:p>
    <w:p w14:paraId="6C100852" w14:textId="29E14C2A" w:rsidR="009E2838" w:rsidRPr="001670FE" w:rsidRDefault="003604DA" w:rsidP="00706999">
      <w:pPr>
        <w:pStyle w:val="Heading1"/>
        <w:spacing w:line="360" w:lineRule="auto"/>
        <w:jc w:val="both"/>
        <w:rPr>
          <w:rFonts w:ascii="Arial" w:hAnsi="Arial" w:cs="Arial"/>
        </w:rPr>
      </w:pPr>
      <w:bookmarkStart w:id="7" w:name="_Toc77876491"/>
      <w:r w:rsidRPr="001670FE">
        <w:rPr>
          <w:rFonts w:ascii="Arial" w:hAnsi="Arial" w:cs="Arial"/>
        </w:rPr>
        <w:t xml:space="preserve">3 </w:t>
      </w:r>
      <w:r w:rsidR="009E2838" w:rsidRPr="001670FE">
        <w:rPr>
          <w:rFonts w:ascii="Arial" w:hAnsi="Arial" w:cs="Arial"/>
        </w:rPr>
        <w:t>Recommendations</w:t>
      </w:r>
      <w:bookmarkEnd w:id="7"/>
    </w:p>
    <w:p w14:paraId="315926AF" w14:textId="6507D34D" w:rsidR="009E2838" w:rsidRDefault="009E2838" w:rsidP="00706999">
      <w:pPr>
        <w:spacing w:line="360" w:lineRule="auto"/>
        <w:jc w:val="both"/>
      </w:pPr>
      <w:r w:rsidRPr="001670FE">
        <w:t xml:space="preserve">One of the most important aspects of beliefs is being aware </w:t>
      </w:r>
      <w:proofErr w:type="gramStart"/>
      <w:r w:rsidRPr="001670FE">
        <w:t>each individual</w:t>
      </w:r>
      <w:proofErr w:type="gramEnd"/>
      <w:r w:rsidRPr="001670FE">
        <w:t xml:space="preserve"> has different beliefs and accept them. By accepting another individual </w:t>
      </w:r>
      <w:proofErr w:type="gramStart"/>
      <w:r w:rsidRPr="001670FE">
        <w:t>beliefs</w:t>
      </w:r>
      <w:proofErr w:type="gramEnd"/>
      <w:r w:rsidRPr="001670FE">
        <w:t xml:space="preserve"> doesn’t mean </w:t>
      </w:r>
      <w:r w:rsidR="007E61DC" w:rsidRPr="001670FE">
        <w:t xml:space="preserve">the other person belief is true, but this will easily make an work environment peaceful. Along the years, </w:t>
      </w:r>
      <w:r w:rsidR="007E61DC" w:rsidRPr="001670FE">
        <w:lastRenderedPageBreak/>
        <w:t>several discriminatory laws and training have been put in place regarding gender</w:t>
      </w:r>
      <w:r w:rsidR="007E61DC">
        <w:t xml:space="preserve"> inequality, Religion beliefs and Cultural beliefs. </w:t>
      </w:r>
      <w:r w:rsidR="007906CD">
        <w:t>Sometimes</w:t>
      </w:r>
      <w:r w:rsidR="00717B1A">
        <w:t xml:space="preserve"> those laws are ineffective because some individuals are still not open minded. For fighting this situation psychological training is recommended at the workplace. Individuals should</w:t>
      </w:r>
      <w:r w:rsidR="007906CD">
        <w:t xml:space="preserve"> then</w:t>
      </w:r>
      <w:r w:rsidR="00717B1A">
        <w:t xml:space="preserve"> become able to oversee </w:t>
      </w:r>
      <w:r w:rsidR="007906CD">
        <w:t>the labels and easily accepting and including the diversity.</w:t>
      </w:r>
    </w:p>
    <w:p w14:paraId="78422AA7" w14:textId="3F8F3688" w:rsidR="007906CD" w:rsidRDefault="007906CD" w:rsidP="00706999">
      <w:pPr>
        <w:spacing w:line="360" w:lineRule="auto"/>
        <w:jc w:val="both"/>
      </w:pPr>
      <w:r>
        <w:t xml:space="preserve">Regarding the experience and education beliefs, is more complicated because those are beliefs that form in individual’s way of thinking and the self-esteem. For those beliefs to be overcome, an individual should learn to think critically and analyse if those beliefs are </w:t>
      </w:r>
      <w:proofErr w:type="gramStart"/>
      <w:r>
        <w:t>really important</w:t>
      </w:r>
      <w:proofErr w:type="gramEnd"/>
      <w:r>
        <w:t xml:space="preserve"> for him. For helping individuals surpass those beliefs critical thinking training at work is a good recommendation.</w:t>
      </w:r>
    </w:p>
    <w:p w14:paraId="742BD08D" w14:textId="4FECA68F" w:rsidR="007906CD" w:rsidRDefault="007906CD" w:rsidP="00706999">
      <w:pPr>
        <w:spacing w:line="360" w:lineRule="auto"/>
        <w:jc w:val="both"/>
      </w:pPr>
    </w:p>
    <w:p w14:paraId="44BEA72C" w14:textId="6D25887C" w:rsidR="007906CD" w:rsidRDefault="003604DA" w:rsidP="00706999">
      <w:pPr>
        <w:pStyle w:val="Heading1"/>
        <w:spacing w:line="360" w:lineRule="auto"/>
        <w:jc w:val="both"/>
        <w:rPr>
          <w:rFonts w:ascii="Arial" w:hAnsi="Arial" w:cs="Arial"/>
        </w:rPr>
      </w:pPr>
      <w:bookmarkStart w:id="8" w:name="_Toc77876492"/>
      <w:r>
        <w:rPr>
          <w:rFonts w:ascii="Arial" w:hAnsi="Arial" w:cs="Arial"/>
        </w:rPr>
        <w:t xml:space="preserve">4 </w:t>
      </w:r>
      <w:r w:rsidR="007906CD" w:rsidRPr="007906CD">
        <w:rPr>
          <w:rFonts w:ascii="Arial" w:hAnsi="Arial" w:cs="Arial"/>
        </w:rPr>
        <w:t>Conclusion</w:t>
      </w:r>
      <w:bookmarkEnd w:id="8"/>
    </w:p>
    <w:p w14:paraId="29C4993F" w14:textId="5691C746" w:rsidR="007906CD" w:rsidRDefault="007906CD" w:rsidP="00706999">
      <w:pPr>
        <w:spacing w:line="360" w:lineRule="auto"/>
        <w:jc w:val="both"/>
      </w:pPr>
      <w:r>
        <w:t xml:space="preserve">In conclusion, </w:t>
      </w:r>
      <w:r w:rsidR="00A948FE">
        <w:t xml:space="preserve">beliefs </w:t>
      </w:r>
      <w:r w:rsidR="000964B5">
        <w:t>are</w:t>
      </w:r>
      <w:r w:rsidR="00A948FE">
        <w:t xml:space="preserve"> part of the human being and </w:t>
      </w:r>
      <w:r w:rsidR="000964B5">
        <w:t>everyone</w:t>
      </w:r>
      <w:r w:rsidR="00A948FE">
        <w:t xml:space="preserve"> should be aware that no one holds the absolute truth and </w:t>
      </w:r>
      <w:proofErr w:type="gramStart"/>
      <w:r w:rsidR="00A948FE">
        <w:t>each individual</w:t>
      </w:r>
      <w:proofErr w:type="gramEnd"/>
      <w:r w:rsidR="00A948FE">
        <w:t xml:space="preserve"> has the freedom to choose his own beliefs. As seen in the example, Religion beliefs can positively impact the workplace as each religion promote the empathy. Cultural beliefs may be negative or positive at the workplace, but overall are positive and can help a company grow up and be successful. Educational beliefs depend on one’s meaning of success</w:t>
      </w:r>
      <w:r w:rsidR="000964B5">
        <w:t>, it may be necessary or not</w:t>
      </w:r>
      <w:r w:rsidR="00A948FE">
        <w:t>. Experience belief in most of the cases is a must, but there</w:t>
      </w:r>
      <w:r w:rsidR="000964B5">
        <w:t xml:space="preserve"> is</w:t>
      </w:r>
      <w:r w:rsidR="00A948FE">
        <w:t xml:space="preserve"> always a rule exception. </w:t>
      </w:r>
      <w:r w:rsidR="000964B5">
        <w:t>Gender Beliefs should be on the right track to be over with, however this is very complicated, and it will take a long time to the gender equality.</w:t>
      </w:r>
    </w:p>
    <w:p w14:paraId="3196A3C5" w14:textId="7B158026" w:rsidR="00AA6713" w:rsidRDefault="00AA6713" w:rsidP="00706999">
      <w:pPr>
        <w:spacing w:line="360" w:lineRule="auto"/>
        <w:jc w:val="both"/>
      </w:pPr>
    </w:p>
    <w:bookmarkStart w:id="9" w:name="_Toc77876493" w:displacedByCustomXml="next"/>
    <w:sdt>
      <w:sdtPr>
        <w:rPr>
          <w:rFonts w:ascii="Arial" w:eastAsiaTheme="minorHAnsi" w:hAnsi="Arial" w:cs="Arial"/>
          <w:color w:val="auto"/>
          <w:sz w:val="22"/>
          <w:szCs w:val="22"/>
        </w:rPr>
        <w:id w:val="-225606768"/>
        <w:docPartObj>
          <w:docPartGallery w:val="Bibliographies"/>
          <w:docPartUnique/>
        </w:docPartObj>
      </w:sdtPr>
      <w:sdtEndPr/>
      <w:sdtContent>
        <w:p w14:paraId="39B99314" w14:textId="21A05B90" w:rsidR="00AA6713" w:rsidRDefault="00AA6713">
          <w:pPr>
            <w:pStyle w:val="Heading1"/>
          </w:pPr>
          <w:r>
            <w:t>References</w:t>
          </w:r>
          <w:bookmarkEnd w:id="9"/>
        </w:p>
        <w:p w14:paraId="396324F2" w14:textId="77777777" w:rsidR="003C0301" w:rsidRPr="003C0301" w:rsidRDefault="003C0301" w:rsidP="003C0301">
          <w:pPr>
            <w:pStyle w:val="NoSpacing"/>
          </w:pPr>
        </w:p>
        <w:sdt>
          <w:sdtPr>
            <w:id w:val="-573587230"/>
            <w:bibliography/>
          </w:sdtPr>
          <w:sdtEndPr/>
          <w:sdtContent>
            <w:p w14:paraId="49488564" w14:textId="77777777" w:rsidR="00DA1091" w:rsidRDefault="00AA6713" w:rsidP="00DA1091">
              <w:pPr>
                <w:pStyle w:val="Bibliography"/>
                <w:rPr>
                  <w:noProof/>
                  <w:sz w:val="24"/>
                  <w:szCs w:val="24"/>
                </w:rPr>
              </w:pPr>
              <w:r>
                <w:fldChar w:fldCharType="begin"/>
              </w:r>
              <w:r>
                <w:instrText xml:space="preserve"> BIBLIOGRAPHY </w:instrText>
              </w:r>
              <w:r>
                <w:fldChar w:fldCharType="separate"/>
              </w:r>
              <w:r w:rsidR="00DA1091">
                <w:rPr>
                  <w:noProof/>
                </w:rPr>
                <w:t xml:space="preserve">Abelson, R. P., 1979. Differences between belief and knowledge systems. </w:t>
              </w:r>
              <w:r w:rsidR="00DA1091">
                <w:rPr>
                  <w:i/>
                  <w:iCs/>
                  <w:noProof/>
                </w:rPr>
                <w:t xml:space="preserve">Cognitive science, </w:t>
              </w:r>
              <w:r w:rsidR="00DA1091">
                <w:rPr>
                  <w:noProof/>
                </w:rPr>
                <w:t>Volume 3, pp. 355-366.</w:t>
              </w:r>
            </w:p>
            <w:p w14:paraId="7E32284A" w14:textId="77777777" w:rsidR="00DA1091" w:rsidRDefault="00DA1091" w:rsidP="00DA1091">
              <w:pPr>
                <w:pStyle w:val="Bibliography"/>
                <w:rPr>
                  <w:noProof/>
                </w:rPr>
              </w:pPr>
              <w:r>
                <w:rPr>
                  <w:noProof/>
                </w:rPr>
                <w:t xml:space="preserve">Adler, N. J. 4. E. M. U., 2002. International Dimensions of Organizational Behaviour. </w:t>
              </w:r>
              <w:r>
                <w:rPr>
                  <w:i/>
                  <w:iCs/>
                  <w:noProof/>
                </w:rPr>
                <w:t xml:space="preserve">McGill University, South –Western, Thomson Learning, </w:t>
              </w:r>
              <w:r>
                <w:rPr>
                  <w:noProof/>
                </w:rPr>
                <w:t>Issue 4, pp. 105-131.</w:t>
              </w:r>
            </w:p>
            <w:p w14:paraId="65408C5A" w14:textId="77777777" w:rsidR="00DA1091" w:rsidRDefault="00DA1091" w:rsidP="00DA1091">
              <w:pPr>
                <w:pStyle w:val="Bibliography"/>
                <w:rPr>
                  <w:noProof/>
                </w:rPr>
              </w:pPr>
              <w:r>
                <w:rPr>
                  <w:noProof/>
                </w:rPr>
                <w:t xml:space="preserve">Al-Qazwini, M., 1999. </w:t>
              </w:r>
              <w:r>
                <w:rPr>
                  <w:i/>
                  <w:iCs/>
                  <w:noProof/>
                </w:rPr>
                <w:t xml:space="preserve">Invitation to Islam. </w:t>
              </w:r>
              <w:r>
                <w:rPr>
                  <w:noProof/>
                </w:rPr>
                <w:t xml:space="preserve">[Online] </w:t>
              </w:r>
              <w:r>
                <w:rPr>
                  <w:noProof/>
                </w:rPr>
                <w:br/>
                <w:t xml:space="preserve">Available at: </w:t>
              </w:r>
              <w:r>
                <w:rPr>
                  <w:noProof/>
                  <w:u w:val="single"/>
                </w:rPr>
                <w:t>islam. org/invitationto/htm</w:t>
              </w:r>
              <w:r>
                <w:rPr>
                  <w:noProof/>
                </w:rPr>
                <w:br/>
                <w:t>[Accessed 14 July 2021].</w:t>
              </w:r>
            </w:p>
            <w:p w14:paraId="78554111" w14:textId="77777777" w:rsidR="00DA1091" w:rsidRDefault="00DA1091" w:rsidP="00DA1091">
              <w:pPr>
                <w:pStyle w:val="Bibliography"/>
                <w:rPr>
                  <w:noProof/>
                </w:rPr>
              </w:pPr>
              <w:r>
                <w:rPr>
                  <w:noProof/>
                </w:rPr>
                <w:t xml:space="preserve">Anderson, M. &amp; De Silva, S., 2009. Beliefs, Values and Attitudes. </w:t>
              </w:r>
              <w:r>
                <w:rPr>
                  <w:i/>
                  <w:iCs/>
                  <w:noProof/>
                </w:rPr>
                <w:t xml:space="preserve">Cumbria: Me and US Ltd, </w:t>
              </w:r>
              <w:r>
                <w:rPr>
                  <w:noProof/>
                </w:rPr>
                <w:t>Issue 1, p. 1.</w:t>
              </w:r>
            </w:p>
            <w:p w14:paraId="79AE2A59" w14:textId="77777777" w:rsidR="00DA1091" w:rsidRDefault="00DA1091" w:rsidP="00DA1091">
              <w:pPr>
                <w:pStyle w:val="Bibliography"/>
                <w:rPr>
                  <w:noProof/>
                </w:rPr>
              </w:pPr>
              <w:r>
                <w:rPr>
                  <w:noProof/>
                </w:rPr>
                <w:lastRenderedPageBreak/>
                <w:t xml:space="preserve">Blundell, R., Dearden, L. &amp; Sianesi, B., 2005. Evaluating the effect of education on earnings: models, methods and results from the National Child Development Survey.. </w:t>
              </w:r>
              <w:r>
                <w:rPr>
                  <w:i/>
                  <w:iCs/>
                  <w:noProof/>
                </w:rPr>
                <w:t xml:space="preserve">Journal of the Royal Statistical Society: Series A (Statistics in Society), </w:t>
              </w:r>
              <w:r>
                <w:rPr>
                  <w:noProof/>
                </w:rPr>
                <w:t>168(3), pp. 473-512.</w:t>
              </w:r>
            </w:p>
            <w:p w14:paraId="299B9E3B" w14:textId="77777777" w:rsidR="00DA1091" w:rsidRDefault="00DA1091" w:rsidP="00DA1091">
              <w:pPr>
                <w:pStyle w:val="Bibliography"/>
                <w:rPr>
                  <w:noProof/>
                </w:rPr>
              </w:pPr>
              <w:r>
                <w:rPr>
                  <w:noProof/>
                </w:rPr>
                <w:t xml:space="preserve">Bukodi, E. &amp; Goldthorpe, J., 2011. Social class returns to higher education: chances of access to the professional and managerial salariat for men in three British birth cohorts. </w:t>
              </w:r>
              <w:r>
                <w:rPr>
                  <w:i/>
                  <w:iCs/>
                  <w:noProof/>
                </w:rPr>
                <w:t xml:space="preserve">Longitudinal and Life Course Studies, </w:t>
              </w:r>
              <w:r>
                <w:rPr>
                  <w:noProof/>
                </w:rPr>
                <w:t>2(2), pp. 185-201.</w:t>
              </w:r>
            </w:p>
            <w:p w14:paraId="521207B0" w14:textId="77777777" w:rsidR="00DA1091" w:rsidRDefault="00DA1091" w:rsidP="00DA1091">
              <w:pPr>
                <w:pStyle w:val="Bibliography"/>
                <w:rPr>
                  <w:noProof/>
                </w:rPr>
              </w:pPr>
              <w:r>
                <w:rPr>
                  <w:noProof/>
                </w:rPr>
                <w:t xml:space="preserve">Dunn, L. S. &amp; Galloway, R. G., 2011. Islam, Islamic Finance, and Christianity. </w:t>
              </w:r>
              <w:r>
                <w:rPr>
                  <w:i/>
                  <w:iCs/>
                  <w:noProof/>
                </w:rPr>
                <w:t xml:space="preserve">The Journal of Biblical Intergration in Business, </w:t>
              </w:r>
              <w:r>
                <w:rPr>
                  <w:noProof/>
                </w:rPr>
                <w:t>14(1).</w:t>
              </w:r>
            </w:p>
            <w:p w14:paraId="18BDC501" w14:textId="77777777" w:rsidR="00DA1091" w:rsidRDefault="00DA1091" w:rsidP="00DA1091">
              <w:pPr>
                <w:pStyle w:val="Bibliography"/>
                <w:rPr>
                  <w:noProof/>
                </w:rPr>
              </w:pPr>
              <w:r>
                <w:rPr>
                  <w:noProof/>
                </w:rPr>
                <w:t xml:space="preserve">Eagly, A. H. W. &amp; Diekman, A. B., 2000. Social role theory of sex differences and similarities: A current appraisal. </w:t>
              </w:r>
              <w:r>
                <w:rPr>
                  <w:i/>
                  <w:iCs/>
                  <w:noProof/>
                </w:rPr>
                <w:t>The developmental psychology of gender.</w:t>
              </w:r>
            </w:p>
            <w:p w14:paraId="433B7794" w14:textId="77777777" w:rsidR="00DA1091" w:rsidRDefault="00DA1091" w:rsidP="00DA1091">
              <w:pPr>
                <w:pStyle w:val="Bibliography"/>
                <w:rPr>
                  <w:noProof/>
                </w:rPr>
              </w:pPr>
              <w:r>
                <w:rPr>
                  <w:noProof/>
                </w:rPr>
                <w:t xml:space="preserve">Earley, P., 1993. East Meets West Meet Mid-East: Further Explorations of Collectivistic and Individualistic Work Groups. </w:t>
              </w:r>
              <w:r>
                <w:rPr>
                  <w:i/>
                  <w:iCs/>
                  <w:noProof/>
                </w:rPr>
                <w:t xml:space="preserve">Academy of Management Journal , </w:t>
              </w:r>
              <w:r>
                <w:rPr>
                  <w:noProof/>
                </w:rPr>
                <w:t>36(2), pp. 319-348.</w:t>
              </w:r>
            </w:p>
            <w:p w14:paraId="5B6735CA" w14:textId="77777777" w:rsidR="00DA1091" w:rsidRDefault="00DA1091" w:rsidP="00DA1091">
              <w:pPr>
                <w:pStyle w:val="Bibliography"/>
                <w:rPr>
                  <w:noProof/>
                </w:rPr>
              </w:pPr>
              <w:r>
                <w:rPr>
                  <w:noProof/>
                </w:rPr>
                <w:t xml:space="preserve">Fiske, S. T., Amy, J., Cuddy, P. G. &amp; Xu, J., 2002. .Amodel of (often mixed) stereotype content: Competence andwarmth respectively followfrom perceived status and competence.. </w:t>
              </w:r>
              <w:r>
                <w:rPr>
                  <w:i/>
                  <w:iCs/>
                  <w:noProof/>
                </w:rPr>
                <w:t xml:space="preserve">Journal of Personality and Social Psychology, </w:t>
              </w:r>
              <w:r>
                <w:rPr>
                  <w:noProof/>
                </w:rPr>
                <w:t>Volume 82, pp. 878-902.</w:t>
              </w:r>
            </w:p>
            <w:p w14:paraId="21877C19" w14:textId="77777777" w:rsidR="00DA1091" w:rsidRDefault="00DA1091" w:rsidP="00DA1091">
              <w:pPr>
                <w:pStyle w:val="Bibliography"/>
                <w:rPr>
                  <w:noProof/>
                </w:rPr>
              </w:pPr>
              <w:r>
                <w:rPr>
                  <w:noProof/>
                </w:rPr>
                <w:t xml:space="preserve">Gonzalez, M. J., Cortina, C. &amp; Rodrıguez, J., 2019. The Role of Gender Stereotypes in Hiring: A Field Experiment. </w:t>
              </w:r>
              <w:r>
                <w:rPr>
                  <w:i/>
                  <w:iCs/>
                  <w:noProof/>
                </w:rPr>
                <w:t xml:space="preserve">European Sociological Review, </w:t>
              </w:r>
              <w:r>
                <w:rPr>
                  <w:noProof/>
                </w:rPr>
                <w:t>35(2), p. 187–204.</w:t>
              </w:r>
            </w:p>
            <w:p w14:paraId="65B08C45" w14:textId="77777777" w:rsidR="00DA1091" w:rsidRDefault="00DA1091" w:rsidP="00DA1091">
              <w:pPr>
                <w:pStyle w:val="Bibliography"/>
                <w:rPr>
                  <w:noProof/>
                </w:rPr>
              </w:pPr>
              <w:r>
                <w:rPr>
                  <w:noProof/>
                </w:rPr>
                <w:t xml:space="preserve">GOV.UK, 2015. </w:t>
              </w:r>
              <w:r>
                <w:rPr>
                  <w:i/>
                  <w:iCs/>
                  <w:noProof/>
                </w:rPr>
                <w:t xml:space="preserve">Department for Business, Energy and Industrial Strategy (BEIS). </w:t>
              </w:r>
              <w:r>
                <w:rPr>
                  <w:noProof/>
                </w:rPr>
                <w:t xml:space="preserve">[Online] </w:t>
              </w:r>
              <w:r>
                <w:rPr>
                  <w:noProof/>
                </w:rPr>
                <w:br/>
                <w:t xml:space="preserve">Available at: </w:t>
              </w:r>
              <w:r>
                <w:rPr>
                  <w:noProof/>
                  <w:u w:val="single"/>
                </w:rPr>
                <w:t>https://assets.publishing.service.gov.uk/government/uploads/system/uploads/attachment_data/file/444895/BIS-15-421-BIS-Annual-Report-15-HI-RES.pdf</w:t>
              </w:r>
              <w:r>
                <w:rPr>
                  <w:noProof/>
                </w:rPr>
                <w:br/>
                <w:t>[Accessed 16 July 2021].</w:t>
              </w:r>
            </w:p>
            <w:p w14:paraId="41020DF4" w14:textId="77777777" w:rsidR="00DA1091" w:rsidRDefault="00DA1091" w:rsidP="00DA1091">
              <w:pPr>
                <w:pStyle w:val="Bibliography"/>
                <w:rPr>
                  <w:noProof/>
                </w:rPr>
              </w:pPr>
              <w:r>
                <w:rPr>
                  <w:noProof/>
                </w:rPr>
                <w:t xml:space="preserve">Harrison, D., Price, K. &amp; Bell, M., 1998. Beyond Relational Demography: Time and the Effects of Surface and Deep-Level Diversity on Work Group Cohesion.. </w:t>
              </w:r>
              <w:r>
                <w:rPr>
                  <w:i/>
                  <w:iCs/>
                  <w:noProof/>
                </w:rPr>
                <w:t xml:space="preserve">Academy of Management Journal, </w:t>
              </w:r>
              <w:r>
                <w:rPr>
                  <w:noProof/>
                </w:rPr>
                <w:t>41(1), pp. 96-107.</w:t>
              </w:r>
            </w:p>
            <w:p w14:paraId="06DE3025" w14:textId="77777777" w:rsidR="00DA1091" w:rsidRDefault="00DA1091" w:rsidP="00DA1091">
              <w:pPr>
                <w:pStyle w:val="Bibliography"/>
                <w:rPr>
                  <w:noProof/>
                </w:rPr>
              </w:pPr>
              <w:r>
                <w:rPr>
                  <w:noProof/>
                </w:rPr>
                <w:t xml:space="preserve">Harvey, L., 2000. New realities: The relationship between higher education and employment. Tertiary Education and Management. </w:t>
              </w:r>
              <w:r>
                <w:rPr>
                  <w:i/>
                  <w:iCs/>
                  <w:noProof/>
                </w:rPr>
                <w:t xml:space="preserve">Kluwer Academic Publishers, </w:t>
              </w:r>
              <w:r>
                <w:rPr>
                  <w:noProof/>
                </w:rPr>
                <w:t>Volume 6, pp. 3-17.</w:t>
              </w:r>
            </w:p>
            <w:p w14:paraId="14E9C181" w14:textId="77777777" w:rsidR="00DA1091" w:rsidRDefault="00DA1091" w:rsidP="00DA1091">
              <w:pPr>
                <w:pStyle w:val="Bibliography"/>
                <w:rPr>
                  <w:noProof/>
                </w:rPr>
              </w:pPr>
              <w:r>
                <w:rPr>
                  <w:noProof/>
                </w:rPr>
                <w:t xml:space="preserve">John, A. &amp; Moyer, A., 2014. Student debt and perceptions of preparedness for employment or higher education. </w:t>
              </w:r>
              <w:r>
                <w:rPr>
                  <w:i/>
                  <w:iCs/>
                  <w:noProof/>
                </w:rPr>
                <w:t xml:space="preserve">Journal of Young Investigators, </w:t>
              </w:r>
              <w:r>
                <w:rPr>
                  <w:noProof/>
                </w:rPr>
                <w:t>26(2).</w:t>
              </w:r>
            </w:p>
            <w:p w14:paraId="66B11EF8" w14:textId="77777777" w:rsidR="00DA1091" w:rsidRDefault="00DA1091" w:rsidP="00DA1091">
              <w:pPr>
                <w:pStyle w:val="Bibliography"/>
                <w:rPr>
                  <w:noProof/>
                </w:rPr>
              </w:pPr>
              <w:r>
                <w:rPr>
                  <w:noProof/>
                </w:rPr>
                <w:t xml:space="preserve">Johnson, D. M., 1987. The Greek Origins Of Belief. </w:t>
              </w:r>
              <w:r>
                <w:rPr>
                  <w:i/>
                  <w:iCs/>
                  <w:noProof/>
                </w:rPr>
                <w:t xml:space="preserve">American Pshicolophical Quarterly, </w:t>
              </w:r>
              <w:r>
                <w:rPr>
                  <w:noProof/>
                </w:rPr>
                <w:t>24(4), p. 319.</w:t>
              </w:r>
            </w:p>
            <w:p w14:paraId="33FDF745" w14:textId="77777777" w:rsidR="00DA1091" w:rsidRDefault="00DA1091" w:rsidP="00DA1091">
              <w:pPr>
                <w:pStyle w:val="Bibliography"/>
                <w:rPr>
                  <w:noProof/>
                </w:rPr>
              </w:pPr>
              <w:r>
                <w:rPr>
                  <w:noProof/>
                </w:rPr>
                <w:t xml:space="preserve">Leatham, K. R., 2006. Viewing mathematics teachers' beliefs as sensible systems. </w:t>
              </w:r>
              <w:r>
                <w:rPr>
                  <w:i/>
                  <w:iCs/>
                  <w:noProof/>
                </w:rPr>
                <w:t xml:space="preserve">Journal of Mathematics Teacher Education,, </w:t>
              </w:r>
              <w:r>
                <w:rPr>
                  <w:noProof/>
                </w:rPr>
                <w:t>Volume 9, pp. 91-102.</w:t>
              </w:r>
            </w:p>
            <w:p w14:paraId="3103F07A" w14:textId="77777777" w:rsidR="00DA1091" w:rsidRDefault="00DA1091" w:rsidP="00DA1091">
              <w:pPr>
                <w:pStyle w:val="Bibliography"/>
                <w:rPr>
                  <w:noProof/>
                </w:rPr>
              </w:pPr>
              <w:r>
                <w:rPr>
                  <w:noProof/>
                </w:rPr>
                <w:t xml:space="preserve">Levit, S., 2019. </w:t>
              </w:r>
              <w:r>
                <w:rPr>
                  <w:i/>
                  <w:iCs/>
                  <w:noProof/>
                </w:rPr>
                <w:t xml:space="preserve">They Don't Teach Corporate in College. </w:t>
              </w:r>
              <w:r>
                <w:rPr>
                  <w:noProof/>
                </w:rPr>
                <w:t>1st ed. s.l.:Red Whell/Weiser, LLC.</w:t>
              </w:r>
            </w:p>
            <w:p w14:paraId="7F2D4D10" w14:textId="77777777" w:rsidR="00DA1091" w:rsidRDefault="00DA1091" w:rsidP="00DA1091">
              <w:pPr>
                <w:pStyle w:val="Bibliography"/>
                <w:rPr>
                  <w:noProof/>
                </w:rPr>
              </w:pPr>
              <w:r>
                <w:rPr>
                  <w:noProof/>
                </w:rPr>
                <w:t xml:space="preserve">Lewis, M. &amp; Hardin, S., 2002. Relations Among and Between Career Values and Christian Religious Values. </w:t>
              </w:r>
              <w:r>
                <w:rPr>
                  <w:i/>
                  <w:iCs/>
                  <w:noProof/>
                </w:rPr>
                <w:t xml:space="preserve">Counseling and Values, </w:t>
              </w:r>
              <w:r>
                <w:rPr>
                  <w:noProof/>
                </w:rPr>
                <w:t>46(2).</w:t>
              </w:r>
            </w:p>
            <w:p w14:paraId="07F2495D" w14:textId="77777777" w:rsidR="00DA1091" w:rsidRDefault="00DA1091" w:rsidP="00DA1091">
              <w:pPr>
                <w:pStyle w:val="Bibliography"/>
                <w:rPr>
                  <w:noProof/>
                </w:rPr>
              </w:pPr>
              <w:r>
                <w:rPr>
                  <w:noProof/>
                </w:rPr>
                <w:t xml:space="preserve">Padovic, I. &amp; Reskin, B., 2002. </w:t>
              </w:r>
              <w:r>
                <w:rPr>
                  <w:i/>
                  <w:iCs/>
                  <w:noProof/>
                </w:rPr>
                <w:t xml:space="preserve">Women and men at work. </w:t>
              </w:r>
              <w:r>
                <w:rPr>
                  <w:noProof/>
                </w:rPr>
                <w:t>2nd ed. London: Pine Forge Press.</w:t>
              </w:r>
            </w:p>
            <w:p w14:paraId="74F533A6" w14:textId="77777777" w:rsidR="00DA1091" w:rsidRDefault="00DA1091" w:rsidP="00DA1091">
              <w:pPr>
                <w:pStyle w:val="Bibliography"/>
                <w:rPr>
                  <w:noProof/>
                </w:rPr>
              </w:pPr>
              <w:r>
                <w:rPr>
                  <w:noProof/>
                </w:rPr>
                <w:t xml:space="preserve">Pehkonen, E. &amp; Pietilä, A., 2003. On relationships between beliefs and knowledge. </w:t>
              </w:r>
              <w:r>
                <w:rPr>
                  <w:i/>
                  <w:iCs/>
                  <w:noProof/>
                </w:rPr>
                <w:t>CERME 3: Third conference of the European society for research in mathematics education 3.</w:t>
              </w:r>
            </w:p>
            <w:p w14:paraId="7DCB505A" w14:textId="77777777" w:rsidR="00DA1091" w:rsidRDefault="00DA1091" w:rsidP="00DA1091">
              <w:pPr>
                <w:pStyle w:val="Bibliography"/>
                <w:rPr>
                  <w:noProof/>
                </w:rPr>
              </w:pPr>
              <w:r>
                <w:rPr>
                  <w:noProof/>
                </w:rPr>
                <w:t xml:space="preserve">Petersen, T., Saporta, I. &amp; Seidel, M. D., 2000. Offering a job: Meritocracy and social networks. </w:t>
              </w:r>
              <w:r>
                <w:rPr>
                  <w:i/>
                  <w:iCs/>
                  <w:noProof/>
                </w:rPr>
                <w:t xml:space="preserve">American Journal of Sociology, </w:t>
              </w:r>
              <w:r>
                <w:rPr>
                  <w:noProof/>
                </w:rPr>
                <w:t>Volume 106, pp. 763-816.</w:t>
              </w:r>
            </w:p>
            <w:p w14:paraId="7BD68002" w14:textId="77777777" w:rsidR="00DA1091" w:rsidRDefault="00DA1091" w:rsidP="00DA1091">
              <w:pPr>
                <w:pStyle w:val="Bibliography"/>
                <w:rPr>
                  <w:noProof/>
                </w:rPr>
              </w:pPr>
              <w:r>
                <w:rPr>
                  <w:noProof/>
                </w:rPr>
                <w:lastRenderedPageBreak/>
                <w:t xml:space="preserve">Raymond, A. M., 1997. Inconsistency between a beginning elementary school teacher's mathematics beliefs and teaching practice.. </w:t>
              </w:r>
              <w:r>
                <w:rPr>
                  <w:i/>
                  <w:iCs/>
                  <w:noProof/>
                </w:rPr>
                <w:t xml:space="preserve">Journal for Research in Mathematics Education, </w:t>
              </w:r>
              <w:r>
                <w:rPr>
                  <w:noProof/>
                </w:rPr>
                <w:t>Volume 28, pp. 550-576.</w:t>
              </w:r>
            </w:p>
            <w:p w14:paraId="6EF9BB8B" w14:textId="77777777" w:rsidR="00DA1091" w:rsidRDefault="00DA1091" w:rsidP="00DA1091">
              <w:pPr>
                <w:pStyle w:val="Bibliography"/>
                <w:rPr>
                  <w:noProof/>
                </w:rPr>
              </w:pPr>
              <w:r>
                <w:rPr>
                  <w:noProof/>
                </w:rPr>
                <w:t xml:space="preserve">Regnerus, M. D. &amp; Smith, C., 2005. Selection effects in studies of religious influence. </w:t>
              </w:r>
              <w:r>
                <w:rPr>
                  <w:i/>
                  <w:iCs/>
                  <w:noProof/>
                </w:rPr>
                <w:t xml:space="preserve">Review of Religious Research, </w:t>
              </w:r>
              <w:r>
                <w:rPr>
                  <w:noProof/>
                </w:rPr>
                <w:t>47(1), pp. 23-50.</w:t>
              </w:r>
            </w:p>
            <w:p w14:paraId="7D9CB635" w14:textId="77777777" w:rsidR="00DA1091" w:rsidRDefault="00DA1091" w:rsidP="00DA1091">
              <w:pPr>
                <w:pStyle w:val="Bibliography"/>
                <w:rPr>
                  <w:noProof/>
                </w:rPr>
              </w:pPr>
              <w:r>
                <w:rPr>
                  <w:noProof/>
                </w:rPr>
                <w:t xml:space="preserve">Salpenter, M. &amp; Labovich, M. L., 2012. </w:t>
              </w:r>
              <w:r>
                <w:rPr>
                  <w:i/>
                  <w:iCs/>
                  <w:noProof/>
                </w:rPr>
                <w:t xml:space="preserve">100 Conversations for Career Success. </w:t>
              </w:r>
              <w:r>
                <w:rPr>
                  <w:noProof/>
                </w:rPr>
                <w:t>1st ed. New York: Learningexpress, LLC.</w:t>
              </w:r>
            </w:p>
            <w:p w14:paraId="0007130F" w14:textId="77777777" w:rsidR="00DA1091" w:rsidRDefault="00DA1091" w:rsidP="00DA1091">
              <w:pPr>
                <w:pStyle w:val="Bibliography"/>
                <w:rPr>
                  <w:noProof/>
                </w:rPr>
              </w:pPr>
              <w:r>
                <w:rPr>
                  <w:noProof/>
                </w:rPr>
                <w:t xml:space="preserve">Schooley, S., 2019. </w:t>
              </w:r>
              <w:r>
                <w:rPr>
                  <w:i/>
                  <w:iCs/>
                  <w:noProof/>
                </w:rPr>
                <w:t xml:space="preserve">6 ways to Get a Job Without Industry Experience. </w:t>
              </w:r>
              <w:r>
                <w:rPr>
                  <w:noProof/>
                </w:rPr>
                <w:t xml:space="preserve">[Online] </w:t>
              </w:r>
              <w:r>
                <w:rPr>
                  <w:noProof/>
                </w:rPr>
                <w:br/>
                <w:t xml:space="preserve">Available at: </w:t>
              </w:r>
              <w:r>
                <w:rPr>
                  <w:noProof/>
                  <w:u w:val="single"/>
                </w:rPr>
                <w:t>https://www.businessnewsdaily.com/15277-get-a-job-without-experience.html</w:t>
              </w:r>
              <w:r>
                <w:rPr>
                  <w:noProof/>
                </w:rPr>
                <w:br/>
                <w:t>[Accessed 19 July 2021].</w:t>
              </w:r>
            </w:p>
            <w:p w14:paraId="2A72C70B" w14:textId="77777777" w:rsidR="00DA1091" w:rsidRDefault="00DA1091" w:rsidP="00DA1091">
              <w:pPr>
                <w:pStyle w:val="Bibliography"/>
                <w:rPr>
                  <w:noProof/>
                </w:rPr>
              </w:pPr>
              <w:r>
                <w:rPr>
                  <w:noProof/>
                </w:rPr>
                <w:t xml:space="preserve">Thottam, I., 2021. </w:t>
              </w:r>
              <w:r>
                <w:rPr>
                  <w:i/>
                  <w:iCs/>
                  <w:noProof/>
                </w:rPr>
                <w:t xml:space="preserve">Should you still apply for a job if you don't have enough experience?. </w:t>
              </w:r>
              <w:r>
                <w:rPr>
                  <w:noProof/>
                </w:rPr>
                <w:t xml:space="preserve">[Online] </w:t>
              </w:r>
              <w:r>
                <w:rPr>
                  <w:noProof/>
                </w:rPr>
                <w:br/>
                <w:t xml:space="preserve">Available at: </w:t>
              </w:r>
              <w:r>
                <w:rPr>
                  <w:noProof/>
                  <w:u w:val="single"/>
                </w:rPr>
                <w:t>https://www.monster.com/career-advice/article/should-istill-apply-for-a-job-if-i-dont-have-years-of-experience/</w:t>
              </w:r>
              <w:r>
                <w:rPr>
                  <w:noProof/>
                </w:rPr>
                <w:br/>
                <w:t>[Accessed 17 July 2021].</w:t>
              </w:r>
            </w:p>
            <w:p w14:paraId="104ACB5D" w14:textId="77777777" w:rsidR="00DA1091" w:rsidRDefault="00DA1091" w:rsidP="00DA1091">
              <w:pPr>
                <w:pStyle w:val="Bibliography"/>
                <w:rPr>
                  <w:noProof/>
                </w:rPr>
              </w:pPr>
              <w:r>
                <w:rPr>
                  <w:noProof/>
                </w:rPr>
                <w:t xml:space="preserve">Vitell, S. J., 2009. The role of religiosity in business and consumer ethics: A review of the literature. </w:t>
              </w:r>
              <w:r>
                <w:rPr>
                  <w:i/>
                  <w:iCs/>
                  <w:noProof/>
                </w:rPr>
                <w:t xml:space="preserve">Journal of Business , </w:t>
              </w:r>
              <w:r>
                <w:rPr>
                  <w:noProof/>
                </w:rPr>
                <w:t>90(2), p. 155–167.</w:t>
              </w:r>
            </w:p>
            <w:p w14:paraId="20687226" w14:textId="77777777" w:rsidR="00DA1091" w:rsidRDefault="00DA1091" w:rsidP="00DA1091">
              <w:pPr>
                <w:pStyle w:val="Bibliography"/>
                <w:rPr>
                  <w:noProof/>
                </w:rPr>
              </w:pPr>
              <w:r>
                <w:rPr>
                  <w:noProof/>
                </w:rPr>
                <w:t xml:space="preserve">Warrick, C. S., Daniels, B. &amp; Scott, C., 2010. Accounting students’ perceptions on employment opportunities. </w:t>
              </w:r>
              <w:r>
                <w:rPr>
                  <w:i/>
                  <w:iCs/>
                  <w:noProof/>
                </w:rPr>
                <w:t xml:space="preserve">Research in Higher Education Journal, </w:t>
              </w:r>
              <w:r>
                <w:rPr>
                  <w:noProof/>
                </w:rPr>
                <w:t>Volume 7.</w:t>
              </w:r>
            </w:p>
            <w:p w14:paraId="1F4C3F49" w14:textId="4AFD21F1" w:rsidR="00AA6713" w:rsidRDefault="00AA6713" w:rsidP="00DA1091">
              <w:r>
                <w:rPr>
                  <w:b/>
                  <w:bCs/>
                  <w:noProof/>
                </w:rPr>
                <w:fldChar w:fldCharType="end"/>
              </w:r>
            </w:p>
          </w:sdtContent>
        </w:sdt>
      </w:sdtContent>
    </w:sdt>
    <w:p w14:paraId="02E22BDE" w14:textId="4642294F" w:rsidR="00AA6713" w:rsidRDefault="00AA6713" w:rsidP="00706999">
      <w:pPr>
        <w:spacing w:line="360" w:lineRule="auto"/>
        <w:jc w:val="both"/>
      </w:pPr>
    </w:p>
    <w:p w14:paraId="73378F9E" w14:textId="58A6D945" w:rsidR="00D93F01" w:rsidRDefault="00D93F01" w:rsidP="00706999">
      <w:pPr>
        <w:spacing w:line="360" w:lineRule="auto"/>
        <w:jc w:val="both"/>
      </w:pPr>
    </w:p>
    <w:p w14:paraId="13EA05E9" w14:textId="77777777" w:rsidR="00A6785F" w:rsidRDefault="00A6785F" w:rsidP="00706999">
      <w:pPr>
        <w:spacing w:line="360" w:lineRule="auto"/>
        <w:jc w:val="both"/>
      </w:pPr>
    </w:p>
    <w:p w14:paraId="698ACFAE" w14:textId="4E5CFC5B" w:rsidR="00A6785F" w:rsidRPr="001670FE" w:rsidRDefault="003604DA" w:rsidP="00093401">
      <w:pPr>
        <w:pStyle w:val="Heading1"/>
        <w:spacing w:line="360" w:lineRule="auto"/>
        <w:jc w:val="both"/>
        <w:rPr>
          <w:rFonts w:ascii="Arial" w:hAnsi="Arial" w:cs="Arial"/>
        </w:rPr>
      </w:pPr>
      <w:bookmarkStart w:id="10" w:name="_Toc77876494"/>
      <w:r w:rsidRPr="001670FE">
        <w:rPr>
          <w:rFonts w:ascii="Arial" w:hAnsi="Arial" w:cs="Arial"/>
        </w:rPr>
        <w:t xml:space="preserve">5 </w:t>
      </w:r>
      <w:r w:rsidR="00A6785F" w:rsidRPr="001670FE">
        <w:rPr>
          <w:rFonts w:ascii="Arial" w:hAnsi="Arial" w:cs="Arial"/>
        </w:rPr>
        <w:t>Introduction</w:t>
      </w:r>
      <w:bookmarkEnd w:id="10"/>
      <w:r w:rsidR="00A6785F" w:rsidRPr="001670FE">
        <w:rPr>
          <w:rFonts w:ascii="Arial" w:hAnsi="Arial" w:cs="Arial"/>
        </w:rPr>
        <w:t xml:space="preserve"> </w:t>
      </w:r>
    </w:p>
    <w:p w14:paraId="0D4E3050" w14:textId="0924B12B" w:rsidR="00A6785F" w:rsidRPr="001670FE" w:rsidRDefault="00A6785F" w:rsidP="00093401">
      <w:pPr>
        <w:spacing w:line="360" w:lineRule="auto"/>
        <w:jc w:val="both"/>
      </w:pPr>
      <w:r w:rsidRPr="001670FE">
        <w:t xml:space="preserve">In the second part of this report, a critical reflexion will analyse how my critical thinking skills have developed based on my learning on the module. The Driscoll Model will be defined and used </w:t>
      </w:r>
      <w:r w:rsidR="00D35CD7">
        <w:t>with</w:t>
      </w:r>
      <w:r w:rsidRPr="001670FE">
        <w:t xml:space="preserve"> the questions </w:t>
      </w:r>
      <w:r w:rsidR="00D35CD7">
        <w:t>“</w:t>
      </w:r>
      <w:proofErr w:type="gramStart"/>
      <w:r w:rsidRPr="001670FE">
        <w:t>What?,</w:t>
      </w:r>
      <w:proofErr w:type="gramEnd"/>
      <w:r w:rsidRPr="001670FE">
        <w:t xml:space="preserve"> So What? And Now What?</w:t>
      </w:r>
      <w:r w:rsidR="00D35CD7">
        <w:t>”,</w:t>
      </w:r>
      <w:r w:rsidRPr="001670FE">
        <w:t xml:space="preserve"> </w:t>
      </w:r>
      <w:r w:rsidR="00D35CD7">
        <w:t>this analysis will</w:t>
      </w:r>
      <w:r w:rsidRPr="001670FE">
        <w:t xml:space="preserve"> be based on my experience.</w:t>
      </w:r>
      <w:r w:rsidR="00D35CD7">
        <w:t xml:space="preserve"> This critical analysis will cover week one, week two and week three.</w:t>
      </w:r>
      <w:r w:rsidR="00DB1C14">
        <w:t xml:space="preserve"> “What?” will review my learning that took place in this module, “So What?” will analyse the </w:t>
      </w:r>
      <w:r w:rsidR="00DB1C14" w:rsidRPr="00DB1C14">
        <w:t xml:space="preserve">various topics </w:t>
      </w:r>
      <w:r w:rsidR="00DB1C14">
        <w:t xml:space="preserve">that </w:t>
      </w:r>
      <w:r w:rsidR="00DB1C14" w:rsidRPr="00DB1C14">
        <w:t xml:space="preserve">have shaped </w:t>
      </w:r>
      <w:r w:rsidR="00DB1C14">
        <w:t>my</w:t>
      </w:r>
      <w:r w:rsidR="00DB1C14" w:rsidRPr="00DB1C14">
        <w:t xml:space="preserve"> critical thinking abilities</w:t>
      </w:r>
      <w:r w:rsidR="00DB1C14">
        <w:t>, and “Now What? will explain how</w:t>
      </w:r>
      <w:r w:rsidR="00DB1C14" w:rsidRPr="00DB1C14">
        <w:t xml:space="preserve"> </w:t>
      </w:r>
      <w:r w:rsidR="00DB1C14">
        <w:t xml:space="preserve">the </w:t>
      </w:r>
      <w:r w:rsidR="00DB1C14" w:rsidRPr="00DB1C14">
        <w:t xml:space="preserve">various topics have shaped </w:t>
      </w:r>
      <w:r w:rsidR="00DB1C14">
        <w:t>my</w:t>
      </w:r>
      <w:r w:rsidR="00DB1C14" w:rsidRPr="00DB1C14">
        <w:t xml:space="preserve"> critical thinking abilitie</w:t>
      </w:r>
      <w:bookmarkStart w:id="11" w:name="_GoBack"/>
      <w:bookmarkEnd w:id="11"/>
      <w:r w:rsidR="00DB1C14" w:rsidRPr="00DB1C14">
        <w:t>s</w:t>
      </w:r>
      <w:r w:rsidR="00DB1C14">
        <w:t>.</w:t>
      </w:r>
    </w:p>
    <w:p w14:paraId="1A38125B" w14:textId="279B7479" w:rsidR="00A6785F" w:rsidRPr="001670FE" w:rsidRDefault="003604DA" w:rsidP="00093401">
      <w:pPr>
        <w:pStyle w:val="Heading1"/>
        <w:spacing w:line="360" w:lineRule="auto"/>
        <w:jc w:val="both"/>
        <w:rPr>
          <w:rFonts w:ascii="Arial" w:hAnsi="Arial" w:cs="Arial"/>
        </w:rPr>
      </w:pPr>
      <w:bookmarkStart w:id="12" w:name="_Toc77876495"/>
      <w:r w:rsidRPr="001670FE">
        <w:rPr>
          <w:rFonts w:ascii="Arial" w:hAnsi="Arial" w:cs="Arial"/>
        </w:rPr>
        <w:t xml:space="preserve">6 </w:t>
      </w:r>
      <w:r w:rsidR="00A6785F" w:rsidRPr="001670FE">
        <w:rPr>
          <w:rFonts w:ascii="Arial" w:hAnsi="Arial" w:cs="Arial"/>
        </w:rPr>
        <w:t>Driscoll Reflective Mode</w:t>
      </w:r>
      <w:r w:rsidR="00093401" w:rsidRPr="001670FE">
        <w:rPr>
          <w:rFonts w:ascii="Arial" w:hAnsi="Arial" w:cs="Arial"/>
        </w:rPr>
        <w:t>l</w:t>
      </w:r>
      <w:bookmarkEnd w:id="12"/>
    </w:p>
    <w:p w14:paraId="7424FFDA" w14:textId="77777777" w:rsidR="00A6785F" w:rsidRPr="001670FE" w:rsidRDefault="00A6785F" w:rsidP="00093401">
      <w:pPr>
        <w:pStyle w:val="NormalWeb"/>
        <w:shd w:val="clear" w:color="auto" w:fill="FFFFFF"/>
        <w:spacing w:before="120" w:beforeAutospacing="0" w:after="120" w:afterAutospacing="0" w:line="360" w:lineRule="auto"/>
        <w:jc w:val="both"/>
        <w:rPr>
          <w:rFonts w:ascii="Arial" w:hAnsi="Arial" w:cs="Arial"/>
          <w:sz w:val="22"/>
          <w:szCs w:val="22"/>
        </w:rPr>
      </w:pPr>
      <w:r w:rsidRPr="001670FE">
        <w:rPr>
          <w:rFonts w:ascii="Arial" w:hAnsi="Arial" w:cs="Arial"/>
          <w:sz w:val="22"/>
          <w:szCs w:val="22"/>
        </w:rPr>
        <w:t xml:space="preserve">Reflective models give a platform for individuals or professionals to evaluate their own performance in order to better understand their own behaviour and standards of achievement, as well as how to improve those (Moon, 2004). One of these platforms is the Driscoll Reflective Model. In 1994, Driscoll first introduced their reflective model as a platform for self-reflection </w:t>
      </w:r>
      <w:r w:rsidRPr="001670FE">
        <w:rPr>
          <w:rFonts w:ascii="Arial" w:hAnsi="Arial" w:cs="Arial"/>
          <w:sz w:val="22"/>
          <w:szCs w:val="22"/>
        </w:rPr>
        <w:lastRenderedPageBreak/>
        <w:t xml:space="preserve">on individual experiences or occurring. The concept was inspired by </w:t>
      </w:r>
      <w:proofErr w:type="spellStart"/>
      <w:r w:rsidRPr="001670FE">
        <w:rPr>
          <w:rFonts w:ascii="Arial" w:hAnsi="Arial" w:cs="Arial"/>
          <w:sz w:val="22"/>
          <w:szCs w:val="22"/>
        </w:rPr>
        <w:t>Borton's</w:t>
      </w:r>
      <w:proofErr w:type="spellEnd"/>
      <w:r w:rsidRPr="001670FE">
        <w:rPr>
          <w:rFonts w:ascii="Arial" w:hAnsi="Arial" w:cs="Arial"/>
          <w:sz w:val="22"/>
          <w:szCs w:val="22"/>
        </w:rPr>
        <w:t xml:space="preserve"> work, which promoted for critical thinking by asking three questions: What? So what? Now what? (</w:t>
      </w:r>
      <w:proofErr w:type="spellStart"/>
      <w:r w:rsidRPr="001670FE">
        <w:rPr>
          <w:rFonts w:ascii="Arial" w:hAnsi="Arial" w:cs="Arial"/>
          <w:sz w:val="22"/>
          <w:szCs w:val="22"/>
        </w:rPr>
        <w:t>Borton</w:t>
      </w:r>
      <w:proofErr w:type="spellEnd"/>
      <w:r w:rsidRPr="001670FE">
        <w:rPr>
          <w:rFonts w:ascii="Arial" w:hAnsi="Arial" w:cs="Arial"/>
          <w:sz w:val="22"/>
          <w:szCs w:val="22"/>
        </w:rPr>
        <w:t>, 1970). These questions were helpful but according to some experts no very clear, Driscoll took these questions and paired them with a cycle (Driscoll, 2007).</w:t>
      </w:r>
    </w:p>
    <w:p w14:paraId="4A784362" w14:textId="7A4E61C1" w:rsidR="00A6785F" w:rsidRPr="001670FE" w:rsidRDefault="003604DA" w:rsidP="001670FE">
      <w:pPr>
        <w:pStyle w:val="Heading2"/>
        <w:rPr>
          <w:rFonts w:ascii="Arial" w:hAnsi="Arial" w:cs="Arial"/>
        </w:rPr>
      </w:pPr>
      <w:bookmarkStart w:id="13" w:name="_Toc77876496"/>
      <w:r w:rsidRPr="001670FE">
        <w:rPr>
          <w:rFonts w:ascii="Arial" w:hAnsi="Arial" w:cs="Arial"/>
        </w:rPr>
        <w:t xml:space="preserve">6.1 </w:t>
      </w:r>
      <w:r w:rsidR="00A6785F" w:rsidRPr="001670FE">
        <w:rPr>
          <w:rFonts w:ascii="Arial" w:hAnsi="Arial" w:cs="Arial"/>
        </w:rPr>
        <w:t>What?</w:t>
      </w:r>
      <w:bookmarkEnd w:id="13"/>
    </w:p>
    <w:p w14:paraId="02BDE3BE" w14:textId="77777777" w:rsidR="00A6785F" w:rsidRPr="001670FE" w:rsidRDefault="00A6785F" w:rsidP="00093401">
      <w:pPr>
        <w:spacing w:line="360" w:lineRule="auto"/>
        <w:jc w:val="both"/>
      </w:pPr>
      <w:r w:rsidRPr="001670FE">
        <w:t xml:space="preserve">When I first came into view of the name of this module, I never thought it will have such a big impact on myself as a person, probably what confused me was the name, “Developing Workplace Critical Thinking”. I thought it will be another module which will help develop working skills. Within the first week of this module what I liked the most, was the fact that the lecturer involved us in the process of lesson delivery with different topics, questions and activities, this really helped me learn, without even realising it. In the first week it was defined the critical and uncritical thinking, what the lecturer did, was to show us an email about an old friend we lost contact with and asking us for money, then, based on our answers he explained what critical and uncritical thinking and acting means. Thanks to this example I realised how much of a critical thinker I am, and how much this module will help </w:t>
      </w:r>
      <w:proofErr w:type="gramStart"/>
      <w:r w:rsidRPr="001670FE">
        <w:t>me</w:t>
      </w:r>
      <w:proofErr w:type="gramEnd"/>
      <w:r w:rsidRPr="001670FE">
        <w:t xml:space="preserve"> and my colleagues develop and gain from the use of critical thinking in the day to day actions. The second topic we learned was inductive and deductive, valid and invalid reasoning, sound and unsound arguments. Within this topic I understood straight away how they work and realised how important they are, not only in the working environment but in one’s actions when expressing himself and the benefit those topics will bring when reading something and realise </w:t>
      </w:r>
      <w:proofErr w:type="spellStart"/>
      <w:r w:rsidRPr="001670FE">
        <w:t>if</w:t>
      </w:r>
      <w:proofErr w:type="spellEnd"/>
      <w:r w:rsidRPr="001670FE">
        <w:t xml:space="preserve"> is logical or not. One of the most fascinating lessons, was week 3. I never thought about values, attitudes and beliefs and the fact that those are shaping our behaviour. Since then, and thanks to the question one in the assignment I realised how much we are driven by our beliefs, values and attitudes and how hard is to realise this if you do not think about it.   </w:t>
      </w:r>
    </w:p>
    <w:p w14:paraId="49D69B08" w14:textId="77777777" w:rsidR="00A6785F" w:rsidRPr="001670FE" w:rsidRDefault="00A6785F" w:rsidP="00093401">
      <w:pPr>
        <w:spacing w:line="360" w:lineRule="auto"/>
        <w:jc w:val="both"/>
      </w:pPr>
    </w:p>
    <w:p w14:paraId="490665CA" w14:textId="4B8C2B3E" w:rsidR="00A6785F" w:rsidRPr="001670FE" w:rsidRDefault="003604DA" w:rsidP="001670FE">
      <w:pPr>
        <w:pStyle w:val="Heading3"/>
        <w:rPr>
          <w:rFonts w:ascii="Arial" w:hAnsi="Arial" w:cs="Arial"/>
        </w:rPr>
      </w:pPr>
      <w:bookmarkStart w:id="14" w:name="_Toc77876497"/>
      <w:r w:rsidRPr="001670FE">
        <w:rPr>
          <w:rFonts w:ascii="Arial" w:hAnsi="Arial" w:cs="Arial"/>
        </w:rPr>
        <w:t xml:space="preserve">6.2 </w:t>
      </w:r>
      <w:r w:rsidR="00A6785F" w:rsidRPr="001670FE">
        <w:rPr>
          <w:rFonts w:ascii="Arial" w:hAnsi="Arial" w:cs="Arial"/>
        </w:rPr>
        <w:t>So What?</w:t>
      </w:r>
      <w:bookmarkEnd w:id="14"/>
    </w:p>
    <w:p w14:paraId="157BC5BC" w14:textId="77777777" w:rsidR="00A6785F" w:rsidRPr="001670FE" w:rsidRDefault="00A6785F" w:rsidP="00093401">
      <w:pPr>
        <w:spacing w:line="360" w:lineRule="auto"/>
        <w:jc w:val="both"/>
      </w:pPr>
      <w:r w:rsidRPr="001670FE">
        <w:t xml:space="preserve">Within the first lesson, I realised I am a critical thinker, I never thought about it because I thought everyone’s approach to that situation, the email, would be the same. I was very confused when I heard some of my colleagues saying they will just give the money to the friend without questioning it first. However, I realised the difference between the two and understood that in some cases even if I think it through, some emotions can get in place, and this will affect my critical thinking. This lesson helped me realise that is very important to always try and apply the Critical thinking in each situation and avoid using emotions because it will change my perspective from being objective to being subjective and this will affect me in different situations. The second lesson helped me realise how much we take for granted what we read and some actions from certain important people without questioning it first. That </w:t>
      </w:r>
      <w:r w:rsidRPr="001670FE">
        <w:lastRenderedPageBreak/>
        <w:t xml:space="preserve">moment of realisation, made me </w:t>
      </w:r>
      <w:proofErr w:type="spellStart"/>
      <w:r w:rsidRPr="001670FE">
        <w:t>fell bad</w:t>
      </w:r>
      <w:proofErr w:type="spellEnd"/>
      <w:r w:rsidRPr="001670FE">
        <w:t xml:space="preserve"> about not thinking it through before, and this was because that was the moment I realised sometimes when I expressed something it was mainly based on my point of view regarding that situation without thinking logically about it. The lesson that intrigued me the most was lesson 3, it was like a revelation to myself and realised how true it is. Our beliefs, values and attitudes drive our behaviour and how we see things. In that moment I realised how reduced is my power of seeing or changing things thanks to the beliefs. I always thought I have a good self-esteem; however, the beliefs are stopping me to achieve more. Thanks to this lesson I started asking my beliefs and if I think something is true which affects me, what are the motives that belief is true. This module made me realise how much it will change my way of acting and thinking.</w:t>
      </w:r>
    </w:p>
    <w:p w14:paraId="485D7E7C" w14:textId="77777777" w:rsidR="00A6785F" w:rsidRPr="001670FE" w:rsidRDefault="00A6785F" w:rsidP="00093401">
      <w:pPr>
        <w:spacing w:line="360" w:lineRule="auto"/>
        <w:jc w:val="both"/>
        <w:rPr>
          <w:color w:val="FF0000"/>
        </w:rPr>
      </w:pPr>
    </w:p>
    <w:p w14:paraId="45CA35EF" w14:textId="77777777" w:rsidR="00A6785F" w:rsidRPr="001670FE" w:rsidRDefault="00A6785F" w:rsidP="00093401">
      <w:pPr>
        <w:spacing w:line="360" w:lineRule="auto"/>
        <w:jc w:val="both"/>
      </w:pPr>
    </w:p>
    <w:p w14:paraId="7983F853" w14:textId="1FCB31FE" w:rsidR="00A6785F" w:rsidRPr="001670FE" w:rsidRDefault="003604DA" w:rsidP="001670FE">
      <w:pPr>
        <w:pStyle w:val="Heading4"/>
        <w:rPr>
          <w:rFonts w:ascii="Arial" w:hAnsi="Arial" w:cs="Arial"/>
        </w:rPr>
      </w:pPr>
      <w:bookmarkStart w:id="15" w:name="_Toc77876498"/>
      <w:r w:rsidRPr="001670FE">
        <w:rPr>
          <w:rFonts w:ascii="Arial" w:hAnsi="Arial" w:cs="Arial"/>
        </w:rPr>
        <w:t xml:space="preserve">6.3 </w:t>
      </w:r>
      <w:r w:rsidR="00A6785F" w:rsidRPr="001670FE">
        <w:rPr>
          <w:rFonts w:ascii="Arial" w:hAnsi="Arial" w:cs="Arial"/>
        </w:rPr>
        <w:t>Now What?</w:t>
      </w:r>
      <w:bookmarkEnd w:id="15"/>
    </w:p>
    <w:p w14:paraId="56DA7493" w14:textId="77777777" w:rsidR="00A6785F" w:rsidRPr="001670FE" w:rsidRDefault="00A6785F" w:rsidP="00093401">
      <w:pPr>
        <w:spacing w:line="360" w:lineRule="auto"/>
        <w:jc w:val="both"/>
      </w:pPr>
      <w:r w:rsidRPr="001670FE">
        <w:t>After reflecting on those lessons, I realised how much this module changed my way of acting and thinking. I realised some of my experiences were compromised thanks to not applying correctly critical thinking and logical reasoning. My perspectives were highly affected by beliefs as well. I could have experienced different outcomes in my past if Critical thinking and its components were applied at those moments. In the future I would always use Critical thinking and its components, and I am sure my outcomes will be very different personally and in the work environment. This module helped me grow up psychologically and question more and more everything as well as realising my limitations and what to do to overpass them. I never thought a university module would have such a big impact on my personality in every day’s life. I am very grateful for everything learned from this module.</w:t>
      </w:r>
    </w:p>
    <w:p w14:paraId="15B6FEF3" w14:textId="77777777" w:rsidR="00A6785F" w:rsidRPr="001670FE" w:rsidRDefault="00A6785F" w:rsidP="00A6785F"/>
    <w:p w14:paraId="285F780F" w14:textId="77777777" w:rsidR="00A6785F" w:rsidRPr="001670FE" w:rsidRDefault="00A6785F" w:rsidP="00A6785F"/>
    <w:bookmarkStart w:id="16" w:name="_Toc77876499" w:displacedByCustomXml="next"/>
    <w:sdt>
      <w:sdtPr>
        <w:rPr>
          <w:rFonts w:ascii="Arial" w:eastAsiaTheme="minorHAnsi" w:hAnsi="Arial" w:cs="Arial"/>
          <w:color w:val="auto"/>
          <w:sz w:val="22"/>
          <w:szCs w:val="22"/>
        </w:rPr>
        <w:id w:val="1528140364"/>
        <w:docPartObj>
          <w:docPartGallery w:val="Bibliographies"/>
          <w:docPartUnique/>
        </w:docPartObj>
      </w:sdtPr>
      <w:sdtEndPr/>
      <w:sdtContent>
        <w:p w14:paraId="718DB1BC" w14:textId="77777777" w:rsidR="00A6785F" w:rsidRDefault="00A6785F" w:rsidP="00A6785F">
          <w:pPr>
            <w:pStyle w:val="Heading1"/>
          </w:pPr>
          <w:r>
            <w:t>References</w:t>
          </w:r>
          <w:bookmarkEnd w:id="16"/>
        </w:p>
        <w:sdt>
          <w:sdtPr>
            <w:id w:val="1688327244"/>
            <w:bibliography/>
          </w:sdtPr>
          <w:sdtEndPr/>
          <w:sdtContent>
            <w:p w14:paraId="63E874C7" w14:textId="77777777" w:rsidR="00A6785F" w:rsidRDefault="00A6785F" w:rsidP="00A6785F">
              <w:pPr>
                <w:pStyle w:val="Bibliography"/>
                <w:rPr>
                  <w:noProof/>
                  <w:sz w:val="24"/>
                  <w:szCs w:val="24"/>
                </w:rPr>
              </w:pPr>
              <w:r>
                <w:fldChar w:fldCharType="begin"/>
              </w:r>
              <w:r>
                <w:instrText xml:space="preserve"> BIBLIOGRAPHY </w:instrText>
              </w:r>
              <w:r>
                <w:fldChar w:fldCharType="separate"/>
              </w:r>
              <w:r>
                <w:rPr>
                  <w:noProof/>
                </w:rPr>
                <w:t xml:space="preserve">Borton, T., 1970. </w:t>
              </w:r>
              <w:r>
                <w:rPr>
                  <w:i/>
                  <w:iCs/>
                  <w:noProof/>
                </w:rPr>
                <w:t xml:space="preserve">Reach, Touch and Teach. </w:t>
              </w:r>
              <w:r>
                <w:rPr>
                  <w:noProof/>
                </w:rPr>
                <w:t>1st ed. London: Hutchinson.</w:t>
              </w:r>
            </w:p>
            <w:p w14:paraId="67D4DD51" w14:textId="77777777" w:rsidR="00A6785F" w:rsidRDefault="00A6785F" w:rsidP="00A6785F">
              <w:pPr>
                <w:pStyle w:val="Bibliography"/>
                <w:rPr>
                  <w:noProof/>
                </w:rPr>
              </w:pPr>
              <w:r>
                <w:rPr>
                  <w:noProof/>
                </w:rPr>
                <w:t xml:space="preserve">Driscoll, J., 2007. </w:t>
              </w:r>
              <w:r>
                <w:rPr>
                  <w:i/>
                  <w:iCs/>
                  <w:noProof/>
                </w:rPr>
                <w:t xml:space="preserve">Practising Clinical Supervision: A Reflective Approach. </w:t>
              </w:r>
              <w:r>
                <w:rPr>
                  <w:noProof/>
                </w:rPr>
                <w:t>London: Bailliere Tindall.</w:t>
              </w:r>
            </w:p>
            <w:p w14:paraId="6C3B6342" w14:textId="77777777" w:rsidR="00A6785F" w:rsidRDefault="00A6785F" w:rsidP="00A6785F">
              <w:pPr>
                <w:pStyle w:val="Bibliography"/>
                <w:rPr>
                  <w:noProof/>
                </w:rPr>
              </w:pPr>
              <w:r>
                <w:rPr>
                  <w:noProof/>
                </w:rPr>
                <w:t xml:space="preserve">Moon, J. A. R., 2004. </w:t>
              </w:r>
              <w:r>
                <w:rPr>
                  <w:i/>
                  <w:iCs/>
                  <w:noProof/>
                </w:rPr>
                <w:t xml:space="preserve">A Handbook of Reflective and Experiential Learning. </w:t>
              </w:r>
              <w:r>
                <w:rPr>
                  <w:noProof/>
                </w:rPr>
                <w:t>Abington: Routledge.</w:t>
              </w:r>
            </w:p>
            <w:p w14:paraId="3D5BDE54" w14:textId="77777777" w:rsidR="00A6785F" w:rsidRDefault="00A6785F" w:rsidP="00A6785F">
              <w:r>
                <w:rPr>
                  <w:b/>
                  <w:bCs/>
                  <w:noProof/>
                </w:rPr>
                <w:fldChar w:fldCharType="end"/>
              </w:r>
            </w:p>
          </w:sdtContent>
        </w:sdt>
      </w:sdtContent>
    </w:sdt>
    <w:p w14:paraId="086D0008" w14:textId="77777777" w:rsidR="00A6785F" w:rsidRPr="00A647E1" w:rsidRDefault="00A6785F" w:rsidP="00A6785F"/>
    <w:p w14:paraId="2A1CEA30" w14:textId="77777777" w:rsidR="00A6785F" w:rsidRDefault="00A6785F" w:rsidP="00706999">
      <w:pPr>
        <w:spacing w:line="360" w:lineRule="auto"/>
        <w:jc w:val="both"/>
      </w:pPr>
    </w:p>
    <w:p w14:paraId="121B2AF1" w14:textId="77777777" w:rsidR="00D93F01" w:rsidRPr="007906CD" w:rsidRDefault="00D93F01" w:rsidP="00D93F01">
      <w:pPr>
        <w:pStyle w:val="Heading1"/>
      </w:pPr>
    </w:p>
    <w:sectPr w:rsidR="00D93F01" w:rsidRPr="007906C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7CBF2" w14:textId="77777777" w:rsidR="00466057" w:rsidRDefault="00466057" w:rsidP="006B110F">
      <w:pPr>
        <w:spacing w:after="0" w:line="240" w:lineRule="auto"/>
      </w:pPr>
      <w:r>
        <w:separator/>
      </w:r>
    </w:p>
  </w:endnote>
  <w:endnote w:type="continuationSeparator" w:id="0">
    <w:p w14:paraId="159D21EA" w14:textId="77777777" w:rsidR="00466057" w:rsidRDefault="00466057" w:rsidP="006B1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altName w:val="Times New Roman PSMT"/>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721314"/>
      <w:docPartObj>
        <w:docPartGallery w:val="Page Numbers (Bottom of Page)"/>
        <w:docPartUnique/>
      </w:docPartObj>
    </w:sdtPr>
    <w:sdtEndPr>
      <w:rPr>
        <w:noProof/>
      </w:rPr>
    </w:sdtEndPr>
    <w:sdtContent>
      <w:p w14:paraId="12B2E014" w14:textId="21C49894" w:rsidR="003604DA" w:rsidRDefault="003604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438662" w14:textId="77777777" w:rsidR="003604DA" w:rsidRDefault="00360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3B026" w14:textId="77777777" w:rsidR="00466057" w:rsidRDefault="00466057" w:rsidP="006B110F">
      <w:pPr>
        <w:spacing w:after="0" w:line="240" w:lineRule="auto"/>
      </w:pPr>
      <w:r>
        <w:separator/>
      </w:r>
    </w:p>
  </w:footnote>
  <w:footnote w:type="continuationSeparator" w:id="0">
    <w:p w14:paraId="52E23BA6" w14:textId="77777777" w:rsidR="00466057" w:rsidRDefault="00466057" w:rsidP="006B11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EF0"/>
    <w:rsid w:val="000012B2"/>
    <w:rsid w:val="0004323D"/>
    <w:rsid w:val="00093401"/>
    <w:rsid w:val="000964B5"/>
    <w:rsid w:val="000F4954"/>
    <w:rsid w:val="000F783A"/>
    <w:rsid w:val="001670FE"/>
    <w:rsid w:val="001A18FD"/>
    <w:rsid w:val="00262A23"/>
    <w:rsid w:val="00262FBE"/>
    <w:rsid w:val="003039C7"/>
    <w:rsid w:val="003604DA"/>
    <w:rsid w:val="003B464E"/>
    <w:rsid w:val="003C0301"/>
    <w:rsid w:val="00437005"/>
    <w:rsid w:val="00437042"/>
    <w:rsid w:val="00464DC3"/>
    <w:rsid w:val="00466057"/>
    <w:rsid w:val="004B4138"/>
    <w:rsid w:val="004C2532"/>
    <w:rsid w:val="004F5488"/>
    <w:rsid w:val="0051047A"/>
    <w:rsid w:val="00605935"/>
    <w:rsid w:val="006A0900"/>
    <w:rsid w:val="006A61CC"/>
    <w:rsid w:val="006B110F"/>
    <w:rsid w:val="00702DFE"/>
    <w:rsid w:val="00706999"/>
    <w:rsid w:val="00717B1A"/>
    <w:rsid w:val="00785AEB"/>
    <w:rsid w:val="007906CD"/>
    <w:rsid w:val="007A68FE"/>
    <w:rsid w:val="007E61DC"/>
    <w:rsid w:val="0095032F"/>
    <w:rsid w:val="00954727"/>
    <w:rsid w:val="009831CE"/>
    <w:rsid w:val="00995F66"/>
    <w:rsid w:val="009D02F2"/>
    <w:rsid w:val="009E2838"/>
    <w:rsid w:val="00A6282C"/>
    <w:rsid w:val="00A6785F"/>
    <w:rsid w:val="00A948FE"/>
    <w:rsid w:val="00AA6713"/>
    <w:rsid w:val="00AE15F5"/>
    <w:rsid w:val="00B27616"/>
    <w:rsid w:val="00B53560"/>
    <w:rsid w:val="00B92B00"/>
    <w:rsid w:val="00B93D02"/>
    <w:rsid w:val="00BA5BCF"/>
    <w:rsid w:val="00BF58F1"/>
    <w:rsid w:val="00C3308C"/>
    <w:rsid w:val="00CF45AA"/>
    <w:rsid w:val="00D035B4"/>
    <w:rsid w:val="00D07927"/>
    <w:rsid w:val="00D35CD7"/>
    <w:rsid w:val="00D93F01"/>
    <w:rsid w:val="00DA0371"/>
    <w:rsid w:val="00DA1091"/>
    <w:rsid w:val="00DA5417"/>
    <w:rsid w:val="00DB1C14"/>
    <w:rsid w:val="00DB6D51"/>
    <w:rsid w:val="00DC20CD"/>
    <w:rsid w:val="00DE628A"/>
    <w:rsid w:val="00E02958"/>
    <w:rsid w:val="00E47EF0"/>
    <w:rsid w:val="00E577EE"/>
    <w:rsid w:val="00EC6CEA"/>
    <w:rsid w:val="00EE6040"/>
    <w:rsid w:val="00F24979"/>
    <w:rsid w:val="00FD1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DDA96"/>
  <w15:chartTrackingRefBased/>
  <w15:docId w15:val="{E86B3479-07EE-4D1D-9A70-F7BA39341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EF0"/>
  </w:style>
  <w:style w:type="paragraph" w:styleId="Heading1">
    <w:name w:val="heading 1"/>
    <w:basedOn w:val="Normal"/>
    <w:next w:val="Normal"/>
    <w:link w:val="Heading1Char"/>
    <w:uiPriority w:val="9"/>
    <w:qFormat/>
    <w:rsid w:val="00E47E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70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70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670F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670F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670F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EF0"/>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A6713"/>
  </w:style>
  <w:style w:type="paragraph" w:styleId="NoSpacing">
    <w:name w:val="No Spacing"/>
    <w:uiPriority w:val="1"/>
    <w:qFormat/>
    <w:rsid w:val="003C0301"/>
    <w:pPr>
      <w:spacing w:after="0" w:line="240" w:lineRule="auto"/>
    </w:pPr>
  </w:style>
  <w:style w:type="paragraph" w:styleId="NormalWeb">
    <w:name w:val="Normal (Web)"/>
    <w:basedOn w:val="Normal"/>
    <w:uiPriority w:val="99"/>
    <w:semiHidden/>
    <w:unhideWhenUsed/>
    <w:rsid w:val="00A678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6B110F"/>
    <w:pPr>
      <w:outlineLvl w:val="9"/>
    </w:pPr>
    <w:rPr>
      <w:lang w:val="en-US"/>
    </w:rPr>
  </w:style>
  <w:style w:type="paragraph" w:styleId="TOC1">
    <w:name w:val="toc 1"/>
    <w:basedOn w:val="Normal"/>
    <w:next w:val="Normal"/>
    <w:autoRedefine/>
    <w:uiPriority w:val="39"/>
    <w:unhideWhenUsed/>
    <w:rsid w:val="006B110F"/>
    <w:pPr>
      <w:spacing w:after="100"/>
    </w:pPr>
  </w:style>
  <w:style w:type="character" w:styleId="Hyperlink">
    <w:name w:val="Hyperlink"/>
    <w:basedOn w:val="DefaultParagraphFont"/>
    <w:uiPriority w:val="99"/>
    <w:unhideWhenUsed/>
    <w:rsid w:val="006B110F"/>
    <w:rPr>
      <w:color w:val="0563C1" w:themeColor="hyperlink"/>
      <w:u w:val="single"/>
    </w:rPr>
  </w:style>
  <w:style w:type="paragraph" w:styleId="Header">
    <w:name w:val="header"/>
    <w:basedOn w:val="Normal"/>
    <w:link w:val="HeaderChar"/>
    <w:uiPriority w:val="99"/>
    <w:unhideWhenUsed/>
    <w:rsid w:val="006B1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10F"/>
  </w:style>
  <w:style w:type="paragraph" w:styleId="Footer">
    <w:name w:val="footer"/>
    <w:basedOn w:val="Normal"/>
    <w:link w:val="FooterChar"/>
    <w:uiPriority w:val="99"/>
    <w:unhideWhenUsed/>
    <w:rsid w:val="006B1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10F"/>
  </w:style>
  <w:style w:type="character" w:customStyle="1" w:styleId="Heading2Char">
    <w:name w:val="Heading 2 Char"/>
    <w:basedOn w:val="DefaultParagraphFont"/>
    <w:link w:val="Heading2"/>
    <w:uiPriority w:val="9"/>
    <w:rsid w:val="001670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670F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670F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670F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670FE"/>
    <w:rPr>
      <w:rFonts w:asciiTheme="majorHAnsi" w:eastAsiaTheme="majorEastAsia" w:hAnsiTheme="majorHAnsi" w:cstheme="majorBidi"/>
      <w:color w:val="1F3763" w:themeColor="accent1" w:themeShade="7F"/>
    </w:rPr>
  </w:style>
  <w:style w:type="paragraph" w:styleId="TOC2">
    <w:name w:val="toc 2"/>
    <w:basedOn w:val="Normal"/>
    <w:next w:val="Normal"/>
    <w:autoRedefine/>
    <w:uiPriority w:val="39"/>
    <w:unhideWhenUsed/>
    <w:rsid w:val="001670FE"/>
    <w:pPr>
      <w:spacing w:after="100"/>
      <w:ind w:left="220"/>
    </w:pPr>
  </w:style>
  <w:style w:type="paragraph" w:styleId="TOC3">
    <w:name w:val="toc 3"/>
    <w:basedOn w:val="Normal"/>
    <w:next w:val="Normal"/>
    <w:autoRedefine/>
    <w:uiPriority w:val="39"/>
    <w:unhideWhenUsed/>
    <w:rsid w:val="001670FE"/>
    <w:pPr>
      <w:spacing w:after="100"/>
      <w:ind w:left="440"/>
    </w:pPr>
  </w:style>
  <w:style w:type="paragraph" w:styleId="TOC4">
    <w:name w:val="toc 4"/>
    <w:basedOn w:val="Normal"/>
    <w:next w:val="Normal"/>
    <w:autoRedefine/>
    <w:uiPriority w:val="39"/>
    <w:unhideWhenUsed/>
    <w:rsid w:val="001670FE"/>
    <w:pPr>
      <w:spacing w:after="100"/>
      <w:ind w:left="660"/>
    </w:pPr>
  </w:style>
  <w:style w:type="paragraph" w:styleId="TOC5">
    <w:name w:val="toc 5"/>
    <w:basedOn w:val="Normal"/>
    <w:next w:val="Normal"/>
    <w:autoRedefine/>
    <w:uiPriority w:val="39"/>
    <w:unhideWhenUsed/>
    <w:rsid w:val="001670FE"/>
    <w:pPr>
      <w:spacing w:after="100"/>
      <w:ind w:left="880"/>
    </w:pPr>
  </w:style>
  <w:style w:type="paragraph" w:styleId="TOC6">
    <w:name w:val="toc 6"/>
    <w:basedOn w:val="Normal"/>
    <w:next w:val="Normal"/>
    <w:autoRedefine/>
    <w:uiPriority w:val="39"/>
    <w:unhideWhenUsed/>
    <w:rsid w:val="001670FE"/>
    <w:pPr>
      <w:spacing w:after="100"/>
      <w:ind w:left="1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40686">
      <w:bodyDiv w:val="1"/>
      <w:marLeft w:val="0"/>
      <w:marRight w:val="0"/>
      <w:marTop w:val="0"/>
      <w:marBottom w:val="0"/>
      <w:divBdr>
        <w:top w:val="none" w:sz="0" w:space="0" w:color="auto"/>
        <w:left w:val="none" w:sz="0" w:space="0" w:color="auto"/>
        <w:bottom w:val="none" w:sz="0" w:space="0" w:color="auto"/>
        <w:right w:val="none" w:sz="0" w:space="0" w:color="auto"/>
      </w:divBdr>
    </w:div>
    <w:div w:id="107890802">
      <w:bodyDiv w:val="1"/>
      <w:marLeft w:val="0"/>
      <w:marRight w:val="0"/>
      <w:marTop w:val="0"/>
      <w:marBottom w:val="0"/>
      <w:divBdr>
        <w:top w:val="none" w:sz="0" w:space="0" w:color="auto"/>
        <w:left w:val="none" w:sz="0" w:space="0" w:color="auto"/>
        <w:bottom w:val="none" w:sz="0" w:space="0" w:color="auto"/>
        <w:right w:val="none" w:sz="0" w:space="0" w:color="auto"/>
      </w:divBdr>
    </w:div>
    <w:div w:id="136801315">
      <w:bodyDiv w:val="1"/>
      <w:marLeft w:val="0"/>
      <w:marRight w:val="0"/>
      <w:marTop w:val="0"/>
      <w:marBottom w:val="0"/>
      <w:divBdr>
        <w:top w:val="none" w:sz="0" w:space="0" w:color="auto"/>
        <w:left w:val="none" w:sz="0" w:space="0" w:color="auto"/>
        <w:bottom w:val="none" w:sz="0" w:space="0" w:color="auto"/>
        <w:right w:val="none" w:sz="0" w:space="0" w:color="auto"/>
      </w:divBdr>
    </w:div>
    <w:div w:id="435753948">
      <w:bodyDiv w:val="1"/>
      <w:marLeft w:val="0"/>
      <w:marRight w:val="0"/>
      <w:marTop w:val="0"/>
      <w:marBottom w:val="0"/>
      <w:divBdr>
        <w:top w:val="none" w:sz="0" w:space="0" w:color="auto"/>
        <w:left w:val="none" w:sz="0" w:space="0" w:color="auto"/>
        <w:bottom w:val="none" w:sz="0" w:space="0" w:color="auto"/>
        <w:right w:val="none" w:sz="0" w:space="0" w:color="auto"/>
      </w:divBdr>
    </w:div>
    <w:div w:id="495344953">
      <w:bodyDiv w:val="1"/>
      <w:marLeft w:val="0"/>
      <w:marRight w:val="0"/>
      <w:marTop w:val="0"/>
      <w:marBottom w:val="0"/>
      <w:divBdr>
        <w:top w:val="none" w:sz="0" w:space="0" w:color="auto"/>
        <w:left w:val="none" w:sz="0" w:space="0" w:color="auto"/>
        <w:bottom w:val="none" w:sz="0" w:space="0" w:color="auto"/>
        <w:right w:val="none" w:sz="0" w:space="0" w:color="auto"/>
      </w:divBdr>
    </w:div>
    <w:div w:id="554051674">
      <w:bodyDiv w:val="1"/>
      <w:marLeft w:val="0"/>
      <w:marRight w:val="0"/>
      <w:marTop w:val="0"/>
      <w:marBottom w:val="0"/>
      <w:divBdr>
        <w:top w:val="none" w:sz="0" w:space="0" w:color="auto"/>
        <w:left w:val="none" w:sz="0" w:space="0" w:color="auto"/>
        <w:bottom w:val="none" w:sz="0" w:space="0" w:color="auto"/>
        <w:right w:val="none" w:sz="0" w:space="0" w:color="auto"/>
      </w:divBdr>
    </w:div>
    <w:div w:id="687214150">
      <w:bodyDiv w:val="1"/>
      <w:marLeft w:val="0"/>
      <w:marRight w:val="0"/>
      <w:marTop w:val="0"/>
      <w:marBottom w:val="0"/>
      <w:divBdr>
        <w:top w:val="none" w:sz="0" w:space="0" w:color="auto"/>
        <w:left w:val="none" w:sz="0" w:space="0" w:color="auto"/>
        <w:bottom w:val="none" w:sz="0" w:space="0" w:color="auto"/>
        <w:right w:val="none" w:sz="0" w:space="0" w:color="auto"/>
      </w:divBdr>
    </w:div>
    <w:div w:id="810248334">
      <w:bodyDiv w:val="1"/>
      <w:marLeft w:val="0"/>
      <w:marRight w:val="0"/>
      <w:marTop w:val="0"/>
      <w:marBottom w:val="0"/>
      <w:divBdr>
        <w:top w:val="none" w:sz="0" w:space="0" w:color="auto"/>
        <w:left w:val="none" w:sz="0" w:space="0" w:color="auto"/>
        <w:bottom w:val="none" w:sz="0" w:space="0" w:color="auto"/>
        <w:right w:val="none" w:sz="0" w:space="0" w:color="auto"/>
      </w:divBdr>
    </w:div>
    <w:div w:id="837813019">
      <w:bodyDiv w:val="1"/>
      <w:marLeft w:val="0"/>
      <w:marRight w:val="0"/>
      <w:marTop w:val="0"/>
      <w:marBottom w:val="0"/>
      <w:divBdr>
        <w:top w:val="none" w:sz="0" w:space="0" w:color="auto"/>
        <w:left w:val="none" w:sz="0" w:space="0" w:color="auto"/>
        <w:bottom w:val="none" w:sz="0" w:space="0" w:color="auto"/>
        <w:right w:val="none" w:sz="0" w:space="0" w:color="auto"/>
      </w:divBdr>
    </w:div>
    <w:div w:id="1193421184">
      <w:bodyDiv w:val="1"/>
      <w:marLeft w:val="0"/>
      <w:marRight w:val="0"/>
      <w:marTop w:val="0"/>
      <w:marBottom w:val="0"/>
      <w:divBdr>
        <w:top w:val="none" w:sz="0" w:space="0" w:color="auto"/>
        <w:left w:val="none" w:sz="0" w:space="0" w:color="auto"/>
        <w:bottom w:val="none" w:sz="0" w:space="0" w:color="auto"/>
        <w:right w:val="none" w:sz="0" w:space="0" w:color="auto"/>
      </w:divBdr>
    </w:div>
    <w:div w:id="1259869467">
      <w:bodyDiv w:val="1"/>
      <w:marLeft w:val="0"/>
      <w:marRight w:val="0"/>
      <w:marTop w:val="0"/>
      <w:marBottom w:val="0"/>
      <w:divBdr>
        <w:top w:val="none" w:sz="0" w:space="0" w:color="auto"/>
        <w:left w:val="none" w:sz="0" w:space="0" w:color="auto"/>
        <w:bottom w:val="none" w:sz="0" w:space="0" w:color="auto"/>
        <w:right w:val="none" w:sz="0" w:space="0" w:color="auto"/>
      </w:divBdr>
    </w:div>
    <w:div w:id="1260606872">
      <w:bodyDiv w:val="1"/>
      <w:marLeft w:val="0"/>
      <w:marRight w:val="0"/>
      <w:marTop w:val="0"/>
      <w:marBottom w:val="0"/>
      <w:divBdr>
        <w:top w:val="none" w:sz="0" w:space="0" w:color="auto"/>
        <w:left w:val="none" w:sz="0" w:space="0" w:color="auto"/>
        <w:bottom w:val="none" w:sz="0" w:space="0" w:color="auto"/>
        <w:right w:val="none" w:sz="0" w:space="0" w:color="auto"/>
      </w:divBdr>
    </w:div>
    <w:div w:id="1274094628">
      <w:bodyDiv w:val="1"/>
      <w:marLeft w:val="0"/>
      <w:marRight w:val="0"/>
      <w:marTop w:val="0"/>
      <w:marBottom w:val="0"/>
      <w:divBdr>
        <w:top w:val="none" w:sz="0" w:space="0" w:color="auto"/>
        <w:left w:val="none" w:sz="0" w:space="0" w:color="auto"/>
        <w:bottom w:val="none" w:sz="0" w:space="0" w:color="auto"/>
        <w:right w:val="none" w:sz="0" w:space="0" w:color="auto"/>
      </w:divBdr>
    </w:div>
    <w:div w:id="1308826170">
      <w:bodyDiv w:val="1"/>
      <w:marLeft w:val="0"/>
      <w:marRight w:val="0"/>
      <w:marTop w:val="0"/>
      <w:marBottom w:val="0"/>
      <w:divBdr>
        <w:top w:val="none" w:sz="0" w:space="0" w:color="auto"/>
        <w:left w:val="none" w:sz="0" w:space="0" w:color="auto"/>
        <w:bottom w:val="none" w:sz="0" w:space="0" w:color="auto"/>
        <w:right w:val="none" w:sz="0" w:space="0" w:color="auto"/>
      </w:divBdr>
    </w:div>
    <w:div w:id="1399984625">
      <w:bodyDiv w:val="1"/>
      <w:marLeft w:val="0"/>
      <w:marRight w:val="0"/>
      <w:marTop w:val="0"/>
      <w:marBottom w:val="0"/>
      <w:divBdr>
        <w:top w:val="none" w:sz="0" w:space="0" w:color="auto"/>
        <w:left w:val="none" w:sz="0" w:space="0" w:color="auto"/>
        <w:bottom w:val="none" w:sz="0" w:space="0" w:color="auto"/>
        <w:right w:val="none" w:sz="0" w:space="0" w:color="auto"/>
      </w:divBdr>
    </w:div>
    <w:div w:id="1455103806">
      <w:bodyDiv w:val="1"/>
      <w:marLeft w:val="0"/>
      <w:marRight w:val="0"/>
      <w:marTop w:val="0"/>
      <w:marBottom w:val="0"/>
      <w:divBdr>
        <w:top w:val="none" w:sz="0" w:space="0" w:color="auto"/>
        <w:left w:val="none" w:sz="0" w:space="0" w:color="auto"/>
        <w:bottom w:val="none" w:sz="0" w:space="0" w:color="auto"/>
        <w:right w:val="none" w:sz="0" w:space="0" w:color="auto"/>
      </w:divBdr>
    </w:div>
    <w:div w:id="1477649181">
      <w:bodyDiv w:val="1"/>
      <w:marLeft w:val="0"/>
      <w:marRight w:val="0"/>
      <w:marTop w:val="0"/>
      <w:marBottom w:val="0"/>
      <w:divBdr>
        <w:top w:val="none" w:sz="0" w:space="0" w:color="auto"/>
        <w:left w:val="none" w:sz="0" w:space="0" w:color="auto"/>
        <w:bottom w:val="none" w:sz="0" w:space="0" w:color="auto"/>
        <w:right w:val="none" w:sz="0" w:space="0" w:color="auto"/>
      </w:divBdr>
    </w:div>
    <w:div w:id="1532717428">
      <w:bodyDiv w:val="1"/>
      <w:marLeft w:val="0"/>
      <w:marRight w:val="0"/>
      <w:marTop w:val="0"/>
      <w:marBottom w:val="0"/>
      <w:divBdr>
        <w:top w:val="none" w:sz="0" w:space="0" w:color="auto"/>
        <w:left w:val="none" w:sz="0" w:space="0" w:color="auto"/>
        <w:bottom w:val="none" w:sz="0" w:space="0" w:color="auto"/>
        <w:right w:val="none" w:sz="0" w:space="0" w:color="auto"/>
      </w:divBdr>
    </w:div>
    <w:div w:id="1583879305">
      <w:bodyDiv w:val="1"/>
      <w:marLeft w:val="0"/>
      <w:marRight w:val="0"/>
      <w:marTop w:val="0"/>
      <w:marBottom w:val="0"/>
      <w:divBdr>
        <w:top w:val="none" w:sz="0" w:space="0" w:color="auto"/>
        <w:left w:val="none" w:sz="0" w:space="0" w:color="auto"/>
        <w:bottom w:val="none" w:sz="0" w:space="0" w:color="auto"/>
        <w:right w:val="none" w:sz="0" w:space="0" w:color="auto"/>
      </w:divBdr>
    </w:div>
    <w:div w:id="1641181051">
      <w:bodyDiv w:val="1"/>
      <w:marLeft w:val="0"/>
      <w:marRight w:val="0"/>
      <w:marTop w:val="0"/>
      <w:marBottom w:val="0"/>
      <w:divBdr>
        <w:top w:val="none" w:sz="0" w:space="0" w:color="auto"/>
        <w:left w:val="none" w:sz="0" w:space="0" w:color="auto"/>
        <w:bottom w:val="none" w:sz="0" w:space="0" w:color="auto"/>
        <w:right w:val="none" w:sz="0" w:space="0" w:color="auto"/>
      </w:divBdr>
    </w:div>
    <w:div w:id="1786190553">
      <w:bodyDiv w:val="1"/>
      <w:marLeft w:val="0"/>
      <w:marRight w:val="0"/>
      <w:marTop w:val="0"/>
      <w:marBottom w:val="0"/>
      <w:divBdr>
        <w:top w:val="none" w:sz="0" w:space="0" w:color="auto"/>
        <w:left w:val="none" w:sz="0" w:space="0" w:color="auto"/>
        <w:bottom w:val="none" w:sz="0" w:space="0" w:color="auto"/>
        <w:right w:val="none" w:sz="0" w:space="0" w:color="auto"/>
      </w:divBdr>
    </w:div>
    <w:div w:id="1873417965">
      <w:bodyDiv w:val="1"/>
      <w:marLeft w:val="0"/>
      <w:marRight w:val="0"/>
      <w:marTop w:val="0"/>
      <w:marBottom w:val="0"/>
      <w:divBdr>
        <w:top w:val="none" w:sz="0" w:space="0" w:color="auto"/>
        <w:left w:val="none" w:sz="0" w:space="0" w:color="auto"/>
        <w:bottom w:val="none" w:sz="0" w:space="0" w:color="auto"/>
        <w:right w:val="none" w:sz="0" w:space="0" w:color="auto"/>
      </w:divBdr>
    </w:div>
    <w:div w:id="1927152985">
      <w:bodyDiv w:val="1"/>
      <w:marLeft w:val="0"/>
      <w:marRight w:val="0"/>
      <w:marTop w:val="0"/>
      <w:marBottom w:val="0"/>
      <w:divBdr>
        <w:top w:val="none" w:sz="0" w:space="0" w:color="auto"/>
        <w:left w:val="none" w:sz="0" w:space="0" w:color="auto"/>
        <w:bottom w:val="none" w:sz="0" w:space="0" w:color="auto"/>
        <w:right w:val="none" w:sz="0" w:space="0" w:color="auto"/>
      </w:divBdr>
    </w:div>
    <w:div w:id="1934437386">
      <w:bodyDiv w:val="1"/>
      <w:marLeft w:val="0"/>
      <w:marRight w:val="0"/>
      <w:marTop w:val="0"/>
      <w:marBottom w:val="0"/>
      <w:divBdr>
        <w:top w:val="none" w:sz="0" w:space="0" w:color="auto"/>
        <w:left w:val="none" w:sz="0" w:space="0" w:color="auto"/>
        <w:bottom w:val="none" w:sz="0" w:space="0" w:color="auto"/>
        <w:right w:val="none" w:sz="0" w:space="0" w:color="auto"/>
      </w:divBdr>
    </w:div>
    <w:div w:id="1981498321">
      <w:bodyDiv w:val="1"/>
      <w:marLeft w:val="0"/>
      <w:marRight w:val="0"/>
      <w:marTop w:val="0"/>
      <w:marBottom w:val="0"/>
      <w:divBdr>
        <w:top w:val="none" w:sz="0" w:space="0" w:color="auto"/>
        <w:left w:val="none" w:sz="0" w:space="0" w:color="auto"/>
        <w:bottom w:val="none" w:sz="0" w:space="0" w:color="auto"/>
        <w:right w:val="none" w:sz="0" w:space="0" w:color="auto"/>
      </w:divBdr>
    </w:div>
    <w:div w:id="2009092142">
      <w:bodyDiv w:val="1"/>
      <w:marLeft w:val="0"/>
      <w:marRight w:val="0"/>
      <w:marTop w:val="0"/>
      <w:marBottom w:val="0"/>
      <w:divBdr>
        <w:top w:val="none" w:sz="0" w:space="0" w:color="auto"/>
        <w:left w:val="none" w:sz="0" w:space="0" w:color="auto"/>
        <w:bottom w:val="none" w:sz="0" w:space="0" w:color="auto"/>
        <w:right w:val="none" w:sz="0" w:space="0" w:color="auto"/>
      </w:divBdr>
    </w:div>
    <w:div w:id="2108689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Sch19</b:Tag>
    <b:SourceType>InternetSite</b:SourceType>
    <b:Guid>{6BCF6CB4-6999-42CD-AF40-75B8D5CBDE08}</b:Guid>
    <b:Author>
      <b:Author>
        <b:NameList>
          <b:Person>
            <b:Last>Schooley</b:Last>
            <b:First>S</b:First>
          </b:Person>
        </b:NameList>
      </b:Author>
    </b:Author>
    <b:Title>6 ways to Get a Job Without Industry Experience</b:Title>
    <b:Year>2019</b:Year>
    <b:YearAccessed>2021</b:YearAccessed>
    <b:MonthAccessed>July</b:MonthAccessed>
    <b:DayAccessed>19</b:DayAccessed>
    <b:URL>https://www.businessnewsdaily.com/15277-get-a-job-without-experience.html</b:URL>
    <b:RefOrder>11</b:RefOrder>
  </b:Source>
  <b:Source>
    <b:Tag>Lea06</b:Tag>
    <b:SourceType>JournalArticle</b:SourceType>
    <b:Guid>{CBF6708C-706F-4AEE-A2AA-55D161B9093F}</b:Guid>
    <b:Title>Viewing mathematics teachers' beliefs as sensible systems</b:Title>
    <b:Year>2006</b:Year>
    <b:Author>
      <b:Author>
        <b:NameList>
          <b:Person>
            <b:Last>Leatham</b:Last>
            <b:First>K.</b:First>
            <b:Middle>R.</b:Middle>
          </b:Person>
        </b:NameList>
      </b:Author>
    </b:Author>
    <b:JournalName>Journal of Mathematics Teacher Education,</b:JournalName>
    <b:Pages>91-102</b:Pages>
    <b:Volume>9</b:Volume>
    <b:RefOrder>17</b:RefOrder>
  </b:Source>
  <b:Source>
    <b:Tag>Abe79</b:Tag>
    <b:SourceType>JournalArticle</b:SourceType>
    <b:Guid>{639567FE-AEDC-4436-A7CE-5523D82E2C16}</b:Guid>
    <b:Author>
      <b:Author>
        <b:NameList>
          <b:Person>
            <b:Last>Abelson</b:Last>
            <b:First>R.</b:First>
            <b:Middle>P.</b:Middle>
          </b:Person>
        </b:NameList>
      </b:Author>
    </b:Author>
    <b:Title>Differences between belief and knowledge systems</b:Title>
    <b:JournalName>Cognitive science</b:JournalName>
    <b:Year>1979</b:Year>
    <b:Pages>355-366</b:Pages>
    <b:Volume>3</b:Volume>
    <b:RefOrder>18</b:RefOrder>
  </b:Source>
  <b:Source>
    <b:Tag>Peh03</b:Tag>
    <b:SourceType>JournalArticle</b:SourceType>
    <b:Guid>{7DB4668F-70D2-4721-BC31-CCBDE6C68C5D}</b:Guid>
    <b:Author>
      <b:Author>
        <b:NameList>
          <b:Person>
            <b:Last>Pehkonen</b:Last>
            <b:First>E.</b:First>
          </b:Person>
          <b:Person>
            <b:Last>Pietilä</b:Last>
            <b:First>A.</b:First>
          </b:Person>
        </b:NameList>
      </b:Author>
    </b:Author>
    <b:Title>On relationships between beliefs and knowledge</b:Title>
    <b:JournalName>CERME 3: Third conference of the European society for research in mathematics education 3</b:JournalName>
    <b:Year>2003</b:Year>
    <b:RefOrder>1</b:RefOrder>
  </b:Source>
  <b:Source>
    <b:Tag>Ray97</b:Tag>
    <b:SourceType>JournalArticle</b:SourceType>
    <b:Guid>{FE141DA2-B74A-4E88-B2E0-444668775FC1}</b:Guid>
    <b:Author>
      <b:Author>
        <b:NameList>
          <b:Person>
            <b:Last>Raymond</b:Last>
            <b:First>A.</b:First>
            <b:Middle>M.</b:Middle>
          </b:Person>
        </b:NameList>
      </b:Author>
    </b:Author>
    <b:Title>Inconsistency between a beginning elementary school teacher's mathematics beliefs and teaching practice.</b:Title>
    <b:JournalName>Journal for Research in Mathematics Education</b:JournalName>
    <b:Year>1997</b:Year>
    <b:Pages>550-576</b:Pages>
    <b:Volume>28</b:Volume>
    <b:RefOrder>19</b:RefOrder>
  </b:Source>
  <b:Source>
    <b:Tag>Joh87</b:Tag>
    <b:SourceType>JournalArticle</b:SourceType>
    <b:Guid>{BE8B4A8D-0013-4B45-9D93-F47AB6B4413F}</b:Guid>
    <b:Author>
      <b:Author>
        <b:NameList>
          <b:Person>
            <b:Last>Johnson</b:Last>
            <b:First>D.</b:First>
            <b:Middle>M.</b:Middle>
          </b:Person>
        </b:NameList>
      </b:Author>
    </b:Author>
    <b:Title>The Greek Origins Of Belief</b:Title>
    <b:JournalName>American Pshicolophical Quarterly</b:JournalName>
    <b:Year>1987</b:Year>
    <b:Pages>319</b:Pages>
    <b:Volume>24</b:Volume>
    <b:Issue>4</b:Issue>
    <b:RefOrder>20</b:RefOrder>
  </b:Source>
  <b:Source>
    <b:Tag>And09</b:Tag>
    <b:SourceType>JournalArticle</b:SourceType>
    <b:Guid>{91BC2A38-E21B-4E09-ACEA-F7C446AAAA86}</b:Guid>
    <b:Author>
      <b:Author>
        <b:NameList>
          <b:Person>
            <b:Last>Anderson</b:Last>
            <b:First>M.</b:First>
          </b:Person>
          <b:Person>
            <b:Last>De Silva</b:Last>
            <b:First>S.</b:First>
          </b:Person>
        </b:NameList>
      </b:Author>
    </b:Author>
    <b:Title>Beliefs, Values and Attitudes</b:Title>
    <b:JournalName>Cumbria: Me and US Ltd</b:JournalName>
    <b:Year>2009</b:Year>
    <b:Pages>1</b:Pages>
    <b:Issue>1</b:Issue>
    <b:RefOrder>2</b:RefOrder>
  </b:Source>
  <b:Source>
    <b:Tag>Reg05</b:Tag>
    <b:SourceType>JournalArticle</b:SourceType>
    <b:Guid>{9D0EFF04-E173-496E-A639-CC037EEF7EC9}</b:Guid>
    <b:Author>
      <b:Author>
        <b:NameList>
          <b:Person>
            <b:Last>Regnerus</b:Last>
            <b:First>M.</b:First>
            <b:Middle>D.</b:Middle>
          </b:Person>
          <b:Person>
            <b:Last>Smith</b:Last>
            <b:First>C.</b:First>
          </b:Person>
        </b:NameList>
      </b:Author>
    </b:Author>
    <b:Title>Selection effects in studies of religious influence</b:Title>
    <b:JournalName>Review of Religious Research</b:JournalName>
    <b:Year>2005</b:Year>
    <b:Pages>23-50</b:Pages>
    <b:Volume>47</b:Volume>
    <b:Issue>1</b:Issue>
    <b:RefOrder>3</b:RefOrder>
  </b:Source>
  <b:Source>
    <b:Tag>Vit09</b:Tag>
    <b:SourceType>JournalArticle</b:SourceType>
    <b:Guid>{FCBE48E1-6064-4137-96CD-50AEBC7F8196}</b:Guid>
    <b:Author>
      <b:Author>
        <b:NameList>
          <b:Person>
            <b:Last>Vitell</b:Last>
            <b:First>S.</b:First>
            <b:Middle>J.</b:Middle>
          </b:Person>
        </b:NameList>
      </b:Author>
    </b:Author>
    <b:Title>The role of religiosity in business and consumer ethics: A review of the literature</b:Title>
    <b:JournalName> Journal of Business </b:JournalName>
    <b:Year>2009</b:Year>
    <b:Pages>155–167</b:Pages>
    <b:Volume>90</b:Volume>
    <b:Issue>2</b:Issue>
    <b:RefOrder>21</b:RefOrder>
  </b:Source>
  <b:Source>
    <b:Tag>Lew02</b:Tag>
    <b:SourceType>JournalArticle</b:SourceType>
    <b:Guid>{ECCE41E2-BBFD-46C7-B3C1-830C242E82C6}</b:Guid>
    <b:Author>
      <b:Author>
        <b:NameList>
          <b:Person>
            <b:Last>Lewis</b:Last>
            <b:First>M.</b:First>
          </b:Person>
          <b:Person>
            <b:Last>Hardin</b:Last>
            <b:First>S.</b:First>
          </b:Person>
        </b:NameList>
      </b:Author>
    </b:Author>
    <b:Title>Relations Among and Between Career Values and Christian Religious Values</b:Title>
    <b:JournalName>Counseling and Values</b:JournalName>
    <b:Year>2002</b:Year>
    <b:Volume>46</b:Volume>
    <b:Issue>2</b:Issue>
    <b:RefOrder>4</b:RefOrder>
  </b:Source>
  <b:Source>
    <b:Tag>Dun11</b:Tag>
    <b:SourceType>JournalArticle</b:SourceType>
    <b:Guid>{951925D0-BF2B-42A9-B7CA-4735C5FAFB18}</b:Guid>
    <b:Author>
      <b:Author>
        <b:NameList>
          <b:Person>
            <b:Last>Dunn</b:Last>
            <b:First>L.</b:First>
            <b:Middle>S.</b:Middle>
          </b:Person>
          <b:Person>
            <b:Last>Galloway</b:Last>
            <b:First>R.</b:First>
            <b:Middle>G.</b:Middle>
          </b:Person>
        </b:NameList>
      </b:Author>
    </b:Author>
    <b:Title>Islam, Islamic Finance, and Christianity</b:Title>
    <b:JournalName>The Journal of Biblical Intergration in Business</b:JournalName>
    <b:Year>2011</b:Year>
    <b:Volume>14</b:Volume>
    <b:Issue>1</b:Issue>
    <b:RefOrder>5</b:RefOrder>
  </b:Source>
  <b:Source>
    <b:Tag>AlQ99</b:Tag>
    <b:SourceType>InternetSite</b:SourceType>
    <b:Guid>{9A0DA95F-D747-4662-A457-8289B3F7E6FC}</b:Guid>
    <b:Author>
      <b:Author>
        <b:NameList>
          <b:Person>
            <b:Last>Al-Qazwini</b:Last>
            <b:First>M.</b:First>
          </b:Person>
        </b:NameList>
      </b:Author>
    </b:Author>
    <b:Title>Invitation to Islam</b:Title>
    <b:Year>1999</b:Year>
    <b:YearAccessed>2021</b:YearAccessed>
    <b:MonthAccessed>July</b:MonthAccessed>
    <b:DayAccessed>14</b:DayAccessed>
    <b:URL> islam. org/invitationto/htm</b:URL>
    <b:RefOrder>22</b:RefOrder>
  </b:Source>
  <b:Source>
    <b:Tag>Ear93</b:Tag>
    <b:SourceType>JournalArticle</b:SourceType>
    <b:Guid>{CE9FEC12-DC9F-461C-89C6-33A4C17A34FD}</b:Guid>
    <b:Author>
      <b:Author>
        <b:NameList>
          <b:Person>
            <b:Last>Earley</b:Last>
            <b:First>P.C.</b:First>
          </b:Person>
        </b:NameList>
      </b:Author>
    </b:Author>
    <b:Title>East Meets West Meet Mid-East: Further Explorations of Collectivistic and Individualistic Work Groups</b:Title>
    <b:Year>1993</b:Year>
    <b:JournalName>Academy of Management Journal </b:JournalName>
    <b:Pages>319-348</b:Pages>
    <b:Volume>36</b:Volume>
    <b:Issue>2</b:Issue>
    <b:RefOrder>23</b:RefOrder>
  </b:Source>
  <b:Source>
    <b:Tag>Har98</b:Tag>
    <b:SourceType>JournalArticle</b:SourceType>
    <b:Guid>{FEAF082B-B9E0-4E9C-8868-B0F3BB22C8D6}</b:Guid>
    <b:Author>
      <b:Author>
        <b:NameList>
          <b:Person>
            <b:Last>Harrison</b:Last>
            <b:First>D.</b:First>
          </b:Person>
          <b:Person>
            <b:Last>Price</b:Last>
            <b:First>K.</b:First>
          </b:Person>
          <b:Person>
            <b:Last>Bell</b:Last>
            <b:First>M.</b:First>
          </b:Person>
        </b:NameList>
      </b:Author>
    </b:Author>
    <b:Title>Beyond Relational Demography: Time and the Effects of Surface and Deep-Level Diversity on Work Group Cohesion. </b:Title>
    <b:JournalName>Academy of Management Journal</b:JournalName>
    <b:Year>1998</b:Year>
    <b:Pages>96-107</b:Pages>
    <b:Volume>41</b:Volume>
    <b:Issue>1</b:Issue>
    <b:RefOrder>6</b:RefOrder>
  </b:Source>
  <b:Source>
    <b:Tag>Adl02</b:Tag>
    <b:SourceType>JournalArticle</b:SourceType>
    <b:Guid>{71DAEC89-2C00-42C4-9A6D-987188A81541}</b:Guid>
    <b:Author>
      <b:Author>
        <b:NameList>
          <b:Person>
            <b:Last>Adler</b:Last>
            <b:First>N.</b:First>
            <b:Middle>J. 4th Edition, McGill University,</b:Middle>
          </b:Person>
        </b:NameList>
      </b:Author>
    </b:Author>
    <b:Title> International Dimensions of Organizational Behaviour</b:Title>
    <b:JournalName>McGill University, South –Western, Thomson Learning</b:JournalName>
    <b:Year>2002</b:Year>
    <b:Pages>105-131</b:Pages>
    <b:Issue>4</b:Issue>
    <b:RefOrder>7</b:RefOrder>
  </b:Source>
  <b:Source>
    <b:Tag>GOV15</b:Tag>
    <b:SourceType>InternetSite</b:SourceType>
    <b:Guid>{C2D169D1-2595-4D77-B9AE-3CEA47F56683}</b:Guid>
    <b:Title>Department for Business, Energy and Industrial Strategy (BEIS)</b:Title>
    <b:Year>2015</b:Year>
    <b:Author>
      <b:Author>
        <b:Corporate>GOV.UK</b:Corporate>
      </b:Author>
    </b:Author>
    <b:YearAccessed>2021</b:YearAccessed>
    <b:MonthAccessed>July</b:MonthAccessed>
    <b:DayAccessed>16</b:DayAccessed>
    <b:URL>https://assets.publishing.service.gov.uk/government/uploads/system/uploads/attachment_data/file/444895/BIS-15-421-BIS-Annual-Report-15-HI-RES.pdf</b:URL>
    <b:RefOrder>24</b:RefOrder>
  </b:Source>
  <b:Source>
    <b:Tag>Buk11</b:Tag>
    <b:SourceType>JournalArticle</b:SourceType>
    <b:Guid>{4230A234-2757-4ECF-9863-EA3F733FBFF6}</b:Guid>
    <b:Author>
      <b:Author>
        <b:NameList>
          <b:Person>
            <b:Last>Bukodi</b:Last>
            <b:First>E.</b:First>
          </b:Person>
          <b:Person>
            <b:Last>Goldthorpe</b:Last>
            <b:First>J.</b:First>
          </b:Person>
        </b:NameList>
      </b:Author>
    </b:Author>
    <b:Title>Social class returns to higher education: chances of access to the professional and managerial salariat for men in three British birth cohorts</b:Title>
    <b:Year>2011</b:Year>
    <b:JournalName>Longitudinal and Life Course Studies</b:JournalName>
    <b:Pages>185-201</b:Pages>
    <b:Volume>2</b:Volume>
    <b:Issue>2</b:Issue>
    <b:RefOrder>8</b:RefOrder>
  </b:Source>
  <b:Source>
    <b:Tag>Blu05</b:Tag>
    <b:SourceType>JournalArticle</b:SourceType>
    <b:Guid>{A5EE73AD-5AFE-49F0-B2C8-8D37949684D6}</b:Guid>
    <b:Author>
      <b:Author>
        <b:NameList>
          <b:Person>
            <b:Last>Blundell</b:Last>
            <b:First>R.</b:First>
          </b:Person>
          <b:Person>
            <b:Last>Dearden</b:Last>
            <b:First>L.</b:First>
          </b:Person>
          <b:Person>
            <b:Last>Sianesi</b:Last>
            <b:First>B.</b:First>
          </b:Person>
        </b:NameList>
      </b:Author>
    </b:Author>
    <b:Title> Evaluating the effect of education on earnings: models, methods and results from the National Child Development Survey.</b:Title>
    <b:JournalName>Journal of the Royal Statistical Society: Series A (Statistics in Society)</b:JournalName>
    <b:Year>2005</b:Year>
    <b:Pages>473-512</b:Pages>
    <b:Volume>168</b:Volume>
    <b:Issue>3</b:Issue>
    <b:RefOrder>9</b:RefOrder>
  </b:Source>
  <b:Source>
    <b:Tag>Har00</b:Tag>
    <b:SourceType>JournalArticle</b:SourceType>
    <b:Guid>{14E2D268-5333-4A1D-B92D-CB6735DC7462}</b:Guid>
    <b:Author>
      <b:Author>
        <b:NameList>
          <b:Person>
            <b:Last>Harvey</b:Last>
            <b:First>L.</b:First>
          </b:Person>
        </b:NameList>
      </b:Author>
    </b:Author>
    <b:Title>New realities: The relationship between higher education and employment. Tertiary Education and Management</b:Title>
    <b:JournalName>Kluwer Academic Publishers</b:JournalName>
    <b:Year>2000</b:Year>
    <b:Pages>3-17</b:Pages>
    <b:Volume>6</b:Volume>
    <b:RefOrder>25</b:RefOrder>
  </b:Source>
  <b:Source>
    <b:Tag>Joh14</b:Tag>
    <b:SourceType>JournalArticle</b:SourceType>
    <b:Guid>{EAAD632C-5B13-4EF3-B01E-795AC8C5CA18}</b:Guid>
    <b:Author>
      <b:Author>
        <b:NameList>
          <b:Person>
            <b:Last>John</b:Last>
            <b:First>A.</b:First>
          </b:Person>
          <b:Person>
            <b:Last>Moyer</b:Last>
            <b:First>A.</b:First>
          </b:Person>
        </b:NameList>
      </b:Author>
    </b:Author>
    <b:Title>Student debt and perceptions of preparedness for employment or higher education</b:Title>
    <b:JournalName>Journal of Young Investigators</b:JournalName>
    <b:Year>2014</b:Year>
    <b:Volume>26</b:Volume>
    <b:Issue>2</b:Issue>
    <b:RefOrder>26</b:RefOrder>
  </b:Source>
  <b:Source>
    <b:Tag>War10</b:Tag>
    <b:SourceType>JournalArticle</b:SourceType>
    <b:Guid>{7902D6AB-76B6-4262-A689-8C5C729B5050}</b:Guid>
    <b:Author>
      <b:Author>
        <b:NameList>
          <b:Person>
            <b:Last>Warrick</b:Last>
            <b:First>C.</b:First>
            <b:Middle>S.</b:Middle>
          </b:Person>
          <b:Person>
            <b:Last>Daniels</b:Last>
            <b:First>B.</b:First>
          </b:Person>
          <b:Person>
            <b:Last>Scott</b:Last>
            <b:First>C.</b:First>
          </b:Person>
        </b:NameList>
      </b:Author>
    </b:Author>
    <b:Title>Accounting students’ perceptions on employment opportunities</b:Title>
    <b:JournalName>Research in Higher Education Journal</b:JournalName>
    <b:Year>2010</b:Year>
    <b:Volume>7</b:Volume>
    <b:RefOrder>10</b:RefOrder>
  </b:Source>
  <b:Source>
    <b:Tag>Tho21</b:Tag>
    <b:SourceType>InternetSite</b:SourceType>
    <b:Guid>{7C12C440-7CFF-419A-8192-E187E2CC31CB}</b:Guid>
    <b:Author>
      <b:Author>
        <b:NameList>
          <b:Person>
            <b:Last>Thottam</b:Last>
            <b:First>I</b:First>
          </b:Person>
        </b:NameList>
      </b:Author>
    </b:Author>
    <b:Title>Should you still apply for a job if you don't have enough experience?</b:Title>
    <b:Year>2021</b:Year>
    <b:YearAccessed>2021</b:YearAccessed>
    <b:MonthAccessed>July</b:MonthAccessed>
    <b:DayAccessed>17</b:DayAccessed>
    <b:URL>https://www.monster.com/career-advice/article/should-istill-apply-for-a-job-if-i-dont-have-years-of-experience/</b:URL>
    <b:RefOrder>27</b:RefOrder>
  </b:Source>
  <b:Source>
    <b:Tag>Lev19</b:Tag>
    <b:SourceType>Book</b:SourceType>
    <b:Guid>{E71779CC-7520-4E87-8995-10C4F88FCF12}</b:Guid>
    <b:Title>They Don't Teach Corporate in College</b:Title>
    <b:Year>2019</b:Year>
    <b:Author>
      <b:Author>
        <b:NameList>
          <b:Person>
            <b:Last>Levit</b:Last>
            <b:First>S</b:First>
          </b:Person>
        </b:NameList>
      </b:Author>
    </b:Author>
    <b:Publisher>Red Whell/Weiser, LLC</b:Publisher>
    <b:Edition>1st</b:Edition>
    <b:RefOrder>28</b:RefOrder>
  </b:Source>
  <b:Source>
    <b:Tag>Sal12</b:Tag>
    <b:SourceType>Book</b:SourceType>
    <b:Guid>{14767586-46B9-422E-AA28-09A5E1E7EAF4}</b:Guid>
    <b:Author>
      <b:Author>
        <b:NameList>
          <b:Person>
            <b:Last>Salpenter</b:Last>
            <b:First>M.</b:First>
          </b:Person>
          <b:Person>
            <b:Last>Labovich</b:Last>
            <b:First>M.</b:First>
            <b:Middle>L.</b:Middle>
          </b:Person>
        </b:NameList>
      </b:Author>
    </b:Author>
    <b:Title>100 Conversations for Career Success</b:Title>
    <b:Year>2012</b:Year>
    <b:City>New York</b:City>
    <b:Publisher>Learningexpress, LLC</b:Publisher>
    <b:Edition>1st</b:Edition>
    <b:RefOrder>29</b:RefOrder>
  </b:Source>
  <b:Source>
    <b:Tag>Eag00</b:Tag>
    <b:SourceType>JournalArticle</b:SourceType>
    <b:Guid>{7F92F7B8-816E-482A-AF06-E87366F4A4C3}</b:Guid>
    <b:Author>
      <b:Author>
        <b:NameList>
          <b:Person>
            <b:Last>Eagly</b:Last>
            <b:First>A.</b:First>
            <b:Middle>H.Wood, W.</b:Middle>
          </b:Person>
          <b:Person>
            <b:Last>Diekman</b:Last>
            <b:First>A.</b:First>
            <b:Middle>B.</b:Middle>
          </b:Person>
        </b:NameList>
      </b:Author>
    </b:Author>
    <b:Title>Social role theory of sex differences and similarities: A current appraisal</b:Title>
    <b:Year>2000</b:Year>
    <b:JournalName>The developmental psychology of gender</b:JournalName>
    <b:RefOrder>12</b:RefOrder>
  </b:Source>
  <b:Source>
    <b:Tag>Fis02</b:Tag>
    <b:SourceType>JournalArticle</b:SourceType>
    <b:Guid>{00741B61-B7B0-445C-B74D-B0E911989989}</b:Guid>
    <b:Author>
      <b:Author>
        <b:NameList>
          <b:Person>
            <b:Last>Fiske</b:Last>
            <b:First>S.</b:First>
            <b:Middle>T.</b:Middle>
          </b:Person>
          <b:Person>
            <b:Last>Amy</b:Last>
            <b:First>J.</b:First>
          </b:Person>
          <b:Person>
            <b:Last>Cuddy</b:Last>
            <b:First>P.</b:First>
            <b:Middle>G.</b:Middle>
          </b:Person>
          <b:Person>
            <b:Last>Xu</b:Last>
            <b:First>J.</b:First>
          </b:Person>
        </b:NameList>
      </b:Author>
    </b:Author>
    <b:Title>.Amodel of (often mixed) stereotype content: Competence andwarmth respectively followfrom perceived status and competence.</b:Title>
    <b:JournalName>Journal of Personality and Social Psychology</b:JournalName>
    <b:Year>2002</b:Year>
    <b:Pages>878-902</b:Pages>
    <b:Volume>82</b:Volume>
    <b:RefOrder>13</b:RefOrder>
  </b:Source>
  <b:Source>
    <b:Tag>Pad02</b:Tag>
    <b:SourceType>Book</b:SourceType>
    <b:Guid>{EC1EA7EF-F26C-459D-9621-F9ED683FAEF8}</b:Guid>
    <b:Author>
      <b:Author>
        <b:NameList>
          <b:Person>
            <b:Last>Padovic</b:Last>
            <b:First>I.</b:First>
          </b:Person>
          <b:Person>
            <b:Last>Reskin</b:Last>
            <b:First>B.</b:First>
          </b:Person>
        </b:NameList>
      </b:Author>
    </b:Author>
    <b:Title>Women and men at work</b:Title>
    <b:Year>2002</b:Year>
    <b:City>London</b:City>
    <b:Publisher>Pine Forge Press</b:Publisher>
    <b:Edition>2nd</b:Edition>
    <b:RefOrder>14</b:RefOrder>
  </b:Source>
  <b:Source>
    <b:Tag>Pet00</b:Tag>
    <b:SourceType>JournalArticle</b:SourceType>
    <b:Guid>{967C8A52-3D5E-4171-879C-238B366ED5BE}</b:Guid>
    <b:Author>
      <b:Author>
        <b:NameList>
          <b:Person>
            <b:Last>Petersen</b:Last>
            <b:First>T.</b:First>
          </b:Person>
          <b:Person>
            <b:Last>Saporta</b:Last>
            <b:First>I.</b:First>
          </b:Person>
          <b:Person>
            <b:Last>Seidel</b:Last>
            <b:First>M.</b:First>
            <b:Middle>D.</b:Middle>
          </b:Person>
        </b:NameList>
      </b:Author>
    </b:Author>
    <b:Title>Offering a job: Meritocracy and social networks</b:Title>
    <b:Year>2000</b:Year>
    <b:JournalName>American Journal of Sociology</b:JournalName>
    <b:Pages>763-816</b:Pages>
    <b:Volume>106</b:Volume>
    <b:RefOrder>15</b:RefOrder>
  </b:Source>
  <b:Source>
    <b:Tag>Gon19</b:Tag>
    <b:SourceType>JournalArticle</b:SourceType>
    <b:Guid>{5D3FD5CA-3836-4175-AC98-D5C767166C76}</b:Guid>
    <b:Author>
      <b:Author>
        <b:NameList>
          <b:Person>
            <b:Last>Gonzalez</b:Last>
            <b:First>M.</b:First>
            <b:Middle>J.</b:Middle>
          </b:Person>
          <b:Person>
            <b:Last>Cortina</b:Last>
            <b:First>C.</b:First>
          </b:Person>
          <b:Person>
            <b:Last>Rodrıguez</b:Last>
            <b:First>J.</b:First>
          </b:Person>
        </b:NameList>
      </b:Author>
    </b:Author>
    <b:Title>The Role of Gender Stereotypes in Hiring: A Field Experiment</b:Title>
    <b:JournalName>European Sociological Review</b:JournalName>
    <b:Year>2019</b:Year>
    <b:Pages>187–204</b:Pages>
    <b:Volume>35</b:Volume>
    <b:Issue>2</b:Issue>
    <b:RefOrder>16</b:RefOrder>
  </b:Source>
  <b:Source>
    <b:Tag>Moo04</b:Tag>
    <b:SourceType>Book</b:SourceType>
    <b:Guid>{AEA3DF19-7F37-47A9-8357-0A7D91117519}</b:Guid>
    <b:Author>
      <b:Author>
        <b:NameList>
          <b:Person>
            <b:Last>Moon</b:Last>
            <b:First>J.</b:First>
            <b:Middle>A. Routledge.</b:Middle>
          </b:Person>
        </b:NameList>
      </b:Author>
    </b:Author>
    <b:Title>A Handbook of Reflective and Experiential Learning</b:Title>
    <b:Year>2004</b:Year>
    <b:City>Abington</b:City>
    <b:Publisher>Routledge</b:Publisher>
    <b:RefOrder>30</b:RefOrder>
  </b:Source>
  <b:Source>
    <b:Tag>Dri07</b:Tag>
    <b:SourceType>Book</b:SourceType>
    <b:Guid>{51783858-A20F-4FAE-8E74-5C1CD428D541}</b:Guid>
    <b:Author>
      <b:Author>
        <b:NameList>
          <b:Person>
            <b:Last>Driscoll</b:Last>
            <b:First>J.</b:First>
          </b:Person>
        </b:NameList>
      </b:Author>
    </b:Author>
    <b:Title>Practising Clinical Supervision: A Reflective Approach</b:Title>
    <b:Year>2007</b:Year>
    <b:City>London</b:City>
    <b:Publisher>Bailliere Tindall</b:Publisher>
    <b:RefOrder>31</b:RefOrder>
  </b:Source>
  <b:Source>
    <b:Tag>Bor70</b:Tag>
    <b:SourceType>Book</b:SourceType>
    <b:Guid>{EE3B624C-EC42-4D24-9810-556B0D867699}</b:Guid>
    <b:Author>
      <b:Author>
        <b:NameList>
          <b:Person>
            <b:Last>Borton</b:Last>
            <b:First>T.</b:First>
          </b:Person>
        </b:NameList>
      </b:Author>
    </b:Author>
    <b:Title>Reach, Touch and Teach</b:Title>
    <b:Year>1970</b:Year>
    <b:City>London</b:City>
    <b:Publisher>Hutchinson</b:Publisher>
    <b:Edition>1st</b:Edition>
    <b:RefOrder>32</b:RefOrder>
  </b:Source>
</b:Sources>
</file>

<file path=customXml/itemProps1.xml><?xml version="1.0" encoding="utf-8"?>
<ds:datastoreItem xmlns:ds="http://schemas.openxmlformats.org/officeDocument/2006/customXml" ds:itemID="{A4B44416-4638-4687-8488-35C3E969C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12</Pages>
  <Words>3817</Words>
  <Characters>21762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Larisa Negesc (1917996)</dc:creator>
  <cp:keywords/>
  <dc:description/>
  <cp:lastModifiedBy>Cristina Larisa Negesc (1917996)</cp:lastModifiedBy>
  <cp:revision>43</cp:revision>
  <dcterms:created xsi:type="dcterms:W3CDTF">2021-07-20T17:39:00Z</dcterms:created>
  <dcterms:modified xsi:type="dcterms:W3CDTF">2021-07-25T07:19:00Z</dcterms:modified>
</cp:coreProperties>
</file>