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69A86" w14:textId="32260503" w:rsidR="0033734C" w:rsidRDefault="0033734C" w:rsidP="001F7BB4">
      <w:pPr>
        <w:pStyle w:val="Heading1"/>
        <w:numPr>
          <w:ilvl w:val="0"/>
          <w:numId w:val="0"/>
        </w:numPr>
        <w:ind w:left="360" w:hanging="360"/>
        <w:jc w:val="center"/>
      </w:pPr>
      <w:bookmarkStart w:id="0" w:name="_Toc228013953"/>
      <w:r w:rsidRPr="0033734C">
        <w:rPr>
          <w:noProof/>
        </w:rPr>
        <w:drawing>
          <wp:inline distT="0" distB="0" distL="0" distR="0" wp14:anchorId="5425D882" wp14:editId="68C1411A">
            <wp:extent cx="2276475" cy="904875"/>
            <wp:effectExtent l="0" t="0" r="9525" b="9525"/>
            <wp:docPr id="53244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6475" cy="904875"/>
                    </a:xfrm>
                    <a:prstGeom prst="rect">
                      <a:avLst/>
                    </a:prstGeom>
                    <a:noFill/>
                    <a:ln>
                      <a:noFill/>
                    </a:ln>
                  </pic:spPr>
                </pic:pic>
              </a:graphicData>
            </a:graphic>
          </wp:inline>
        </w:drawing>
      </w:r>
      <w:bookmarkEnd w:id="0"/>
    </w:p>
    <w:p w14:paraId="1D5D0832" w14:textId="77777777" w:rsidR="0033734C" w:rsidRDefault="0033734C" w:rsidP="003022C9">
      <w:pPr>
        <w:pStyle w:val="Default"/>
        <w:jc w:val="center"/>
        <w:rPr>
          <w:sz w:val="44"/>
          <w:szCs w:val="44"/>
        </w:rPr>
      </w:pPr>
    </w:p>
    <w:p w14:paraId="69E65484" w14:textId="7B62EE4D" w:rsidR="003022C9" w:rsidRDefault="003022C9" w:rsidP="003022C9">
      <w:pPr>
        <w:pStyle w:val="Default"/>
        <w:jc w:val="center"/>
        <w:rPr>
          <w:sz w:val="44"/>
          <w:szCs w:val="44"/>
        </w:rPr>
      </w:pPr>
      <w:r>
        <w:rPr>
          <w:sz w:val="44"/>
          <w:szCs w:val="44"/>
        </w:rPr>
        <w:t>University of Wales Trinity Saint David</w:t>
      </w:r>
    </w:p>
    <w:p w14:paraId="44453EE5" w14:textId="36F1ECFE" w:rsidR="003022C9" w:rsidRDefault="003022C9" w:rsidP="003022C9">
      <w:pPr>
        <w:pStyle w:val="Default"/>
        <w:jc w:val="center"/>
        <w:rPr>
          <w:sz w:val="44"/>
          <w:szCs w:val="44"/>
        </w:rPr>
      </w:pPr>
      <w:r>
        <w:rPr>
          <w:sz w:val="44"/>
          <w:szCs w:val="44"/>
        </w:rPr>
        <w:t>School of Engineering</w:t>
      </w:r>
    </w:p>
    <w:p w14:paraId="5C3FE1EA" w14:textId="77777777" w:rsidR="003022C9" w:rsidRDefault="003022C9" w:rsidP="003022C9">
      <w:pPr>
        <w:pStyle w:val="Default"/>
        <w:rPr>
          <w:i/>
          <w:iCs/>
          <w:sz w:val="44"/>
          <w:szCs w:val="44"/>
        </w:rPr>
      </w:pPr>
    </w:p>
    <w:p w14:paraId="5C203503" w14:textId="77777777" w:rsidR="003022C9" w:rsidRDefault="003022C9" w:rsidP="003022C9">
      <w:pPr>
        <w:pStyle w:val="Default"/>
        <w:rPr>
          <w:i/>
          <w:iCs/>
          <w:sz w:val="44"/>
          <w:szCs w:val="44"/>
        </w:rPr>
      </w:pPr>
    </w:p>
    <w:p w14:paraId="33106126" w14:textId="4B728E61" w:rsidR="003022C9" w:rsidRDefault="0096312C" w:rsidP="0096312C">
      <w:pPr>
        <w:pStyle w:val="Default"/>
        <w:jc w:val="center"/>
        <w:rPr>
          <w:i/>
          <w:iCs/>
          <w:sz w:val="44"/>
          <w:szCs w:val="44"/>
        </w:rPr>
      </w:pPr>
      <w:r w:rsidRPr="0096312C">
        <w:rPr>
          <w:i/>
          <w:iCs/>
          <w:sz w:val="44"/>
          <w:szCs w:val="44"/>
        </w:rPr>
        <w:t>Addressing Inventory Management Concerns</w:t>
      </w:r>
    </w:p>
    <w:p w14:paraId="2F163FCA" w14:textId="77777777" w:rsidR="0096312C" w:rsidRDefault="0096312C" w:rsidP="0096312C">
      <w:pPr>
        <w:pStyle w:val="Default"/>
        <w:jc w:val="center"/>
        <w:rPr>
          <w:i/>
          <w:iCs/>
          <w:sz w:val="44"/>
          <w:szCs w:val="44"/>
        </w:rPr>
      </w:pPr>
    </w:p>
    <w:p w14:paraId="0B2C2C12" w14:textId="275DFF93" w:rsidR="003022C9" w:rsidRDefault="0096312C" w:rsidP="0096312C">
      <w:pPr>
        <w:pStyle w:val="Default"/>
        <w:jc w:val="center"/>
        <w:rPr>
          <w:i/>
          <w:iCs/>
          <w:sz w:val="44"/>
          <w:szCs w:val="44"/>
        </w:rPr>
      </w:pPr>
      <w:r w:rsidRPr="0096312C">
        <w:rPr>
          <w:i/>
          <w:iCs/>
          <w:sz w:val="44"/>
          <w:szCs w:val="44"/>
        </w:rPr>
        <w:t>Sustainable Operations Management</w:t>
      </w:r>
    </w:p>
    <w:p w14:paraId="6FF6B97C" w14:textId="34F45F21" w:rsidR="003022C9" w:rsidRDefault="0096312C" w:rsidP="0096312C">
      <w:pPr>
        <w:pStyle w:val="Default"/>
        <w:jc w:val="center"/>
        <w:rPr>
          <w:i/>
          <w:iCs/>
          <w:sz w:val="44"/>
          <w:szCs w:val="44"/>
        </w:rPr>
      </w:pPr>
      <w:r w:rsidRPr="0096312C">
        <w:rPr>
          <w:i/>
          <w:iCs/>
          <w:sz w:val="44"/>
          <w:szCs w:val="44"/>
        </w:rPr>
        <w:t>ACHA7031</w:t>
      </w:r>
    </w:p>
    <w:p w14:paraId="38117801" w14:textId="77777777" w:rsidR="003022C9" w:rsidRDefault="003022C9" w:rsidP="003022C9">
      <w:pPr>
        <w:pStyle w:val="Default"/>
        <w:rPr>
          <w:i/>
          <w:iCs/>
          <w:sz w:val="44"/>
          <w:szCs w:val="44"/>
        </w:rPr>
      </w:pPr>
    </w:p>
    <w:p w14:paraId="2C3B847E" w14:textId="66968700" w:rsidR="003022C9" w:rsidRDefault="00104F7E" w:rsidP="0033734C">
      <w:pPr>
        <w:pStyle w:val="Default"/>
        <w:jc w:val="center"/>
        <w:rPr>
          <w:i/>
          <w:iCs/>
          <w:sz w:val="44"/>
          <w:szCs w:val="44"/>
        </w:rPr>
      </w:pPr>
      <w:r>
        <w:rPr>
          <w:i/>
          <w:iCs/>
          <w:sz w:val="44"/>
          <w:szCs w:val="44"/>
        </w:rPr>
        <w:t>Anthony Walker</w:t>
      </w:r>
    </w:p>
    <w:p w14:paraId="47F1B061" w14:textId="77777777" w:rsidR="005A3C8B" w:rsidRDefault="005A3C8B" w:rsidP="003022C9">
      <w:pPr>
        <w:pStyle w:val="Default"/>
        <w:jc w:val="center"/>
        <w:rPr>
          <w:sz w:val="44"/>
          <w:szCs w:val="44"/>
        </w:rPr>
      </w:pPr>
    </w:p>
    <w:p w14:paraId="0256AB1F" w14:textId="5ED429E2" w:rsidR="003022C9" w:rsidRDefault="00104F7E" w:rsidP="003022C9">
      <w:pPr>
        <w:pStyle w:val="Default"/>
        <w:jc w:val="center"/>
        <w:rPr>
          <w:i/>
          <w:iCs/>
          <w:sz w:val="44"/>
          <w:szCs w:val="44"/>
        </w:rPr>
      </w:pPr>
      <w:r>
        <w:rPr>
          <w:i/>
          <w:iCs/>
          <w:sz w:val="44"/>
          <w:szCs w:val="44"/>
        </w:rPr>
        <w:t>2519861</w:t>
      </w:r>
    </w:p>
    <w:p w14:paraId="7A4CCA95" w14:textId="77777777" w:rsidR="005A3C8B" w:rsidRDefault="005A3C8B" w:rsidP="003022C9">
      <w:pPr>
        <w:pStyle w:val="Default"/>
        <w:jc w:val="center"/>
        <w:rPr>
          <w:sz w:val="44"/>
          <w:szCs w:val="44"/>
        </w:rPr>
      </w:pPr>
    </w:p>
    <w:p w14:paraId="31F0D237" w14:textId="77777777" w:rsidR="00BB489C" w:rsidRDefault="00BB489C" w:rsidP="003022C9">
      <w:pPr>
        <w:jc w:val="center"/>
        <w:rPr>
          <w:i/>
          <w:iCs/>
          <w:sz w:val="44"/>
          <w:szCs w:val="44"/>
        </w:rPr>
      </w:pPr>
    </w:p>
    <w:p w14:paraId="49CE78D4" w14:textId="3F6156F5" w:rsidR="00CF1F90" w:rsidRDefault="002F5267" w:rsidP="003022C9">
      <w:pPr>
        <w:jc w:val="center"/>
        <w:sectPr w:rsidR="00CF1F90" w:rsidSect="00BB489C">
          <w:footerReference w:type="default" r:id="rId9"/>
          <w:pgSz w:w="11906" w:h="16838"/>
          <w:pgMar w:top="1440" w:right="1440" w:bottom="1440" w:left="1440" w:header="708" w:footer="708" w:gutter="0"/>
          <w:pgNumType w:fmt="lowerRoman"/>
          <w:cols w:space="708"/>
          <w:titlePg/>
          <w:docGrid w:linePitch="360"/>
        </w:sectPr>
      </w:pPr>
      <w:r>
        <w:rPr>
          <w:i/>
          <w:iCs/>
          <w:sz w:val="44"/>
          <w:szCs w:val="44"/>
        </w:rPr>
        <w:t>01</w:t>
      </w:r>
      <w:r w:rsidR="00CF1F90">
        <w:rPr>
          <w:i/>
          <w:iCs/>
          <w:sz w:val="44"/>
          <w:szCs w:val="44"/>
        </w:rPr>
        <w:t>/0</w:t>
      </w:r>
      <w:r>
        <w:rPr>
          <w:i/>
          <w:iCs/>
          <w:sz w:val="44"/>
          <w:szCs w:val="44"/>
        </w:rPr>
        <w:t>5</w:t>
      </w:r>
      <w:r w:rsidR="00CF1F90">
        <w:rPr>
          <w:i/>
          <w:iCs/>
          <w:sz w:val="44"/>
          <w:szCs w:val="44"/>
        </w:rPr>
        <w:t>/2026</w:t>
      </w:r>
    </w:p>
    <w:p w14:paraId="1FC08CD8" w14:textId="77777777" w:rsidR="005A3C8B" w:rsidRDefault="00DD51BE" w:rsidP="001F7BB4">
      <w:pPr>
        <w:pStyle w:val="Heading1"/>
        <w:numPr>
          <w:ilvl w:val="0"/>
          <w:numId w:val="0"/>
        </w:numPr>
        <w:ind w:left="360"/>
        <w:rPr>
          <w:color w:val="auto"/>
        </w:rPr>
      </w:pPr>
      <w:bookmarkStart w:id="1" w:name="_Toc228013954"/>
      <w:r w:rsidRPr="00BB489C">
        <w:rPr>
          <w:color w:val="auto"/>
        </w:rPr>
        <w:lastRenderedPageBreak/>
        <w:t>Abstract</w:t>
      </w:r>
      <w:bookmarkEnd w:id="1"/>
    </w:p>
    <w:p w14:paraId="7E40635D" w14:textId="63CD1564" w:rsidR="006B3DC2" w:rsidRPr="006B3DC2" w:rsidRDefault="006B3DC2" w:rsidP="006B3DC2">
      <w:pPr>
        <w:rPr>
          <w:sz w:val="22"/>
          <w:szCs w:val="22"/>
        </w:rPr>
      </w:pPr>
      <w:proofErr w:type="spellStart"/>
      <w:r w:rsidRPr="006B3DC2">
        <w:rPr>
          <w:sz w:val="22"/>
          <w:szCs w:val="22"/>
        </w:rPr>
        <w:t>Brocksweir</w:t>
      </w:r>
      <w:proofErr w:type="spellEnd"/>
      <w:r w:rsidRPr="006B3DC2">
        <w:rPr>
          <w:sz w:val="22"/>
          <w:szCs w:val="22"/>
        </w:rPr>
        <w:t xml:space="preserve"> and Sons Ltd is facing significant operational and financial pressures arising from poor inventory governance, obsolete resin stock and limited visibility of lead times across its foundry operations and supply chain. This assignment identifies that expired phenolic and furan resins, bulk buying behaviours and inadequate stock rotation are symptoms of deeper systemic weaknesses in purchasing discipline and data management. To address these issues, the company must adopt structured inventory techniques such as ABC analysis, EOQ, minimum/maximum levels and Vendor Managed Inventory, supported by digital tracking and improved forecasting. Options for dealing with obsolete stock are critically assessed, highlighting that while compliant disposal is unavoidable, supplier negotiation, </w:t>
      </w:r>
      <w:r w:rsidR="00ED0599" w:rsidRPr="006B3DC2">
        <w:rPr>
          <w:sz w:val="22"/>
          <w:szCs w:val="22"/>
        </w:rPr>
        <w:t>shelf-life</w:t>
      </w:r>
      <w:r w:rsidRPr="006B3DC2">
        <w:rPr>
          <w:sz w:val="22"/>
          <w:szCs w:val="22"/>
        </w:rPr>
        <w:t xml:space="preserve"> monitoring and FIFO controls are essential to preventing recurrence. The analysis further demonstrates that </w:t>
      </w:r>
      <w:proofErr w:type="spellStart"/>
      <w:r w:rsidRPr="006B3DC2">
        <w:rPr>
          <w:sz w:val="22"/>
          <w:szCs w:val="22"/>
        </w:rPr>
        <w:t>Brocksweir’s</w:t>
      </w:r>
      <w:proofErr w:type="spellEnd"/>
      <w:r w:rsidRPr="006B3DC2">
        <w:rPr>
          <w:sz w:val="22"/>
          <w:szCs w:val="22"/>
        </w:rPr>
        <w:t xml:space="preserve"> limited understanding of lead time constrains planning accuracy and customer responsiveness; therefore, end to end process mapping, supplier lead time transparency, digital data capture and the introduction of a Sales and Operations Planning framework are recommended. Collectively, these measures will strengthen operational resilience, reduce waste and support the Managing Director’s ambition to modernise the business.</w:t>
      </w:r>
    </w:p>
    <w:p w14:paraId="3DE7AD81" w14:textId="57D84AF5" w:rsidR="00AD3FE4" w:rsidRDefault="00DD51BE" w:rsidP="005A3C8B">
      <w:pPr>
        <w:pStyle w:val="Heading2"/>
      </w:pPr>
      <w:r>
        <w:br w:type="page"/>
      </w:r>
    </w:p>
    <w:bookmarkStart w:id="2" w:name="_Toc228013955" w:displacedByCustomXml="next"/>
    <w:sdt>
      <w:sdtPr>
        <w:rPr>
          <w:rFonts w:eastAsiaTheme="minorHAnsi" w:cstheme="minorBidi"/>
          <w:color w:val="auto"/>
          <w:sz w:val="24"/>
          <w:szCs w:val="24"/>
        </w:rPr>
        <w:id w:val="-1739473901"/>
        <w:docPartObj>
          <w:docPartGallery w:val="Table of Contents"/>
          <w:docPartUnique/>
        </w:docPartObj>
      </w:sdtPr>
      <w:sdtEndPr>
        <w:rPr>
          <w:b/>
          <w:bCs/>
          <w:noProof/>
        </w:rPr>
      </w:sdtEndPr>
      <w:sdtContent>
        <w:p w14:paraId="7BF7F03F" w14:textId="0F26521E" w:rsidR="00AD3FE4" w:rsidRPr="00AD3FE4" w:rsidRDefault="00AD3FE4" w:rsidP="001F7BB4">
          <w:pPr>
            <w:pStyle w:val="Heading1"/>
            <w:numPr>
              <w:ilvl w:val="0"/>
              <w:numId w:val="0"/>
            </w:numPr>
            <w:rPr>
              <w:rStyle w:val="Heading1Char"/>
              <w:color w:val="auto"/>
            </w:rPr>
          </w:pPr>
          <w:r w:rsidRPr="00AD3FE4">
            <w:rPr>
              <w:rStyle w:val="Heading1Char"/>
              <w:color w:val="auto"/>
            </w:rPr>
            <w:t>Contents</w:t>
          </w:r>
          <w:bookmarkEnd w:id="2"/>
        </w:p>
        <w:p w14:paraId="4238694C" w14:textId="2525544E" w:rsidR="006B3DC2" w:rsidRDefault="00AD3FE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013953" w:history="1">
            <w:bookmarkStart w:id="3" w:name="_Toc228012101"/>
            <w:r w:rsidR="006B3DC2" w:rsidRPr="006A24A7">
              <w:rPr>
                <w:rStyle w:val="Hyperlink"/>
                <w:noProof/>
              </w:rPr>
              <w:drawing>
                <wp:inline distT="0" distB="0" distL="0" distR="0" wp14:anchorId="19ADABC5" wp14:editId="36A35FD6">
                  <wp:extent cx="2276475" cy="904875"/>
                  <wp:effectExtent l="0" t="0" r="9525" b="9525"/>
                  <wp:docPr id="1546812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6475" cy="904875"/>
                          </a:xfrm>
                          <a:prstGeom prst="rect">
                            <a:avLst/>
                          </a:prstGeom>
                          <a:noFill/>
                          <a:ln>
                            <a:noFill/>
                          </a:ln>
                        </pic:spPr>
                      </pic:pic>
                    </a:graphicData>
                  </a:graphic>
                </wp:inline>
              </w:drawing>
            </w:r>
            <w:bookmarkEnd w:id="3"/>
            <w:r w:rsidR="006B3DC2">
              <w:rPr>
                <w:noProof/>
                <w:webHidden/>
              </w:rPr>
              <w:fldChar w:fldCharType="begin"/>
            </w:r>
            <w:r w:rsidR="006B3DC2">
              <w:rPr>
                <w:noProof/>
                <w:webHidden/>
              </w:rPr>
              <w:instrText xml:space="preserve"> PAGEREF _Toc228013953 \h </w:instrText>
            </w:r>
            <w:r w:rsidR="006B3DC2">
              <w:rPr>
                <w:noProof/>
                <w:webHidden/>
              </w:rPr>
            </w:r>
            <w:r w:rsidR="006B3DC2">
              <w:rPr>
                <w:noProof/>
                <w:webHidden/>
              </w:rPr>
              <w:fldChar w:fldCharType="separate"/>
            </w:r>
            <w:r w:rsidR="006B3DC2">
              <w:rPr>
                <w:noProof/>
                <w:webHidden/>
              </w:rPr>
              <w:t>i</w:t>
            </w:r>
            <w:r w:rsidR="006B3DC2">
              <w:rPr>
                <w:noProof/>
                <w:webHidden/>
              </w:rPr>
              <w:fldChar w:fldCharType="end"/>
            </w:r>
          </w:hyperlink>
        </w:p>
        <w:p w14:paraId="092C60E1" w14:textId="6A07C105" w:rsidR="006B3DC2" w:rsidRDefault="006B3DC2">
          <w:pPr>
            <w:pStyle w:val="TOC1"/>
            <w:tabs>
              <w:tab w:val="right" w:leader="dot" w:pos="9016"/>
            </w:tabs>
            <w:rPr>
              <w:rFonts w:asciiTheme="minorHAnsi" w:eastAsiaTheme="minorEastAsia" w:hAnsiTheme="minorHAnsi"/>
              <w:noProof/>
              <w:lang w:eastAsia="en-GB"/>
            </w:rPr>
          </w:pPr>
          <w:hyperlink w:anchor="_Toc228013954" w:history="1">
            <w:r w:rsidRPr="006A24A7">
              <w:rPr>
                <w:rStyle w:val="Hyperlink"/>
                <w:noProof/>
              </w:rPr>
              <w:t>Abstract</w:t>
            </w:r>
            <w:r>
              <w:rPr>
                <w:noProof/>
                <w:webHidden/>
              </w:rPr>
              <w:tab/>
            </w:r>
            <w:r>
              <w:rPr>
                <w:noProof/>
                <w:webHidden/>
              </w:rPr>
              <w:fldChar w:fldCharType="begin"/>
            </w:r>
            <w:r>
              <w:rPr>
                <w:noProof/>
                <w:webHidden/>
              </w:rPr>
              <w:instrText xml:space="preserve"> PAGEREF _Toc228013954 \h </w:instrText>
            </w:r>
            <w:r>
              <w:rPr>
                <w:noProof/>
                <w:webHidden/>
              </w:rPr>
            </w:r>
            <w:r>
              <w:rPr>
                <w:noProof/>
                <w:webHidden/>
              </w:rPr>
              <w:fldChar w:fldCharType="separate"/>
            </w:r>
            <w:r>
              <w:rPr>
                <w:noProof/>
                <w:webHidden/>
              </w:rPr>
              <w:t>1</w:t>
            </w:r>
            <w:r>
              <w:rPr>
                <w:noProof/>
                <w:webHidden/>
              </w:rPr>
              <w:fldChar w:fldCharType="end"/>
            </w:r>
          </w:hyperlink>
        </w:p>
        <w:p w14:paraId="068D4A2B" w14:textId="26660092" w:rsidR="006B3DC2" w:rsidRDefault="006B3DC2">
          <w:pPr>
            <w:pStyle w:val="TOC1"/>
            <w:tabs>
              <w:tab w:val="right" w:leader="dot" w:pos="9016"/>
            </w:tabs>
            <w:rPr>
              <w:rFonts w:asciiTheme="minorHAnsi" w:eastAsiaTheme="minorEastAsia" w:hAnsiTheme="minorHAnsi"/>
              <w:noProof/>
              <w:lang w:eastAsia="en-GB"/>
            </w:rPr>
          </w:pPr>
          <w:hyperlink w:anchor="_Toc228013955" w:history="1">
            <w:r w:rsidRPr="006A24A7">
              <w:rPr>
                <w:rStyle w:val="Hyperlink"/>
                <w:noProof/>
              </w:rPr>
              <w:t>Contents</w:t>
            </w:r>
            <w:r>
              <w:rPr>
                <w:noProof/>
                <w:webHidden/>
              </w:rPr>
              <w:tab/>
            </w:r>
            <w:r>
              <w:rPr>
                <w:noProof/>
                <w:webHidden/>
              </w:rPr>
              <w:fldChar w:fldCharType="begin"/>
            </w:r>
            <w:r>
              <w:rPr>
                <w:noProof/>
                <w:webHidden/>
              </w:rPr>
              <w:instrText xml:space="preserve"> PAGEREF _Toc228013955 \h </w:instrText>
            </w:r>
            <w:r>
              <w:rPr>
                <w:noProof/>
                <w:webHidden/>
              </w:rPr>
            </w:r>
            <w:r>
              <w:rPr>
                <w:noProof/>
                <w:webHidden/>
              </w:rPr>
              <w:fldChar w:fldCharType="separate"/>
            </w:r>
            <w:r>
              <w:rPr>
                <w:noProof/>
                <w:webHidden/>
              </w:rPr>
              <w:t>2</w:t>
            </w:r>
            <w:r>
              <w:rPr>
                <w:noProof/>
                <w:webHidden/>
              </w:rPr>
              <w:fldChar w:fldCharType="end"/>
            </w:r>
          </w:hyperlink>
        </w:p>
        <w:p w14:paraId="75631076" w14:textId="01D1DEEF" w:rsidR="006B3DC2" w:rsidRDefault="006B3DC2">
          <w:pPr>
            <w:pStyle w:val="TOC1"/>
            <w:tabs>
              <w:tab w:val="left" w:pos="480"/>
              <w:tab w:val="right" w:leader="dot" w:pos="9016"/>
            </w:tabs>
            <w:rPr>
              <w:rFonts w:asciiTheme="minorHAnsi" w:eastAsiaTheme="minorEastAsia" w:hAnsiTheme="minorHAnsi"/>
              <w:noProof/>
              <w:lang w:eastAsia="en-GB"/>
            </w:rPr>
          </w:pPr>
          <w:hyperlink w:anchor="_Toc228013956" w:history="1">
            <w:r w:rsidRPr="006A24A7">
              <w:rPr>
                <w:rStyle w:val="Hyperlink"/>
                <w:noProof/>
              </w:rPr>
              <w:t>1.</w:t>
            </w:r>
            <w:r>
              <w:rPr>
                <w:rFonts w:asciiTheme="minorHAnsi" w:eastAsiaTheme="minorEastAsia" w:hAnsiTheme="minorHAnsi"/>
                <w:noProof/>
                <w:lang w:eastAsia="en-GB"/>
              </w:rPr>
              <w:tab/>
            </w:r>
            <w:r w:rsidRPr="006A24A7">
              <w:rPr>
                <w:rStyle w:val="Hyperlink"/>
                <w:noProof/>
              </w:rPr>
              <w:t>Introduction</w:t>
            </w:r>
            <w:r>
              <w:rPr>
                <w:noProof/>
                <w:webHidden/>
              </w:rPr>
              <w:tab/>
            </w:r>
            <w:r>
              <w:rPr>
                <w:noProof/>
                <w:webHidden/>
              </w:rPr>
              <w:fldChar w:fldCharType="begin"/>
            </w:r>
            <w:r>
              <w:rPr>
                <w:noProof/>
                <w:webHidden/>
              </w:rPr>
              <w:instrText xml:space="preserve"> PAGEREF _Toc228013956 \h </w:instrText>
            </w:r>
            <w:r>
              <w:rPr>
                <w:noProof/>
                <w:webHidden/>
              </w:rPr>
            </w:r>
            <w:r>
              <w:rPr>
                <w:noProof/>
                <w:webHidden/>
              </w:rPr>
              <w:fldChar w:fldCharType="separate"/>
            </w:r>
            <w:r>
              <w:rPr>
                <w:noProof/>
                <w:webHidden/>
              </w:rPr>
              <w:t>3</w:t>
            </w:r>
            <w:r>
              <w:rPr>
                <w:noProof/>
                <w:webHidden/>
              </w:rPr>
              <w:fldChar w:fldCharType="end"/>
            </w:r>
          </w:hyperlink>
        </w:p>
        <w:p w14:paraId="747B6B96" w14:textId="0CDBB5DA" w:rsidR="006B3DC2" w:rsidRDefault="006B3DC2" w:rsidP="006B3DC2">
          <w:pPr>
            <w:pStyle w:val="TOC2"/>
            <w:rPr>
              <w:rFonts w:asciiTheme="minorHAnsi" w:eastAsiaTheme="minorEastAsia" w:hAnsiTheme="minorHAnsi"/>
              <w:noProof/>
              <w:lang w:eastAsia="en-GB"/>
            </w:rPr>
          </w:pPr>
          <w:hyperlink w:anchor="_Toc228013957" w:history="1">
            <w:r w:rsidRPr="006A24A7">
              <w:rPr>
                <w:rStyle w:val="Hyperlink"/>
                <w:noProof/>
              </w:rPr>
              <w:t>1.1</w:t>
            </w:r>
            <w:r>
              <w:rPr>
                <w:rFonts w:asciiTheme="minorHAnsi" w:eastAsiaTheme="minorEastAsia" w:hAnsiTheme="minorHAnsi"/>
                <w:noProof/>
                <w:lang w:eastAsia="en-GB"/>
              </w:rPr>
              <w:tab/>
            </w:r>
            <w:r w:rsidRPr="006A24A7">
              <w:rPr>
                <w:rStyle w:val="Hyperlink"/>
                <w:noProof/>
              </w:rPr>
              <w:t>Aims</w:t>
            </w:r>
            <w:r>
              <w:rPr>
                <w:noProof/>
                <w:webHidden/>
              </w:rPr>
              <w:tab/>
            </w:r>
            <w:r>
              <w:rPr>
                <w:noProof/>
                <w:webHidden/>
              </w:rPr>
              <w:fldChar w:fldCharType="begin"/>
            </w:r>
            <w:r>
              <w:rPr>
                <w:noProof/>
                <w:webHidden/>
              </w:rPr>
              <w:instrText xml:space="preserve"> PAGEREF _Toc228013957 \h </w:instrText>
            </w:r>
            <w:r>
              <w:rPr>
                <w:noProof/>
                <w:webHidden/>
              </w:rPr>
            </w:r>
            <w:r>
              <w:rPr>
                <w:noProof/>
                <w:webHidden/>
              </w:rPr>
              <w:fldChar w:fldCharType="separate"/>
            </w:r>
            <w:r>
              <w:rPr>
                <w:noProof/>
                <w:webHidden/>
              </w:rPr>
              <w:t>3</w:t>
            </w:r>
            <w:r>
              <w:rPr>
                <w:noProof/>
                <w:webHidden/>
              </w:rPr>
              <w:fldChar w:fldCharType="end"/>
            </w:r>
          </w:hyperlink>
        </w:p>
        <w:p w14:paraId="3DDB48E9" w14:textId="2ECBB03B" w:rsidR="006B3DC2" w:rsidRDefault="006B3DC2">
          <w:pPr>
            <w:pStyle w:val="TOC1"/>
            <w:tabs>
              <w:tab w:val="left" w:pos="480"/>
              <w:tab w:val="right" w:leader="dot" w:pos="9016"/>
            </w:tabs>
            <w:rPr>
              <w:rFonts w:asciiTheme="minorHAnsi" w:eastAsiaTheme="minorEastAsia" w:hAnsiTheme="minorHAnsi"/>
              <w:noProof/>
              <w:lang w:eastAsia="en-GB"/>
            </w:rPr>
          </w:pPr>
          <w:hyperlink w:anchor="_Toc228013958" w:history="1">
            <w:r w:rsidRPr="006A24A7">
              <w:rPr>
                <w:rStyle w:val="Hyperlink"/>
                <w:noProof/>
              </w:rPr>
              <w:t>2.</w:t>
            </w:r>
            <w:r>
              <w:rPr>
                <w:rFonts w:asciiTheme="minorHAnsi" w:eastAsiaTheme="minorEastAsia" w:hAnsiTheme="minorHAnsi"/>
                <w:noProof/>
                <w:lang w:eastAsia="en-GB"/>
              </w:rPr>
              <w:tab/>
            </w:r>
            <w:r w:rsidRPr="006A24A7">
              <w:rPr>
                <w:rStyle w:val="Hyperlink"/>
                <w:noProof/>
              </w:rPr>
              <w:t>Literature Review</w:t>
            </w:r>
            <w:r>
              <w:rPr>
                <w:noProof/>
                <w:webHidden/>
              </w:rPr>
              <w:tab/>
            </w:r>
            <w:r>
              <w:rPr>
                <w:noProof/>
                <w:webHidden/>
              </w:rPr>
              <w:fldChar w:fldCharType="begin"/>
            </w:r>
            <w:r>
              <w:rPr>
                <w:noProof/>
                <w:webHidden/>
              </w:rPr>
              <w:instrText xml:space="preserve"> PAGEREF _Toc228013958 \h </w:instrText>
            </w:r>
            <w:r>
              <w:rPr>
                <w:noProof/>
                <w:webHidden/>
              </w:rPr>
            </w:r>
            <w:r>
              <w:rPr>
                <w:noProof/>
                <w:webHidden/>
              </w:rPr>
              <w:fldChar w:fldCharType="separate"/>
            </w:r>
            <w:r>
              <w:rPr>
                <w:noProof/>
                <w:webHidden/>
              </w:rPr>
              <w:t>5</w:t>
            </w:r>
            <w:r>
              <w:rPr>
                <w:noProof/>
                <w:webHidden/>
              </w:rPr>
              <w:fldChar w:fldCharType="end"/>
            </w:r>
          </w:hyperlink>
        </w:p>
        <w:p w14:paraId="2088F062" w14:textId="19554985" w:rsidR="006B3DC2" w:rsidRDefault="006B3DC2">
          <w:pPr>
            <w:pStyle w:val="TOC1"/>
            <w:tabs>
              <w:tab w:val="left" w:pos="480"/>
              <w:tab w:val="right" w:leader="dot" w:pos="9016"/>
            </w:tabs>
            <w:rPr>
              <w:rFonts w:asciiTheme="minorHAnsi" w:eastAsiaTheme="minorEastAsia" w:hAnsiTheme="minorHAnsi"/>
              <w:noProof/>
              <w:lang w:eastAsia="en-GB"/>
            </w:rPr>
          </w:pPr>
          <w:hyperlink w:anchor="_Toc228013959" w:history="1">
            <w:r w:rsidRPr="006A24A7">
              <w:rPr>
                <w:rStyle w:val="Hyperlink"/>
                <w:noProof/>
              </w:rPr>
              <w:t>3.</w:t>
            </w:r>
            <w:r>
              <w:rPr>
                <w:rFonts w:asciiTheme="minorHAnsi" w:eastAsiaTheme="minorEastAsia" w:hAnsiTheme="minorHAnsi"/>
                <w:noProof/>
                <w:lang w:eastAsia="en-GB"/>
              </w:rPr>
              <w:tab/>
            </w:r>
            <w:r w:rsidRPr="006A24A7">
              <w:rPr>
                <w:rStyle w:val="Hyperlink"/>
                <w:noProof/>
              </w:rPr>
              <w:t>Methodology</w:t>
            </w:r>
            <w:r>
              <w:rPr>
                <w:noProof/>
                <w:webHidden/>
              </w:rPr>
              <w:tab/>
            </w:r>
            <w:r>
              <w:rPr>
                <w:noProof/>
                <w:webHidden/>
              </w:rPr>
              <w:fldChar w:fldCharType="begin"/>
            </w:r>
            <w:r>
              <w:rPr>
                <w:noProof/>
                <w:webHidden/>
              </w:rPr>
              <w:instrText xml:space="preserve"> PAGEREF _Toc228013959 \h </w:instrText>
            </w:r>
            <w:r>
              <w:rPr>
                <w:noProof/>
                <w:webHidden/>
              </w:rPr>
            </w:r>
            <w:r>
              <w:rPr>
                <w:noProof/>
                <w:webHidden/>
              </w:rPr>
              <w:fldChar w:fldCharType="separate"/>
            </w:r>
            <w:r>
              <w:rPr>
                <w:noProof/>
                <w:webHidden/>
              </w:rPr>
              <w:t>6</w:t>
            </w:r>
            <w:r>
              <w:rPr>
                <w:noProof/>
                <w:webHidden/>
              </w:rPr>
              <w:fldChar w:fldCharType="end"/>
            </w:r>
          </w:hyperlink>
        </w:p>
        <w:p w14:paraId="407A9BFE" w14:textId="1EDB5606" w:rsidR="006B3DC2" w:rsidRDefault="006B3DC2">
          <w:pPr>
            <w:pStyle w:val="TOC1"/>
            <w:tabs>
              <w:tab w:val="left" w:pos="480"/>
              <w:tab w:val="right" w:leader="dot" w:pos="9016"/>
            </w:tabs>
            <w:rPr>
              <w:rFonts w:asciiTheme="minorHAnsi" w:eastAsiaTheme="minorEastAsia" w:hAnsiTheme="minorHAnsi"/>
              <w:noProof/>
              <w:lang w:eastAsia="en-GB"/>
            </w:rPr>
          </w:pPr>
          <w:hyperlink w:anchor="_Toc228013960" w:history="1">
            <w:r w:rsidRPr="006A24A7">
              <w:rPr>
                <w:rStyle w:val="Hyperlink"/>
                <w:noProof/>
              </w:rPr>
              <w:t>4.</w:t>
            </w:r>
            <w:r>
              <w:rPr>
                <w:rFonts w:asciiTheme="minorHAnsi" w:eastAsiaTheme="minorEastAsia" w:hAnsiTheme="minorHAnsi"/>
                <w:noProof/>
                <w:lang w:eastAsia="en-GB"/>
              </w:rPr>
              <w:tab/>
            </w:r>
            <w:r w:rsidRPr="006A24A7">
              <w:rPr>
                <w:rStyle w:val="Hyperlink"/>
                <w:noProof/>
              </w:rPr>
              <w:t>Discussion</w:t>
            </w:r>
            <w:r>
              <w:rPr>
                <w:noProof/>
                <w:webHidden/>
              </w:rPr>
              <w:tab/>
            </w:r>
            <w:r>
              <w:rPr>
                <w:noProof/>
                <w:webHidden/>
              </w:rPr>
              <w:fldChar w:fldCharType="begin"/>
            </w:r>
            <w:r>
              <w:rPr>
                <w:noProof/>
                <w:webHidden/>
              </w:rPr>
              <w:instrText xml:space="preserve"> PAGEREF _Toc228013960 \h </w:instrText>
            </w:r>
            <w:r>
              <w:rPr>
                <w:noProof/>
                <w:webHidden/>
              </w:rPr>
            </w:r>
            <w:r>
              <w:rPr>
                <w:noProof/>
                <w:webHidden/>
              </w:rPr>
              <w:fldChar w:fldCharType="separate"/>
            </w:r>
            <w:r>
              <w:rPr>
                <w:noProof/>
                <w:webHidden/>
              </w:rPr>
              <w:t>7</w:t>
            </w:r>
            <w:r>
              <w:rPr>
                <w:noProof/>
                <w:webHidden/>
              </w:rPr>
              <w:fldChar w:fldCharType="end"/>
            </w:r>
          </w:hyperlink>
        </w:p>
        <w:p w14:paraId="3ABF488C" w14:textId="4B15E4F0" w:rsidR="006B3DC2" w:rsidRDefault="006B3DC2" w:rsidP="006B3DC2">
          <w:pPr>
            <w:pStyle w:val="TOC3"/>
            <w:rPr>
              <w:rFonts w:asciiTheme="minorHAnsi" w:eastAsiaTheme="minorEastAsia" w:hAnsiTheme="minorHAnsi"/>
              <w:noProof/>
              <w:lang w:eastAsia="en-GB"/>
            </w:rPr>
          </w:pPr>
          <w:hyperlink w:anchor="_Toc228013961" w:history="1">
            <w:r w:rsidRPr="006A24A7">
              <w:rPr>
                <w:rStyle w:val="Hyperlink"/>
                <w:noProof/>
              </w:rPr>
              <w:t>1. Managing Sand and Resin Inventory More Effectively</w:t>
            </w:r>
            <w:r>
              <w:rPr>
                <w:noProof/>
                <w:webHidden/>
              </w:rPr>
              <w:tab/>
            </w:r>
            <w:r>
              <w:rPr>
                <w:noProof/>
                <w:webHidden/>
              </w:rPr>
              <w:fldChar w:fldCharType="begin"/>
            </w:r>
            <w:r>
              <w:rPr>
                <w:noProof/>
                <w:webHidden/>
              </w:rPr>
              <w:instrText xml:space="preserve"> PAGEREF _Toc228013961 \h </w:instrText>
            </w:r>
            <w:r>
              <w:rPr>
                <w:noProof/>
                <w:webHidden/>
              </w:rPr>
            </w:r>
            <w:r>
              <w:rPr>
                <w:noProof/>
                <w:webHidden/>
              </w:rPr>
              <w:fldChar w:fldCharType="separate"/>
            </w:r>
            <w:r>
              <w:rPr>
                <w:noProof/>
                <w:webHidden/>
              </w:rPr>
              <w:t>7</w:t>
            </w:r>
            <w:r>
              <w:rPr>
                <w:noProof/>
                <w:webHidden/>
              </w:rPr>
              <w:fldChar w:fldCharType="end"/>
            </w:r>
          </w:hyperlink>
        </w:p>
        <w:p w14:paraId="574F0491" w14:textId="753F849B" w:rsidR="006B3DC2" w:rsidRDefault="006B3DC2" w:rsidP="006B3DC2">
          <w:pPr>
            <w:pStyle w:val="TOC3"/>
            <w:rPr>
              <w:rFonts w:asciiTheme="minorHAnsi" w:eastAsiaTheme="minorEastAsia" w:hAnsiTheme="minorHAnsi"/>
              <w:noProof/>
              <w:lang w:eastAsia="en-GB"/>
            </w:rPr>
          </w:pPr>
          <w:hyperlink w:anchor="_Toc228013962" w:history="1">
            <w:r w:rsidRPr="006A24A7">
              <w:rPr>
                <w:rStyle w:val="Hyperlink"/>
                <w:noProof/>
              </w:rPr>
              <w:t>2. Options for Dealing with Obsolete Stock</w:t>
            </w:r>
            <w:r>
              <w:rPr>
                <w:noProof/>
                <w:webHidden/>
              </w:rPr>
              <w:tab/>
            </w:r>
            <w:r>
              <w:rPr>
                <w:noProof/>
                <w:webHidden/>
              </w:rPr>
              <w:fldChar w:fldCharType="begin"/>
            </w:r>
            <w:r>
              <w:rPr>
                <w:noProof/>
                <w:webHidden/>
              </w:rPr>
              <w:instrText xml:space="preserve"> PAGEREF _Toc228013962 \h </w:instrText>
            </w:r>
            <w:r>
              <w:rPr>
                <w:noProof/>
                <w:webHidden/>
              </w:rPr>
            </w:r>
            <w:r>
              <w:rPr>
                <w:noProof/>
                <w:webHidden/>
              </w:rPr>
              <w:fldChar w:fldCharType="separate"/>
            </w:r>
            <w:r>
              <w:rPr>
                <w:noProof/>
                <w:webHidden/>
              </w:rPr>
              <w:t>8</w:t>
            </w:r>
            <w:r>
              <w:rPr>
                <w:noProof/>
                <w:webHidden/>
              </w:rPr>
              <w:fldChar w:fldCharType="end"/>
            </w:r>
          </w:hyperlink>
        </w:p>
        <w:p w14:paraId="0D6F0320" w14:textId="48409D70" w:rsidR="006B3DC2" w:rsidRDefault="006B3DC2" w:rsidP="006B3DC2">
          <w:pPr>
            <w:pStyle w:val="TOC3"/>
            <w:rPr>
              <w:rFonts w:asciiTheme="minorHAnsi" w:eastAsiaTheme="minorEastAsia" w:hAnsiTheme="minorHAnsi"/>
              <w:noProof/>
              <w:lang w:eastAsia="en-GB"/>
            </w:rPr>
          </w:pPr>
          <w:hyperlink w:anchor="_Toc228013963" w:history="1">
            <w:r w:rsidRPr="006A24A7">
              <w:rPr>
                <w:rStyle w:val="Hyperlink"/>
                <w:noProof/>
              </w:rPr>
              <w:t>3. Improving Understanding of Lead Time Across the Business</w:t>
            </w:r>
            <w:r>
              <w:rPr>
                <w:noProof/>
                <w:webHidden/>
              </w:rPr>
              <w:tab/>
            </w:r>
            <w:r>
              <w:rPr>
                <w:noProof/>
                <w:webHidden/>
              </w:rPr>
              <w:fldChar w:fldCharType="begin"/>
            </w:r>
            <w:r>
              <w:rPr>
                <w:noProof/>
                <w:webHidden/>
              </w:rPr>
              <w:instrText xml:space="preserve"> PAGEREF _Toc228013963 \h </w:instrText>
            </w:r>
            <w:r>
              <w:rPr>
                <w:noProof/>
                <w:webHidden/>
              </w:rPr>
            </w:r>
            <w:r>
              <w:rPr>
                <w:noProof/>
                <w:webHidden/>
              </w:rPr>
              <w:fldChar w:fldCharType="separate"/>
            </w:r>
            <w:r>
              <w:rPr>
                <w:noProof/>
                <w:webHidden/>
              </w:rPr>
              <w:t>8</w:t>
            </w:r>
            <w:r>
              <w:rPr>
                <w:noProof/>
                <w:webHidden/>
              </w:rPr>
              <w:fldChar w:fldCharType="end"/>
            </w:r>
          </w:hyperlink>
        </w:p>
        <w:p w14:paraId="76D78AEF" w14:textId="6E3BB8B4" w:rsidR="006B3DC2" w:rsidRDefault="006B3DC2">
          <w:pPr>
            <w:pStyle w:val="TOC1"/>
            <w:tabs>
              <w:tab w:val="left" w:pos="480"/>
              <w:tab w:val="right" w:leader="dot" w:pos="9016"/>
            </w:tabs>
            <w:rPr>
              <w:rFonts w:asciiTheme="minorHAnsi" w:eastAsiaTheme="minorEastAsia" w:hAnsiTheme="minorHAnsi"/>
              <w:noProof/>
              <w:lang w:eastAsia="en-GB"/>
            </w:rPr>
          </w:pPr>
          <w:hyperlink w:anchor="_Toc228013964" w:history="1">
            <w:r w:rsidRPr="006A24A7">
              <w:rPr>
                <w:rStyle w:val="Hyperlink"/>
                <w:noProof/>
              </w:rPr>
              <w:t>5.</w:t>
            </w:r>
            <w:r>
              <w:rPr>
                <w:rFonts w:asciiTheme="minorHAnsi" w:eastAsiaTheme="minorEastAsia" w:hAnsiTheme="minorHAnsi"/>
                <w:noProof/>
                <w:lang w:eastAsia="en-GB"/>
              </w:rPr>
              <w:tab/>
            </w:r>
            <w:r w:rsidRPr="006A24A7">
              <w:rPr>
                <w:rStyle w:val="Hyperlink"/>
                <w:noProof/>
              </w:rPr>
              <w:t>Conclusion</w:t>
            </w:r>
            <w:r>
              <w:rPr>
                <w:noProof/>
                <w:webHidden/>
              </w:rPr>
              <w:tab/>
            </w:r>
            <w:r>
              <w:rPr>
                <w:noProof/>
                <w:webHidden/>
              </w:rPr>
              <w:fldChar w:fldCharType="begin"/>
            </w:r>
            <w:r>
              <w:rPr>
                <w:noProof/>
                <w:webHidden/>
              </w:rPr>
              <w:instrText xml:space="preserve"> PAGEREF _Toc228013964 \h </w:instrText>
            </w:r>
            <w:r>
              <w:rPr>
                <w:noProof/>
                <w:webHidden/>
              </w:rPr>
            </w:r>
            <w:r>
              <w:rPr>
                <w:noProof/>
                <w:webHidden/>
              </w:rPr>
              <w:fldChar w:fldCharType="separate"/>
            </w:r>
            <w:r>
              <w:rPr>
                <w:noProof/>
                <w:webHidden/>
              </w:rPr>
              <w:t>10</w:t>
            </w:r>
            <w:r>
              <w:rPr>
                <w:noProof/>
                <w:webHidden/>
              </w:rPr>
              <w:fldChar w:fldCharType="end"/>
            </w:r>
          </w:hyperlink>
        </w:p>
        <w:p w14:paraId="45F9E863" w14:textId="3A835E65" w:rsidR="006B3DC2" w:rsidRDefault="006B3DC2">
          <w:pPr>
            <w:pStyle w:val="TOC1"/>
            <w:tabs>
              <w:tab w:val="right" w:leader="dot" w:pos="9016"/>
            </w:tabs>
            <w:rPr>
              <w:rFonts w:asciiTheme="minorHAnsi" w:eastAsiaTheme="minorEastAsia" w:hAnsiTheme="minorHAnsi"/>
              <w:noProof/>
              <w:lang w:eastAsia="en-GB"/>
            </w:rPr>
          </w:pPr>
          <w:hyperlink w:anchor="_Toc228013965" w:history="1">
            <w:r w:rsidRPr="006A24A7">
              <w:rPr>
                <w:rStyle w:val="Hyperlink"/>
                <w:noProof/>
              </w:rPr>
              <w:t>6.</w:t>
            </w:r>
            <w:r>
              <w:rPr>
                <w:rStyle w:val="Hyperlink"/>
                <w:noProof/>
              </w:rPr>
              <w:t xml:space="preserve">     </w:t>
            </w:r>
            <w:r w:rsidRPr="006A24A7">
              <w:rPr>
                <w:rStyle w:val="Hyperlink"/>
                <w:noProof/>
              </w:rPr>
              <w:t>Bibliography</w:t>
            </w:r>
            <w:r>
              <w:rPr>
                <w:noProof/>
                <w:webHidden/>
              </w:rPr>
              <w:tab/>
            </w:r>
            <w:r>
              <w:rPr>
                <w:noProof/>
                <w:webHidden/>
              </w:rPr>
              <w:fldChar w:fldCharType="begin"/>
            </w:r>
            <w:r>
              <w:rPr>
                <w:noProof/>
                <w:webHidden/>
              </w:rPr>
              <w:instrText xml:space="preserve"> PAGEREF _Toc228013965 \h </w:instrText>
            </w:r>
            <w:r>
              <w:rPr>
                <w:noProof/>
                <w:webHidden/>
              </w:rPr>
            </w:r>
            <w:r>
              <w:rPr>
                <w:noProof/>
                <w:webHidden/>
              </w:rPr>
              <w:fldChar w:fldCharType="separate"/>
            </w:r>
            <w:r>
              <w:rPr>
                <w:noProof/>
                <w:webHidden/>
              </w:rPr>
              <w:t>11</w:t>
            </w:r>
            <w:r>
              <w:rPr>
                <w:noProof/>
                <w:webHidden/>
              </w:rPr>
              <w:fldChar w:fldCharType="end"/>
            </w:r>
          </w:hyperlink>
        </w:p>
        <w:p w14:paraId="71C89E8A" w14:textId="1F54F7A8" w:rsidR="00AD3FE4" w:rsidRDefault="00AD3FE4">
          <w:r>
            <w:rPr>
              <w:b/>
              <w:bCs/>
              <w:noProof/>
            </w:rPr>
            <w:fldChar w:fldCharType="end"/>
          </w:r>
        </w:p>
      </w:sdtContent>
    </w:sdt>
    <w:p w14:paraId="1C5EBF98" w14:textId="65245542" w:rsidR="00DD51BE" w:rsidRDefault="00DD51BE" w:rsidP="001F7BB4">
      <w:pPr>
        <w:pStyle w:val="Heading1"/>
        <w:numPr>
          <w:ilvl w:val="0"/>
          <w:numId w:val="0"/>
        </w:numPr>
        <w:ind w:left="360" w:hanging="360"/>
      </w:pPr>
    </w:p>
    <w:p w14:paraId="1151551C" w14:textId="6088578C" w:rsidR="00DD51BE" w:rsidRDefault="00DD51BE" w:rsidP="00514A63">
      <w:pPr>
        <w:pStyle w:val="Heading1"/>
        <w:numPr>
          <w:ilvl w:val="0"/>
          <w:numId w:val="2"/>
        </w:numPr>
        <w:rPr>
          <w:color w:val="auto"/>
        </w:rPr>
      </w:pPr>
      <w:r>
        <w:br w:type="page"/>
      </w:r>
      <w:bookmarkStart w:id="4" w:name="_Toc228013956"/>
      <w:r w:rsidRPr="00BB489C">
        <w:rPr>
          <w:color w:val="auto"/>
        </w:rPr>
        <w:lastRenderedPageBreak/>
        <w:t>Introduction</w:t>
      </w:r>
      <w:bookmarkEnd w:id="4"/>
    </w:p>
    <w:p w14:paraId="0EEF9693" w14:textId="7521883B" w:rsidR="00131903" w:rsidRPr="00131903" w:rsidRDefault="00131903" w:rsidP="0096312C">
      <w:pPr>
        <w:spacing w:after="0"/>
        <w:rPr>
          <w:sz w:val="22"/>
          <w:szCs w:val="22"/>
        </w:rPr>
      </w:pPr>
      <w:proofErr w:type="spellStart"/>
      <w:r w:rsidRPr="00131903">
        <w:rPr>
          <w:sz w:val="22"/>
          <w:szCs w:val="22"/>
        </w:rPr>
        <w:t>Brocksweir</w:t>
      </w:r>
      <w:proofErr w:type="spellEnd"/>
      <w:r w:rsidRPr="00131903">
        <w:rPr>
          <w:sz w:val="22"/>
          <w:szCs w:val="22"/>
        </w:rPr>
        <w:t xml:space="preserve"> and Sons Ltd represents a long‑established manufacturing enterprise whose evolution reflects both the heritage of traditional foundry operations and the pressures of competing in a modern, globalised market. With over 250 years of foundry activity on its current site and more than 50 years trading under its present structure, the company has developed a diversified portfolio spanning castings, fabrications and machined components. Its vertically integrated model</w:t>
      </w:r>
      <w:r w:rsidR="0096312C">
        <w:rPr>
          <w:sz w:val="22"/>
          <w:szCs w:val="22"/>
        </w:rPr>
        <w:t xml:space="preserve"> </w:t>
      </w:r>
      <w:r w:rsidRPr="00131903">
        <w:rPr>
          <w:sz w:val="22"/>
          <w:szCs w:val="22"/>
        </w:rPr>
        <w:t>encompassing gravity diecasting, high‑pressure casting, sand casting, on‑site fabrication and a growing CNC machining capability</w:t>
      </w:r>
      <w:r w:rsidR="0096312C">
        <w:rPr>
          <w:sz w:val="22"/>
          <w:szCs w:val="22"/>
        </w:rPr>
        <w:t xml:space="preserve"> </w:t>
      </w:r>
      <w:r w:rsidRPr="00131903">
        <w:rPr>
          <w:sz w:val="22"/>
          <w:szCs w:val="22"/>
        </w:rPr>
        <w:t>positions the business to respond flexibly to customer requirements. However, recent operational challenges highlight the need for more sophisticated management systems to support the Managing Director’s ambition of leading the company into the 21st century.</w:t>
      </w:r>
    </w:p>
    <w:p w14:paraId="1870441F" w14:textId="227432C0" w:rsidR="00131903" w:rsidRPr="00131903" w:rsidRDefault="00131903" w:rsidP="0096312C">
      <w:pPr>
        <w:spacing w:after="0"/>
        <w:rPr>
          <w:sz w:val="22"/>
          <w:szCs w:val="22"/>
        </w:rPr>
      </w:pPr>
      <w:r w:rsidRPr="00131903">
        <w:rPr>
          <w:sz w:val="22"/>
          <w:szCs w:val="22"/>
        </w:rPr>
        <w:t>The most pressing issues have emerged within the sand foundry, where regulatory changes have reclassified foundry sand and associated waste streams as special waste, significantly increasing disposal costs. Simultaneously, rising demand for sand castings has exposed weaknesses in inventory control, particularly regarding phenolic and furan‑based binding resins. The discovery of approximately £20,000 worth of expired resins, alongside excessive bulk purchasing and inadequate stock rotation demonstrates a systemic absence of inventory management discipline. These failures have not only tied up working capital but also generated avoidable environmental liabilities and operational inefficiencies.</w:t>
      </w:r>
    </w:p>
    <w:p w14:paraId="2F50E3C2" w14:textId="23F27482" w:rsidR="00004809" w:rsidRPr="00131903" w:rsidRDefault="00131903" w:rsidP="0096312C">
      <w:pPr>
        <w:spacing w:after="0"/>
        <w:rPr>
          <w:sz w:val="22"/>
          <w:szCs w:val="22"/>
        </w:rPr>
      </w:pPr>
      <w:r w:rsidRPr="00131903">
        <w:rPr>
          <w:sz w:val="22"/>
          <w:szCs w:val="22"/>
        </w:rPr>
        <w:t xml:space="preserve">Against this backdrop the creation of a new Purchasing and Supply Chain Manager role signals an organisational recognition that improved governance, data visibility and process control are essential. This assignment therefore examines three interrelated areas critical to </w:t>
      </w:r>
      <w:proofErr w:type="spellStart"/>
      <w:r w:rsidRPr="00131903">
        <w:rPr>
          <w:sz w:val="22"/>
          <w:szCs w:val="22"/>
        </w:rPr>
        <w:t>Brocksweir’s</w:t>
      </w:r>
      <w:proofErr w:type="spellEnd"/>
      <w:r w:rsidRPr="00131903">
        <w:rPr>
          <w:sz w:val="22"/>
          <w:szCs w:val="22"/>
        </w:rPr>
        <w:t xml:space="preserve"> future performance: the effective management of sand and resin inventory</w:t>
      </w:r>
      <w:r w:rsidR="0096312C">
        <w:rPr>
          <w:sz w:val="22"/>
          <w:szCs w:val="22"/>
        </w:rPr>
        <w:t>,</w:t>
      </w:r>
      <w:r w:rsidRPr="00131903">
        <w:rPr>
          <w:sz w:val="22"/>
          <w:szCs w:val="22"/>
        </w:rPr>
        <w:t xml:space="preserve"> the strategic options for addressing obsolete stock and the measures required to develop a robust understanding of lead time across the business and its extended supply chain. Together, these analyses provide a foundation for strengthening operational resilience and enabling sustainable growth.</w:t>
      </w:r>
    </w:p>
    <w:p w14:paraId="62E93E59" w14:textId="7F943EBB" w:rsidR="00131903" w:rsidRDefault="00131903" w:rsidP="0096312C">
      <w:pPr>
        <w:pStyle w:val="Heading2"/>
        <w:numPr>
          <w:ilvl w:val="1"/>
          <w:numId w:val="2"/>
        </w:numPr>
        <w:spacing w:after="0"/>
        <w:rPr>
          <w:color w:val="auto"/>
        </w:rPr>
      </w:pPr>
      <w:bookmarkStart w:id="5" w:name="_Toc228013957"/>
      <w:r w:rsidRPr="001F7BB4">
        <w:rPr>
          <w:color w:val="auto"/>
        </w:rPr>
        <w:t>A</w:t>
      </w:r>
      <w:r w:rsidR="00004809" w:rsidRPr="001F7BB4">
        <w:rPr>
          <w:color w:val="auto"/>
        </w:rPr>
        <w:t>ims</w:t>
      </w:r>
      <w:bookmarkEnd w:id="5"/>
    </w:p>
    <w:p w14:paraId="784C3656" w14:textId="77777777" w:rsidR="000C0631" w:rsidRPr="006B3DC2" w:rsidRDefault="000C0631" w:rsidP="000C0631">
      <w:pPr>
        <w:spacing w:after="0"/>
        <w:rPr>
          <w:sz w:val="22"/>
          <w:szCs w:val="22"/>
        </w:rPr>
      </w:pPr>
      <w:r w:rsidRPr="006B3DC2">
        <w:rPr>
          <w:sz w:val="22"/>
          <w:szCs w:val="22"/>
        </w:rPr>
        <w:t xml:space="preserve">To evaluate weaknesses in </w:t>
      </w:r>
      <w:proofErr w:type="spellStart"/>
      <w:r w:rsidRPr="006B3DC2">
        <w:rPr>
          <w:sz w:val="22"/>
          <w:szCs w:val="22"/>
        </w:rPr>
        <w:t>Brocksweir’s</w:t>
      </w:r>
      <w:proofErr w:type="spellEnd"/>
      <w:r w:rsidRPr="006B3DC2">
        <w:rPr>
          <w:sz w:val="22"/>
          <w:szCs w:val="22"/>
        </w:rPr>
        <w:t xml:space="preserve"> current sand and resin inventory practices and assess how established inventory management techniques can improve control, reduce waste and optimise working capital.</w:t>
      </w:r>
    </w:p>
    <w:p w14:paraId="4D789DC0" w14:textId="77777777" w:rsidR="000C0631" w:rsidRPr="006B3DC2" w:rsidRDefault="000C0631" w:rsidP="000C0631">
      <w:pPr>
        <w:spacing w:after="0"/>
        <w:rPr>
          <w:sz w:val="22"/>
          <w:szCs w:val="22"/>
        </w:rPr>
      </w:pPr>
      <w:r w:rsidRPr="006B3DC2">
        <w:rPr>
          <w:sz w:val="22"/>
          <w:szCs w:val="22"/>
        </w:rPr>
        <w:t>To critically analyse the strategic options available for managing and disposing of obsolete resin stock, considering financial, environmental and regulatory implications.</w:t>
      </w:r>
    </w:p>
    <w:p w14:paraId="34DDA4E9" w14:textId="3E2B38C9" w:rsidR="000C0631" w:rsidRDefault="000C0631" w:rsidP="000C0631">
      <w:pPr>
        <w:spacing w:after="0"/>
      </w:pPr>
      <w:r w:rsidRPr="006B3DC2">
        <w:rPr>
          <w:sz w:val="22"/>
          <w:szCs w:val="22"/>
        </w:rPr>
        <w:lastRenderedPageBreak/>
        <w:t>To examine how the company can develop a more accurate, data‑driven understanding of lead time across its operations and supply chain and identify measures to enhance visibility and planning capability</w:t>
      </w:r>
      <w:r>
        <w:t>.</w:t>
      </w:r>
    </w:p>
    <w:p w14:paraId="6EB14E06" w14:textId="4EEEA11A" w:rsidR="00131903" w:rsidRPr="00131903" w:rsidRDefault="00131903" w:rsidP="0096312C">
      <w:pPr>
        <w:spacing w:after="0"/>
      </w:pPr>
    </w:p>
    <w:p w14:paraId="00B155A6" w14:textId="17F59818" w:rsidR="00DD51BE" w:rsidRDefault="00DD51BE" w:rsidP="00514A63">
      <w:pPr>
        <w:pStyle w:val="Heading1"/>
        <w:numPr>
          <w:ilvl w:val="0"/>
          <w:numId w:val="2"/>
        </w:numPr>
        <w:rPr>
          <w:color w:val="auto"/>
        </w:rPr>
      </w:pPr>
      <w:r>
        <w:br w:type="page"/>
      </w:r>
      <w:bookmarkStart w:id="6" w:name="_Toc228013958"/>
      <w:r w:rsidRPr="00BB489C">
        <w:rPr>
          <w:color w:val="auto"/>
        </w:rPr>
        <w:lastRenderedPageBreak/>
        <w:t>Literature Review</w:t>
      </w:r>
      <w:bookmarkEnd w:id="6"/>
    </w:p>
    <w:p w14:paraId="514BC209" w14:textId="656A2453" w:rsidR="000C0631" w:rsidRPr="000C0631" w:rsidRDefault="000C0631" w:rsidP="000C0631">
      <w:pPr>
        <w:rPr>
          <w:sz w:val="22"/>
          <w:szCs w:val="22"/>
        </w:rPr>
      </w:pPr>
      <w:r w:rsidRPr="000C0631">
        <w:rPr>
          <w:sz w:val="22"/>
          <w:szCs w:val="22"/>
        </w:rPr>
        <w:t>Effective inventory management is widely recognised as a critical determinant of operational efficiency, cost control and organisational competitiveness, particularly within manufacturing environments such as foundries. According to</w:t>
      </w:r>
      <w:r>
        <w:rPr>
          <w:sz w:val="22"/>
          <w:szCs w:val="22"/>
        </w:rPr>
        <w:t xml:space="preserve"> Waters</w:t>
      </w:r>
      <w:sdt>
        <w:sdtPr>
          <w:rPr>
            <w:sz w:val="22"/>
            <w:szCs w:val="22"/>
          </w:rPr>
          <w:id w:val="1312744378"/>
          <w:citation/>
        </w:sdtPr>
        <w:sdtContent>
          <w:r>
            <w:rPr>
              <w:sz w:val="22"/>
              <w:szCs w:val="22"/>
            </w:rPr>
            <w:fldChar w:fldCharType="begin"/>
          </w:r>
          <w:r>
            <w:rPr>
              <w:sz w:val="22"/>
              <w:szCs w:val="22"/>
            </w:rPr>
            <w:instrText xml:space="preserve"> CITATION Wat19 \l 2057 </w:instrText>
          </w:r>
          <w:r>
            <w:rPr>
              <w:sz w:val="22"/>
              <w:szCs w:val="22"/>
            </w:rPr>
            <w:fldChar w:fldCharType="separate"/>
          </w:r>
          <w:r>
            <w:rPr>
              <w:noProof/>
              <w:sz w:val="22"/>
              <w:szCs w:val="22"/>
            </w:rPr>
            <w:t xml:space="preserve"> </w:t>
          </w:r>
          <w:r w:rsidRPr="000C0631">
            <w:rPr>
              <w:noProof/>
              <w:sz w:val="22"/>
              <w:szCs w:val="22"/>
            </w:rPr>
            <w:t>(D, 2019)</w:t>
          </w:r>
          <w:r>
            <w:rPr>
              <w:sz w:val="22"/>
              <w:szCs w:val="22"/>
            </w:rPr>
            <w:fldChar w:fldCharType="end"/>
          </w:r>
        </w:sdtContent>
      </w:sdt>
      <w:r w:rsidRPr="000C0631">
        <w:rPr>
          <w:sz w:val="22"/>
          <w:szCs w:val="22"/>
        </w:rPr>
        <w:t>, poor inventory practices typically lead to excessive holding costs, waste, and reduced responsiveness</w:t>
      </w:r>
      <w:r>
        <w:rPr>
          <w:sz w:val="22"/>
          <w:szCs w:val="22"/>
        </w:rPr>
        <w:t xml:space="preserve"> </w:t>
      </w:r>
      <w:r w:rsidRPr="000C0631">
        <w:rPr>
          <w:sz w:val="22"/>
          <w:szCs w:val="22"/>
        </w:rPr>
        <w:t xml:space="preserve">issues that closely mirror the challenges identified at </w:t>
      </w:r>
      <w:proofErr w:type="spellStart"/>
      <w:r w:rsidRPr="000C0631">
        <w:rPr>
          <w:sz w:val="22"/>
          <w:szCs w:val="22"/>
        </w:rPr>
        <w:t>Brocksweir</w:t>
      </w:r>
      <w:proofErr w:type="spellEnd"/>
      <w:r w:rsidRPr="000C0631">
        <w:rPr>
          <w:sz w:val="22"/>
          <w:szCs w:val="22"/>
        </w:rPr>
        <w:t xml:space="preserve"> &amp; Sons Ltd, including obsolete resin stocks and inefficient bulk‑purchasing behaviours.</w:t>
      </w:r>
    </w:p>
    <w:p w14:paraId="625FABD5" w14:textId="70C7A0C9" w:rsidR="000C0631" w:rsidRPr="000C0631" w:rsidRDefault="000C0631" w:rsidP="000C0631">
      <w:pPr>
        <w:rPr>
          <w:sz w:val="22"/>
          <w:szCs w:val="22"/>
        </w:rPr>
      </w:pPr>
      <w:r w:rsidRPr="000C0631">
        <w:rPr>
          <w:sz w:val="22"/>
          <w:szCs w:val="22"/>
        </w:rPr>
        <w:t>Classical inventory theory emphasises the importance of structured techniques such as Economic Order Quantity (EOQ), which minimises the combined cost of ordering and holding inventory</w:t>
      </w:r>
      <w:sdt>
        <w:sdtPr>
          <w:rPr>
            <w:sz w:val="22"/>
            <w:szCs w:val="22"/>
          </w:rPr>
          <w:id w:val="157735843"/>
          <w:citation/>
        </w:sdtPr>
        <w:sdtContent>
          <w:r>
            <w:rPr>
              <w:sz w:val="22"/>
              <w:szCs w:val="22"/>
            </w:rPr>
            <w:fldChar w:fldCharType="begin"/>
          </w:r>
          <w:r>
            <w:rPr>
              <w:sz w:val="22"/>
              <w:szCs w:val="22"/>
            </w:rPr>
            <w:instrText xml:space="preserve"> CITATION Nah15 \l 2057 </w:instrText>
          </w:r>
          <w:r>
            <w:rPr>
              <w:sz w:val="22"/>
              <w:szCs w:val="22"/>
            </w:rPr>
            <w:fldChar w:fldCharType="separate"/>
          </w:r>
          <w:r>
            <w:rPr>
              <w:noProof/>
              <w:sz w:val="22"/>
              <w:szCs w:val="22"/>
            </w:rPr>
            <w:t xml:space="preserve"> </w:t>
          </w:r>
          <w:r w:rsidRPr="000C0631">
            <w:rPr>
              <w:noProof/>
              <w:sz w:val="22"/>
              <w:szCs w:val="22"/>
            </w:rPr>
            <w:t>(Nahmias, 2015)</w:t>
          </w:r>
          <w:r>
            <w:rPr>
              <w:sz w:val="22"/>
              <w:szCs w:val="22"/>
            </w:rPr>
            <w:fldChar w:fldCharType="end"/>
          </w:r>
        </w:sdtContent>
      </w:sdt>
      <w:r w:rsidRPr="000C0631">
        <w:rPr>
          <w:sz w:val="22"/>
          <w:szCs w:val="22"/>
        </w:rPr>
        <w:t>. For materials with short shelf lives or hazardous classifications</w:t>
      </w:r>
      <w:r>
        <w:rPr>
          <w:sz w:val="22"/>
          <w:szCs w:val="22"/>
        </w:rPr>
        <w:t xml:space="preserve"> </w:t>
      </w:r>
      <w:r w:rsidRPr="000C0631">
        <w:rPr>
          <w:sz w:val="22"/>
          <w:szCs w:val="22"/>
        </w:rPr>
        <w:t>such as phenolic and furan‑based resins</w:t>
      </w:r>
      <w:r w:rsidR="003535FB">
        <w:rPr>
          <w:sz w:val="22"/>
          <w:szCs w:val="22"/>
        </w:rPr>
        <w:t xml:space="preserve"> </w:t>
      </w:r>
      <w:r w:rsidRPr="000C0631">
        <w:rPr>
          <w:sz w:val="22"/>
          <w:szCs w:val="22"/>
        </w:rPr>
        <w:t>EOQ and safety‑stock calculations become particularly important due to the financial and environmental implications of spoilage</w:t>
      </w:r>
      <w:sdt>
        <w:sdtPr>
          <w:rPr>
            <w:sz w:val="22"/>
            <w:szCs w:val="22"/>
          </w:rPr>
          <w:id w:val="-827048661"/>
          <w:citation/>
        </w:sdtPr>
        <w:sdtContent>
          <w:r w:rsidR="003535FB">
            <w:rPr>
              <w:sz w:val="22"/>
              <w:szCs w:val="22"/>
            </w:rPr>
            <w:fldChar w:fldCharType="begin"/>
          </w:r>
          <w:r w:rsidR="003535FB">
            <w:rPr>
              <w:sz w:val="22"/>
              <w:szCs w:val="22"/>
            </w:rPr>
            <w:instrText xml:space="preserve"> CITATION Sil17 \l 2057 </w:instrText>
          </w:r>
          <w:r w:rsidR="003535FB">
            <w:rPr>
              <w:sz w:val="22"/>
              <w:szCs w:val="22"/>
            </w:rPr>
            <w:fldChar w:fldCharType="separate"/>
          </w:r>
          <w:r w:rsidR="003535FB">
            <w:rPr>
              <w:noProof/>
              <w:sz w:val="22"/>
              <w:szCs w:val="22"/>
            </w:rPr>
            <w:t xml:space="preserve"> </w:t>
          </w:r>
          <w:r w:rsidR="003535FB" w:rsidRPr="003535FB">
            <w:rPr>
              <w:noProof/>
              <w:sz w:val="22"/>
              <w:szCs w:val="22"/>
            </w:rPr>
            <w:t>(Silver, 2017)</w:t>
          </w:r>
          <w:r w:rsidR="003535FB">
            <w:rPr>
              <w:sz w:val="22"/>
              <w:szCs w:val="22"/>
            </w:rPr>
            <w:fldChar w:fldCharType="end"/>
          </w:r>
        </w:sdtContent>
      </w:sdt>
      <w:r w:rsidRPr="000C0631">
        <w:rPr>
          <w:sz w:val="22"/>
          <w:szCs w:val="22"/>
        </w:rPr>
        <w:t>. Vendor Managed Inventory (VMI) has also been shown to improve supply chain coordination and reduce stockouts, especially in volatile demand environments</w:t>
      </w:r>
      <w:sdt>
        <w:sdtPr>
          <w:rPr>
            <w:sz w:val="22"/>
            <w:szCs w:val="22"/>
          </w:rPr>
          <w:id w:val="-158624015"/>
          <w:citation/>
        </w:sdtPr>
        <w:sdtContent>
          <w:r w:rsidR="003535FB">
            <w:rPr>
              <w:sz w:val="22"/>
              <w:szCs w:val="22"/>
            </w:rPr>
            <w:fldChar w:fldCharType="begin"/>
          </w:r>
          <w:r w:rsidR="003535FB">
            <w:rPr>
              <w:sz w:val="22"/>
              <w:szCs w:val="22"/>
            </w:rPr>
            <w:instrText xml:space="preserve"> CITATION Dis03 \l 2057 </w:instrText>
          </w:r>
          <w:r w:rsidR="003535FB">
            <w:rPr>
              <w:sz w:val="22"/>
              <w:szCs w:val="22"/>
            </w:rPr>
            <w:fldChar w:fldCharType="separate"/>
          </w:r>
          <w:r w:rsidR="003535FB">
            <w:rPr>
              <w:noProof/>
              <w:sz w:val="22"/>
              <w:szCs w:val="22"/>
            </w:rPr>
            <w:t xml:space="preserve"> </w:t>
          </w:r>
          <w:r w:rsidR="003535FB" w:rsidRPr="003535FB">
            <w:rPr>
              <w:noProof/>
              <w:sz w:val="22"/>
              <w:szCs w:val="22"/>
            </w:rPr>
            <w:t>(Disney, 2003)</w:t>
          </w:r>
          <w:r w:rsidR="003535FB">
            <w:rPr>
              <w:sz w:val="22"/>
              <w:szCs w:val="22"/>
            </w:rPr>
            <w:fldChar w:fldCharType="end"/>
          </w:r>
        </w:sdtContent>
      </w:sdt>
      <w:r w:rsidRPr="000C0631">
        <w:rPr>
          <w:sz w:val="22"/>
          <w:szCs w:val="22"/>
        </w:rPr>
        <w:t>.</w:t>
      </w:r>
    </w:p>
    <w:p w14:paraId="0B4FFF0C" w14:textId="4EFF1DC8" w:rsidR="000C0631" w:rsidRPr="000C0631" w:rsidRDefault="000C0631" w:rsidP="000C0631">
      <w:pPr>
        <w:rPr>
          <w:sz w:val="22"/>
          <w:szCs w:val="22"/>
        </w:rPr>
      </w:pPr>
      <w:r w:rsidRPr="000C0631">
        <w:rPr>
          <w:sz w:val="22"/>
          <w:szCs w:val="22"/>
        </w:rPr>
        <w:t>Within foundry operations, literature highlights that material flow reliability is essential for maintaining productivity and avoiding bottlenecks</w:t>
      </w:r>
      <w:sdt>
        <w:sdtPr>
          <w:rPr>
            <w:sz w:val="22"/>
            <w:szCs w:val="22"/>
          </w:rPr>
          <w:id w:val="251240574"/>
          <w:citation/>
        </w:sdtPr>
        <w:sdtContent>
          <w:r w:rsidR="003535FB">
            <w:rPr>
              <w:sz w:val="22"/>
              <w:szCs w:val="22"/>
            </w:rPr>
            <w:fldChar w:fldCharType="begin"/>
          </w:r>
          <w:r w:rsidR="003535FB">
            <w:rPr>
              <w:sz w:val="22"/>
              <w:szCs w:val="22"/>
            </w:rPr>
            <w:instrText xml:space="preserve"> CITATION Bee01 \l 2057 </w:instrText>
          </w:r>
          <w:r w:rsidR="003535FB">
            <w:rPr>
              <w:sz w:val="22"/>
              <w:szCs w:val="22"/>
            </w:rPr>
            <w:fldChar w:fldCharType="separate"/>
          </w:r>
          <w:r w:rsidR="003535FB">
            <w:rPr>
              <w:noProof/>
              <w:sz w:val="22"/>
              <w:szCs w:val="22"/>
            </w:rPr>
            <w:t xml:space="preserve"> </w:t>
          </w:r>
          <w:r w:rsidR="003535FB" w:rsidRPr="003535FB">
            <w:rPr>
              <w:noProof/>
              <w:sz w:val="22"/>
              <w:szCs w:val="22"/>
            </w:rPr>
            <w:t>(Beeley, 2001)</w:t>
          </w:r>
          <w:r w:rsidR="003535FB">
            <w:rPr>
              <w:sz w:val="22"/>
              <w:szCs w:val="22"/>
            </w:rPr>
            <w:fldChar w:fldCharType="end"/>
          </w:r>
        </w:sdtContent>
      </w:sdt>
      <w:r w:rsidRPr="000C0631">
        <w:rPr>
          <w:sz w:val="22"/>
          <w:szCs w:val="22"/>
        </w:rPr>
        <w:t>. Ineffective control of sand, resins and alloy stocks can significantly increase operating costs particularly as waste‑classification regulations tighten and disposal costs rise</w:t>
      </w:r>
      <w:sdt>
        <w:sdtPr>
          <w:rPr>
            <w:sz w:val="22"/>
            <w:szCs w:val="22"/>
          </w:rPr>
          <w:id w:val="10044495"/>
          <w:citation/>
        </w:sdtPr>
        <w:sdtContent>
          <w:r w:rsidR="003535FB">
            <w:rPr>
              <w:sz w:val="22"/>
              <w:szCs w:val="22"/>
            </w:rPr>
            <w:fldChar w:fldCharType="begin"/>
          </w:r>
          <w:r w:rsidR="003535FB">
            <w:rPr>
              <w:sz w:val="22"/>
              <w:szCs w:val="22"/>
            </w:rPr>
            <w:instrText xml:space="preserve"> CITATION Eur20 \l 2057 </w:instrText>
          </w:r>
          <w:r w:rsidR="003535FB">
            <w:rPr>
              <w:sz w:val="22"/>
              <w:szCs w:val="22"/>
            </w:rPr>
            <w:fldChar w:fldCharType="separate"/>
          </w:r>
          <w:r w:rsidR="003535FB">
            <w:rPr>
              <w:noProof/>
              <w:sz w:val="22"/>
              <w:szCs w:val="22"/>
            </w:rPr>
            <w:t xml:space="preserve"> </w:t>
          </w:r>
          <w:r w:rsidR="003535FB" w:rsidRPr="003535FB">
            <w:rPr>
              <w:noProof/>
              <w:sz w:val="22"/>
              <w:szCs w:val="22"/>
            </w:rPr>
            <w:t>(Association, 2020)</w:t>
          </w:r>
          <w:r w:rsidR="003535FB">
            <w:rPr>
              <w:sz w:val="22"/>
              <w:szCs w:val="22"/>
            </w:rPr>
            <w:fldChar w:fldCharType="end"/>
          </w:r>
        </w:sdtContent>
      </w:sdt>
      <w:r w:rsidRPr="000C0631">
        <w:rPr>
          <w:sz w:val="22"/>
          <w:szCs w:val="22"/>
        </w:rPr>
        <w:t>. Studies further show that excessive inventory ties up working capital and reduces profitability, while shortages disrupt production and damage customer service performanc</w:t>
      </w:r>
      <w:r w:rsidR="00DC1F54">
        <w:rPr>
          <w:sz w:val="22"/>
          <w:szCs w:val="22"/>
        </w:rPr>
        <w:t>e</w:t>
      </w:r>
      <w:sdt>
        <w:sdtPr>
          <w:rPr>
            <w:sz w:val="22"/>
            <w:szCs w:val="22"/>
          </w:rPr>
          <w:id w:val="-1158229247"/>
          <w:citation/>
        </w:sdtPr>
        <w:sdtContent>
          <w:r w:rsidR="00DC1F54">
            <w:rPr>
              <w:sz w:val="22"/>
              <w:szCs w:val="22"/>
            </w:rPr>
            <w:fldChar w:fldCharType="begin"/>
          </w:r>
          <w:r w:rsidR="00DC1F54">
            <w:rPr>
              <w:sz w:val="22"/>
              <w:szCs w:val="22"/>
            </w:rPr>
            <w:instrText xml:space="preserve"> CITATION Sla22 \l 2057 </w:instrText>
          </w:r>
          <w:r w:rsidR="00DC1F54">
            <w:rPr>
              <w:sz w:val="22"/>
              <w:szCs w:val="22"/>
            </w:rPr>
            <w:fldChar w:fldCharType="separate"/>
          </w:r>
          <w:r w:rsidR="00DC1F54">
            <w:rPr>
              <w:noProof/>
              <w:sz w:val="22"/>
              <w:szCs w:val="22"/>
            </w:rPr>
            <w:t xml:space="preserve"> </w:t>
          </w:r>
          <w:r w:rsidR="00DC1F54" w:rsidRPr="00DC1F54">
            <w:rPr>
              <w:noProof/>
              <w:sz w:val="22"/>
              <w:szCs w:val="22"/>
            </w:rPr>
            <w:t>(Slack, 2022)</w:t>
          </w:r>
          <w:r w:rsidR="00DC1F54">
            <w:rPr>
              <w:sz w:val="22"/>
              <w:szCs w:val="22"/>
            </w:rPr>
            <w:fldChar w:fldCharType="end"/>
          </w:r>
        </w:sdtContent>
      </w:sdt>
      <w:r w:rsidRPr="000C0631">
        <w:rPr>
          <w:sz w:val="22"/>
          <w:szCs w:val="22"/>
        </w:rPr>
        <w:t>.</w:t>
      </w:r>
    </w:p>
    <w:p w14:paraId="31843C5F" w14:textId="45FAF850" w:rsidR="000C0631" w:rsidRPr="000C0631" w:rsidRDefault="000C0631" w:rsidP="000C0631">
      <w:pPr>
        <w:rPr>
          <w:sz w:val="22"/>
          <w:szCs w:val="22"/>
        </w:rPr>
      </w:pPr>
      <w:r w:rsidRPr="000C0631">
        <w:rPr>
          <w:sz w:val="22"/>
          <w:szCs w:val="22"/>
        </w:rPr>
        <w:t>Modern manufacturing research increasingly emphasises integrated inventory systems that incorporate demand forecasting, lead‑time analysis and environmental considerations</w:t>
      </w:r>
      <w:sdt>
        <w:sdtPr>
          <w:rPr>
            <w:sz w:val="22"/>
            <w:szCs w:val="22"/>
          </w:rPr>
          <w:id w:val="-206026016"/>
          <w:citation/>
        </w:sdtPr>
        <w:sdtContent>
          <w:r w:rsidR="00DC1F54">
            <w:rPr>
              <w:sz w:val="22"/>
              <w:szCs w:val="22"/>
            </w:rPr>
            <w:fldChar w:fldCharType="begin"/>
          </w:r>
          <w:r w:rsidR="00DC1F54">
            <w:rPr>
              <w:sz w:val="22"/>
              <w:szCs w:val="22"/>
            </w:rPr>
            <w:instrText xml:space="preserve"> CITATION Chr16 \l 2057 </w:instrText>
          </w:r>
          <w:r w:rsidR="00DC1F54">
            <w:rPr>
              <w:sz w:val="22"/>
              <w:szCs w:val="22"/>
            </w:rPr>
            <w:fldChar w:fldCharType="separate"/>
          </w:r>
          <w:r w:rsidR="00DC1F54">
            <w:rPr>
              <w:noProof/>
              <w:sz w:val="22"/>
              <w:szCs w:val="22"/>
            </w:rPr>
            <w:t xml:space="preserve"> </w:t>
          </w:r>
          <w:r w:rsidR="00DC1F54" w:rsidRPr="00DC1F54">
            <w:rPr>
              <w:noProof/>
              <w:sz w:val="22"/>
              <w:szCs w:val="22"/>
            </w:rPr>
            <w:t>(Christopher, 2016)</w:t>
          </w:r>
          <w:r w:rsidR="00DC1F54">
            <w:rPr>
              <w:sz w:val="22"/>
              <w:szCs w:val="22"/>
            </w:rPr>
            <w:fldChar w:fldCharType="end"/>
          </w:r>
        </w:sdtContent>
      </w:sdt>
      <w:r w:rsidRPr="000C0631">
        <w:rPr>
          <w:sz w:val="22"/>
          <w:szCs w:val="22"/>
        </w:rPr>
        <w:t xml:space="preserve">. For </w:t>
      </w:r>
      <w:proofErr w:type="spellStart"/>
      <w:r w:rsidRPr="000C0631">
        <w:rPr>
          <w:sz w:val="22"/>
          <w:szCs w:val="22"/>
        </w:rPr>
        <w:t>Brocksweir</w:t>
      </w:r>
      <w:proofErr w:type="spellEnd"/>
      <w:r w:rsidRPr="000C0631">
        <w:rPr>
          <w:sz w:val="22"/>
          <w:szCs w:val="22"/>
        </w:rPr>
        <w:t xml:space="preserve"> &amp; Sons Ltd, adopting structured methods such as EOQ, minimum/maximum levels and systematic review processes is consistent with best practice and essential for supporting the company’s strategic modernisation.</w:t>
      </w:r>
    </w:p>
    <w:p w14:paraId="1D0F07AA" w14:textId="09E683B5" w:rsidR="00DD51BE" w:rsidRDefault="00DD51BE" w:rsidP="00514A63">
      <w:pPr>
        <w:pStyle w:val="Heading1"/>
        <w:numPr>
          <w:ilvl w:val="0"/>
          <w:numId w:val="2"/>
        </w:numPr>
        <w:rPr>
          <w:color w:val="auto"/>
        </w:rPr>
      </w:pPr>
      <w:r>
        <w:br w:type="page"/>
      </w:r>
      <w:bookmarkStart w:id="7" w:name="_Toc228013959"/>
      <w:r w:rsidRPr="00BB489C">
        <w:rPr>
          <w:color w:val="auto"/>
        </w:rPr>
        <w:lastRenderedPageBreak/>
        <w:t>Methodology</w:t>
      </w:r>
      <w:bookmarkEnd w:id="7"/>
    </w:p>
    <w:p w14:paraId="3E0994ED" w14:textId="77777777" w:rsidR="009A4CE6" w:rsidRDefault="009A4CE6" w:rsidP="009A4CE6">
      <w:pPr>
        <w:rPr>
          <w:sz w:val="22"/>
          <w:szCs w:val="22"/>
        </w:rPr>
      </w:pPr>
      <w:r w:rsidRPr="009A4CE6">
        <w:rPr>
          <w:sz w:val="22"/>
          <w:szCs w:val="22"/>
        </w:rPr>
        <w:t>This assignment adopts a qualitative, theory‑informed analytical methodology appropriate for evaluating operational and supply chain challenges within a case‑study context. The research approach is interpretivist, focusing on understanding organisational behaviours, systemic weaknesses and process inefficiencies rather than generating quantitative optimisation models.</w:t>
      </w:r>
    </w:p>
    <w:p w14:paraId="416569B1" w14:textId="10A30DB6" w:rsidR="009A4CE6" w:rsidRPr="009A4CE6" w:rsidRDefault="009A4CE6" w:rsidP="009A4CE6">
      <w:pPr>
        <w:rPr>
          <w:sz w:val="22"/>
          <w:szCs w:val="22"/>
        </w:rPr>
      </w:pPr>
      <w:r w:rsidRPr="009A4CE6">
        <w:rPr>
          <w:sz w:val="22"/>
          <w:szCs w:val="22"/>
        </w:rPr>
        <w:t xml:space="preserve">The analysis draws on secondary academic literature in inventory management, supply chain integration, waste minimisation and lead‑time modelling. Frameworks such as Economic Order Quantity (EOQ), ABC analysis, Vendor Managed Inventory (VMI), Just‑in‑Time (JIT) and total lead‑time decomposition provide the conceptual basis for evaluating </w:t>
      </w:r>
      <w:proofErr w:type="spellStart"/>
      <w:r w:rsidRPr="009A4CE6">
        <w:rPr>
          <w:sz w:val="22"/>
          <w:szCs w:val="22"/>
        </w:rPr>
        <w:t>Brocksweir’s</w:t>
      </w:r>
      <w:proofErr w:type="spellEnd"/>
      <w:r w:rsidRPr="009A4CE6">
        <w:rPr>
          <w:sz w:val="22"/>
          <w:szCs w:val="22"/>
        </w:rPr>
        <w:t xml:space="preserve"> current practices.</w:t>
      </w:r>
    </w:p>
    <w:p w14:paraId="5EF8456C" w14:textId="77777777" w:rsidR="009A4CE6" w:rsidRPr="009A4CE6" w:rsidRDefault="009A4CE6" w:rsidP="009A4CE6">
      <w:pPr>
        <w:rPr>
          <w:sz w:val="22"/>
          <w:szCs w:val="22"/>
        </w:rPr>
      </w:pPr>
      <w:r w:rsidRPr="009A4CE6">
        <w:rPr>
          <w:sz w:val="22"/>
          <w:szCs w:val="22"/>
        </w:rPr>
        <w:t>Three analytical techniques underpin the evaluation:</w:t>
      </w:r>
    </w:p>
    <w:p w14:paraId="1B2198F5" w14:textId="77777777" w:rsidR="009A4CE6" w:rsidRPr="009A4CE6" w:rsidRDefault="009A4CE6" w:rsidP="009A4CE6">
      <w:pPr>
        <w:rPr>
          <w:sz w:val="22"/>
          <w:szCs w:val="22"/>
        </w:rPr>
      </w:pPr>
      <w:r w:rsidRPr="009A4CE6">
        <w:rPr>
          <w:sz w:val="22"/>
          <w:szCs w:val="22"/>
        </w:rPr>
        <w:t>Diagnostic gap analysis to compare existing practices with recognised best practice.</w:t>
      </w:r>
    </w:p>
    <w:p w14:paraId="54501B64" w14:textId="77777777" w:rsidR="009A4CE6" w:rsidRPr="009A4CE6" w:rsidRDefault="009A4CE6" w:rsidP="009A4CE6">
      <w:pPr>
        <w:rPr>
          <w:sz w:val="22"/>
          <w:szCs w:val="22"/>
        </w:rPr>
      </w:pPr>
      <w:r w:rsidRPr="009A4CE6">
        <w:rPr>
          <w:sz w:val="22"/>
          <w:szCs w:val="22"/>
        </w:rPr>
        <w:t>Root‑cause analysis to identify underlying drivers of resin obsolescence and poor stock control.</w:t>
      </w:r>
    </w:p>
    <w:p w14:paraId="0BD08F9B" w14:textId="10EDBE20" w:rsidR="009A4CE6" w:rsidRPr="009A4CE6" w:rsidRDefault="009A4CE6" w:rsidP="009A4CE6">
      <w:pPr>
        <w:rPr>
          <w:sz w:val="22"/>
          <w:szCs w:val="22"/>
        </w:rPr>
      </w:pPr>
      <w:r w:rsidRPr="009A4CE6">
        <w:rPr>
          <w:sz w:val="22"/>
          <w:szCs w:val="22"/>
        </w:rPr>
        <w:t>Process mapping and lead‑time decomposition to examine delays across procurement, storage, production and supplier interfaces.</w:t>
      </w:r>
    </w:p>
    <w:p w14:paraId="08CEEC42" w14:textId="703BC91D" w:rsidR="00DD51BE" w:rsidRDefault="00DD51BE" w:rsidP="00514A63">
      <w:pPr>
        <w:pStyle w:val="Heading1"/>
        <w:numPr>
          <w:ilvl w:val="0"/>
          <w:numId w:val="2"/>
        </w:numPr>
        <w:rPr>
          <w:color w:val="auto"/>
        </w:rPr>
      </w:pPr>
      <w:r>
        <w:br w:type="page"/>
      </w:r>
      <w:bookmarkStart w:id="8" w:name="_Toc228013960"/>
      <w:r w:rsidRPr="00BB489C">
        <w:rPr>
          <w:color w:val="auto"/>
        </w:rPr>
        <w:lastRenderedPageBreak/>
        <w:t>Discussion</w:t>
      </w:r>
      <w:bookmarkEnd w:id="8"/>
    </w:p>
    <w:p w14:paraId="1FECEB66" w14:textId="77777777" w:rsidR="009A4CE6" w:rsidRPr="009A4CE6" w:rsidRDefault="009A4CE6" w:rsidP="009A4CE6">
      <w:pPr>
        <w:pStyle w:val="Heading3"/>
        <w:rPr>
          <w:color w:val="auto"/>
        </w:rPr>
      </w:pPr>
      <w:bookmarkStart w:id="9" w:name="_Toc228013961"/>
      <w:r w:rsidRPr="009A4CE6">
        <w:rPr>
          <w:color w:val="auto"/>
        </w:rPr>
        <w:t>1. Managing Sand and Resin Inventory More Effectively</w:t>
      </w:r>
      <w:bookmarkEnd w:id="9"/>
    </w:p>
    <w:p w14:paraId="0E8BA047" w14:textId="77777777" w:rsidR="009A4CE6" w:rsidRDefault="009A4CE6" w:rsidP="009A4CE6">
      <w:pPr>
        <w:rPr>
          <w:sz w:val="22"/>
          <w:szCs w:val="22"/>
        </w:rPr>
      </w:pPr>
      <w:r w:rsidRPr="009A4CE6">
        <w:rPr>
          <w:sz w:val="22"/>
          <w:szCs w:val="22"/>
        </w:rPr>
        <w:t xml:space="preserve">The issues identified within </w:t>
      </w:r>
      <w:proofErr w:type="spellStart"/>
      <w:r w:rsidRPr="009A4CE6">
        <w:rPr>
          <w:sz w:val="22"/>
          <w:szCs w:val="22"/>
        </w:rPr>
        <w:t>Brocksweir’s</w:t>
      </w:r>
      <w:proofErr w:type="spellEnd"/>
      <w:r w:rsidRPr="009A4CE6">
        <w:rPr>
          <w:sz w:val="22"/>
          <w:szCs w:val="22"/>
        </w:rPr>
        <w:t xml:space="preserve"> sand foundry operations highlight a fundamental absence of structured inventory management. The accumulation of expired phenolic and furan resins, alongside excessive bulk purchasing, indicates that procurement decisions are being driven by short‑term cost savings rather than total cost of ownership or operational need. At a strategic level, the company must transition from reactive purchasing to a system governed by data, forecasting and defined inventory policies.</w:t>
      </w:r>
    </w:p>
    <w:p w14:paraId="23F474EC" w14:textId="77777777" w:rsidR="009A4CE6" w:rsidRDefault="009A4CE6" w:rsidP="009A4CE6">
      <w:pPr>
        <w:rPr>
          <w:sz w:val="22"/>
          <w:szCs w:val="22"/>
        </w:rPr>
      </w:pPr>
      <w:r w:rsidRPr="009A4CE6">
        <w:rPr>
          <w:sz w:val="22"/>
          <w:szCs w:val="22"/>
        </w:rPr>
        <w:t>A critical first step is the implementation of ABC analysis to classify inventory based on value, usage rate and criticality. Resins, which are high‑value, short‑life and environmentally sensitive, would fall into the ‘A’ category, requiring tight control, frequent review and restricted ordering authority. This would prevent the accumulation of obsolete stock and ensure that shelf‑life constraints are actively managed.</w:t>
      </w:r>
    </w:p>
    <w:p w14:paraId="05C7B4B0" w14:textId="06F31445" w:rsidR="009A4CE6" w:rsidRDefault="009A4CE6" w:rsidP="009A4CE6">
      <w:pPr>
        <w:rPr>
          <w:sz w:val="22"/>
          <w:szCs w:val="22"/>
        </w:rPr>
      </w:pPr>
      <w:r w:rsidRPr="009A4CE6">
        <w:rPr>
          <w:sz w:val="22"/>
          <w:szCs w:val="22"/>
        </w:rPr>
        <w:t xml:space="preserve">The adoption of Economic Order Quantity (EOQ) could further support decision‑making by balancing ordering costs with holding costs. However, EOQ must be applied critically: for perishable materials such as resins, the model must be adapted to incorporate shelf‑life constraints and disposal costs. In </w:t>
      </w:r>
      <w:proofErr w:type="spellStart"/>
      <w:r w:rsidRPr="009A4CE6">
        <w:rPr>
          <w:sz w:val="22"/>
          <w:szCs w:val="22"/>
        </w:rPr>
        <w:t>Brocksweir’s</w:t>
      </w:r>
      <w:proofErr w:type="spellEnd"/>
      <w:r w:rsidRPr="009A4CE6">
        <w:rPr>
          <w:sz w:val="22"/>
          <w:szCs w:val="22"/>
        </w:rPr>
        <w:t xml:space="preserve"> case, the cost of waste disposal</w:t>
      </w:r>
      <w:r w:rsidR="00EB7B44">
        <w:rPr>
          <w:sz w:val="22"/>
          <w:szCs w:val="22"/>
        </w:rPr>
        <w:t xml:space="preserve"> </w:t>
      </w:r>
      <w:r w:rsidRPr="009A4CE6">
        <w:rPr>
          <w:sz w:val="22"/>
          <w:szCs w:val="22"/>
        </w:rPr>
        <w:t>now significantly higher due to special waste classification</w:t>
      </w:r>
      <w:r w:rsidR="00EB7B44">
        <w:rPr>
          <w:sz w:val="22"/>
          <w:szCs w:val="22"/>
        </w:rPr>
        <w:t xml:space="preserve"> </w:t>
      </w:r>
      <w:r w:rsidRPr="009A4CE6">
        <w:rPr>
          <w:sz w:val="22"/>
          <w:szCs w:val="22"/>
        </w:rPr>
        <w:t>should be integrated into the holding cost component, which would naturally reduce optimal order quantities.</w:t>
      </w:r>
    </w:p>
    <w:p w14:paraId="169296F5" w14:textId="77777777" w:rsidR="009A4CE6" w:rsidRDefault="009A4CE6" w:rsidP="009A4CE6">
      <w:pPr>
        <w:rPr>
          <w:sz w:val="22"/>
          <w:szCs w:val="22"/>
        </w:rPr>
      </w:pPr>
      <w:r w:rsidRPr="009A4CE6">
        <w:rPr>
          <w:sz w:val="22"/>
          <w:szCs w:val="22"/>
        </w:rPr>
        <w:t>Given the volatility of demand for sand castings, Vendor Managed Inventory (VMI) presents a viable alternative. Under VMI, suppliers monitor usage and replenish stock within agreed parameters, reducing the risk of over‑ordering and shifting some responsibility for shelf‑life management upstream. This approach is particularly effective for specialist materials with limited storage life, as suppliers typically have better visibility of batch age and can rotate stock accordingly.</w:t>
      </w:r>
    </w:p>
    <w:p w14:paraId="1EED44BF" w14:textId="04B9BD41" w:rsidR="009A4CE6" w:rsidRPr="009A4CE6" w:rsidRDefault="009A4CE6" w:rsidP="009A4CE6">
      <w:pPr>
        <w:rPr>
          <w:sz w:val="22"/>
          <w:szCs w:val="22"/>
        </w:rPr>
      </w:pPr>
      <w:r w:rsidRPr="009A4CE6">
        <w:rPr>
          <w:sz w:val="22"/>
          <w:szCs w:val="22"/>
        </w:rPr>
        <w:t>Finally, the company must introduce minimum and maximum stock levels, supported by real‑time inventory tracking. This requires basic digitalisation</w:t>
      </w:r>
      <w:r>
        <w:rPr>
          <w:sz w:val="22"/>
          <w:szCs w:val="22"/>
        </w:rPr>
        <w:t xml:space="preserve"> </w:t>
      </w:r>
      <w:r w:rsidRPr="009A4CE6">
        <w:rPr>
          <w:sz w:val="22"/>
          <w:szCs w:val="22"/>
        </w:rPr>
        <w:t>barcode scanning, stock rotation protocols and periodic cycle counting</w:t>
      </w:r>
      <w:r>
        <w:rPr>
          <w:sz w:val="22"/>
          <w:szCs w:val="22"/>
        </w:rPr>
        <w:t xml:space="preserve"> </w:t>
      </w:r>
      <w:r w:rsidRPr="009A4CE6">
        <w:rPr>
          <w:sz w:val="22"/>
          <w:szCs w:val="22"/>
        </w:rPr>
        <w:t>to ensure accuracy. Without reliable data, no inventory model can function effectively.</w:t>
      </w:r>
    </w:p>
    <w:p w14:paraId="0F731C5F" w14:textId="77777777" w:rsidR="009A4CE6" w:rsidRPr="009A4CE6" w:rsidRDefault="009A4CE6" w:rsidP="009A4CE6">
      <w:pPr>
        <w:rPr>
          <w:sz w:val="22"/>
          <w:szCs w:val="22"/>
        </w:rPr>
      </w:pPr>
    </w:p>
    <w:p w14:paraId="4E1418D7" w14:textId="77777777" w:rsidR="009A4CE6" w:rsidRPr="009A4CE6" w:rsidRDefault="009A4CE6" w:rsidP="009A4CE6">
      <w:pPr>
        <w:pStyle w:val="Heading3"/>
        <w:rPr>
          <w:color w:val="auto"/>
        </w:rPr>
      </w:pPr>
      <w:bookmarkStart w:id="10" w:name="_Toc228013962"/>
      <w:r w:rsidRPr="009A4CE6">
        <w:rPr>
          <w:color w:val="auto"/>
        </w:rPr>
        <w:lastRenderedPageBreak/>
        <w:t>2. Options for Dealing with Obsolete Stock</w:t>
      </w:r>
      <w:bookmarkEnd w:id="10"/>
    </w:p>
    <w:p w14:paraId="589E04AA" w14:textId="77777777" w:rsidR="009A4CE6" w:rsidRDefault="009A4CE6" w:rsidP="009A4CE6">
      <w:pPr>
        <w:rPr>
          <w:sz w:val="22"/>
          <w:szCs w:val="22"/>
        </w:rPr>
      </w:pPr>
      <w:r w:rsidRPr="009A4CE6">
        <w:rPr>
          <w:sz w:val="22"/>
          <w:szCs w:val="22"/>
        </w:rPr>
        <w:t xml:space="preserve">The discovery of £20,000 worth of expired resins presents both a financial and environmental challenge. </w:t>
      </w:r>
    </w:p>
    <w:p w14:paraId="6FA69BD0" w14:textId="77777777" w:rsidR="009A4CE6" w:rsidRDefault="009A4CE6" w:rsidP="009A4CE6">
      <w:pPr>
        <w:rPr>
          <w:sz w:val="22"/>
          <w:szCs w:val="22"/>
        </w:rPr>
      </w:pPr>
      <w:r w:rsidRPr="009A4CE6">
        <w:rPr>
          <w:sz w:val="22"/>
          <w:szCs w:val="22"/>
        </w:rPr>
        <w:t>The most immediate option is compliant disposal through licensed waste contractors, which is unavoidable given the hazardous nature of phenolic and furan resins. However, this should be viewed as a sunk cost and a catalyst for systemic change rather than an isolated incident.</w:t>
      </w:r>
    </w:p>
    <w:p w14:paraId="3077BD17" w14:textId="77777777" w:rsidR="009A4CE6" w:rsidRDefault="009A4CE6" w:rsidP="009A4CE6">
      <w:pPr>
        <w:rPr>
          <w:sz w:val="22"/>
          <w:szCs w:val="22"/>
        </w:rPr>
      </w:pPr>
      <w:r w:rsidRPr="009A4CE6">
        <w:rPr>
          <w:sz w:val="22"/>
          <w:szCs w:val="22"/>
        </w:rPr>
        <w:t>A second option is supplier negotiation, particularly if the obsolescence resulted from supplier‑driven minimum order quantities or batch sizes. Some suppliers may offer partial credit, take‑back schemes or discounted future orders as part of a long‑term relationship strategy. While not guaranteed, this option reflects a more collaborative supply chain approach.</w:t>
      </w:r>
    </w:p>
    <w:p w14:paraId="4AC2590B" w14:textId="77777777" w:rsidR="009A4CE6" w:rsidRDefault="009A4CE6" w:rsidP="009A4CE6">
      <w:pPr>
        <w:rPr>
          <w:sz w:val="22"/>
          <w:szCs w:val="22"/>
        </w:rPr>
      </w:pPr>
      <w:r w:rsidRPr="009A4CE6">
        <w:rPr>
          <w:sz w:val="22"/>
          <w:szCs w:val="22"/>
        </w:rPr>
        <w:t>A third option involves internal repurposing, though this is limited by the chemical degradation of expired resins. In most cases, expired binders cannot be safely or effectively used in production. Attempting to do so would increase defect rates, rework and scrap ultimately costing more than disposal.</w:t>
      </w:r>
    </w:p>
    <w:p w14:paraId="6B741A22" w14:textId="2975BFFD" w:rsidR="009A4CE6" w:rsidRPr="009A4CE6" w:rsidRDefault="009A4CE6" w:rsidP="009A4CE6">
      <w:pPr>
        <w:rPr>
          <w:sz w:val="22"/>
          <w:szCs w:val="22"/>
        </w:rPr>
      </w:pPr>
      <w:r w:rsidRPr="009A4CE6">
        <w:rPr>
          <w:sz w:val="22"/>
          <w:szCs w:val="22"/>
        </w:rPr>
        <w:t>From a strategic perspective, the most valuable outcome is the establishment of obsolescence prevention mechanisms. This includes shelf‑life tracking systems, first‑in‑first‑out (FIFO) controls and supplier agreements that align batch sizes with actual consumption. The company should also conduct a post‑mortem analysis to identify whether the obsolete stock resulted from poor forecasting, excessive safety stock or misaligned purchasing incentives.</w:t>
      </w:r>
    </w:p>
    <w:p w14:paraId="601B8515" w14:textId="77777777" w:rsidR="009A4CE6" w:rsidRPr="009A4CE6" w:rsidRDefault="009A4CE6" w:rsidP="009A4CE6">
      <w:pPr>
        <w:rPr>
          <w:sz w:val="22"/>
          <w:szCs w:val="22"/>
        </w:rPr>
      </w:pPr>
    </w:p>
    <w:p w14:paraId="1ACD64DA" w14:textId="77777777" w:rsidR="009A4CE6" w:rsidRPr="009A4CE6" w:rsidRDefault="009A4CE6" w:rsidP="009A4CE6">
      <w:pPr>
        <w:pStyle w:val="Heading3"/>
        <w:rPr>
          <w:color w:val="auto"/>
        </w:rPr>
      </w:pPr>
      <w:bookmarkStart w:id="11" w:name="_Toc228013963"/>
      <w:r w:rsidRPr="009A4CE6">
        <w:rPr>
          <w:color w:val="auto"/>
        </w:rPr>
        <w:t>3. Improving Understanding of Lead Time Across the Business</w:t>
      </w:r>
      <w:bookmarkEnd w:id="11"/>
    </w:p>
    <w:p w14:paraId="0442534E" w14:textId="77777777" w:rsidR="009A4CE6" w:rsidRDefault="009A4CE6" w:rsidP="009A4CE6">
      <w:pPr>
        <w:rPr>
          <w:sz w:val="22"/>
          <w:szCs w:val="22"/>
        </w:rPr>
      </w:pPr>
      <w:r w:rsidRPr="009A4CE6">
        <w:rPr>
          <w:sz w:val="22"/>
          <w:szCs w:val="22"/>
        </w:rPr>
        <w:t xml:space="preserve">Lead time is a critical determinant of operational performance, yet </w:t>
      </w:r>
      <w:proofErr w:type="spellStart"/>
      <w:r w:rsidRPr="009A4CE6">
        <w:rPr>
          <w:sz w:val="22"/>
          <w:szCs w:val="22"/>
        </w:rPr>
        <w:t>Brocksweir</w:t>
      </w:r>
      <w:proofErr w:type="spellEnd"/>
      <w:r w:rsidRPr="009A4CE6">
        <w:rPr>
          <w:sz w:val="22"/>
          <w:szCs w:val="22"/>
        </w:rPr>
        <w:t xml:space="preserve"> currently lacks visibility of how delays accumulate across procurement, production and supplier interfaces. A more sophisticated understanding of lead time is essential for accurate planning, inventory control and customer responsiveness.</w:t>
      </w:r>
    </w:p>
    <w:p w14:paraId="370AC519" w14:textId="6589BF76" w:rsidR="009A4CE6" w:rsidRPr="009A4CE6" w:rsidRDefault="009A4CE6" w:rsidP="009A4CE6">
      <w:pPr>
        <w:rPr>
          <w:sz w:val="22"/>
          <w:szCs w:val="22"/>
        </w:rPr>
      </w:pPr>
      <w:r w:rsidRPr="009A4CE6">
        <w:rPr>
          <w:sz w:val="22"/>
          <w:szCs w:val="22"/>
        </w:rPr>
        <w:t>The company should begin by conducting end‑to‑end process mapping, identifying each activity from order placement to finished product delivery. This enables the decomposition of lead time into value‑adding and non‑value‑adding components. In many traditional foundries, delays arise from batching, waiting for tooling availability, drying times and internal transport</w:t>
      </w:r>
      <w:r>
        <w:rPr>
          <w:sz w:val="22"/>
          <w:szCs w:val="22"/>
        </w:rPr>
        <w:t xml:space="preserve"> </w:t>
      </w:r>
      <w:r w:rsidRPr="009A4CE6">
        <w:rPr>
          <w:sz w:val="22"/>
          <w:szCs w:val="22"/>
        </w:rPr>
        <w:t xml:space="preserve">none of which are currently measured at </w:t>
      </w:r>
      <w:proofErr w:type="spellStart"/>
      <w:r w:rsidRPr="009A4CE6">
        <w:rPr>
          <w:sz w:val="22"/>
          <w:szCs w:val="22"/>
        </w:rPr>
        <w:t>Brocksweir</w:t>
      </w:r>
      <w:proofErr w:type="spellEnd"/>
      <w:r w:rsidRPr="009A4CE6">
        <w:rPr>
          <w:sz w:val="22"/>
          <w:szCs w:val="22"/>
        </w:rPr>
        <w:t>.</w:t>
      </w:r>
    </w:p>
    <w:p w14:paraId="33381D09" w14:textId="77777777" w:rsidR="009A4CE6" w:rsidRPr="009A4CE6" w:rsidRDefault="009A4CE6" w:rsidP="009A4CE6">
      <w:pPr>
        <w:rPr>
          <w:sz w:val="22"/>
          <w:szCs w:val="22"/>
        </w:rPr>
      </w:pPr>
    </w:p>
    <w:p w14:paraId="179FDE07" w14:textId="77777777" w:rsidR="009A4CE6" w:rsidRDefault="009A4CE6" w:rsidP="009A4CE6">
      <w:pPr>
        <w:rPr>
          <w:sz w:val="22"/>
          <w:szCs w:val="22"/>
        </w:rPr>
      </w:pPr>
      <w:r w:rsidRPr="009A4CE6">
        <w:rPr>
          <w:sz w:val="22"/>
          <w:szCs w:val="22"/>
        </w:rPr>
        <w:lastRenderedPageBreak/>
        <w:t>To support this, the company must implement lead‑time data capture ideally through digital tools such as shop‑floor data collection systems or simple barcode scanning. Even low‑cost solutions can provide significant insight into bottlenecks and variability.</w:t>
      </w:r>
    </w:p>
    <w:p w14:paraId="452CBDD4" w14:textId="77777777" w:rsidR="009A4CE6" w:rsidRDefault="009A4CE6" w:rsidP="009A4CE6">
      <w:pPr>
        <w:rPr>
          <w:sz w:val="22"/>
          <w:szCs w:val="22"/>
        </w:rPr>
      </w:pPr>
      <w:r w:rsidRPr="009A4CE6">
        <w:rPr>
          <w:sz w:val="22"/>
          <w:szCs w:val="22"/>
        </w:rPr>
        <w:t xml:space="preserve">Externally, </w:t>
      </w:r>
      <w:proofErr w:type="spellStart"/>
      <w:r w:rsidRPr="009A4CE6">
        <w:rPr>
          <w:sz w:val="22"/>
          <w:szCs w:val="22"/>
        </w:rPr>
        <w:t>Brocksweir</w:t>
      </w:r>
      <w:proofErr w:type="spellEnd"/>
      <w:r w:rsidRPr="009A4CE6">
        <w:rPr>
          <w:sz w:val="22"/>
          <w:szCs w:val="22"/>
        </w:rPr>
        <w:t xml:space="preserve"> should work with suppliers to establish transparent lead‑time agreements, including variability ranges rather than single‑point estimates. This is particularly important for resin suppliers where lead‑time fluctuations can disrupt production schedules and encourage over‑ordering.</w:t>
      </w:r>
    </w:p>
    <w:p w14:paraId="09C4B3D6" w14:textId="607B3738" w:rsidR="009A4CE6" w:rsidRPr="009A4CE6" w:rsidRDefault="009A4CE6" w:rsidP="009A4CE6">
      <w:pPr>
        <w:rPr>
          <w:sz w:val="22"/>
          <w:szCs w:val="22"/>
        </w:rPr>
      </w:pPr>
      <w:r w:rsidRPr="009A4CE6">
        <w:rPr>
          <w:sz w:val="22"/>
          <w:szCs w:val="22"/>
        </w:rPr>
        <w:t>Finally, the company should adopt Sales and Operations Planning (S&amp;OP) or a simplified equivalent. This cross‑functional process aligns demand forecasting, capacity planning and procurement ensuring that lead‑time information is shared across departments rather than siloed. For a business with multiple product lines and fluctuating demand, S&amp;OP provides the governance structure needed to make informed, coordinated decisions.</w:t>
      </w:r>
    </w:p>
    <w:p w14:paraId="60B81073" w14:textId="77777777" w:rsidR="00DD51BE" w:rsidRDefault="00DD51BE">
      <w:r>
        <w:br w:type="page"/>
      </w:r>
    </w:p>
    <w:p w14:paraId="792A57EB" w14:textId="04F4F81E" w:rsidR="009379FB" w:rsidRPr="009A4CE6" w:rsidRDefault="00DD51BE" w:rsidP="009379FB">
      <w:pPr>
        <w:pStyle w:val="Heading1"/>
        <w:numPr>
          <w:ilvl w:val="0"/>
          <w:numId w:val="2"/>
        </w:numPr>
        <w:rPr>
          <w:color w:val="auto"/>
        </w:rPr>
      </w:pPr>
      <w:bookmarkStart w:id="12" w:name="_Toc228013964"/>
      <w:r w:rsidRPr="00BB489C">
        <w:rPr>
          <w:color w:val="auto"/>
        </w:rPr>
        <w:lastRenderedPageBreak/>
        <w:t>Conclusion</w:t>
      </w:r>
      <w:bookmarkEnd w:id="12"/>
    </w:p>
    <w:p w14:paraId="6D5370E0" w14:textId="79618DA7" w:rsidR="009379FB" w:rsidRPr="009A4CE6" w:rsidRDefault="009379FB" w:rsidP="009A4CE6">
      <w:pPr>
        <w:spacing w:after="0"/>
        <w:rPr>
          <w:sz w:val="22"/>
          <w:szCs w:val="22"/>
        </w:rPr>
      </w:pPr>
      <w:r w:rsidRPr="009A4CE6">
        <w:rPr>
          <w:sz w:val="22"/>
          <w:szCs w:val="22"/>
        </w:rPr>
        <w:t xml:space="preserve">The analysis of </w:t>
      </w:r>
      <w:proofErr w:type="spellStart"/>
      <w:r w:rsidRPr="009A4CE6">
        <w:rPr>
          <w:sz w:val="22"/>
          <w:szCs w:val="22"/>
        </w:rPr>
        <w:t>Brocksweir</w:t>
      </w:r>
      <w:proofErr w:type="spellEnd"/>
      <w:r w:rsidRPr="009A4CE6">
        <w:rPr>
          <w:sz w:val="22"/>
          <w:szCs w:val="22"/>
        </w:rPr>
        <w:t xml:space="preserve"> and Sons Ltd highlights that the challenges facing the sand foundry are not isolated operational issues but symptoms of deeper systemic weaknesses in inventory control, purchasing behaviour and supply chain visibility. The accumulation of expired phenolic and furan resins, the absence of structured stock management, and the financial and environmental consequences of obsolete materials demonstrate the urgent need for a more disciplined and data‑driven approach to inventory governance. Applying established techniques such as ABC analysis, EOQ, minimum/maximum stock levels and Vendor Managed Inventory would provide the foundations for a more controlled and predictable materials management system, reducing waste and improving working‑capital efficiency.</w:t>
      </w:r>
    </w:p>
    <w:p w14:paraId="60966CD3" w14:textId="5737F245" w:rsidR="009379FB" w:rsidRPr="009A4CE6" w:rsidRDefault="009379FB" w:rsidP="009A4CE6">
      <w:pPr>
        <w:spacing w:after="0"/>
        <w:rPr>
          <w:sz w:val="22"/>
          <w:szCs w:val="22"/>
        </w:rPr>
      </w:pPr>
      <w:r w:rsidRPr="009A4CE6">
        <w:rPr>
          <w:sz w:val="22"/>
          <w:szCs w:val="22"/>
        </w:rPr>
        <w:t>The options for dealing with obsolete stock further reinforce the importance of strategic learning. While compliant disposal is unavoidable the incident should act as a catalyst for improved forecasting, supplier collaboration and shelf‑life monitoring. Preventing future obsolescence requires not only procedural controls but also cultural change, ensuring that purchasing decisions are aligned with actual consumption patterns and total cost considerations rather than short‑term price incentives.</w:t>
      </w:r>
    </w:p>
    <w:p w14:paraId="05D9C49B" w14:textId="4421ABEE" w:rsidR="009379FB" w:rsidRPr="009A4CE6" w:rsidRDefault="009379FB" w:rsidP="009A4CE6">
      <w:pPr>
        <w:spacing w:after="0"/>
        <w:rPr>
          <w:sz w:val="22"/>
          <w:szCs w:val="22"/>
        </w:rPr>
      </w:pPr>
      <w:r w:rsidRPr="009A4CE6">
        <w:rPr>
          <w:sz w:val="22"/>
          <w:szCs w:val="22"/>
        </w:rPr>
        <w:t>Finally, the company’s limited understanding of lead time across its internal operations and extended supply chain constrains its ability to plan effectively</w:t>
      </w:r>
      <w:r w:rsidR="006D7B77">
        <w:rPr>
          <w:sz w:val="22"/>
          <w:szCs w:val="22"/>
        </w:rPr>
        <w:t xml:space="preserve"> and</w:t>
      </w:r>
      <w:r w:rsidRPr="009A4CE6">
        <w:rPr>
          <w:sz w:val="22"/>
          <w:szCs w:val="22"/>
        </w:rPr>
        <w:t xml:space="preserve"> respond to demand fluctuations and maintain service reliability. Developing accurate lead‑time data through process mapping, digital tracking and supplier engagement is essential for improving operational performance. Embedding this information within a structured planning framework, such as Sales and Operations Planning, would enhance cross‑functional coordination and support the Managing Director’s ambition to modernise the business.</w:t>
      </w:r>
    </w:p>
    <w:p w14:paraId="78A5E206" w14:textId="6529384B" w:rsidR="009379FB" w:rsidRPr="009A4CE6" w:rsidRDefault="009379FB" w:rsidP="009A4CE6">
      <w:pPr>
        <w:spacing w:after="0"/>
        <w:rPr>
          <w:sz w:val="22"/>
          <w:szCs w:val="22"/>
        </w:rPr>
      </w:pPr>
      <w:r w:rsidRPr="009A4CE6">
        <w:rPr>
          <w:sz w:val="22"/>
          <w:szCs w:val="22"/>
        </w:rPr>
        <w:t xml:space="preserve">Overall, the findings demonstrate that </w:t>
      </w:r>
      <w:proofErr w:type="spellStart"/>
      <w:r w:rsidRPr="009A4CE6">
        <w:rPr>
          <w:sz w:val="22"/>
          <w:szCs w:val="22"/>
        </w:rPr>
        <w:t>Brocksweir’s</w:t>
      </w:r>
      <w:proofErr w:type="spellEnd"/>
      <w:r w:rsidRPr="009A4CE6">
        <w:rPr>
          <w:sz w:val="22"/>
          <w:szCs w:val="22"/>
        </w:rPr>
        <w:t xml:space="preserve"> long‑term competitiveness depends on strengthening its supply chain capabilities, improving inventory discipline and adopting more integrated planning processes. Addressing these areas will not only resolve current inefficiencies but also position the company for sustainable growth in an increasingly demanding industrial environment.</w:t>
      </w:r>
    </w:p>
    <w:p w14:paraId="4D922F77" w14:textId="77777777" w:rsidR="00D61A58" w:rsidRDefault="00DD51BE" w:rsidP="00514A63">
      <w:pPr>
        <w:pStyle w:val="Heading1"/>
        <w:numPr>
          <w:ilvl w:val="0"/>
          <w:numId w:val="2"/>
        </w:numPr>
        <w:rPr>
          <w:color w:val="auto"/>
        </w:rPr>
      </w:pPr>
      <w:r>
        <w:br w:type="page"/>
      </w:r>
    </w:p>
    <w:bookmarkStart w:id="13" w:name="_Toc228013965" w:displacedByCustomXml="next"/>
    <w:sdt>
      <w:sdtPr>
        <w:rPr>
          <w:rFonts w:eastAsiaTheme="minorHAnsi" w:cstheme="minorBidi"/>
          <w:color w:val="auto"/>
          <w:sz w:val="24"/>
          <w:szCs w:val="24"/>
        </w:rPr>
        <w:id w:val="1192503664"/>
        <w:docPartObj>
          <w:docPartGallery w:val="Bibliographies"/>
          <w:docPartUnique/>
        </w:docPartObj>
      </w:sdtPr>
      <w:sdtContent>
        <w:p w14:paraId="7C33CB95" w14:textId="4F69D123" w:rsidR="00D61A58" w:rsidRPr="00D61A58" w:rsidRDefault="00D61A58" w:rsidP="00D61A58">
          <w:pPr>
            <w:pStyle w:val="Heading1"/>
            <w:numPr>
              <w:ilvl w:val="0"/>
              <w:numId w:val="0"/>
            </w:numPr>
            <w:ind w:left="426"/>
            <w:rPr>
              <w:color w:val="auto"/>
            </w:rPr>
          </w:pPr>
          <w:r w:rsidRPr="00D61A58">
            <w:rPr>
              <w:color w:val="auto"/>
            </w:rPr>
            <w:t>6.Bibliography</w:t>
          </w:r>
          <w:bookmarkEnd w:id="13"/>
        </w:p>
        <w:sdt>
          <w:sdtPr>
            <w:id w:val="111145805"/>
            <w:bibliography/>
          </w:sdtPr>
          <w:sdtContent>
            <w:p w14:paraId="0D3475CB" w14:textId="77777777" w:rsidR="00D61A58" w:rsidRDefault="00D61A58" w:rsidP="00D61A58">
              <w:pPr>
                <w:pStyle w:val="Bibliography"/>
                <w:ind w:left="720" w:hanging="720"/>
                <w:rPr>
                  <w:noProof/>
                  <w:kern w:val="0"/>
                  <w14:ligatures w14:val="none"/>
                </w:rPr>
              </w:pPr>
              <w:r>
                <w:fldChar w:fldCharType="begin"/>
              </w:r>
              <w:r>
                <w:instrText>BIBLIOGRAPHY</w:instrText>
              </w:r>
              <w:r>
                <w:fldChar w:fldCharType="separate"/>
              </w:r>
              <w:r>
                <w:rPr>
                  <w:noProof/>
                </w:rPr>
                <w:t xml:space="preserve">Association, E. F. (2020). </w:t>
              </w:r>
              <w:r>
                <w:rPr>
                  <w:i/>
                  <w:iCs/>
                  <w:noProof/>
                </w:rPr>
                <w:t>Environmental Regulations in European Foundries.</w:t>
              </w:r>
              <w:r>
                <w:rPr>
                  <w:noProof/>
                </w:rPr>
                <w:t xml:space="preserve"> Brussels: CAEF.</w:t>
              </w:r>
            </w:p>
            <w:p w14:paraId="3097AA43" w14:textId="77777777" w:rsidR="00D61A58" w:rsidRDefault="00D61A58" w:rsidP="00D61A58">
              <w:pPr>
                <w:pStyle w:val="Bibliography"/>
                <w:ind w:left="720" w:hanging="720"/>
                <w:rPr>
                  <w:noProof/>
                </w:rPr>
              </w:pPr>
              <w:r>
                <w:rPr>
                  <w:noProof/>
                </w:rPr>
                <w:t xml:space="preserve">Beeley, P. (2001). </w:t>
              </w:r>
              <w:r>
                <w:rPr>
                  <w:i/>
                  <w:iCs/>
                  <w:noProof/>
                </w:rPr>
                <w:t>Foundry Technology. 2nd ed. .</w:t>
              </w:r>
              <w:r>
                <w:rPr>
                  <w:noProof/>
                </w:rPr>
                <w:t xml:space="preserve"> Oxford: Butterworth</w:t>
              </w:r>
              <w:r>
                <w:rPr>
                  <w:noProof/>
                </w:rPr>
                <w:noBreakHyphen/>
                <w:t>Heinemann.</w:t>
              </w:r>
            </w:p>
            <w:p w14:paraId="456BAB0D" w14:textId="77777777" w:rsidR="00D61A58" w:rsidRDefault="00D61A58" w:rsidP="00D61A58">
              <w:pPr>
                <w:pStyle w:val="Bibliography"/>
                <w:ind w:left="720" w:hanging="720"/>
                <w:rPr>
                  <w:noProof/>
                </w:rPr>
              </w:pPr>
              <w:r>
                <w:rPr>
                  <w:noProof/>
                </w:rPr>
                <w:t xml:space="preserve">Christopher, M. (2016). </w:t>
              </w:r>
              <w:r>
                <w:rPr>
                  <w:i/>
                  <w:iCs/>
                  <w:noProof/>
                </w:rPr>
                <w:t>Logistics and Supply Chain Management. 5th ed.</w:t>
              </w:r>
              <w:r>
                <w:rPr>
                  <w:noProof/>
                </w:rPr>
                <w:t xml:space="preserve"> Harlow: Pearson.</w:t>
              </w:r>
            </w:p>
            <w:p w14:paraId="4E8DDBFA" w14:textId="77777777" w:rsidR="00D61A58" w:rsidRDefault="00D61A58" w:rsidP="00D61A58">
              <w:pPr>
                <w:pStyle w:val="Bibliography"/>
                <w:ind w:left="720" w:hanging="720"/>
                <w:rPr>
                  <w:noProof/>
                </w:rPr>
              </w:pPr>
              <w:r>
                <w:rPr>
                  <w:noProof/>
                </w:rPr>
                <w:t xml:space="preserve">D, W. (2019). </w:t>
              </w:r>
              <w:r>
                <w:rPr>
                  <w:i/>
                  <w:iCs/>
                  <w:noProof/>
                </w:rPr>
                <w:t>inventory control and Managment 3rd ed.</w:t>
              </w:r>
              <w:r>
                <w:rPr>
                  <w:noProof/>
                </w:rPr>
                <w:t xml:space="preserve"> Chichester: Wiley.</w:t>
              </w:r>
            </w:p>
            <w:p w14:paraId="333CDFE3" w14:textId="77777777" w:rsidR="00D61A58" w:rsidRDefault="00D61A58" w:rsidP="00D61A58">
              <w:pPr>
                <w:pStyle w:val="Bibliography"/>
                <w:ind w:left="720" w:hanging="720"/>
                <w:rPr>
                  <w:noProof/>
                </w:rPr>
              </w:pPr>
              <w:r>
                <w:rPr>
                  <w:noProof/>
                </w:rPr>
                <w:t xml:space="preserve">Disney, S. a. (2003). ‘Vendor-managed inventory: Why you need to redesign your supply chain’. </w:t>
              </w:r>
              <w:r>
                <w:rPr>
                  <w:i/>
                  <w:iCs/>
                  <w:noProof/>
                </w:rPr>
                <w:t>International Journal of Production Economics, 85(2)</w:t>
              </w:r>
              <w:r>
                <w:rPr>
                  <w:noProof/>
                </w:rPr>
                <w:t>, 107-120.</w:t>
              </w:r>
            </w:p>
            <w:p w14:paraId="4165C7AE" w14:textId="77777777" w:rsidR="00D61A58" w:rsidRDefault="00D61A58" w:rsidP="00D61A58">
              <w:pPr>
                <w:pStyle w:val="Bibliography"/>
                <w:ind w:left="720" w:hanging="720"/>
                <w:rPr>
                  <w:noProof/>
                </w:rPr>
              </w:pPr>
              <w:r>
                <w:rPr>
                  <w:noProof/>
                </w:rPr>
                <w:t xml:space="preserve">Nahmias, S. a. (2015). </w:t>
              </w:r>
              <w:r>
                <w:rPr>
                  <w:i/>
                  <w:iCs/>
                  <w:noProof/>
                </w:rPr>
                <w:t>Production and Operations Analysis. 7th ed. .</w:t>
              </w:r>
              <w:r>
                <w:rPr>
                  <w:noProof/>
                </w:rPr>
                <w:t xml:space="preserve"> Long Grove: Waveland Press.</w:t>
              </w:r>
            </w:p>
            <w:p w14:paraId="78AA2B3C" w14:textId="77777777" w:rsidR="00D61A58" w:rsidRDefault="00D61A58" w:rsidP="00D61A58">
              <w:pPr>
                <w:pStyle w:val="Bibliography"/>
                <w:ind w:left="720" w:hanging="720"/>
                <w:rPr>
                  <w:noProof/>
                </w:rPr>
              </w:pPr>
              <w:r>
                <w:rPr>
                  <w:noProof/>
                </w:rPr>
                <w:t xml:space="preserve">Silver, E. P. (2017). </w:t>
              </w:r>
              <w:r>
                <w:rPr>
                  <w:i/>
                  <w:iCs/>
                  <w:noProof/>
                </w:rPr>
                <w:t>Inventory and Production Management in Supply Chains. 4th ed.</w:t>
              </w:r>
              <w:r>
                <w:rPr>
                  <w:noProof/>
                </w:rPr>
                <w:t xml:space="preserve"> Boca Raton: CRC press.</w:t>
              </w:r>
            </w:p>
            <w:p w14:paraId="33499283" w14:textId="77777777" w:rsidR="00D61A58" w:rsidRDefault="00D61A58" w:rsidP="00D61A58">
              <w:pPr>
                <w:pStyle w:val="Bibliography"/>
                <w:ind w:left="720" w:hanging="720"/>
                <w:rPr>
                  <w:noProof/>
                </w:rPr>
              </w:pPr>
              <w:r>
                <w:rPr>
                  <w:noProof/>
                </w:rPr>
                <w:t>Slack, N. B.</w:t>
              </w:r>
              <w:r>
                <w:rPr>
                  <w:noProof/>
                </w:rPr>
                <w:noBreakHyphen/>
                <w:t xml:space="preserve">J. (2022). </w:t>
              </w:r>
              <w:r>
                <w:rPr>
                  <w:i/>
                  <w:iCs/>
                  <w:noProof/>
                </w:rPr>
                <w:t>Operations Management. 10th ed.</w:t>
              </w:r>
              <w:r>
                <w:rPr>
                  <w:noProof/>
                </w:rPr>
                <w:t xml:space="preserve"> Harlow: Pearson.</w:t>
              </w:r>
            </w:p>
            <w:p w14:paraId="6A161940" w14:textId="60CFDA1A" w:rsidR="00D61A58" w:rsidRDefault="00D61A58" w:rsidP="00D61A58">
              <w:r>
                <w:rPr>
                  <w:b/>
                  <w:bCs/>
                </w:rPr>
                <w:fldChar w:fldCharType="end"/>
              </w:r>
            </w:p>
          </w:sdtContent>
        </w:sdt>
      </w:sdtContent>
    </w:sdt>
    <w:p w14:paraId="1D4AEB57" w14:textId="00D02E70" w:rsidR="00DD51BE" w:rsidRDefault="00DD51BE" w:rsidP="00D61A58">
      <w:pPr>
        <w:pStyle w:val="Heading1"/>
        <w:numPr>
          <w:ilvl w:val="0"/>
          <w:numId w:val="0"/>
        </w:numPr>
        <w:ind w:left="786"/>
        <w:rPr>
          <w:color w:val="auto"/>
        </w:rPr>
      </w:pPr>
    </w:p>
    <w:p w14:paraId="6100E2CB" w14:textId="77777777" w:rsidR="00D61A58" w:rsidRPr="00D61A58" w:rsidRDefault="00D61A58" w:rsidP="00D61A58">
      <w:pPr>
        <w:rPr>
          <w:sz w:val="22"/>
          <w:szCs w:val="22"/>
        </w:rPr>
      </w:pPr>
    </w:p>
    <w:p w14:paraId="36B32637" w14:textId="77777777" w:rsidR="00DD51BE" w:rsidRDefault="00DD51BE"/>
    <w:sectPr w:rsidR="00DD51BE" w:rsidSect="00BB489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4871A" w14:textId="77777777" w:rsidR="00A548F1" w:rsidRDefault="00A548F1" w:rsidP="00BB489C">
      <w:pPr>
        <w:spacing w:after="0" w:line="240" w:lineRule="auto"/>
      </w:pPr>
      <w:r>
        <w:separator/>
      </w:r>
    </w:p>
  </w:endnote>
  <w:endnote w:type="continuationSeparator" w:id="0">
    <w:p w14:paraId="251A4358" w14:textId="77777777" w:rsidR="00A548F1" w:rsidRDefault="00A548F1" w:rsidP="00BB4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147785"/>
      <w:docPartObj>
        <w:docPartGallery w:val="Page Numbers (Bottom of Page)"/>
        <w:docPartUnique/>
      </w:docPartObj>
    </w:sdtPr>
    <w:sdtContent>
      <w:p w14:paraId="1F7BEE6E" w14:textId="1E3FF308" w:rsidR="00BB489C" w:rsidRDefault="00BB489C">
        <w:pPr>
          <w:pStyle w:val="Footer"/>
          <w:jc w:val="center"/>
        </w:pPr>
        <w:r>
          <w:fldChar w:fldCharType="begin"/>
        </w:r>
        <w:r>
          <w:instrText>PAGE   \* MERGEFORMAT</w:instrText>
        </w:r>
        <w:r>
          <w:fldChar w:fldCharType="separate"/>
        </w:r>
        <w:r>
          <w:t>2</w:t>
        </w:r>
        <w:r>
          <w:fldChar w:fldCharType="end"/>
        </w:r>
      </w:p>
    </w:sdtContent>
  </w:sdt>
  <w:p w14:paraId="0CDF8821" w14:textId="77777777" w:rsidR="00BB489C" w:rsidRDefault="00BB4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6BAD5" w14:textId="77777777" w:rsidR="00A548F1" w:rsidRDefault="00A548F1" w:rsidP="00BB489C">
      <w:pPr>
        <w:spacing w:after="0" w:line="240" w:lineRule="auto"/>
      </w:pPr>
      <w:r>
        <w:separator/>
      </w:r>
    </w:p>
  </w:footnote>
  <w:footnote w:type="continuationSeparator" w:id="0">
    <w:p w14:paraId="0BCBBF51" w14:textId="77777777" w:rsidR="00A548F1" w:rsidRDefault="00A548F1" w:rsidP="00BB4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F55F0"/>
    <w:multiLevelType w:val="hybridMultilevel"/>
    <w:tmpl w:val="2D2E879C"/>
    <w:lvl w:ilvl="0" w:tplc="AE86CE7E">
      <w:start w:val="6"/>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2AC0308E"/>
    <w:multiLevelType w:val="multilevel"/>
    <w:tmpl w:val="24984850"/>
    <w:lvl w:ilvl="0">
      <w:start w:val="1"/>
      <w:numFmt w:val="decimal"/>
      <w:lvlText w:val="%1."/>
      <w:lvlJc w:val="left"/>
      <w:pPr>
        <w:ind w:left="786" w:hanging="360"/>
      </w:pPr>
      <w:rPr>
        <w:rFonts w:hint="default"/>
        <w:color w:val="auto"/>
      </w:rPr>
    </w:lvl>
    <w:lvl w:ilvl="1">
      <w:start w:val="1"/>
      <w:numFmt w:val="decimal"/>
      <w:isLgl/>
      <w:lvlText w:val="%1.%2"/>
      <w:lvlJc w:val="left"/>
      <w:pPr>
        <w:ind w:left="906" w:hanging="48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2" w15:restartNumberingAfterBreak="0">
    <w:nsid w:val="43462966"/>
    <w:multiLevelType w:val="multilevel"/>
    <w:tmpl w:val="A21451F0"/>
    <w:lvl w:ilvl="0">
      <w:start w:val="1"/>
      <w:numFmt w:val="decimal"/>
      <w:pStyle w:val="Heading1"/>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440075D6"/>
    <w:multiLevelType w:val="hybridMultilevel"/>
    <w:tmpl w:val="3A0C291A"/>
    <w:lvl w:ilvl="0" w:tplc="B5366EDA">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E3D34A6"/>
    <w:multiLevelType w:val="multilevel"/>
    <w:tmpl w:val="0386821C"/>
    <w:lvl w:ilvl="0">
      <w:start w:val="1"/>
      <w:numFmt w:val="decimal"/>
      <w:lvlText w:val="%1."/>
      <w:lvlJc w:val="left"/>
      <w:pPr>
        <w:ind w:left="360" w:hanging="360"/>
      </w:pPr>
      <w:rPr>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8F30802"/>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754935607">
    <w:abstractNumId w:val="4"/>
  </w:num>
  <w:num w:numId="2" w16cid:durableId="1886913871">
    <w:abstractNumId w:val="1"/>
  </w:num>
  <w:num w:numId="3" w16cid:durableId="730007560">
    <w:abstractNumId w:val="3"/>
  </w:num>
  <w:num w:numId="4" w16cid:durableId="1688024696">
    <w:abstractNumId w:val="5"/>
  </w:num>
  <w:num w:numId="5" w16cid:durableId="418717919">
    <w:abstractNumId w:val="2"/>
  </w:num>
  <w:num w:numId="6" w16cid:durableId="1611858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1BE"/>
    <w:rsid w:val="00004809"/>
    <w:rsid w:val="00040E35"/>
    <w:rsid w:val="000C0631"/>
    <w:rsid w:val="00104F7E"/>
    <w:rsid w:val="00131903"/>
    <w:rsid w:val="001F7BB4"/>
    <w:rsid w:val="002625E5"/>
    <w:rsid w:val="002F5267"/>
    <w:rsid w:val="003022C9"/>
    <w:rsid w:val="0033734C"/>
    <w:rsid w:val="003535FB"/>
    <w:rsid w:val="003A4EEE"/>
    <w:rsid w:val="004078F2"/>
    <w:rsid w:val="004E2E2B"/>
    <w:rsid w:val="00514A63"/>
    <w:rsid w:val="00524A52"/>
    <w:rsid w:val="005649D1"/>
    <w:rsid w:val="005A3C8B"/>
    <w:rsid w:val="00670308"/>
    <w:rsid w:val="006B3DC2"/>
    <w:rsid w:val="006C0457"/>
    <w:rsid w:val="006D7B77"/>
    <w:rsid w:val="008D6BE9"/>
    <w:rsid w:val="009379FB"/>
    <w:rsid w:val="0096312C"/>
    <w:rsid w:val="009A4CE6"/>
    <w:rsid w:val="00A548F1"/>
    <w:rsid w:val="00AD3FE4"/>
    <w:rsid w:val="00BB489C"/>
    <w:rsid w:val="00C13938"/>
    <w:rsid w:val="00C6315C"/>
    <w:rsid w:val="00CE5539"/>
    <w:rsid w:val="00CF1F90"/>
    <w:rsid w:val="00D1003E"/>
    <w:rsid w:val="00D61A58"/>
    <w:rsid w:val="00DC1F54"/>
    <w:rsid w:val="00DD51BE"/>
    <w:rsid w:val="00E72EF1"/>
    <w:rsid w:val="00EB7B44"/>
    <w:rsid w:val="00ED0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D2E69"/>
  <w15:chartTrackingRefBased/>
  <w15:docId w15:val="{7264ECE3-E6F0-4DB8-BA3A-C80444C76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1BE"/>
    <w:pPr>
      <w:spacing w:line="360" w:lineRule="auto"/>
    </w:pPr>
    <w:rPr>
      <w:rFonts w:ascii="Times New Roman" w:hAnsi="Times New Roman"/>
    </w:rPr>
  </w:style>
  <w:style w:type="paragraph" w:styleId="Heading1">
    <w:name w:val="heading 1"/>
    <w:basedOn w:val="Normal"/>
    <w:next w:val="Normal"/>
    <w:link w:val="Heading1Char"/>
    <w:uiPriority w:val="9"/>
    <w:qFormat/>
    <w:rsid w:val="00BB489C"/>
    <w:pPr>
      <w:keepNext/>
      <w:keepLines/>
      <w:numPr>
        <w:numId w:val="5"/>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489C"/>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51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1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1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1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1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1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1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89C"/>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BB489C"/>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DD51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1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1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1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1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1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1BE"/>
    <w:rPr>
      <w:rFonts w:eastAsiaTheme="majorEastAsia" w:cstheme="majorBidi"/>
      <w:color w:val="272727" w:themeColor="text1" w:themeTint="D8"/>
    </w:rPr>
  </w:style>
  <w:style w:type="paragraph" w:styleId="Title">
    <w:name w:val="Title"/>
    <w:basedOn w:val="Normal"/>
    <w:next w:val="Normal"/>
    <w:link w:val="TitleChar"/>
    <w:uiPriority w:val="10"/>
    <w:qFormat/>
    <w:rsid w:val="00DD51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1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1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1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1BE"/>
    <w:pPr>
      <w:spacing w:before="160"/>
      <w:jc w:val="center"/>
    </w:pPr>
    <w:rPr>
      <w:i/>
      <w:iCs/>
      <w:color w:val="404040" w:themeColor="text1" w:themeTint="BF"/>
    </w:rPr>
  </w:style>
  <w:style w:type="character" w:customStyle="1" w:styleId="QuoteChar">
    <w:name w:val="Quote Char"/>
    <w:basedOn w:val="DefaultParagraphFont"/>
    <w:link w:val="Quote"/>
    <w:uiPriority w:val="29"/>
    <w:rsid w:val="00DD51BE"/>
    <w:rPr>
      <w:i/>
      <w:iCs/>
      <w:color w:val="404040" w:themeColor="text1" w:themeTint="BF"/>
    </w:rPr>
  </w:style>
  <w:style w:type="paragraph" w:styleId="ListParagraph">
    <w:name w:val="List Paragraph"/>
    <w:basedOn w:val="Normal"/>
    <w:uiPriority w:val="34"/>
    <w:qFormat/>
    <w:rsid w:val="00DD51BE"/>
    <w:pPr>
      <w:ind w:left="720"/>
      <w:contextualSpacing/>
    </w:pPr>
  </w:style>
  <w:style w:type="character" w:styleId="IntenseEmphasis">
    <w:name w:val="Intense Emphasis"/>
    <w:basedOn w:val="DefaultParagraphFont"/>
    <w:uiPriority w:val="21"/>
    <w:qFormat/>
    <w:rsid w:val="00DD51BE"/>
    <w:rPr>
      <w:i/>
      <w:iCs/>
      <w:color w:val="0F4761" w:themeColor="accent1" w:themeShade="BF"/>
    </w:rPr>
  </w:style>
  <w:style w:type="paragraph" w:styleId="IntenseQuote">
    <w:name w:val="Intense Quote"/>
    <w:basedOn w:val="Normal"/>
    <w:next w:val="Normal"/>
    <w:link w:val="IntenseQuoteChar"/>
    <w:uiPriority w:val="30"/>
    <w:qFormat/>
    <w:rsid w:val="00DD51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1BE"/>
    <w:rPr>
      <w:i/>
      <w:iCs/>
      <w:color w:val="0F4761" w:themeColor="accent1" w:themeShade="BF"/>
    </w:rPr>
  </w:style>
  <w:style w:type="character" w:styleId="IntenseReference">
    <w:name w:val="Intense Reference"/>
    <w:basedOn w:val="DefaultParagraphFont"/>
    <w:uiPriority w:val="32"/>
    <w:qFormat/>
    <w:rsid w:val="00DD51BE"/>
    <w:rPr>
      <w:b/>
      <w:bCs/>
      <w:smallCaps/>
      <w:color w:val="0F4761" w:themeColor="accent1" w:themeShade="BF"/>
      <w:spacing w:val="5"/>
    </w:rPr>
  </w:style>
  <w:style w:type="paragraph" w:styleId="Header">
    <w:name w:val="header"/>
    <w:basedOn w:val="Normal"/>
    <w:link w:val="HeaderChar"/>
    <w:uiPriority w:val="99"/>
    <w:unhideWhenUsed/>
    <w:rsid w:val="00BB4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89C"/>
    <w:rPr>
      <w:rFonts w:ascii="Times New Roman" w:hAnsi="Times New Roman"/>
    </w:rPr>
  </w:style>
  <w:style w:type="paragraph" w:styleId="Footer">
    <w:name w:val="footer"/>
    <w:basedOn w:val="Normal"/>
    <w:link w:val="FooterChar"/>
    <w:uiPriority w:val="99"/>
    <w:unhideWhenUsed/>
    <w:rsid w:val="00BB4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89C"/>
    <w:rPr>
      <w:rFonts w:ascii="Times New Roman" w:hAnsi="Times New Roman"/>
    </w:rPr>
  </w:style>
  <w:style w:type="paragraph" w:styleId="TOCHeading">
    <w:name w:val="TOC Heading"/>
    <w:basedOn w:val="Heading1"/>
    <w:next w:val="Normal"/>
    <w:uiPriority w:val="39"/>
    <w:unhideWhenUsed/>
    <w:qFormat/>
    <w:rsid w:val="00AD3FE4"/>
    <w:pPr>
      <w:spacing w:before="240" w:after="0" w:line="259" w:lineRule="auto"/>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AD3FE4"/>
    <w:pPr>
      <w:spacing w:after="100"/>
    </w:pPr>
  </w:style>
  <w:style w:type="character" w:styleId="Hyperlink">
    <w:name w:val="Hyperlink"/>
    <w:basedOn w:val="DefaultParagraphFont"/>
    <w:uiPriority w:val="99"/>
    <w:unhideWhenUsed/>
    <w:rsid w:val="00AD3FE4"/>
    <w:rPr>
      <w:color w:val="467886" w:themeColor="hyperlink"/>
      <w:u w:val="single"/>
    </w:rPr>
  </w:style>
  <w:style w:type="paragraph" w:customStyle="1" w:styleId="Default">
    <w:name w:val="Default"/>
    <w:rsid w:val="003022C9"/>
    <w:pPr>
      <w:autoSpaceDE w:val="0"/>
      <w:autoSpaceDN w:val="0"/>
      <w:adjustRightInd w:val="0"/>
      <w:spacing w:after="0" w:line="240" w:lineRule="auto"/>
    </w:pPr>
    <w:rPr>
      <w:rFonts w:ascii="Calibri" w:hAnsi="Calibri" w:cs="Calibri"/>
      <w:color w:val="000000"/>
      <w:kern w:val="0"/>
    </w:rPr>
  </w:style>
  <w:style w:type="paragraph" w:styleId="TOC2">
    <w:name w:val="toc 2"/>
    <w:basedOn w:val="Normal"/>
    <w:next w:val="Normal"/>
    <w:autoRedefine/>
    <w:uiPriority w:val="39"/>
    <w:unhideWhenUsed/>
    <w:rsid w:val="006B3DC2"/>
    <w:pPr>
      <w:tabs>
        <w:tab w:val="left" w:pos="960"/>
        <w:tab w:val="right" w:leader="dot" w:pos="9016"/>
      </w:tabs>
      <w:spacing w:after="100"/>
      <w:ind w:left="240"/>
    </w:pPr>
  </w:style>
  <w:style w:type="numbering" w:customStyle="1" w:styleId="Style1">
    <w:name w:val="Style1"/>
    <w:uiPriority w:val="99"/>
    <w:rsid w:val="001F7BB4"/>
    <w:pPr>
      <w:numPr>
        <w:numId w:val="4"/>
      </w:numPr>
    </w:pPr>
  </w:style>
  <w:style w:type="paragraph" w:styleId="TOC3">
    <w:name w:val="toc 3"/>
    <w:basedOn w:val="Normal"/>
    <w:next w:val="Normal"/>
    <w:autoRedefine/>
    <w:uiPriority w:val="39"/>
    <w:unhideWhenUsed/>
    <w:rsid w:val="006B3DC2"/>
    <w:pPr>
      <w:tabs>
        <w:tab w:val="right" w:leader="dot" w:pos="9016"/>
      </w:tabs>
      <w:spacing w:after="100"/>
      <w:ind w:left="480"/>
      <w:jc w:val="both"/>
    </w:pPr>
  </w:style>
  <w:style w:type="paragraph" w:styleId="Bibliography">
    <w:name w:val="Bibliography"/>
    <w:basedOn w:val="Normal"/>
    <w:next w:val="Normal"/>
    <w:uiPriority w:val="37"/>
    <w:unhideWhenUsed/>
    <w:rsid w:val="00D61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41731">
      <w:bodyDiv w:val="1"/>
      <w:marLeft w:val="0"/>
      <w:marRight w:val="0"/>
      <w:marTop w:val="0"/>
      <w:marBottom w:val="0"/>
      <w:divBdr>
        <w:top w:val="none" w:sz="0" w:space="0" w:color="auto"/>
        <w:left w:val="none" w:sz="0" w:space="0" w:color="auto"/>
        <w:bottom w:val="none" w:sz="0" w:space="0" w:color="auto"/>
        <w:right w:val="none" w:sz="0" w:space="0" w:color="auto"/>
      </w:divBdr>
    </w:div>
    <w:div w:id="76292978">
      <w:bodyDiv w:val="1"/>
      <w:marLeft w:val="0"/>
      <w:marRight w:val="0"/>
      <w:marTop w:val="0"/>
      <w:marBottom w:val="0"/>
      <w:divBdr>
        <w:top w:val="none" w:sz="0" w:space="0" w:color="auto"/>
        <w:left w:val="none" w:sz="0" w:space="0" w:color="auto"/>
        <w:bottom w:val="none" w:sz="0" w:space="0" w:color="auto"/>
        <w:right w:val="none" w:sz="0" w:space="0" w:color="auto"/>
      </w:divBdr>
    </w:div>
    <w:div w:id="199630300">
      <w:bodyDiv w:val="1"/>
      <w:marLeft w:val="0"/>
      <w:marRight w:val="0"/>
      <w:marTop w:val="0"/>
      <w:marBottom w:val="0"/>
      <w:divBdr>
        <w:top w:val="none" w:sz="0" w:space="0" w:color="auto"/>
        <w:left w:val="none" w:sz="0" w:space="0" w:color="auto"/>
        <w:bottom w:val="none" w:sz="0" w:space="0" w:color="auto"/>
        <w:right w:val="none" w:sz="0" w:space="0" w:color="auto"/>
      </w:divBdr>
    </w:div>
    <w:div w:id="573319329">
      <w:bodyDiv w:val="1"/>
      <w:marLeft w:val="0"/>
      <w:marRight w:val="0"/>
      <w:marTop w:val="0"/>
      <w:marBottom w:val="0"/>
      <w:divBdr>
        <w:top w:val="none" w:sz="0" w:space="0" w:color="auto"/>
        <w:left w:val="none" w:sz="0" w:space="0" w:color="auto"/>
        <w:bottom w:val="none" w:sz="0" w:space="0" w:color="auto"/>
        <w:right w:val="none" w:sz="0" w:space="0" w:color="auto"/>
      </w:divBdr>
    </w:div>
    <w:div w:id="677580328">
      <w:bodyDiv w:val="1"/>
      <w:marLeft w:val="0"/>
      <w:marRight w:val="0"/>
      <w:marTop w:val="0"/>
      <w:marBottom w:val="0"/>
      <w:divBdr>
        <w:top w:val="none" w:sz="0" w:space="0" w:color="auto"/>
        <w:left w:val="none" w:sz="0" w:space="0" w:color="auto"/>
        <w:bottom w:val="none" w:sz="0" w:space="0" w:color="auto"/>
        <w:right w:val="none" w:sz="0" w:space="0" w:color="auto"/>
      </w:divBdr>
    </w:div>
    <w:div w:id="758328300">
      <w:bodyDiv w:val="1"/>
      <w:marLeft w:val="0"/>
      <w:marRight w:val="0"/>
      <w:marTop w:val="0"/>
      <w:marBottom w:val="0"/>
      <w:divBdr>
        <w:top w:val="none" w:sz="0" w:space="0" w:color="auto"/>
        <w:left w:val="none" w:sz="0" w:space="0" w:color="auto"/>
        <w:bottom w:val="none" w:sz="0" w:space="0" w:color="auto"/>
        <w:right w:val="none" w:sz="0" w:space="0" w:color="auto"/>
      </w:divBdr>
    </w:div>
    <w:div w:id="1100181032">
      <w:bodyDiv w:val="1"/>
      <w:marLeft w:val="0"/>
      <w:marRight w:val="0"/>
      <w:marTop w:val="0"/>
      <w:marBottom w:val="0"/>
      <w:divBdr>
        <w:top w:val="none" w:sz="0" w:space="0" w:color="auto"/>
        <w:left w:val="none" w:sz="0" w:space="0" w:color="auto"/>
        <w:bottom w:val="none" w:sz="0" w:space="0" w:color="auto"/>
        <w:right w:val="none" w:sz="0" w:space="0" w:color="auto"/>
      </w:divBdr>
    </w:div>
    <w:div w:id="1600330654">
      <w:bodyDiv w:val="1"/>
      <w:marLeft w:val="0"/>
      <w:marRight w:val="0"/>
      <w:marTop w:val="0"/>
      <w:marBottom w:val="0"/>
      <w:divBdr>
        <w:top w:val="none" w:sz="0" w:space="0" w:color="auto"/>
        <w:left w:val="none" w:sz="0" w:space="0" w:color="auto"/>
        <w:bottom w:val="none" w:sz="0" w:space="0" w:color="auto"/>
        <w:right w:val="none" w:sz="0" w:space="0" w:color="auto"/>
      </w:divBdr>
    </w:div>
    <w:div w:id="1807696883">
      <w:bodyDiv w:val="1"/>
      <w:marLeft w:val="0"/>
      <w:marRight w:val="0"/>
      <w:marTop w:val="0"/>
      <w:marBottom w:val="0"/>
      <w:divBdr>
        <w:top w:val="none" w:sz="0" w:space="0" w:color="auto"/>
        <w:left w:val="none" w:sz="0" w:space="0" w:color="auto"/>
        <w:bottom w:val="none" w:sz="0" w:space="0" w:color="auto"/>
        <w:right w:val="none" w:sz="0" w:space="0" w:color="auto"/>
      </w:divBdr>
    </w:div>
    <w:div w:id="1952124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Wat19</b:Tag>
    <b:SourceType>Book</b:SourceType>
    <b:Guid>{08AD6E70-9DCE-4563-AF72-6630F624570B}</b:Guid>
    <b:Author>
      <b:Author>
        <b:NameList>
          <b:Person>
            <b:Last>D</b:Last>
            <b:First>Waters</b:First>
          </b:Person>
        </b:NameList>
      </b:Author>
    </b:Author>
    <b:Title>inventory control and Managment 3rd ed</b:Title>
    <b:Year>2019</b:Year>
    <b:City>Chichester</b:City>
    <b:Publisher>Wiley</b:Publisher>
    <b:RefOrder>1</b:RefOrder>
  </b:Source>
  <b:Source>
    <b:Tag>Nah15</b:Tag>
    <b:SourceType>Book</b:SourceType>
    <b:Guid>{B5578D4F-52F4-4FFA-938F-3A39DD8E91C3}</b:Guid>
    <b:Author>
      <b:Author>
        <b:NameList>
          <b:Person>
            <b:Last>Nahmias</b:Last>
            <b:First>S.</b:First>
            <b:Middle>and Olsen, T.</b:Middle>
          </b:Person>
        </b:NameList>
      </b:Author>
    </b:Author>
    <b:Title>Production and Operations Analysis. 7th ed. </b:Title>
    <b:Year>2015</b:Year>
    <b:City>Long Grove</b:City>
    <b:Publisher>Waveland Press</b:Publisher>
    <b:RefOrder>2</b:RefOrder>
  </b:Source>
  <b:Source>
    <b:Tag>Sil17</b:Tag>
    <b:SourceType>Book</b:SourceType>
    <b:Guid>{60992ABE-87E9-45CE-BB24-6D99F297FB52}</b:Guid>
    <b:Author>
      <b:Author>
        <b:NameList>
          <b:Person>
            <b:Last>Silver</b:Last>
            <b:First>E.A.,</b:First>
            <b:Middle>Pyke, D.F. and Thomas, D.J.</b:Middle>
          </b:Person>
        </b:NameList>
      </b:Author>
    </b:Author>
    <b:Title>Inventory and Production Management in Supply Chains. 4th ed.</b:Title>
    <b:Year>2017</b:Year>
    <b:City>Boca Raton</b:City>
    <b:Publisher>CRC press</b:Publisher>
    <b:RefOrder>3</b:RefOrder>
  </b:Source>
  <b:Source>
    <b:Tag>Dis03</b:Tag>
    <b:SourceType>JournalArticle</b:SourceType>
    <b:Guid>{45A051CB-6A6F-4954-82FB-153244BDB421}</b:Guid>
    <b:Title>‘Vendor-managed inventory: Why you need to redesign your supply chain’</b:Title>
    <b:Year>2003</b:Year>
    <b:Author>
      <b:Author>
        <b:NameList>
          <b:Person>
            <b:Last>Disney</b:Last>
            <b:First>S.M.</b:First>
            <b:Middle>and Towill, D.R.</b:Middle>
          </b:Person>
        </b:NameList>
      </b:Author>
    </b:Author>
    <b:JournalName>International Journal of Production Economics, 85(2)</b:JournalName>
    <b:Pages>107-120</b:Pages>
    <b:RefOrder>4</b:RefOrder>
  </b:Source>
  <b:Source>
    <b:Tag>Bee01</b:Tag>
    <b:SourceType>Book</b:SourceType>
    <b:Guid>{5F180F22-5C5F-4857-9CF8-96582C0C2323}</b:Guid>
    <b:Author>
      <b:Author>
        <b:NameList>
          <b:Person>
            <b:Last>Beeley</b:Last>
            <b:First>P.</b:First>
          </b:Person>
        </b:NameList>
      </b:Author>
    </b:Author>
    <b:Title>Foundry Technology. 2nd ed. </b:Title>
    <b:Year>2001</b:Year>
    <b:City>Oxford</b:City>
    <b:Publisher>Butterworth‑Heinemann.</b:Publisher>
    <b:RefOrder>5</b:RefOrder>
  </b:Source>
  <b:Source>
    <b:Tag>Eur20</b:Tag>
    <b:SourceType>Book</b:SourceType>
    <b:Guid>{1B15FEC9-D756-4F1F-9AE5-8050E288C3F1}</b:Guid>
    <b:Author>
      <b:Author>
        <b:NameList>
          <b:Person>
            <b:Last>Association</b:Last>
            <b:First>European</b:First>
            <b:Middle>Foundry</b:Middle>
          </b:Person>
        </b:NameList>
      </b:Author>
    </b:Author>
    <b:Title>Environmental Regulations in European Foundries</b:Title>
    <b:Year>2020</b:Year>
    <b:City>Brussels</b:City>
    <b:Publisher>CAEF</b:Publisher>
    <b:RefOrder>6</b:RefOrder>
  </b:Source>
  <b:Source>
    <b:Tag>Sla22</b:Tag>
    <b:SourceType>Book</b:SourceType>
    <b:Guid>{23254EEA-0CB4-4327-A144-BA60D3D87564}</b:Guid>
    <b:Author>
      <b:Author>
        <b:NameList>
          <b:Person>
            <b:Last>Slack</b:Last>
            <b:First>N.,</b:First>
            <b:Middle>Brandon‑Jones, A. and Burgess, N.</b:Middle>
          </b:Person>
        </b:NameList>
      </b:Author>
    </b:Author>
    <b:Title>Operations Management. 10th ed.</b:Title>
    <b:Year>2022</b:Year>
    <b:City>Harlow</b:City>
    <b:Publisher>Pearson</b:Publisher>
    <b:RefOrder>7</b:RefOrder>
  </b:Source>
  <b:Source>
    <b:Tag>Chr16</b:Tag>
    <b:SourceType>Book</b:SourceType>
    <b:Guid>{152F9F35-4302-4B5C-B816-59E19F156A4D}</b:Guid>
    <b:Author>
      <b:Author>
        <b:NameList>
          <b:Person>
            <b:Last>Christopher</b:Last>
            <b:First>M.</b:First>
          </b:Person>
        </b:NameList>
      </b:Author>
    </b:Author>
    <b:Title>Logistics and Supply Chain Management. 5th ed.</b:Title>
    <b:Year>2016</b:Year>
    <b:City>Harlow</b:City>
    <b:Publisher>Pearson</b:Publisher>
    <b:RefOrder>8</b:RefOrder>
  </b:Source>
</b:Sources>
</file>

<file path=customXml/itemProps1.xml><?xml version="1.0" encoding="utf-8"?>
<ds:datastoreItem xmlns:ds="http://schemas.openxmlformats.org/officeDocument/2006/customXml" ds:itemID="{7B23A46C-0640-47D1-B2B7-DF7ACCA98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12</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Walker</dc:creator>
  <cp:keywords/>
  <dc:description/>
  <cp:lastModifiedBy>Anthony Walker (2519861)</cp:lastModifiedBy>
  <cp:revision>7</cp:revision>
  <dcterms:created xsi:type="dcterms:W3CDTF">2026-04-24T08:54:00Z</dcterms:created>
  <dcterms:modified xsi:type="dcterms:W3CDTF">2026-05-01T11:15:00Z</dcterms:modified>
</cp:coreProperties>
</file>