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D2F3D41" w14:textId="77777777" w:rsidR="00424A6E" w:rsidRDefault="00424A6E" w:rsidP="00AF0C56">
      <w:pPr>
        <w:pStyle w:val="Heading1"/>
        <w:rPr>
          <w:sz w:val="32"/>
          <w:lang w:val="en-US"/>
        </w:rPr>
      </w:pPr>
    </w:p>
    <w:p w14:paraId="084DAE79" w14:textId="77777777" w:rsidR="00424A6E" w:rsidRDefault="00424A6E" w:rsidP="00AF0C56">
      <w:pPr>
        <w:pStyle w:val="Heading1"/>
        <w:rPr>
          <w:sz w:val="32"/>
          <w:lang w:val="en-US"/>
        </w:rPr>
      </w:pPr>
    </w:p>
    <w:p w14:paraId="272B12DA" w14:textId="77777777" w:rsidR="00424A6E" w:rsidRDefault="00424A6E" w:rsidP="00AF0C56">
      <w:pPr>
        <w:pStyle w:val="Heading1"/>
        <w:rPr>
          <w:sz w:val="32"/>
          <w:lang w:val="en-US"/>
        </w:rPr>
      </w:pPr>
    </w:p>
    <w:p w14:paraId="3A7F0632" w14:textId="77777777" w:rsidR="00424A6E" w:rsidRDefault="00424A6E" w:rsidP="00AF0C56">
      <w:pPr>
        <w:pStyle w:val="Heading1"/>
        <w:rPr>
          <w:sz w:val="32"/>
          <w:lang w:val="en-US"/>
        </w:rPr>
      </w:pPr>
    </w:p>
    <w:p w14:paraId="361D6D34" w14:textId="77777777" w:rsidR="00424A6E" w:rsidRDefault="00424A6E" w:rsidP="00AF0C56">
      <w:pPr>
        <w:pStyle w:val="Heading1"/>
        <w:rPr>
          <w:sz w:val="32"/>
          <w:lang w:val="en-US"/>
        </w:rPr>
      </w:pPr>
    </w:p>
    <w:p w14:paraId="21F330D8" w14:textId="77777777" w:rsidR="00424A6E" w:rsidRDefault="00424A6E" w:rsidP="00AF0C56">
      <w:pPr>
        <w:pStyle w:val="Heading1"/>
        <w:rPr>
          <w:sz w:val="32"/>
          <w:lang w:val="en-US"/>
        </w:rPr>
      </w:pPr>
    </w:p>
    <w:p w14:paraId="09A596DA" w14:textId="66FF4277" w:rsidR="00424A6E" w:rsidRDefault="00424A6E" w:rsidP="00424A6E">
      <w:pPr>
        <w:pStyle w:val="Heading1"/>
        <w:jc w:val="center"/>
        <w:rPr>
          <w:sz w:val="32"/>
          <w:lang w:val="en-US"/>
        </w:rPr>
      </w:pPr>
      <w:r w:rsidRPr="00424A6E">
        <w:rPr>
          <w:sz w:val="32"/>
          <w:lang w:val="en-US"/>
        </w:rPr>
        <w:t>Nome</w:t>
      </w:r>
      <w:r w:rsidRPr="00424A6E">
        <w:rPr>
          <w:b w:val="0"/>
          <w:sz w:val="32"/>
          <w:lang w:val="en-US"/>
        </w:rPr>
        <w:t xml:space="preserve">: Ricardo M. F. </w:t>
      </w:r>
      <w:proofErr w:type="spellStart"/>
      <w:r w:rsidRPr="00424A6E">
        <w:rPr>
          <w:b w:val="0"/>
          <w:sz w:val="32"/>
          <w:lang w:val="en-US"/>
        </w:rPr>
        <w:t>Pires</w:t>
      </w:r>
      <w:proofErr w:type="spellEnd"/>
    </w:p>
    <w:p w14:paraId="084C0242" w14:textId="69A5BAAD" w:rsidR="00424A6E" w:rsidRPr="00424A6E" w:rsidRDefault="00424A6E" w:rsidP="00424A6E">
      <w:pPr>
        <w:jc w:val="center"/>
        <w:rPr>
          <w:sz w:val="28"/>
          <w:szCs w:val="28"/>
        </w:rPr>
      </w:pPr>
      <w:r w:rsidRPr="00424A6E">
        <w:rPr>
          <w:b/>
          <w:sz w:val="32"/>
          <w:szCs w:val="32"/>
        </w:rPr>
        <w:t>ID:</w:t>
      </w:r>
      <w:r w:rsidRPr="00424A6E">
        <w:rPr>
          <w:sz w:val="28"/>
          <w:szCs w:val="28"/>
        </w:rPr>
        <w:t xml:space="preserve"> 1916999</w:t>
      </w:r>
    </w:p>
    <w:p w14:paraId="3098EE81" w14:textId="77777777" w:rsidR="00424A6E" w:rsidRDefault="00424A6E" w:rsidP="00AF0C56">
      <w:pPr>
        <w:pStyle w:val="Heading1"/>
        <w:rPr>
          <w:sz w:val="32"/>
          <w:lang w:val="en-US"/>
        </w:rPr>
      </w:pPr>
    </w:p>
    <w:p w14:paraId="7602A560" w14:textId="77777777" w:rsidR="00424A6E" w:rsidRDefault="00424A6E" w:rsidP="00AF0C56">
      <w:pPr>
        <w:pStyle w:val="Heading1"/>
        <w:rPr>
          <w:sz w:val="32"/>
          <w:lang w:val="en-US"/>
        </w:rPr>
      </w:pPr>
    </w:p>
    <w:p w14:paraId="5E8F3DE6" w14:textId="77777777" w:rsidR="00424A6E" w:rsidRDefault="00424A6E" w:rsidP="00AF0C56">
      <w:pPr>
        <w:pStyle w:val="Heading1"/>
        <w:rPr>
          <w:sz w:val="32"/>
          <w:lang w:val="en-US"/>
        </w:rPr>
      </w:pPr>
    </w:p>
    <w:p w14:paraId="38467B4B" w14:textId="77777777" w:rsidR="00424A6E" w:rsidRDefault="00424A6E" w:rsidP="00AF0C56">
      <w:pPr>
        <w:pStyle w:val="Heading1"/>
        <w:rPr>
          <w:sz w:val="32"/>
          <w:lang w:val="en-US"/>
        </w:rPr>
      </w:pPr>
    </w:p>
    <w:p w14:paraId="02F4C4D1" w14:textId="77777777" w:rsidR="00424A6E" w:rsidRDefault="00424A6E" w:rsidP="00AF0C56">
      <w:pPr>
        <w:pStyle w:val="Heading1"/>
        <w:rPr>
          <w:sz w:val="32"/>
          <w:lang w:val="en-US"/>
        </w:rPr>
      </w:pPr>
      <w:bookmarkStart w:id="0" w:name="_GoBack"/>
      <w:bookmarkEnd w:id="0"/>
    </w:p>
    <w:p w14:paraId="032F2DDE" w14:textId="77777777" w:rsidR="00424A6E" w:rsidRDefault="00424A6E" w:rsidP="00AF0C56">
      <w:pPr>
        <w:pStyle w:val="Heading1"/>
        <w:rPr>
          <w:sz w:val="32"/>
          <w:lang w:val="en-US"/>
        </w:rPr>
      </w:pPr>
    </w:p>
    <w:p w14:paraId="43FF4A02" w14:textId="77777777" w:rsidR="00424A6E" w:rsidRDefault="00424A6E" w:rsidP="00AF0C56">
      <w:pPr>
        <w:pStyle w:val="Heading1"/>
        <w:rPr>
          <w:sz w:val="32"/>
          <w:lang w:val="en-US"/>
        </w:rPr>
      </w:pPr>
    </w:p>
    <w:p w14:paraId="3FFA651E" w14:textId="77777777" w:rsidR="00424A6E" w:rsidRDefault="00424A6E" w:rsidP="00424A6E">
      <w:pPr>
        <w:pStyle w:val="Heading1"/>
        <w:ind w:firstLine="0"/>
        <w:rPr>
          <w:sz w:val="32"/>
          <w:lang w:val="en-US"/>
        </w:rPr>
      </w:pPr>
    </w:p>
    <w:p w14:paraId="15F76AD2" w14:textId="77777777" w:rsidR="00424A6E" w:rsidRDefault="00424A6E" w:rsidP="00424A6E"/>
    <w:p w14:paraId="4FC9CA50" w14:textId="77777777" w:rsidR="00424A6E" w:rsidRDefault="00424A6E" w:rsidP="00424A6E"/>
    <w:p w14:paraId="0B63389B" w14:textId="77777777" w:rsidR="00424A6E" w:rsidRPr="00424A6E" w:rsidRDefault="00424A6E" w:rsidP="00424A6E"/>
    <w:p w14:paraId="576F24FA" w14:textId="0B3C9C5F" w:rsidR="00FB61CB" w:rsidRPr="00424A6E" w:rsidRDefault="00AF0C56" w:rsidP="00AF0C56">
      <w:pPr>
        <w:pStyle w:val="Heading1"/>
        <w:rPr>
          <w:sz w:val="32"/>
          <w:lang w:val="en-US"/>
        </w:rPr>
      </w:pPr>
      <w:r w:rsidRPr="00424A6E">
        <w:rPr>
          <w:sz w:val="32"/>
          <w:lang w:val="en-US"/>
        </w:rPr>
        <w:lastRenderedPageBreak/>
        <w:t>Introduction</w:t>
      </w:r>
    </w:p>
    <w:p w14:paraId="1957B34C" w14:textId="5F35D193" w:rsidR="00A95AFC" w:rsidRDefault="006E4AFA">
      <w:pPr>
        <w:rPr>
          <w:lang w:val="en-US"/>
        </w:rPr>
      </w:pPr>
      <w:r>
        <w:rPr>
          <w:lang w:val="en-US"/>
        </w:rPr>
        <w:t xml:space="preserve">Charlotte Tilbury </w:t>
      </w:r>
      <w:r w:rsidR="00D25B30">
        <w:rPr>
          <w:lang w:val="en-US"/>
        </w:rPr>
        <w:t>Beauty Ltd is UK based cosmetic company. The company was founded in 2013 by a British make-up artist Charlotte Tilbury.</w:t>
      </w:r>
      <w:r w:rsidR="00C758A0">
        <w:rPr>
          <w:lang w:val="en-US"/>
        </w:rPr>
        <w:t xml:space="preserve"> The brand earned </w:t>
      </w:r>
      <w:r w:rsidR="00AF0C56">
        <w:rPr>
          <w:lang w:val="en-US"/>
        </w:rPr>
        <w:t xml:space="preserve">a </w:t>
      </w:r>
      <w:r w:rsidR="00C758A0">
        <w:rPr>
          <w:lang w:val="en-US"/>
        </w:rPr>
        <w:t xml:space="preserve">high reputation during the initial stage </w:t>
      </w:r>
      <w:r w:rsidR="008D0290" w:rsidRPr="008D0290">
        <w:rPr>
          <w:noProof/>
          <w:lang w:val="en-US"/>
        </w:rPr>
        <w:t>(Charlotte Tilbury, 2021)</w:t>
      </w:r>
      <w:r w:rsidR="00C758A0">
        <w:rPr>
          <w:lang w:val="en-US"/>
        </w:rPr>
        <w:t xml:space="preserve">. </w:t>
      </w:r>
      <w:r w:rsidR="0060767F">
        <w:rPr>
          <w:lang w:val="en-US"/>
        </w:rPr>
        <w:t>For example, the company was valu</w:t>
      </w:r>
      <w:r w:rsidR="00AF0C56">
        <w:rPr>
          <w:lang w:val="en-US"/>
        </w:rPr>
        <w:t>ed</w:t>
      </w:r>
      <w:r w:rsidR="0060767F">
        <w:rPr>
          <w:lang w:val="en-US"/>
        </w:rPr>
        <w:t xml:space="preserve"> at </w:t>
      </w:r>
      <w:r w:rsidR="0060767F">
        <w:rPr>
          <w:rFonts w:cs="Times New Roman"/>
          <w:lang w:val="en-US"/>
        </w:rPr>
        <w:t>£</w:t>
      </w:r>
      <w:r w:rsidR="0060767F">
        <w:rPr>
          <w:lang w:val="en-US"/>
        </w:rPr>
        <w:t>1 billion</w:t>
      </w:r>
      <w:r w:rsidR="00A30CA2">
        <w:rPr>
          <w:lang w:val="en-US"/>
        </w:rPr>
        <w:t xml:space="preserve"> </w:t>
      </w:r>
      <w:r w:rsidR="00AF0C56">
        <w:rPr>
          <w:lang w:val="en-US"/>
        </w:rPr>
        <w:t>in</w:t>
      </w:r>
      <w:r w:rsidR="00A30CA2">
        <w:rPr>
          <w:lang w:val="en-US"/>
        </w:rPr>
        <w:t xml:space="preserve"> 2015</w:t>
      </w:r>
      <w:r w:rsidR="00FB1710">
        <w:rPr>
          <w:lang w:val="en-US"/>
        </w:rPr>
        <w:t xml:space="preserve"> </w:t>
      </w:r>
      <w:r w:rsidR="00E4462E" w:rsidRPr="00E4462E">
        <w:rPr>
          <w:noProof/>
          <w:lang w:val="en-US"/>
        </w:rPr>
        <w:t>(Olive Press News, 2020)</w:t>
      </w:r>
      <w:r w:rsidR="00A30CA2">
        <w:rPr>
          <w:lang w:val="en-US"/>
        </w:rPr>
        <w:t xml:space="preserve">. However, the pandemic aggressively hit the brand with limitations. </w:t>
      </w:r>
      <w:r w:rsidR="00FB1710">
        <w:rPr>
          <w:lang w:val="en-US"/>
        </w:rPr>
        <w:t>The sales dropped due to the pandemic.</w:t>
      </w:r>
      <w:r w:rsidR="00460753">
        <w:rPr>
          <w:lang w:val="en-US"/>
        </w:rPr>
        <w:t xml:space="preserve"> Although the brand is able to open </w:t>
      </w:r>
      <w:r w:rsidR="00AF0C56">
        <w:rPr>
          <w:lang w:val="en-US"/>
        </w:rPr>
        <w:t xml:space="preserve">an </w:t>
      </w:r>
      <w:r w:rsidR="00460753">
        <w:rPr>
          <w:lang w:val="en-US"/>
        </w:rPr>
        <w:t xml:space="preserve">online sales store for the customers, the customers are still in need of assistance during the purchases. Hence, most of </w:t>
      </w:r>
      <w:r w:rsidR="00AF0C56">
        <w:rPr>
          <w:lang w:val="en-US"/>
        </w:rPr>
        <w:t xml:space="preserve">the </w:t>
      </w:r>
      <w:r w:rsidR="00460753">
        <w:rPr>
          <w:lang w:val="en-US"/>
        </w:rPr>
        <w:t xml:space="preserve">customers refuse to make </w:t>
      </w:r>
      <w:r w:rsidR="00AF0C56">
        <w:rPr>
          <w:lang w:val="en-US"/>
        </w:rPr>
        <w:t xml:space="preserve">an </w:t>
      </w:r>
      <w:r w:rsidR="00460753">
        <w:rPr>
          <w:lang w:val="en-US"/>
        </w:rPr>
        <w:t xml:space="preserve">online purchase due to </w:t>
      </w:r>
      <w:r w:rsidR="00AF0C56">
        <w:rPr>
          <w:lang w:val="en-US"/>
        </w:rPr>
        <w:t xml:space="preserve">a </w:t>
      </w:r>
      <w:r w:rsidR="00460753">
        <w:rPr>
          <w:lang w:val="en-US"/>
        </w:rPr>
        <w:t xml:space="preserve">lack of trial and assistance. </w:t>
      </w:r>
      <w:r w:rsidR="00FB1710">
        <w:rPr>
          <w:lang w:val="en-US"/>
        </w:rPr>
        <w:t xml:space="preserve"> </w:t>
      </w:r>
    </w:p>
    <w:p w14:paraId="19AE94AD" w14:textId="101A8DAC" w:rsidR="0077555B" w:rsidRDefault="00A95AFC" w:rsidP="00CC03AE">
      <w:pPr>
        <w:rPr>
          <w:lang w:val="en-US"/>
        </w:rPr>
      </w:pPr>
      <w:r>
        <w:rPr>
          <w:lang w:val="en-US"/>
        </w:rPr>
        <w:t xml:space="preserve">A similar problem was encountered by </w:t>
      </w:r>
      <w:proofErr w:type="spellStart"/>
      <w:r>
        <w:rPr>
          <w:lang w:val="en-US"/>
        </w:rPr>
        <w:t>Ulta</w:t>
      </w:r>
      <w:proofErr w:type="spellEnd"/>
      <w:r>
        <w:rPr>
          <w:lang w:val="en-US"/>
        </w:rPr>
        <w:t xml:space="preserve"> beauty during the pandemic. The brand used </w:t>
      </w:r>
      <w:r w:rsidR="003429A8">
        <w:rPr>
          <w:lang w:val="en-US"/>
        </w:rPr>
        <w:t>virtual assistance and offered a mobile application</w:t>
      </w:r>
      <w:r w:rsidR="00703C58">
        <w:rPr>
          <w:noProof/>
          <w:lang w:val="en-US"/>
        </w:rPr>
        <w:t xml:space="preserve"> </w:t>
      </w:r>
      <w:r w:rsidR="00703C58" w:rsidRPr="00703C58">
        <w:rPr>
          <w:noProof/>
          <w:lang w:val="en-US"/>
        </w:rPr>
        <w:t>(Ulta Beauty, 2019)</w:t>
      </w:r>
      <w:r w:rsidR="003429A8">
        <w:rPr>
          <w:lang w:val="en-US"/>
        </w:rPr>
        <w:t xml:space="preserve">. The mobile application </w:t>
      </w:r>
      <w:r w:rsidR="0077555B">
        <w:rPr>
          <w:lang w:val="en-US"/>
        </w:rPr>
        <w:t>allowed the users to test make-up on customers through virtual assistance</w:t>
      </w:r>
      <w:r w:rsidR="00703C58">
        <w:rPr>
          <w:lang w:val="en-US"/>
        </w:rPr>
        <w:t xml:space="preserve"> (</w:t>
      </w:r>
      <w:r w:rsidR="00703C58" w:rsidRPr="00703C58">
        <w:rPr>
          <w:noProof/>
          <w:lang w:val="en-US"/>
        </w:rPr>
        <w:t>Ulta Beauty, 20</w:t>
      </w:r>
      <w:r w:rsidR="00703C58">
        <w:rPr>
          <w:noProof/>
          <w:lang w:val="en-US"/>
        </w:rPr>
        <w:t>20)</w:t>
      </w:r>
      <w:r w:rsidR="0077555B">
        <w:rPr>
          <w:lang w:val="en-US"/>
        </w:rPr>
        <w:t>. Correspondingly,</w:t>
      </w:r>
      <w:r w:rsidR="00FB1710">
        <w:rPr>
          <w:lang w:val="en-US"/>
        </w:rPr>
        <w:t xml:space="preserve"> this report is proposing a project management report to assist Charlotte </w:t>
      </w:r>
      <w:r w:rsidR="00460753">
        <w:rPr>
          <w:lang w:val="en-US"/>
        </w:rPr>
        <w:t>in gaining</w:t>
      </w:r>
      <w:r w:rsidR="0077555B">
        <w:rPr>
          <w:lang w:val="en-US"/>
        </w:rPr>
        <w:t xml:space="preserve"> its customer sale. The project </w:t>
      </w:r>
      <w:r w:rsidR="00CC03AE">
        <w:rPr>
          <w:lang w:val="en-US"/>
        </w:rPr>
        <w:t>includes</w:t>
      </w:r>
      <w:r w:rsidR="0077555B">
        <w:rPr>
          <w:lang w:val="en-US"/>
        </w:rPr>
        <w:t xml:space="preserve"> </w:t>
      </w:r>
      <w:r w:rsidR="00AF0C56">
        <w:rPr>
          <w:lang w:val="en-US"/>
        </w:rPr>
        <w:t xml:space="preserve">the </w:t>
      </w:r>
      <w:r w:rsidR="0077555B">
        <w:rPr>
          <w:lang w:val="en-US"/>
        </w:rPr>
        <w:t xml:space="preserve">development of </w:t>
      </w:r>
      <w:r w:rsidR="00AF0C56">
        <w:rPr>
          <w:lang w:val="en-US"/>
        </w:rPr>
        <w:t xml:space="preserve">a </w:t>
      </w:r>
      <w:r w:rsidR="0077555B">
        <w:rPr>
          <w:lang w:val="en-US"/>
        </w:rPr>
        <w:t>mobile application and spread its usability. The key project management tools and techniques that are presented in this report include</w:t>
      </w:r>
      <w:r w:rsidR="00620B79">
        <w:rPr>
          <w:lang w:val="en-US"/>
        </w:rPr>
        <w:t xml:space="preserve"> project outline, stakeholder analysis, work breakdown structure, cost and resources, </w:t>
      </w:r>
      <w:r w:rsidR="00CC03AE">
        <w:rPr>
          <w:lang w:val="en-US"/>
        </w:rPr>
        <w:t>project schedule, and a risk assessment plan.</w:t>
      </w:r>
    </w:p>
    <w:p w14:paraId="1F0500C0" w14:textId="077A133C" w:rsidR="00CC03AE" w:rsidRDefault="003758BA" w:rsidP="00CC03AE">
      <w:pPr>
        <w:rPr>
          <w:lang w:val="en-US"/>
        </w:rPr>
      </w:pPr>
      <w:r>
        <w:rPr>
          <w:lang w:val="en-US"/>
        </w:rPr>
        <w:t>The project implemented include</w:t>
      </w:r>
      <w:r w:rsidR="00AF0C56">
        <w:rPr>
          <w:lang w:val="en-US"/>
        </w:rPr>
        <w:t>s</w:t>
      </w:r>
      <w:r>
        <w:rPr>
          <w:lang w:val="en-US"/>
        </w:rPr>
        <w:t xml:space="preserve"> </w:t>
      </w:r>
      <w:r w:rsidR="00AF0C56">
        <w:rPr>
          <w:lang w:val="en-US"/>
        </w:rPr>
        <w:t xml:space="preserve">the </w:t>
      </w:r>
      <w:r w:rsidR="00E60646">
        <w:rPr>
          <w:lang w:val="en-US"/>
        </w:rPr>
        <w:t xml:space="preserve">application of virtual make-up assistance. </w:t>
      </w:r>
      <w:r w:rsidR="00CC03AE">
        <w:rPr>
          <w:lang w:val="en-US"/>
        </w:rPr>
        <w:t xml:space="preserve">The report will be developed using </w:t>
      </w:r>
      <w:proofErr w:type="spellStart"/>
      <w:r w:rsidR="00CC03AE">
        <w:rPr>
          <w:lang w:val="en-US"/>
        </w:rPr>
        <w:t>Ulta</w:t>
      </w:r>
      <w:proofErr w:type="spellEnd"/>
      <w:r w:rsidR="00CC03AE">
        <w:rPr>
          <w:lang w:val="en-US"/>
        </w:rPr>
        <w:t xml:space="preserve"> beauty as an example. </w:t>
      </w:r>
      <w:r w:rsidR="00E60646">
        <w:rPr>
          <w:lang w:val="en-US"/>
        </w:rPr>
        <w:t xml:space="preserve"> A typical project management report indicates the project status, availability, application, deliverables, and risk assessment</w:t>
      </w:r>
      <w:r w:rsidR="001667E0">
        <w:rPr>
          <w:lang w:val="en-US"/>
        </w:rPr>
        <w:t xml:space="preserve"> (</w:t>
      </w:r>
      <w:r w:rsidR="001667E0">
        <w:rPr>
          <w:shd w:val="clear" w:color="auto" w:fill="FFFFFF"/>
        </w:rPr>
        <w:t>Gido and Clements, 2014</w:t>
      </w:r>
      <w:r w:rsidR="001667E0">
        <w:rPr>
          <w:shd w:val="clear" w:color="auto" w:fill="FFFFFF"/>
          <w:lang w:val="en-US"/>
        </w:rPr>
        <w:t>)</w:t>
      </w:r>
      <w:r w:rsidR="00E60646">
        <w:rPr>
          <w:lang w:val="en-US"/>
        </w:rPr>
        <w:t xml:space="preserve">. </w:t>
      </w:r>
      <w:r w:rsidR="00CC03AE">
        <w:rPr>
          <w:lang w:val="en-US"/>
        </w:rPr>
        <w:t>Accordingly, the report will present a similar outline and allocate resources to it. Additionally, the project management report will indicate a work</w:t>
      </w:r>
      <w:r w:rsidR="002136EA">
        <w:rPr>
          <w:lang w:val="en-US"/>
        </w:rPr>
        <w:t xml:space="preserve"> breakdown structure and resources. </w:t>
      </w:r>
      <w:r w:rsidR="003C2DFC">
        <w:rPr>
          <w:lang w:val="en-US"/>
        </w:rPr>
        <w:t>T</w:t>
      </w:r>
      <w:r w:rsidR="002136EA">
        <w:rPr>
          <w:lang w:val="en-US"/>
        </w:rPr>
        <w:t>he report will outline stakeholder analysis</w:t>
      </w:r>
      <w:r w:rsidR="003C2DFC">
        <w:rPr>
          <w:lang w:val="en-US"/>
        </w:rPr>
        <w:t>. Lastly, the report will outline a risk assessment plan</w:t>
      </w:r>
      <w:r w:rsidR="00AF0C56">
        <w:rPr>
          <w:lang w:val="en-US"/>
        </w:rPr>
        <w:t>,</w:t>
      </w:r>
      <w:r w:rsidR="003C2DFC">
        <w:rPr>
          <w:lang w:val="en-US"/>
        </w:rPr>
        <w:t xml:space="preserve"> includi</w:t>
      </w:r>
      <w:r w:rsidR="000255D5">
        <w:rPr>
          <w:lang w:val="en-US"/>
        </w:rPr>
        <w:t xml:space="preserve">ng risk identification and mitigation strategies. </w:t>
      </w:r>
    </w:p>
    <w:p w14:paraId="218D7250" w14:textId="0384767C" w:rsidR="00AF0C56" w:rsidRDefault="00AF0C56">
      <w:pPr>
        <w:spacing w:line="360" w:lineRule="auto"/>
        <w:ind w:firstLine="0"/>
        <w:rPr>
          <w:lang w:val="en-US"/>
        </w:rPr>
      </w:pPr>
      <w:r>
        <w:rPr>
          <w:lang w:val="en-US"/>
        </w:rPr>
        <w:br w:type="page"/>
      </w:r>
    </w:p>
    <w:p w14:paraId="3132CF86" w14:textId="20CDF32B" w:rsidR="00A33EA6" w:rsidRPr="00424A6E" w:rsidRDefault="00AF0C56" w:rsidP="00A33EA6">
      <w:pPr>
        <w:pStyle w:val="Heading1"/>
        <w:rPr>
          <w:sz w:val="32"/>
          <w:lang w:val="en-US"/>
        </w:rPr>
      </w:pPr>
      <w:r w:rsidRPr="00424A6E">
        <w:rPr>
          <w:sz w:val="32"/>
          <w:lang w:val="en-US"/>
        </w:rPr>
        <w:lastRenderedPageBreak/>
        <w:t>Reference List</w:t>
      </w:r>
    </w:p>
    <w:p w14:paraId="10BD1DA5" w14:textId="77777777" w:rsidR="00A33EA6" w:rsidRDefault="00A33EA6" w:rsidP="00A33EA6">
      <w:pPr>
        <w:pStyle w:val="NoSpacing"/>
      </w:pPr>
      <w:r>
        <w:t xml:space="preserve">Charlotte Tilbury, 2021. </w:t>
      </w:r>
      <w:r w:rsidRPr="00143F3C">
        <w:rPr>
          <w:i/>
          <w:iCs/>
        </w:rPr>
        <w:t>Charlotte Tilbury official page</w:t>
      </w:r>
      <w:r>
        <w:t>. [Online] Available at: https://www.charlottetilbury.com/</w:t>
      </w:r>
    </w:p>
    <w:p w14:paraId="4226F212" w14:textId="77777777" w:rsidR="00A33EA6" w:rsidRDefault="00A33EA6" w:rsidP="00A33EA6">
      <w:pPr>
        <w:pStyle w:val="NoSpacing"/>
        <w:rPr>
          <w:shd w:val="clear" w:color="auto" w:fill="FFFFFF"/>
        </w:rPr>
      </w:pPr>
      <w:proofErr w:type="spellStart"/>
      <w:r>
        <w:rPr>
          <w:shd w:val="clear" w:color="auto" w:fill="FFFFFF"/>
        </w:rPr>
        <w:t>Gido</w:t>
      </w:r>
      <w:proofErr w:type="spellEnd"/>
      <w:r>
        <w:rPr>
          <w:shd w:val="clear" w:color="auto" w:fill="FFFFFF"/>
        </w:rPr>
        <w:t>, J. and Clements, J., 2014. </w:t>
      </w:r>
      <w:r>
        <w:rPr>
          <w:i/>
          <w:iCs/>
          <w:shd w:val="clear" w:color="auto" w:fill="FFFFFF"/>
        </w:rPr>
        <w:t>Successful project management</w:t>
      </w:r>
      <w:r>
        <w:rPr>
          <w:shd w:val="clear" w:color="auto" w:fill="FFFFFF"/>
        </w:rPr>
        <w:t>. Cengage Learning.</w:t>
      </w:r>
    </w:p>
    <w:p w14:paraId="6B21800B" w14:textId="77777777" w:rsidR="00A33EA6" w:rsidRDefault="00A33EA6" w:rsidP="00A33EA6">
      <w:pPr>
        <w:pStyle w:val="NoSpacing"/>
      </w:pPr>
      <w:r>
        <w:t xml:space="preserve">Olive Press News, 2020. </w:t>
      </w:r>
      <w:r w:rsidRPr="00143F3C">
        <w:rPr>
          <w:i/>
          <w:iCs/>
        </w:rPr>
        <w:t>Charlotte Tilbury sells her makeup empire to Spanish Fashion company.</w:t>
      </w:r>
      <w:r>
        <w:t xml:space="preserve"> [Online] Available at: https://www.theolivepress.es/spain-news/2020/06/16/charlotte-tilbury-sells-her-makeup-empire-to-spanish-fashion-company-puig/</w:t>
      </w:r>
    </w:p>
    <w:p w14:paraId="7F3A0839" w14:textId="77777777" w:rsidR="00A33EA6" w:rsidRDefault="00A33EA6" w:rsidP="00A33EA6">
      <w:pPr>
        <w:pStyle w:val="NoSpacing"/>
      </w:pPr>
      <w:proofErr w:type="spellStart"/>
      <w:r>
        <w:t>Ulta</w:t>
      </w:r>
      <w:proofErr w:type="spellEnd"/>
      <w:r>
        <w:t xml:space="preserve"> Beauty, 2019. </w:t>
      </w:r>
      <w:proofErr w:type="spellStart"/>
      <w:r w:rsidRPr="00143F3C">
        <w:rPr>
          <w:i/>
          <w:iCs/>
        </w:rPr>
        <w:t>Ulta</w:t>
      </w:r>
      <w:proofErr w:type="spellEnd"/>
      <w:r w:rsidRPr="00143F3C">
        <w:rPr>
          <w:i/>
          <w:iCs/>
        </w:rPr>
        <w:t xml:space="preserve"> Beauty (ULTA</w:t>
      </w:r>
      <w:r>
        <w:t>). [Online] Available at: https://www.forbes.com/companies/ulta-beauty/?sh=78a7c8f845a3</w:t>
      </w:r>
    </w:p>
    <w:p w14:paraId="17F67A7C" w14:textId="77777777" w:rsidR="00A33EA6" w:rsidRPr="00A33EA6" w:rsidRDefault="00A33EA6" w:rsidP="00A33EA6">
      <w:pPr>
        <w:rPr>
          <w:lang w:val="en-US"/>
        </w:rPr>
      </w:pPr>
    </w:p>
    <w:p w14:paraId="66D588D7" w14:textId="77777777" w:rsidR="00A33EA6" w:rsidRPr="00A33EA6" w:rsidRDefault="00A33EA6" w:rsidP="00A33EA6">
      <w:pPr>
        <w:rPr>
          <w:lang w:val="en-US"/>
        </w:rPr>
      </w:pPr>
    </w:p>
    <w:sectPr w:rsidR="00A33EA6" w:rsidRPr="00A33E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游ゴシック Light"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09F" w:csb1="00000000"/>
  </w:font>
  <w:font w:name="游明朝">
    <w:panose1 w:val="00000000000000000000"/>
    <w:charset w:val="8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K2NDU2MzewMLAwNDJW0lEKTi0uzszPAykwrAUAv0HCbywAAAA="/>
  </w:docVars>
  <w:rsids>
    <w:rsidRoot w:val="000012D1"/>
    <w:rsid w:val="000012D1"/>
    <w:rsid w:val="000255D5"/>
    <w:rsid w:val="001667E0"/>
    <w:rsid w:val="001D10D1"/>
    <w:rsid w:val="002136EA"/>
    <w:rsid w:val="00297A12"/>
    <w:rsid w:val="002A63C2"/>
    <w:rsid w:val="00341CE3"/>
    <w:rsid w:val="003429A8"/>
    <w:rsid w:val="003758BA"/>
    <w:rsid w:val="003C2DFC"/>
    <w:rsid w:val="00424A6E"/>
    <w:rsid w:val="00460753"/>
    <w:rsid w:val="00582CB0"/>
    <w:rsid w:val="0060767F"/>
    <w:rsid w:val="00620B79"/>
    <w:rsid w:val="00645E2C"/>
    <w:rsid w:val="006E4AFA"/>
    <w:rsid w:val="006E74E6"/>
    <w:rsid w:val="00703C58"/>
    <w:rsid w:val="00704808"/>
    <w:rsid w:val="0077555B"/>
    <w:rsid w:val="00835DA9"/>
    <w:rsid w:val="008B2B0E"/>
    <w:rsid w:val="008D0290"/>
    <w:rsid w:val="00922551"/>
    <w:rsid w:val="00A30CA2"/>
    <w:rsid w:val="00A33EA6"/>
    <w:rsid w:val="00A95AFC"/>
    <w:rsid w:val="00AF0C56"/>
    <w:rsid w:val="00B677D7"/>
    <w:rsid w:val="00BC5BED"/>
    <w:rsid w:val="00BD1869"/>
    <w:rsid w:val="00C758A0"/>
    <w:rsid w:val="00CB2435"/>
    <w:rsid w:val="00CC03AE"/>
    <w:rsid w:val="00D25B30"/>
    <w:rsid w:val="00E4462E"/>
    <w:rsid w:val="00E60646"/>
    <w:rsid w:val="00F35464"/>
    <w:rsid w:val="00FB1710"/>
    <w:rsid w:val="00FB61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uz-Cyrl-UZ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05410C4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uz-Cyrl-UZ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D10D1"/>
    <w:pPr>
      <w:spacing w:line="480" w:lineRule="auto"/>
      <w:ind w:firstLine="720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35464"/>
    <w:pPr>
      <w:keepNext/>
      <w:keepLines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D10D1"/>
    <w:pPr>
      <w:outlineLvl w:val="1"/>
    </w:pPr>
    <w:rPr>
      <w:b/>
      <w:i/>
      <w:lang w:val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E74E6"/>
    <w:pPr>
      <w:keepNext/>
      <w:keepLines/>
      <w:ind w:firstLine="0"/>
      <w:outlineLvl w:val="2"/>
    </w:pPr>
    <w:rPr>
      <w:rFonts w:eastAsiaTheme="majorEastAsia" w:cstheme="majorBidi"/>
      <w:bCs/>
      <w:i/>
      <w:color w:val="000000" w:themeColor="tex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5464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D10D1"/>
    <w:rPr>
      <w:rFonts w:ascii="Times New Roman" w:hAnsi="Times New Roman"/>
      <w:b/>
      <w:i/>
      <w:sz w:val="24"/>
      <w:lang w:val="en-US"/>
    </w:rPr>
  </w:style>
  <w:style w:type="paragraph" w:styleId="NoSpacing">
    <w:name w:val="No Spacing"/>
    <w:uiPriority w:val="1"/>
    <w:qFormat/>
    <w:rsid w:val="00B677D7"/>
    <w:pPr>
      <w:spacing w:line="480" w:lineRule="auto"/>
      <w:ind w:left="720" w:hanging="720"/>
    </w:pPr>
    <w:rPr>
      <w:rFonts w:ascii="Times New Roman" w:hAnsi="Times New Roman"/>
      <w:sz w:val="24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6E74E6"/>
    <w:rPr>
      <w:rFonts w:ascii="Times New Roman" w:eastAsiaTheme="majorEastAsia" w:hAnsi="Times New Roman" w:cstheme="majorBidi"/>
      <w:bCs/>
      <w:i/>
      <w:color w:val="000000" w:themeColor="text1"/>
      <w:sz w:val="24"/>
    </w:rPr>
  </w:style>
  <w:style w:type="paragraph" w:styleId="Bibliography">
    <w:name w:val="Bibliography"/>
    <w:basedOn w:val="Normal"/>
    <w:next w:val="Normal"/>
    <w:uiPriority w:val="37"/>
    <w:unhideWhenUsed/>
    <w:rsid w:val="00A33EA6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uz-Cyrl-UZ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D10D1"/>
    <w:pPr>
      <w:spacing w:line="480" w:lineRule="auto"/>
      <w:ind w:firstLine="720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35464"/>
    <w:pPr>
      <w:keepNext/>
      <w:keepLines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D10D1"/>
    <w:pPr>
      <w:outlineLvl w:val="1"/>
    </w:pPr>
    <w:rPr>
      <w:b/>
      <w:i/>
      <w:lang w:val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E74E6"/>
    <w:pPr>
      <w:keepNext/>
      <w:keepLines/>
      <w:ind w:firstLine="0"/>
      <w:outlineLvl w:val="2"/>
    </w:pPr>
    <w:rPr>
      <w:rFonts w:eastAsiaTheme="majorEastAsia" w:cstheme="majorBidi"/>
      <w:bCs/>
      <w:i/>
      <w:color w:val="000000" w:themeColor="tex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5464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D10D1"/>
    <w:rPr>
      <w:rFonts w:ascii="Times New Roman" w:hAnsi="Times New Roman"/>
      <w:b/>
      <w:i/>
      <w:sz w:val="24"/>
      <w:lang w:val="en-US"/>
    </w:rPr>
  </w:style>
  <w:style w:type="paragraph" w:styleId="NoSpacing">
    <w:name w:val="No Spacing"/>
    <w:uiPriority w:val="1"/>
    <w:qFormat/>
    <w:rsid w:val="00B677D7"/>
    <w:pPr>
      <w:spacing w:line="480" w:lineRule="auto"/>
      <w:ind w:left="720" w:hanging="720"/>
    </w:pPr>
    <w:rPr>
      <w:rFonts w:ascii="Times New Roman" w:hAnsi="Times New Roman"/>
      <w:sz w:val="24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6E74E6"/>
    <w:rPr>
      <w:rFonts w:ascii="Times New Roman" w:eastAsiaTheme="majorEastAsia" w:hAnsi="Times New Roman" w:cstheme="majorBidi"/>
      <w:bCs/>
      <w:i/>
      <w:color w:val="000000" w:themeColor="text1"/>
      <w:sz w:val="24"/>
    </w:rPr>
  </w:style>
  <w:style w:type="paragraph" w:styleId="Bibliography">
    <w:name w:val="Bibliography"/>
    <w:basedOn w:val="Normal"/>
    <w:next w:val="Normal"/>
    <w:uiPriority w:val="37"/>
    <w:unhideWhenUsed/>
    <w:rsid w:val="00A33E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915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30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51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Cha21</b:Tag>
    <b:SourceType>InternetSite</b:SourceType>
    <b:Guid>{9E4A35F6-3A32-4F7B-A92E-A99C2639559B}</b:Guid>
    <b:Author>
      <b:Author>
        <b:Corporate>Charlotte Tilbury</b:Corporate>
      </b:Author>
    </b:Author>
    <b:Title>Charlotte Tilbury official page</b:Title>
    <b:Year>2021</b:Year>
    <b:URL>https://www.charlottetilbury.com/</b:URL>
    <b:RefOrder>1</b:RefOrder>
  </b:Source>
  <b:Source>
    <b:Tag>Oli20</b:Tag>
    <b:SourceType>InternetSite</b:SourceType>
    <b:Guid>{A762BAFB-76C4-4DC4-BDCD-C4FB118701E3}</b:Guid>
    <b:Author>
      <b:Author>
        <b:Corporate>Olive Press News</b:Corporate>
      </b:Author>
    </b:Author>
    <b:Title>Charlotte Tilbury sells her makeup empire to Spanish Fashion company</b:Title>
    <b:Year>2020</b:Year>
    <b:URL>https://www.theolivepress.es/spain-news/2020/06/16/charlotte-tilbury-sells-her-makeup-empire-to-spanish-fashion-company-puig/</b:URL>
    <b:RefOrder>2</b:RefOrder>
  </b:Source>
  <b:Source>
    <b:Tag>Ult19</b:Tag>
    <b:SourceType>InternetSite</b:SourceType>
    <b:Guid>{3727CDF4-C614-4CD7-81AF-E955D1DC99B9}</b:Guid>
    <b:Author>
      <b:Author>
        <b:Corporate>Ulta Beauty</b:Corporate>
      </b:Author>
    </b:Author>
    <b:Title>Ulta Beauty (ULTA)</b:Title>
    <b:Year>2019</b:Year>
    <b:URL>https://www.forbes.com/companies/ulta-beauty/?sh=78a7c8f845a3</b:URL>
    <b:RefOrder>3</b:RefOrder>
  </b:Source>
</b:Sources>
</file>

<file path=customXml/itemProps1.xml><?xml version="1.0" encoding="utf-8"?>
<ds:datastoreItem xmlns:ds="http://schemas.openxmlformats.org/officeDocument/2006/customXml" ds:itemID="{0AA68405-A1C8-3B44-9975-1B18CD2DB3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397</Words>
  <Characters>2263</Characters>
  <Application>Microsoft Macintosh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claudia santiago</cp:lastModifiedBy>
  <cp:revision>3</cp:revision>
  <dcterms:created xsi:type="dcterms:W3CDTF">2021-11-28T23:00:00Z</dcterms:created>
  <dcterms:modified xsi:type="dcterms:W3CDTF">2021-11-28T23:04:00Z</dcterms:modified>
</cp:coreProperties>
</file>