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color w:val="0e101a"/>
          <w:sz w:val="24"/>
          <w:szCs w:val="24"/>
          <w:highlight w:val="white"/>
        </w:rPr>
      </w:pPr>
      <w:r w:rsidDel="00000000" w:rsidR="00000000" w:rsidRPr="00000000">
        <w:rPr>
          <w:color w:val="0e101a"/>
          <w:sz w:val="24"/>
          <w:szCs w:val="24"/>
          <w:highlight w:val="white"/>
        </w:rPr>
        <w:drawing>
          <wp:inline distB="19050" distT="19050" distL="19050" distR="19050">
            <wp:extent cx="3876165" cy="2159423"/>
            <wp:effectExtent b="0" l="0" r="0" t="0"/>
            <wp:docPr descr="university-of-wales-trinity-saint-david-logo-vector | ESRC ..." id="1" name="image1.jpg"/>
            <a:graphic>
              <a:graphicData uri="http://schemas.openxmlformats.org/drawingml/2006/picture">
                <pic:pic>
                  <pic:nvPicPr>
                    <pic:cNvPr descr="university-of-wales-trinity-saint-david-logo-vector | ESRC ..." id="0" name="image1.jpg"/>
                    <pic:cNvPicPr preferRelativeResize="0"/>
                  </pic:nvPicPr>
                  <pic:blipFill>
                    <a:blip r:embed="rId6"/>
                    <a:srcRect b="0" l="0" r="0" t="0"/>
                    <a:stretch>
                      <a:fillRect/>
                    </a:stretch>
                  </pic:blipFill>
                  <pic:spPr>
                    <a:xfrm>
                      <a:off x="0" y="0"/>
                      <a:ext cx="3876165" cy="215942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Module Name: Problem-solving and Innovation.</w:t>
      </w:r>
      <w:r w:rsidDel="00000000" w:rsidR="00000000" w:rsidRPr="00000000">
        <w:rPr>
          <w:color w:val="0e101a"/>
          <w:sz w:val="40"/>
          <w:szCs w:val="40"/>
          <w:highlight w:val="white"/>
          <w:rtl w:val="0"/>
        </w:rPr>
        <w:t xml:space="preserve">​</w:t>
      </w:r>
    </w:p>
    <w:p w:rsidR="00000000" w:rsidDel="00000000" w:rsidP="00000000" w:rsidRDefault="00000000" w:rsidRPr="00000000" w14:paraId="00000003">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Module Code:  BMSW4014</w:t>
      </w:r>
      <w:r w:rsidDel="00000000" w:rsidR="00000000" w:rsidRPr="00000000">
        <w:rPr>
          <w:color w:val="0e101a"/>
          <w:sz w:val="40"/>
          <w:szCs w:val="40"/>
          <w:highlight w:val="white"/>
          <w:rtl w:val="0"/>
        </w:rPr>
        <w:t xml:space="preserve"> ​</w:t>
      </w:r>
    </w:p>
    <w:p w:rsidR="00000000" w:rsidDel="00000000" w:rsidP="00000000" w:rsidRDefault="00000000" w:rsidRPr="00000000" w14:paraId="00000004">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Assignment Name:  Report  on EV in the UK</w:t>
      </w:r>
      <w:r w:rsidDel="00000000" w:rsidR="00000000" w:rsidRPr="00000000">
        <w:rPr>
          <w:rtl w:val="0"/>
        </w:rPr>
      </w:r>
    </w:p>
    <w:p w:rsidR="00000000" w:rsidDel="00000000" w:rsidP="00000000" w:rsidRDefault="00000000" w:rsidRPr="00000000" w14:paraId="00000005">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Student Name &amp; Number: Patricia Chanda </w:t>
      </w:r>
      <w:r w:rsidDel="00000000" w:rsidR="00000000" w:rsidRPr="00000000">
        <w:rPr>
          <w:color w:val="0e101a"/>
          <w:sz w:val="40"/>
          <w:szCs w:val="40"/>
          <w:highlight w:val="white"/>
          <w:rtl w:val="0"/>
        </w:rPr>
        <w:t xml:space="preserve">​ 1350365.</w:t>
      </w:r>
    </w:p>
    <w:p w:rsidR="00000000" w:rsidDel="00000000" w:rsidP="00000000" w:rsidRDefault="00000000" w:rsidRPr="00000000" w14:paraId="00000006">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Lecturer:  Arpu Kumar</w:t>
      </w:r>
      <w:r w:rsidDel="00000000" w:rsidR="00000000" w:rsidRPr="00000000">
        <w:rPr>
          <w:color w:val="0e101a"/>
          <w:sz w:val="40"/>
          <w:szCs w:val="40"/>
          <w:highlight w:val="white"/>
          <w:rtl w:val="0"/>
        </w:rPr>
        <w:t xml:space="preserve">​</w:t>
      </w:r>
    </w:p>
    <w:p w:rsidR="00000000" w:rsidDel="00000000" w:rsidP="00000000" w:rsidRDefault="00000000" w:rsidRPr="00000000" w14:paraId="00000007">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40"/>
          <w:szCs w:val="40"/>
          <w:highlight w:val="white"/>
        </w:rPr>
      </w:pPr>
      <w:r w:rsidDel="00000000" w:rsidR="00000000" w:rsidRPr="00000000">
        <w:rPr>
          <w:b w:val="1"/>
          <w:bCs w:val="1"/>
          <w:color w:val="0e101a"/>
          <w:sz w:val="40"/>
          <w:szCs w:val="40"/>
          <w:highlight w:val="white"/>
          <w:rtl w:val="0"/>
        </w:rPr>
        <w:t xml:space="preserve">Deadline:5th December 2025</w:t>
      </w:r>
      <w:r w:rsidDel="00000000" w:rsidR="00000000" w:rsidRPr="00000000">
        <w:rPr>
          <w:color w:val="0e101a"/>
          <w:sz w:val="40"/>
          <w:szCs w:val="40"/>
          <w:highlight w:val="white"/>
          <w:rtl w:val="0"/>
        </w:rPr>
        <w:t xml:space="preserve">​</w:t>
      </w:r>
    </w:p>
    <w:p w:rsidR="00000000" w:rsidDel="00000000" w:rsidP="00000000" w:rsidRDefault="00000000" w:rsidRPr="00000000" w14:paraId="00000008">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9">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A">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B">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C">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D">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E">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0F">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0">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1">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2">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3">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5f5f5" w:val="clear"/>
        <w:spacing w:line="360" w:lineRule="auto"/>
        <w:jc w:val="both"/>
        <w:rPr>
          <w:color w:val="0e101a"/>
          <w:sz w:val="64"/>
          <w:szCs w:val="64"/>
          <w:highlight w:val="white"/>
        </w:rPr>
      </w:pPr>
      <w:r w:rsidDel="00000000" w:rsidR="00000000" w:rsidRPr="00000000">
        <w:rPr>
          <w:b w:val="1"/>
          <w:bCs w:val="1"/>
          <w:color w:val="404040"/>
          <w:sz w:val="64"/>
          <w:szCs w:val="64"/>
          <w:highlight w:val="white"/>
          <w:u w:val="single"/>
          <w:rtl w:val="0"/>
        </w:rPr>
        <w:t xml:space="preserve">AI Acknowledgement:</w:t>
      </w:r>
      <w:r w:rsidDel="00000000" w:rsidR="00000000" w:rsidRPr="00000000">
        <w:rPr>
          <w:color w:val="0e101a"/>
          <w:sz w:val="64"/>
          <w:szCs w:val="64"/>
          <w:highlight w:val="white"/>
          <w:rtl w:val="0"/>
        </w:rPr>
        <w:t xml:space="preserve">​</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5f5f5" w:val="clear"/>
        <w:spacing w:line="360" w:lineRule="auto"/>
        <w:jc w:val="both"/>
        <w:rPr>
          <w:color w:val="0e101a"/>
          <w:sz w:val="36"/>
          <w:szCs w:val="36"/>
          <w:highlight w:val="white"/>
        </w:rPr>
      </w:pPr>
      <w:r w:rsidDel="00000000" w:rsidR="00000000" w:rsidRPr="00000000">
        <w:rPr>
          <w:color w:val="0e101a"/>
          <w:sz w:val="36"/>
          <w:szCs w:val="36"/>
          <w:highlight w:val="white"/>
          <w:rtl w:val="0"/>
        </w:rPr>
        <w:t xml:space="preserve">​</w:t>
      </w:r>
      <w:r w:rsidDel="00000000" w:rsidR="00000000" w:rsidRPr="00000000">
        <w:rPr>
          <w:color w:val="404040"/>
          <w:sz w:val="36"/>
          <w:szCs w:val="36"/>
          <w:highlight w:val="white"/>
          <w:rtl w:val="0"/>
        </w:rPr>
        <w:t xml:space="preserve">I confirm that I have not presented any AI-generated materials as my own work.</w:t>
      </w:r>
      <w:r w:rsidDel="00000000" w:rsidR="00000000" w:rsidRPr="00000000">
        <w:rPr>
          <w:color w:val="0e101a"/>
          <w:sz w:val="36"/>
          <w:szCs w:val="36"/>
          <w:highlight w:val="white"/>
          <w:rtl w:val="0"/>
        </w:rPr>
        <w:t xml:space="preserve">​</w:t>
      </w:r>
    </w:p>
    <w:p w:rsidR="00000000" w:rsidDel="00000000" w:rsidP="00000000" w:rsidRDefault="00000000" w:rsidRPr="00000000" w14:paraId="00000016">
      <w:pPr>
        <w:pBdr>
          <w:top w:color="auto" w:space="0" w:sz="0" w:val="none"/>
          <w:bottom w:color="auto" w:space="0" w:sz="0" w:val="none"/>
          <w:right w:color="auto" w:space="0" w:sz="0" w:val="none"/>
          <w:between w:color="auto" w:space="0" w:sz="0" w:val="none"/>
        </w:pBdr>
        <w:shd w:fill="f5f5f5" w:val="clear"/>
        <w:spacing w:line="360" w:lineRule="auto"/>
        <w:ind w:left="0" w:firstLine="0"/>
        <w:rPr>
          <w:color w:val="0e101a"/>
          <w:sz w:val="36"/>
          <w:szCs w:val="36"/>
          <w:highlight w:val="white"/>
        </w:rPr>
      </w:pPr>
      <w:r w:rsidDel="00000000" w:rsidR="00000000" w:rsidRPr="00000000">
        <w:rPr>
          <w:color w:val="404040"/>
          <w:sz w:val="36"/>
          <w:szCs w:val="36"/>
          <w:highlight w:val="white"/>
          <w:rtl w:val="0"/>
        </w:rPr>
        <w:t xml:space="preserve">I confirm that I have copies of my drafts, notes, and other resources I used, which I may be asked to prove in evidence.</w:t>
      </w:r>
      <w:r w:rsidDel="00000000" w:rsidR="00000000" w:rsidRPr="00000000">
        <w:rPr>
          <w:color w:val="0e101a"/>
          <w:sz w:val="36"/>
          <w:szCs w:val="36"/>
          <w:highlight w:val="white"/>
          <w:rtl w:val="0"/>
        </w:rPr>
        <w:t xml:space="preserve">​</w:t>
      </w:r>
    </w:p>
    <w:p w:rsidR="00000000" w:rsidDel="00000000" w:rsidP="00000000" w:rsidRDefault="00000000" w:rsidRPr="00000000" w14:paraId="00000017">
      <w:pPr>
        <w:pBdr>
          <w:top w:color="auto" w:space="0" w:sz="0" w:val="none"/>
          <w:bottom w:color="auto" w:space="0" w:sz="0" w:val="none"/>
          <w:right w:color="auto" w:space="0" w:sz="0" w:val="none"/>
          <w:between w:color="auto" w:space="0" w:sz="0" w:val="none"/>
        </w:pBdr>
        <w:shd w:fill="f5f5f5" w:val="clear"/>
        <w:spacing w:line="360" w:lineRule="auto"/>
        <w:ind w:left="720" w:firstLine="0"/>
        <w:rPr>
          <w:color w:val="0e101a"/>
          <w:sz w:val="36"/>
          <w:szCs w:val="36"/>
          <w:highlight w:val="white"/>
        </w:rPr>
      </w:pPr>
      <w:r w:rsidDel="00000000" w:rsidR="00000000" w:rsidRPr="00000000">
        <w:rPr>
          <w:color w:val="0e101a"/>
          <w:sz w:val="36"/>
          <w:szCs w:val="36"/>
          <w:highlight w:val="white"/>
          <w:rtl w:val="0"/>
        </w:rPr>
        <w:t xml:space="preserve">​</w:t>
      </w:r>
    </w:p>
    <w:p w:rsidR="00000000" w:rsidDel="00000000" w:rsidP="00000000" w:rsidRDefault="00000000" w:rsidRPr="00000000" w14:paraId="00000018">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9">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A">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B">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C">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D">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E">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1F">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0">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1">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hd w:fill="f5f5f5" w:val="clear"/>
        <w:spacing w:line="360" w:lineRule="auto"/>
        <w:rPr>
          <w:color w:val="0e101a"/>
          <w:sz w:val="36"/>
          <w:szCs w:val="36"/>
          <w:highlight w:val="white"/>
        </w:rPr>
      </w:pPr>
      <w:r w:rsidDel="00000000" w:rsidR="00000000" w:rsidRPr="00000000">
        <w:rPr>
          <w:rtl w:val="0"/>
        </w:rPr>
      </w:r>
    </w:p>
    <w:p w:rsidR="00000000" w:rsidDel="00000000" w:rsidP="00000000" w:rsidRDefault="00000000" w:rsidRPr="00000000" w14:paraId="00000024">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5">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7">
      <w:pPr>
        <w:spacing w:line="360" w:lineRule="auto"/>
        <w:jc w:val="both"/>
        <w:rPr>
          <w:color w:val="0e101a"/>
          <w:sz w:val="24"/>
          <w:szCs w:val="24"/>
          <w:highlight w:val="white"/>
        </w:rPr>
      </w:pPr>
      <w:r w:rsidDel="00000000" w:rsidR="00000000" w:rsidRPr="00000000">
        <w:rPr>
          <w:color w:val="0e101a"/>
          <w:sz w:val="24"/>
          <w:szCs w:val="24"/>
          <w:highlight w:val="white"/>
          <w:rtl w:val="0"/>
        </w:rPr>
        <w:t xml:space="preserve">This report will outline the current situation of the UK electric vehicle industry, focusing on key stakeholders such as manufacturers, policymakers, and investors, and their roles in shaping industry development. It will explain the external factors influencing growth and opportunities, helping the audience see their significance and </w:t>
      </w:r>
    </w:p>
    <w:p w:rsidR="00000000" w:rsidDel="00000000" w:rsidP="00000000" w:rsidRDefault="00000000" w:rsidRPr="00000000" w14:paraId="00000028">
      <w:pPr>
        <w:spacing w:line="360" w:lineRule="auto"/>
        <w:jc w:val="both"/>
        <w:rPr>
          <w:color w:val="0e101a"/>
          <w:sz w:val="24"/>
          <w:szCs w:val="24"/>
          <w:highlight w:val="white"/>
        </w:rPr>
      </w:pPr>
      <w:r w:rsidDel="00000000" w:rsidR="00000000" w:rsidRPr="00000000">
        <w:rPr>
          <w:color w:val="0e101a"/>
          <w:sz w:val="24"/>
          <w:szCs w:val="24"/>
          <w:highlight w:val="white"/>
          <w:rtl w:val="0"/>
        </w:rPr>
        <w:t xml:space="preserve">impact on industry development: innovation and challenges. A PESTLE analysis will be used to discuss the findings, and recommendations will be provided to highlight how innovation can support competitiveness, sustainability, and resilience amid industry challenges. </w:t>
      </w:r>
    </w:p>
    <w:p w:rsidR="00000000" w:rsidDel="00000000" w:rsidP="00000000" w:rsidRDefault="00000000" w:rsidRPr="00000000" w14:paraId="00000029">
      <w:pPr>
        <w:spacing w:line="360" w:lineRule="auto"/>
        <w:jc w:val="both"/>
        <w:rPr>
          <w:color w:val="0e101a"/>
          <w:sz w:val="24"/>
          <w:szCs w:val="24"/>
          <w:highlight w:val="white"/>
        </w:rPr>
      </w:pPr>
      <w:r w:rsidDel="00000000" w:rsidR="00000000" w:rsidRPr="00000000">
        <w:rPr>
          <w:rtl w:val="0"/>
        </w:rPr>
      </w:r>
    </w:p>
    <w:p w:rsidR="00000000" w:rsidDel="00000000" w:rsidP="00000000" w:rsidRDefault="00000000" w:rsidRPr="00000000" w14:paraId="0000002A">
      <w:pPr>
        <w:spacing w:line="360" w:lineRule="auto"/>
        <w:jc w:val="both"/>
        <w:rPr>
          <w:b w:val="1"/>
          <w:bCs w:val="1"/>
          <w:color w:val="0b0c0c"/>
          <w:sz w:val="24"/>
          <w:szCs w:val="24"/>
          <w:highlight w:val="white"/>
        </w:rPr>
      </w:pPr>
      <w:r w:rsidDel="00000000" w:rsidR="00000000" w:rsidRPr="00000000">
        <w:rPr>
          <w:color w:val="333333"/>
          <w:sz w:val="24"/>
          <w:szCs w:val="24"/>
          <w:rtl w:val="0"/>
        </w:rPr>
        <w:t xml:space="preserve">According to Oxford College of Marketing (2023), a PESTEL analysis is a tool used to identify macro forces facing an organisation, helping stakeholders understand</w:t>
      </w:r>
      <w:r w:rsidDel="00000000" w:rsidR="00000000" w:rsidRPr="00000000">
        <w:rPr>
          <w:sz w:val="24"/>
          <w:szCs w:val="24"/>
          <w:rtl w:val="0"/>
        </w:rPr>
        <w:t xml:space="preserve"> external factors that influence strategic decisions and industry trends.</w:t>
      </w:r>
      <w:r w:rsidDel="00000000" w:rsidR="00000000" w:rsidRPr="00000000">
        <w:rPr>
          <w:color w:val="0e101a"/>
          <w:sz w:val="24"/>
          <w:szCs w:val="24"/>
          <w:highlight w:val="white"/>
          <w:rtl w:val="0"/>
        </w:rPr>
        <w:t xml:space="preserve"> </w:t>
      </w:r>
      <w:r w:rsidDel="00000000" w:rsidR="00000000" w:rsidRPr="00000000">
        <w:rPr>
          <w:color w:val="333333"/>
          <w:sz w:val="26"/>
          <w:szCs w:val="26"/>
          <w:rtl w:val="0"/>
        </w:rPr>
        <w:t xml:space="preserve">In the UK, several incentives and regulations have been implemented to reduce carbon dioxide emissions, with clear timelines demonstrating strategic planning. For example, the Road to Zero strategy was introduced by the Department of Transport (2018) to achieve zero emissions from the transportation sector by 2050. To help achieve this objective, the UK government announced a ban on the sale of new ICE vehicles from 2030, with a ban on the sale of new hybrid cars from 2035 (Department for Transport, 2021). </w:t>
      </w:r>
      <w:r w:rsidDel="00000000" w:rsidR="00000000" w:rsidRPr="00000000">
        <w:rPr>
          <w:rtl w:val="0"/>
        </w:rPr>
      </w:r>
    </w:p>
    <w:p w:rsidR="00000000" w:rsidDel="00000000" w:rsidP="00000000" w:rsidRDefault="00000000" w:rsidRPr="00000000" w14:paraId="0000002B">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C">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D">
      <w:pPr>
        <w:jc w:val="both"/>
        <w:rPr>
          <w:color w:val="0b0c0c"/>
          <w:sz w:val="29"/>
          <w:szCs w:val="29"/>
          <w:highlight w:val="white"/>
        </w:rPr>
      </w:pPr>
      <w:r w:rsidDel="00000000" w:rsidR="00000000" w:rsidRPr="00000000">
        <w:rPr>
          <w:b w:val="1"/>
          <w:bCs w:val="1"/>
          <w:color w:val="0b0c0c"/>
          <w:sz w:val="24"/>
          <w:szCs w:val="24"/>
          <w:highlight w:val="white"/>
          <w:rtl w:val="0"/>
        </w:rPr>
        <w:t xml:space="preserve"> Policy and market trends</w:t>
      </w:r>
      <w:r w:rsidDel="00000000" w:rsidR="00000000" w:rsidRPr="00000000">
        <w:rPr>
          <w:color w:val="0b0c0c"/>
          <w:sz w:val="29"/>
          <w:szCs w:val="29"/>
          <w:highlight w:val="white"/>
          <w:rtl w:val="0"/>
        </w:rPr>
        <w:t xml:space="preserve"> </w:t>
      </w:r>
    </w:p>
    <w:p w:rsidR="00000000" w:rsidDel="00000000" w:rsidP="00000000" w:rsidRDefault="00000000" w:rsidRPr="00000000" w14:paraId="0000002E">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2F">
      <w:pPr>
        <w:shd w:fill="ffffff" w:val="clear"/>
        <w:spacing w:after="240" w:line="360" w:lineRule="auto"/>
        <w:jc w:val="both"/>
        <w:rPr>
          <w:color w:val="0e101a"/>
          <w:sz w:val="24"/>
          <w:szCs w:val="24"/>
          <w:highlight w:val="white"/>
        </w:rPr>
      </w:pPr>
      <w:r w:rsidDel="00000000" w:rsidR="00000000" w:rsidRPr="00000000">
        <w:rPr>
          <w:color w:val="333333"/>
          <w:sz w:val="23"/>
          <w:szCs w:val="23"/>
          <w:rtl w:val="0"/>
        </w:rPr>
        <w:t xml:space="preserve">The UK's position as Europe's leading EV market in 2024 should instil pride and confidence in policymakers and industry stakeholders, emphasising their vital</w:t>
      </w:r>
      <w:hyperlink r:id="rId7">
        <w:r w:rsidDel="00000000" w:rsidR="00000000" w:rsidRPr="00000000">
          <w:rPr>
            <w:sz w:val="23"/>
            <w:szCs w:val="23"/>
            <w:rtl w:val="0"/>
          </w:rPr>
          <w:t xml:space="preserve"> role in shaping the future of electric </w:t>
        </w:r>
      </w:hyperlink>
      <w:r w:rsidDel="00000000" w:rsidR="00000000" w:rsidRPr="00000000">
        <w:rPr>
          <w:color w:val="333333"/>
          <w:sz w:val="23"/>
          <w:szCs w:val="23"/>
          <w:rtl w:val="0"/>
        </w:rPr>
        <w:t xml:space="preserve">mobility. With over 1.5 million EVs on UK roads, many purchased through the plug-in vehicle grant before its 2022 termination, this demonstrates how government incentives have supported sustained growth and resilience in EV adoption. In 2024, electric vehicles accounted for 1 in 5 new cars sold (19.6%), supported by government incentives and infrastructure investments, maintaining around 20% of new registrations in 2025, reflecting steady progress that needs to continue. Accelerating this progress is essential to meet the UK government's 2030 target to phase out new petrol and diesel car sales, underscoring the importance of ongoing policy support and infrastructure development for industry stakeholders.</w:t>
      </w:r>
      <w:r w:rsidDel="00000000" w:rsidR="00000000" w:rsidRPr="00000000">
        <w:rPr>
          <w:rtl w:val="0"/>
        </w:rPr>
      </w:r>
    </w:p>
    <w:p w:rsidR="00000000" w:rsidDel="00000000" w:rsidP="00000000" w:rsidRDefault="00000000" w:rsidRPr="00000000" w14:paraId="00000030">
      <w:pPr>
        <w:spacing w:line="360" w:lineRule="auto"/>
        <w:jc w:val="both"/>
        <w:rPr>
          <w:color w:val="333333"/>
          <w:sz w:val="24"/>
          <w:szCs w:val="24"/>
        </w:rPr>
      </w:pPr>
      <w:r w:rsidDel="00000000" w:rsidR="00000000" w:rsidRPr="00000000">
        <w:rPr>
          <w:rtl w:val="0"/>
        </w:rPr>
      </w:r>
    </w:p>
    <w:p w:rsidR="00000000" w:rsidDel="00000000" w:rsidP="00000000" w:rsidRDefault="00000000" w:rsidRPr="00000000" w14:paraId="00000031">
      <w:pPr>
        <w:shd w:fill="ffffff" w:val="clear"/>
        <w:spacing w:after="240" w:line="360" w:lineRule="auto"/>
        <w:jc w:val="both"/>
        <w:rPr>
          <w:b w:val="1"/>
          <w:bCs w:val="1"/>
          <w:color w:val="333333"/>
          <w:sz w:val="24"/>
          <w:szCs w:val="24"/>
        </w:rPr>
      </w:pPr>
      <w:r w:rsidDel="00000000" w:rsidR="00000000" w:rsidRPr="00000000">
        <w:rPr>
          <w:b w:val="1"/>
          <w:bCs w:val="1"/>
          <w:color w:val="333333"/>
          <w:sz w:val="24"/>
          <w:szCs w:val="24"/>
          <w:rtl w:val="0"/>
        </w:rPr>
        <w:t xml:space="preserve">Economic/growth</w:t>
      </w:r>
    </w:p>
    <w:p w:rsidR="00000000" w:rsidDel="00000000" w:rsidP="00000000" w:rsidRDefault="00000000" w:rsidRPr="00000000" w14:paraId="00000032">
      <w:pPr>
        <w:shd w:fill="ffffff" w:val="clear"/>
        <w:spacing w:after="240" w:line="360" w:lineRule="auto"/>
        <w:jc w:val="both"/>
        <w:rPr>
          <w:color w:val="333333"/>
          <w:sz w:val="24"/>
          <w:szCs w:val="24"/>
        </w:rPr>
      </w:pPr>
      <w:r w:rsidDel="00000000" w:rsidR="00000000" w:rsidRPr="00000000">
        <w:rPr>
          <w:rtl w:val="0"/>
        </w:rPr>
      </w:r>
    </w:p>
    <w:p w:rsidR="00000000" w:rsidDel="00000000" w:rsidP="00000000" w:rsidRDefault="00000000" w:rsidRPr="00000000" w14:paraId="00000033">
      <w:pPr>
        <w:pStyle w:val="Heading2"/>
        <w:keepNext w:val="0"/>
        <w:keepLines w:val="0"/>
        <w:shd w:fill="ffffff" w:val="clear"/>
        <w:spacing w:after="380" w:before="0" w:line="360" w:lineRule="auto"/>
        <w:jc w:val="both"/>
        <w:rPr>
          <w:color w:val="333333"/>
          <w:sz w:val="24"/>
          <w:szCs w:val="24"/>
        </w:rPr>
      </w:pPr>
      <w:bookmarkStart w:colFirst="0" w:colLast="0" w:name="_z5orwc7vdq8f" w:id="0"/>
      <w:bookmarkEnd w:id="0"/>
      <w:r w:rsidDel="00000000" w:rsidR="00000000" w:rsidRPr="00000000">
        <w:rPr>
          <w:color w:val="333333"/>
          <w:sz w:val="24"/>
          <w:szCs w:val="24"/>
          <w:rtl w:val="0"/>
        </w:rPr>
        <w:t xml:space="preserve">The UK's EV adoption is rapidly expanding, with battery-electric vehicles (BEVs) now making up roughly 22% of new car sales in 2025 (year-to-date). This strong growth should reassure industry stakeholders about the market's potential and their role in supporting this positive trend, as BEV registrations continue to increase year-on-year. Public charging infrastructure is expanding swiftly, with approximately 86,000 public charging devices across the UK as of the end of October 2025. This highlights the growing accessibility and convenience of EV charging, supporting continued adoption and indicating areas for future infrastructure investment. Policy remains supportive but is shifting: the 2030 ban on new petrol/diesel car sales still stands, new government funding for charging has been announced, and a planned mileage-based tax on EVs was confirmed in late November 2025, which should help stakeholders feel informed and confident as they prepare for upcoming demand dynamics.</w:t>
      </w:r>
    </w:p>
    <w:p w:rsidR="00000000" w:rsidDel="00000000" w:rsidP="00000000" w:rsidRDefault="00000000" w:rsidRPr="00000000" w14:paraId="00000034">
      <w:pPr>
        <w:rPr>
          <w:b w:val="1"/>
          <w:bCs w:val="1"/>
          <w:sz w:val="24"/>
          <w:szCs w:val="24"/>
        </w:rPr>
      </w:pPr>
      <w:r w:rsidDel="00000000" w:rsidR="00000000" w:rsidRPr="00000000">
        <w:rPr>
          <w:b w:val="1"/>
          <w:bCs w:val="1"/>
          <w:sz w:val="24"/>
          <w:szCs w:val="24"/>
          <w:rtl w:val="0"/>
        </w:rPr>
        <w:t xml:space="preserve">The findings</w:t>
      </w:r>
    </w:p>
    <w:p w:rsidR="00000000" w:rsidDel="00000000" w:rsidP="00000000" w:rsidRDefault="00000000" w:rsidRPr="00000000" w14:paraId="00000035">
      <w:pPr>
        <w:pBdr>
          <w:top w:color="455f7c" w:space="0" w:sz="0" w:val="none"/>
          <w:left w:color="455f7c" w:space="0" w:sz="0" w:val="none"/>
          <w:bottom w:color="455f7c" w:space="0" w:sz="0" w:val="none"/>
          <w:right w:color="455f7c" w:space="0" w:sz="0" w:val="none"/>
          <w:between w:color="455f7c" w:space="0" w:sz="0" w:val="none"/>
        </w:pBdr>
        <w:spacing w:line="360" w:lineRule="auto"/>
        <w:jc w:val="both"/>
        <w:rPr/>
      </w:pPr>
      <w:r w:rsidDel="00000000" w:rsidR="00000000" w:rsidRPr="00000000">
        <w:rPr>
          <w:rtl w:val="0"/>
        </w:rPr>
      </w:r>
    </w:p>
    <w:p w:rsidR="00000000" w:rsidDel="00000000" w:rsidP="00000000" w:rsidRDefault="00000000" w:rsidRPr="00000000" w14:paraId="00000036">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37">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38">
      <w:pPr>
        <w:jc w:val="both"/>
        <w:rPr>
          <w:color w:val="0b0c0c"/>
          <w:sz w:val="29"/>
          <w:szCs w:val="29"/>
          <w:highlight w:val="white"/>
        </w:rPr>
      </w:pPr>
      <w:r w:rsidDel="00000000" w:rsidR="00000000" w:rsidRPr="00000000">
        <w:rPr>
          <w:b w:val="1"/>
          <w:bCs w:val="1"/>
          <w:color w:val="0b0c0c"/>
          <w:sz w:val="24"/>
          <w:szCs w:val="24"/>
          <w:highlight w:val="white"/>
          <w:rtl w:val="0"/>
        </w:rPr>
        <w:t xml:space="preserve"> Policy and market trends</w:t>
      </w:r>
      <w:r w:rsidDel="00000000" w:rsidR="00000000" w:rsidRPr="00000000">
        <w:rPr>
          <w:color w:val="0b0c0c"/>
          <w:sz w:val="29"/>
          <w:szCs w:val="29"/>
          <w:highlight w:val="white"/>
          <w:rtl w:val="0"/>
        </w:rPr>
        <w:t xml:space="preserve"> </w:t>
      </w:r>
    </w:p>
    <w:p w:rsidR="00000000" w:rsidDel="00000000" w:rsidP="00000000" w:rsidRDefault="00000000" w:rsidRPr="00000000" w14:paraId="00000039">
      <w:pPr>
        <w:jc w:val="both"/>
        <w:rPr>
          <w:color w:val="0b0c0c"/>
          <w:sz w:val="29"/>
          <w:szCs w:val="29"/>
          <w:highlight w:val="white"/>
        </w:rPr>
      </w:pPr>
      <w:r w:rsidDel="00000000" w:rsidR="00000000" w:rsidRPr="00000000">
        <w:rPr>
          <w:rtl w:val="0"/>
        </w:rPr>
      </w:r>
    </w:p>
    <w:p w:rsidR="00000000" w:rsidDel="00000000" w:rsidP="00000000" w:rsidRDefault="00000000" w:rsidRPr="00000000" w14:paraId="0000003A">
      <w:pPr>
        <w:shd w:fill="ffffff" w:val="clear"/>
        <w:spacing w:after="240" w:line="360" w:lineRule="auto"/>
        <w:jc w:val="both"/>
        <w:rPr>
          <w:color w:val="333333"/>
          <w:sz w:val="23"/>
          <w:szCs w:val="23"/>
        </w:rPr>
      </w:pPr>
      <w:r w:rsidDel="00000000" w:rsidR="00000000" w:rsidRPr="00000000">
        <w:rPr>
          <w:color w:val="333333"/>
          <w:sz w:val="23"/>
          <w:szCs w:val="23"/>
          <w:rtl w:val="0"/>
        </w:rPr>
        <w:t xml:space="preserve">The UK's position as Europe's leading EV market in 2024 should instil pride and confidence in policymakers and industry stakeholders, emphasizing their vital</w:t>
      </w:r>
      <w:hyperlink r:id="rId8">
        <w:r w:rsidDel="00000000" w:rsidR="00000000" w:rsidRPr="00000000">
          <w:rPr>
            <w:sz w:val="23"/>
            <w:szCs w:val="23"/>
            <w:rtl w:val="0"/>
          </w:rPr>
          <w:t xml:space="preserve"> role in shaping the future of electric </w:t>
        </w:r>
      </w:hyperlink>
      <w:r w:rsidDel="00000000" w:rsidR="00000000" w:rsidRPr="00000000">
        <w:rPr>
          <w:color w:val="333333"/>
          <w:sz w:val="23"/>
          <w:szCs w:val="23"/>
          <w:rtl w:val="0"/>
        </w:rPr>
        <w:t xml:space="preserve">mobility. With over 1.5 million EVs on UK roads, many purchased through the plug-in vehicle grant before its 2022 termination, this demonstrates how government incentives have supported sustained growth and resilience in EV adoption. In 2024, electric vehicles accounted for 1 in 5 new cars sold (19.6%), supported by government incentives and infrastructure investments, maintaining around 20% of new registrations in 2025, reflecting steady progress that needs to continue. Accelerating this progress is essential to meet the UK government's 2030 target to phase out new petrol and diesel car sales, underscoring the importance of ongoing policy support and infrastructure development for industry stakeholders.</w:t>
      </w:r>
    </w:p>
    <w:p w:rsidR="00000000" w:rsidDel="00000000" w:rsidP="00000000" w:rsidRDefault="00000000" w:rsidRPr="00000000" w14:paraId="0000003B">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333333"/>
          <w:sz w:val="23"/>
          <w:szCs w:val="23"/>
        </w:rPr>
      </w:pPr>
      <w:r w:rsidDel="00000000" w:rsidR="00000000" w:rsidRPr="00000000">
        <w:rPr>
          <w:color w:val="455f7c"/>
          <w:sz w:val="24"/>
          <w:szCs w:val="24"/>
          <w:rtl w:val="0"/>
        </w:rPr>
        <w:t xml:space="preserve"> The projected revenue in the United Kingdom's Electric vehicle market in 2025 is expected to reach £31.5bn, highlighting a substantial growth opportunity that can inspire confidence and optimism among investors and policymakers. This market segment is forecast to grow at a compound annual growth rate (CAGR 2025-2030) of 7.27%, reaching a projected market volume of £41.2bn by 2030, offering valuable data for strategic planning. The volume-weighted average price of the Electric Vehicles market in the United Kingdom in 2025 is projected to be £0.00, which may indicate data gaps or the need for further clarification of pricing assumptions, such as the inclusion of government incentives or subsidies. From an international perspective, it is evident that China will generate the highest revenue at £430bn, which can motivate UK stakeholders to strengthen their market position. In 2025, industry strategists will feel informed and motivated to evaluate the UK market's global position. </w:t>
      </w:r>
      <w:r w:rsidDel="00000000" w:rsidR="00000000" w:rsidRPr="00000000">
        <w:rPr>
          <w:color w:val="0b0c0c"/>
          <w:sz w:val="24"/>
          <w:szCs w:val="24"/>
          <w:highlight w:val="white"/>
          <w:rtl w:val="0"/>
        </w:rPr>
        <w:t xml:space="preserve">To help maximise economic and environmental opportunities during the transition to zero-emission vehicles, the government is providing grant support for a groundbreaking project (RECOVAS) that will develop the UK’s first commercial-scale recycling facility for EV batteries.</w:t>
      </w:r>
      <w:r w:rsidDel="00000000" w:rsidR="00000000" w:rsidRPr="00000000">
        <w:rPr>
          <w:rtl w:val="0"/>
        </w:rPr>
      </w:r>
    </w:p>
    <w:p w:rsidR="00000000" w:rsidDel="00000000" w:rsidP="00000000" w:rsidRDefault="00000000" w:rsidRPr="00000000" w14:paraId="0000003C">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0b0c0c"/>
          <w:sz w:val="24"/>
          <w:szCs w:val="24"/>
          <w:highlight w:val="white"/>
        </w:rPr>
      </w:pPr>
      <w:r w:rsidDel="00000000" w:rsidR="00000000" w:rsidRPr="00000000">
        <w:rPr>
          <w:rtl w:val="0"/>
        </w:rPr>
      </w:r>
    </w:p>
    <w:p w:rsidR="00000000" w:rsidDel="00000000" w:rsidP="00000000" w:rsidRDefault="00000000" w:rsidRPr="00000000" w14:paraId="0000003D">
      <w:pPr>
        <w:rPr>
          <w:b w:val="1"/>
          <w:bCs w:val="1"/>
          <w:sz w:val="24"/>
          <w:szCs w:val="24"/>
        </w:rPr>
      </w:pPr>
      <w:r w:rsidDel="00000000" w:rsidR="00000000" w:rsidRPr="00000000">
        <w:rPr>
          <w:b w:val="1"/>
          <w:bCs w:val="1"/>
          <w:sz w:val="24"/>
          <w:szCs w:val="24"/>
          <w:rtl w:val="0"/>
        </w:rPr>
        <w:t xml:space="preserve">Limitations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line="360" w:lineRule="auto"/>
        <w:jc w:val="both"/>
        <w:rPr>
          <w:color w:val="0b0c0c"/>
          <w:sz w:val="24"/>
          <w:szCs w:val="24"/>
        </w:rPr>
      </w:pPr>
      <w:r w:rsidDel="00000000" w:rsidR="00000000" w:rsidRPr="00000000">
        <w:rPr>
          <w:sz w:val="24"/>
          <w:szCs w:val="24"/>
          <w:rtl w:val="0"/>
        </w:rPr>
        <w:t xml:space="preserve">The EU’s European Environment Agency has said that while EVs offer “clear benefits” for local air quality due to zero exhaust emissions at street level, they still emit particulate matter from road, tyre and brake wear. Recognising these limitations can help policymakers and stakeholders feel responsible for pursuing wider strategies to improve urban air quality, beyond just promoting electric vehicles. Further, EVs do not address broader issues of urban sprawl, sedentary lifestyles, or congestion, which could increase if the transition to EVs makes driving cheaper. Both CREDS and the CCC advise that reducing overall car demand is essential, empowering policymakers and stakeholders to take proactive steps toward sustainable urban transportation. </w:t>
      </w:r>
      <w:r w:rsidDel="00000000" w:rsidR="00000000" w:rsidRPr="00000000">
        <w:rPr>
          <w:color w:val="0b0c0c"/>
          <w:sz w:val="24"/>
          <w:szCs w:val="24"/>
          <w:rtl w:val="0"/>
        </w:rPr>
        <w:t xml:space="preserve">Government grants have supported the installation of over 400,000 chargepoints in homes and businesses, demonstrating strong government backing that should reassure stakeholders of ongoing commitment. Many more domestic and workplace chargepoints, not funded directly by the government, contribute to a substantial off-street charging infrastructure across the UK.</w:t>
      </w:r>
    </w:p>
    <w:p w:rsidR="00000000" w:rsidDel="00000000" w:rsidP="00000000" w:rsidRDefault="00000000" w:rsidRPr="00000000" w14:paraId="00000040">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color w:val="0b0c0c"/>
          <w:sz w:val="24"/>
          <w:szCs w:val="24"/>
        </w:rPr>
      </w:pPr>
      <w:r w:rsidDel="00000000" w:rsidR="00000000" w:rsidRPr="00000000">
        <w:rPr>
          <w:color w:val="0b0c0c"/>
          <w:sz w:val="24"/>
          <w:szCs w:val="24"/>
          <w:rtl w:val="0"/>
        </w:rPr>
        <w:t xml:space="preserve">The rapid increase in public charging points, with over 53,600 available across the UK in January 2024-a 45% rise since early 2023-reflects significant progress. However, assessing whether this growth is sustainable and how it aligns with the forecast to deliver at least 300,000 chargepoints by 2030 is essential. Addressing potential challenges such as market fluctuations, policy shifts, and infrastructure capacity can help stakeholders anticipate and mitigate future obstacles. The availability of public charging devices is expected to continue increasing, with ChargeUK, the industry body for chargepoint operators, committing to invest more than £6 billion in charging infrastructure before 2030 and doubling the number of chargepoints over the next 12 months. This strong industry commitment to expanding EV infrastructure should inspire confidence among stakeholders and support strategic planning for future demand.</w:t>
      </w:r>
    </w:p>
    <w:p w:rsidR="00000000" w:rsidDel="00000000" w:rsidP="00000000" w:rsidRDefault="00000000" w:rsidRPr="00000000" w14:paraId="00000041">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color w:val="0b0c0c"/>
          <w:sz w:val="24"/>
          <w:szCs w:val="24"/>
        </w:rPr>
      </w:pPr>
      <w:r w:rsidDel="00000000" w:rsidR="00000000" w:rsidRPr="00000000">
        <w:rPr>
          <w:color w:val="0b0c0c"/>
          <w:sz w:val="24"/>
          <w:szCs w:val="24"/>
          <w:rtl w:val="0"/>
        </w:rPr>
        <w:t xml:space="preserve">Continued government investment also means more chargepoints for local residential areas and along the strategic road network. The local EV infrastructure LEVI fund will deliver tens of thousands of local chargepoints and better access to EV chargers for all. The government has committed a total of £381 million to local authorities in England through this fund to ensure the transition to electric vehicles takes place nationwide. The LEVI pilot, launched in August 2022, has funded almost 3,400 chargepoints and 1,000 gullies for drivers without off-street parking, fostering a sense of progress and trust in the infrastructure rollout. </w:t>
      </w:r>
    </w:p>
    <w:p w:rsidR="00000000" w:rsidDel="00000000" w:rsidP="00000000" w:rsidRDefault="00000000" w:rsidRPr="00000000" w14:paraId="00000042">
      <w:pPr>
        <w:pBdr>
          <w:top w:color="455f7c" w:space="0" w:sz="0" w:val="none"/>
          <w:left w:color="455f7c" w:space="0" w:sz="0" w:val="none"/>
          <w:bottom w:color="455f7c" w:space="0" w:sz="0" w:val="none"/>
          <w:right w:color="455f7c" w:space="0" w:sz="0" w:val="none"/>
          <w:between w:color="455f7c" w:space="0" w:sz="0" w:val="none"/>
        </w:pBdr>
        <w:shd w:fill="ffffff" w:val="clear"/>
        <w:spacing w:after="300" w:line="315.7896"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b w:val="1"/>
          <w:bCs w:val="1"/>
          <w:sz w:val="24"/>
          <w:szCs w:val="24"/>
        </w:rPr>
      </w:pPr>
      <w:r w:rsidDel="00000000" w:rsidR="00000000" w:rsidRPr="00000000">
        <w:rPr>
          <w:b w:val="1"/>
          <w:bCs w:val="1"/>
          <w:sz w:val="24"/>
          <w:szCs w:val="24"/>
          <w:rtl w:val="0"/>
        </w:rPr>
        <w:t xml:space="preserve">Challenges</w:t>
      </w:r>
    </w:p>
    <w:p w:rsidR="00000000" w:rsidDel="00000000" w:rsidP="00000000" w:rsidRDefault="00000000" w:rsidRPr="00000000" w14:paraId="00000044">
      <w:pPr>
        <w:spacing w:line="360" w:lineRule="auto"/>
        <w:jc w:val="both"/>
        <w:rPr>
          <w:sz w:val="24"/>
          <w:szCs w:val="24"/>
        </w:rPr>
      </w:pPr>
      <w:r w:rsidDel="00000000" w:rsidR="00000000" w:rsidRPr="00000000">
        <w:rPr>
          <w:color w:val="333333"/>
          <w:sz w:val="24"/>
          <w:szCs w:val="24"/>
          <w:rtl w:val="0"/>
        </w:rPr>
        <w:t xml:space="preserve">Several studies have identified battery safety concerns as a primary contributor to overall EV adoption (Anastasiadou et al, 2022; Chu et al., 2019; Du and Ouyang, 2017; H et al, 2022). The enacted regulation remains significant (Du et al., 2017). In the UK, in 2020, EV approval requirements effectively mitigated safety concerns, especially around batteries, reinforcing confidence and demonstrating progress in safety regulation. The presence of a larger electrical battery beneath the vehicle raises significant concerns about vehicle safety, especially in the event of an accident. In Chu et al. (2019), safety concerns (including those related to the battery) contributed to 12.6% of consumer dissatisfaction in the Chinese market, with some consumers expressing concerns about safety during vehicle charging (Road Vehicles (Approval) Regulations (2020). </w:t>
      </w:r>
      <w:r w:rsidDel="00000000" w:rsidR="00000000" w:rsidRPr="00000000">
        <w:rPr>
          <w:rFonts w:ascii="Georgia" w:cs="Georgia" w:eastAsia="Georgia" w:hAnsi="Georgia"/>
          <w:color w:val="1f1f1f"/>
          <w:sz w:val="24"/>
          <w:szCs w:val="24"/>
          <w:rtl w:val="0"/>
        </w:rPr>
        <w:t xml:space="preserve">There are also issues on the consumer side. Due to the high number of materials required for batteries, EVs are currently more expensive to purchase than ICE vehicles, which can put consumers off despite their potential for lower operating costs.</w:t>
      </w:r>
      <w:r w:rsidDel="00000000" w:rsidR="00000000" w:rsidRPr="00000000">
        <w:rPr>
          <w:sz w:val="24"/>
          <w:szCs w:val="24"/>
          <w:rtl w:val="0"/>
        </w:rPr>
        <w:t xml:space="preserve"> The UK automotive industry is heavily reliant on external markets, particularly the EU, highlighting the critical role these markets play for industry stability. Currently, it exports 78.3% of the cars it produces and nearly 70% of its EVs in value to EU countries.3 However, the UK's departure from the EU and the subsequent implementation of the EU-UK TCA have introduced new challenges (Henig, 2023).</w:t>
      </w:r>
    </w:p>
    <w:p w:rsidR="00000000" w:rsidDel="00000000" w:rsidP="00000000" w:rsidRDefault="00000000" w:rsidRPr="00000000" w14:paraId="00000045">
      <w:pPr>
        <w:spacing w:line="360" w:lineRule="auto"/>
        <w:jc w:val="both"/>
        <w:rPr>
          <w:sz w:val="24"/>
          <w:szCs w:val="24"/>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rtl w:val="0"/>
        </w:rPr>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b w:val="1"/>
          <w:bCs w:val="1"/>
          <w:sz w:val="24"/>
          <w:szCs w:val="24"/>
        </w:rPr>
      </w:pPr>
      <w:r w:rsidDel="00000000" w:rsidR="00000000" w:rsidRPr="00000000">
        <w:rPr>
          <w:b w:val="1"/>
          <w:bCs w:val="1"/>
          <w:sz w:val="24"/>
          <w:szCs w:val="24"/>
          <w:rtl w:val="0"/>
        </w:rPr>
        <w:t xml:space="preserve">Recommadation</w:t>
      </w:r>
    </w:p>
    <w:p w:rsidR="00000000" w:rsidDel="00000000" w:rsidP="00000000" w:rsidRDefault="00000000" w:rsidRPr="00000000" w14:paraId="00000049">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color w:val="1f1f1f"/>
          <w:sz w:val="24"/>
          <w:szCs w:val="24"/>
          <w:rtl w:val="0"/>
        </w:rPr>
        <w:t xml:space="preserve">Economic factors must focus on local development and communities at mining sites for raw materials. The industry must support these communities, focusing on regional employment, procurement, supply, and economic growth, in collaboration with affected communities. In addition, Political factors should focus on government operations in countries where materials are being mined, and batteries are being manufactured, as well as uncertainty around policy in the UK itself. Policymakers need to provide clarity and assurances on material supply to limit supply disruptions for LIBs. This encourages confidence and stability among industry stakeholders. Subsequently, Legal factors include environmental and social standards, national and global laws, and sustainability and risk management systems. Ensuring compliance with these standards fosters trust and demonstrates responsibility to social and ecological compliance officers and industry professionals. Furthermore, Economic factors focused on local development and communities at mining sites for raw materials. The industry must support these communities, and the focus should be on regional employment, procurement, supply, and economic development in collaboration with the affected communities, </w:t>
      </w:r>
      <w:r w:rsidDel="00000000" w:rsidR="00000000" w:rsidRPr="00000000">
        <w:rPr>
          <w:i w:val="1"/>
          <w:iCs w:val="1"/>
          <w:color w:val="222222"/>
          <w:sz w:val="24"/>
          <w:szCs w:val="24"/>
          <w:highlight w:val="white"/>
          <w:rtl w:val="0"/>
        </w:rPr>
        <w:t xml:space="preserve">Veh. J.</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4A">
      <w:pPr>
        <w:spacing w:line="360" w:lineRule="auto"/>
        <w:jc w:val="both"/>
        <w:rPr>
          <w:sz w:val="24"/>
          <w:szCs w:val="24"/>
        </w:rPr>
      </w:pPr>
      <w:r w:rsidDel="00000000" w:rsidR="00000000" w:rsidRPr="00000000">
        <w:rPr>
          <w:rtl w:val="0"/>
        </w:rPr>
      </w:r>
    </w:p>
    <w:p w:rsidR="00000000" w:rsidDel="00000000" w:rsidP="00000000" w:rsidRDefault="00000000" w:rsidRPr="00000000" w14:paraId="0000004B">
      <w:pPr>
        <w:spacing w:line="360" w:lineRule="auto"/>
        <w:jc w:val="both"/>
        <w:rPr>
          <w:sz w:val="24"/>
          <w:szCs w:val="24"/>
        </w:rPr>
      </w:pPr>
      <w:r w:rsidDel="00000000" w:rsidR="00000000" w:rsidRPr="00000000">
        <w:rPr>
          <w:rtl w:val="0"/>
        </w:rPr>
      </w:r>
    </w:p>
    <w:p w:rsidR="00000000" w:rsidDel="00000000" w:rsidP="00000000" w:rsidRDefault="00000000" w:rsidRPr="00000000" w14:paraId="0000004C">
      <w:pPr>
        <w:spacing w:line="360" w:lineRule="auto"/>
        <w:jc w:val="both"/>
        <w:rPr>
          <w:sz w:val="24"/>
          <w:szCs w:val="24"/>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b w:val="1"/>
          <w:bCs w:val="1"/>
          <w:sz w:val="24"/>
          <w:szCs w:val="24"/>
        </w:rPr>
      </w:pPr>
      <w:r w:rsidDel="00000000" w:rsidR="00000000" w:rsidRPr="00000000">
        <w:rPr>
          <w:b w:val="1"/>
          <w:bCs w:val="1"/>
          <w:sz w:val="24"/>
          <w:szCs w:val="24"/>
          <w:rtl w:val="0"/>
        </w:rPr>
        <w:t xml:space="preserve">Conclusion</w:t>
      </w:r>
    </w:p>
    <w:p w:rsidR="00000000" w:rsidDel="00000000" w:rsidP="00000000" w:rsidRDefault="00000000" w:rsidRPr="00000000" w14:paraId="00000050">
      <w:pPr>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51">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rFonts w:ascii="Georgia" w:cs="Georgia" w:eastAsia="Georgia" w:hAnsi="Georgia"/>
          <w:color w:val="1f1f1f"/>
          <w:sz w:val="24"/>
          <w:szCs w:val="24"/>
          <w:rtl w:val="0"/>
        </w:rPr>
        <w:t xml:space="preserve"> </w:t>
      </w:r>
      <w:r w:rsidDel="00000000" w:rsidR="00000000" w:rsidRPr="00000000">
        <w:rPr>
          <w:rtl w:val="0"/>
        </w:rPr>
      </w:r>
    </w:p>
    <w:p w:rsidR="00000000" w:rsidDel="00000000" w:rsidP="00000000" w:rsidRDefault="00000000" w:rsidRPr="00000000" w14:paraId="00000052">
      <w:pPr>
        <w:pBdr>
          <w:top w:color="auto" w:space="2" w:sz="0" w:val="none"/>
          <w:bottom w:color="auto" w:space="2" w:sz="0" w:val="none"/>
          <w:right w:color="auto" w:space="0" w:sz="0" w:val="none"/>
          <w:between w:color="auto" w:space="2" w:sz="0" w:val="none"/>
        </w:pBdr>
        <w:shd w:fill="ffffff" w:val="clear"/>
        <w:spacing w:line="360" w:lineRule="auto"/>
        <w:jc w:val="both"/>
        <w:rPr>
          <w:sz w:val="24"/>
          <w:szCs w:val="24"/>
        </w:rPr>
      </w:pPr>
      <w:r w:rsidDel="00000000" w:rsidR="00000000" w:rsidRPr="00000000">
        <w:rPr>
          <w:sz w:val="24"/>
          <w:szCs w:val="24"/>
          <w:rtl w:val="0"/>
        </w:rPr>
        <w:t xml:space="preserve">Harrison et al. (2021). </w:t>
      </w:r>
      <w:r w:rsidDel="00000000" w:rsidR="00000000" w:rsidRPr="00000000">
        <w:rPr>
          <w:rFonts w:ascii="Georgia" w:cs="Georgia" w:eastAsia="Georgia" w:hAnsi="Georgia"/>
          <w:color w:val="1f1f1f"/>
          <w:sz w:val="24"/>
          <w:szCs w:val="24"/>
          <w:rtl w:val="0"/>
        </w:rPr>
        <w:t xml:space="preserve">With a significant increase in EVs expected in the coming years, creating a sustainable supply chain for arguably their most important component, the battery, is essential. Currently, the factors that make a sustainable supply chain for LIBs for EVs, such as ethical sourcing, recyclability, and carbon footprint, are not well understood. Conducting a systematic review of both academic and non-academic sources ensures a comprehensive understanding of these factors, which is vital for researchers, policymakers, and industry professionals seeking relevant and actionable insights. With the UK's upcoming ban on ICE vehicles set to take effect in 2030, it is essential to define sustainability in the UK context, including its policy implications and industry practices. The literature review  was carried out across academic and non-academic sources to identify key factors related to sustainability and the reasons they were perceived as necessary.</w:t>
      </w:r>
      <w:r w:rsidDel="00000000" w:rsidR="00000000" w:rsidRPr="00000000">
        <w:rPr>
          <w:rtl w:val="0"/>
        </w:rPr>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spacing w:line="360" w:lineRule="auto"/>
        <w:jc w:val="both"/>
        <w:rPr>
          <w:sz w:val="24"/>
          <w:szCs w:val="24"/>
        </w:rPr>
      </w:pPr>
      <w:r w:rsidDel="00000000" w:rsidR="00000000" w:rsidRPr="00000000">
        <w:rPr>
          <w:rtl w:val="0"/>
        </w:rPr>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rtl w:val="0"/>
        </w:rPr>
      </w:r>
    </w:p>
    <w:p w:rsidR="00000000" w:rsidDel="00000000" w:rsidP="00000000" w:rsidRDefault="00000000" w:rsidRPr="00000000" w14:paraId="00000057">
      <w:pPr>
        <w:spacing w:line="360" w:lineRule="auto"/>
        <w:jc w:val="both"/>
        <w:rPr>
          <w:sz w:val="24"/>
          <w:szCs w:val="24"/>
        </w:rPr>
      </w:pPr>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rtl w:val="0"/>
        </w:rPr>
      </w:r>
    </w:p>
    <w:p w:rsidR="00000000" w:rsidDel="00000000" w:rsidP="00000000" w:rsidRDefault="00000000" w:rsidRPr="00000000" w14:paraId="00000059">
      <w:pPr>
        <w:spacing w:line="360" w:lineRule="auto"/>
        <w:jc w:val="both"/>
        <w:rPr>
          <w:sz w:val="24"/>
          <w:szCs w:val="24"/>
        </w:rPr>
      </w:pPr>
      <w:r w:rsidDel="00000000" w:rsidR="00000000" w:rsidRPr="00000000">
        <w:rPr>
          <w:rtl w:val="0"/>
        </w:rPr>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sz w:val="24"/>
          <w:szCs w:val="24"/>
        </w:rPr>
      </w:pPr>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rtl w:val="0"/>
        </w:rPr>
      </w:r>
    </w:p>
    <w:p w:rsidR="00000000" w:rsidDel="00000000" w:rsidP="00000000" w:rsidRDefault="00000000" w:rsidRPr="00000000" w14:paraId="00000062">
      <w:pPr>
        <w:spacing w:line="360" w:lineRule="auto"/>
        <w:jc w:val="both"/>
        <w:rPr>
          <w:sz w:val="24"/>
          <w:szCs w:val="24"/>
        </w:rPr>
      </w:pPr>
      <w:r w:rsidDel="00000000" w:rsidR="00000000" w:rsidRPr="00000000">
        <w:rPr>
          <w:rtl w:val="0"/>
        </w:rPr>
      </w:r>
    </w:p>
    <w:p w:rsidR="00000000" w:rsidDel="00000000" w:rsidP="00000000" w:rsidRDefault="00000000" w:rsidRPr="00000000" w14:paraId="00000063">
      <w:pPr>
        <w:spacing w:line="360" w:lineRule="auto"/>
        <w:jc w:val="both"/>
        <w:rPr>
          <w:sz w:val="24"/>
          <w:szCs w:val="24"/>
        </w:rPr>
      </w:pP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rtl w:val="0"/>
        </w:rPr>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References</w:t>
      </w:r>
    </w:p>
    <w:p w:rsidR="00000000" w:rsidDel="00000000" w:rsidP="00000000" w:rsidRDefault="00000000" w:rsidRPr="00000000" w14:paraId="00000068">
      <w:pPr>
        <w:spacing w:line="360" w:lineRule="auto"/>
        <w:jc w:val="both"/>
        <w:rPr>
          <w:sz w:val="24"/>
          <w:szCs w:val="24"/>
        </w:rPr>
      </w:pPr>
      <w:r w:rsidDel="00000000" w:rsidR="00000000" w:rsidRPr="00000000">
        <w:rPr>
          <w:rtl w:val="0"/>
        </w:rPr>
      </w:r>
    </w:p>
    <w:p w:rsidR="00000000" w:rsidDel="00000000" w:rsidP="00000000" w:rsidRDefault="00000000" w:rsidRPr="00000000" w14:paraId="00000069">
      <w:pPr>
        <w:spacing w:line="360" w:lineRule="auto"/>
        <w:jc w:val="both"/>
        <w:rPr>
          <w:color w:val="333333"/>
          <w:sz w:val="24"/>
          <w:szCs w:val="24"/>
        </w:rPr>
      </w:pPr>
      <w:r w:rsidDel="00000000" w:rsidR="00000000" w:rsidRPr="00000000">
        <w:rPr>
          <w:color w:val="333333"/>
          <w:sz w:val="24"/>
          <w:szCs w:val="24"/>
          <w:rtl w:val="0"/>
        </w:rPr>
        <w:t xml:space="preserve">Anastasiadou, Konstantina, and Nikolaos Gavanas. 2022. “State-of-the-Art Review of the Key Factors Affecting Electric Vehicle Adoption by Consumers.” </w:t>
      </w:r>
      <w:r w:rsidDel="00000000" w:rsidR="00000000" w:rsidRPr="00000000">
        <w:rPr>
          <w:i w:val="1"/>
          <w:iCs w:val="1"/>
          <w:color w:val="333333"/>
          <w:sz w:val="24"/>
          <w:szCs w:val="24"/>
          <w:rtl w:val="0"/>
        </w:rPr>
        <w:t xml:space="preserve">Energies</w:t>
      </w:r>
      <w:r w:rsidDel="00000000" w:rsidR="00000000" w:rsidRPr="00000000">
        <w:rPr>
          <w:color w:val="333333"/>
          <w:sz w:val="24"/>
          <w:szCs w:val="24"/>
          <w:rtl w:val="0"/>
        </w:rPr>
        <w:t xml:space="preserve"> 15 (no. 24): 9409..</w:t>
      </w:r>
    </w:p>
    <w:p w:rsidR="00000000" w:rsidDel="00000000" w:rsidP="00000000" w:rsidRDefault="00000000" w:rsidRPr="00000000" w14:paraId="0000006A">
      <w:pPr>
        <w:spacing w:line="360" w:lineRule="auto"/>
        <w:jc w:val="both"/>
        <w:rPr>
          <w:color w:val="333333"/>
          <w:sz w:val="24"/>
          <w:szCs w:val="24"/>
        </w:rPr>
      </w:pPr>
      <w:r w:rsidDel="00000000" w:rsidR="00000000" w:rsidRPr="00000000">
        <w:rPr>
          <w:rtl w:val="0"/>
        </w:rPr>
      </w:r>
    </w:p>
    <w:p w:rsidR="00000000" w:rsidDel="00000000" w:rsidP="00000000" w:rsidRDefault="00000000" w:rsidRPr="00000000" w14:paraId="0000006B">
      <w:pPr>
        <w:spacing w:line="360" w:lineRule="auto"/>
        <w:jc w:val="both"/>
        <w:rPr>
          <w:color w:val="333333"/>
          <w:sz w:val="24"/>
          <w:szCs w:val="24"/>
        </w:rPr>
      </w:pPr>
      <w:r w:rsidDel="00000000" w:rsidR="00000000" w:rsidRPr="00000000">
        <w:rPr>
          <w:color w:val="333333"/>
          <w:sz w:val="24"/>
          <w:szCs w:val="24"/>
          <w:rtl w:val="0"/>
        </w:rPr>
        <w:t xml:space="preserve">Alali, Layla, Eva Niesten, and Dimitri Gagliardi. 2022. “The Impact of UK Financial Incentives on the Adoption of Electric Fleets: The Moderation Effect of GDP Change.” </w:t>
      </w:r>
      <w:r w:rsidDel="00000000" w:rsidR="00000000" w:rsidRPr="00000000">
        <w:rPr>
          <w:i w:val="1"/>
          <w:iCs w:val="1"/>
          <w:color w:val="333333"/>
          <w:sz w:val="24"/>
          <w:szCs w:val="24"/>
          <w:rtl w:val="0"/>
        </w:rPr>
        <w:t xml:space="preserve">Transportation Research Part A: Policy and Practice</w:t>
      </w:r>
      <w:r w:rsidDel="00000000" w:rsidR="00000000" w:rsidRPr="00000000">
        <w:rPr>
          <w:color w:val="333333"/>
          <w:sz w:val="24"/>
          <w:szCs w:val="24"/>
          <w:rtl w:val="0"/>
        </w:rPr>
        <w:t xml:space="preserve"> 161:200–220. https://doi.org/10.1016/j.tra.2022.04.011.</w:t>
      </w:r>
    </w:p>
    <w:p w:rsidR="00000000" w:rsidDel="00000000" w:rsidP="00000000" w:rsidRDefault="00000000" w:rsidRPr="00000000" w14:paraId="0000006C">
      <w:pPr>
        <w:pStyle w:val="Heading5"/>
        <w:keepNext w:val="0"/>
        <w:keepLines w:val="0"/>
        <w:shd w:fill="ffffff" w:val="clear"/>
        <w:spacing w:after="300" w:before="300" w:line="360" w:lineRule="auto"/>
        <w:jc w:val="both"/>
        <w:rPr/>
      </w:pPr>
      <w:bookmarkStart w:colFirst="0" w:colLast="0" w:name="_ulxtjay73ug" w:id="1"/>
      <w:bookmarkEnd w:id="1"/>
      <w:r w:rsidDel="00000000" w:rsidR="00000000" w:rsidRPr="00000000">
        <w:rPr>
          <w:i w:val="1"/>
          <w:iCs w:val="1"/>
          <w:color w:val="333333"/>
          <w:sz w:val="24"/>
          <w:szCs w:val="24"/>
          <w:rtl w:val="0"/>
        </w:rPr>
        <w:t xml:space="preserve">Aguilar, F. J. (1967). Scanning the Business Environment, New York: Macmillan Company, 1967. Updated October 2023</w:t>
      </w:r>
      <w:r w:rsidDel="00000000" w:rsidR="00000000" w:rsidRPr="00000000">
        <w:rPr>
          <w:rtl w:val="0"/>
        </w:rPr>
      </w:r>
    </w:p>
    <w:p w:rsidR="00000000" w:rsidDel="00000000" w:rsidP="00000000" w:rsidRDefault="00000000" w:rsidRPr="00000000" w14:paraId="0000006D">
      <w:pPr>
        <w:spacing w:line="360" w:lineRule="auto"/>
        <w:jc w:val="both"/>
        <w:rPr>
          <w:sz w:val="24"/>
          <w:szCs w:val="24"/>
        </w:rPr>
      </w:pPr>
      <w:r w:rsidDel="00000000" w:rsidR="00000000" w:rsidRPr="00000000">
        <w:rPr>
          <w:rtl w:val="0"/>
        </w:rPr>
      </w:r>
    </w:p>
    <w:p w:rsidR="00000000" w:rsidDel="00000000" w:rsidP="00000000" w:rsidRDefault="00000000" w:rsidRPr="00000000" w14:paraId="0000006E">
      <w:pPr>
        <w:spacing w:line="360" w:lineRule="auto"/>
        <w:jc w:val="both"/>
        <w:rPr>
          <w:sz w:val="24"/>
          <w:szCs w:val="24"/>
        </w:rPr>
      </w:pPr>
      <w:r w:rsidDel="00000000" w:rsidR="00000000" w:rsidRPr="00000000">
        <w:rPr>
          <w:sz w:val="24"/>
          <w:szCs w:val="24"/>
          <w:rtl w:val="0"/>
        </w:rPr>
        <w:t xml:space="preserve">Barnes, J., Anable, J, Davoudi, S., Dixon, J., Hawker, G. and Killip, G. (2024). EV charging and its implications across transport, power, buildings and planning, UK Energy Research Centre. This comprehensive source demonstrates the importance of understanding infrastructure and policy, helping the audience recognise the value of these insights.</w:t>
      </w:r>
    </w:p>
    <w:p w:rsidR="00000000" w:rsidDel="00000000" w:rsidP="00000000" w:rsidRDefault="00000000" w:rsidRPr="00000000" w14:paraId="0000006F">
      <w:pPr>
        <w:spacing w:line="360" w:lineRule="auto"/>
        <w:jc w:val="both"/>
        <w:rPr>
          <w:sz w:val="24"/>
          <w:szCs w:val="24"/>
        </w:rPr>
      </w:pPr>
      <w:r w:rsidDel="00000000" w:rsidR="00000000" w:rsidRPr="00000000">
        <w:rPr>
          <w:rtl w:val="0"/>
        </w:rPr>
      </w:r>
    </w:p>
    <w:p w:rsidR="00000000" w:rsidDel="00000000" w:rsidP="00000000" w:rsidRDefault="00000000" w:rsidRPr="00000000" w14:paraId="00000070">
      <w:pPr>
        <w:spacing w:line="360" w:lineRule="auto"/>
        <w:jc w:val="both"/>
        <w:rPr>
          <w:sz w:val="24"/>
          <w:szCs w:val="24"/>
        </w:rPr>
      </w:pPr>
      <w:r w:rsidDel="00000000" w:rsidR="00000000" w:rsidRPr="00000000">
        <w:rPr>
          <w:sz w:val="24"/>
          <w:szCs w:val="24"/>
          <w:rtl w:val="0"/>
        </w:rPr>
        <w:t xml:space="preserve">CCC, (2024). Progress in reducing emissions: 2024 Report to Parliament. Committee on Climate Change. Access here. This report underscores the critical progress and challenges, encouraging the audience to see their role in environmental policy development. </w:t>
      </w:r>
    </w:p>
    <w:p w:rsidR="00000000" w:rsidDel="00000000" w:rsidP="00000000" w:rsidRDefault="00000000" w:rsidRPr="00000000" w14:paraId="00000071">
      <w:pPr>
        <w:spacing w:line="360" w:lineRule="auto"/>
        <w:jc w:val="both"/>
        <w:rPr>
          <w:sz w:val="24"/>
          <w:szCs w:val="24"/>
        </w:rPr>
      </w:pPr>
      <w:r w:rsidDel="00000000" w:rsidR="00000000" w:rsidRPr="00000000">
        <w:rPr>
          <w:rtl w:val="0"/>
        </w:rPr>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Harrison, D. and Ludwig, C. (2021). Electric Vehicle Battery Supply Chain Analysis—How Battery Demand and Production Are Reshaping the Automotive Industry. Automotive from Ultima Media. </w:t>
      </w:r>
    </w:p>
    <w:p w:rsidR="00000000" w:rsidDel="00000000" w:rsidP="00000000" w:rsidRDefault="00000000" w:rsidRPr="00000000" w14:paraId="00000073">
      <w:pPr>
        <w:spacing w:line="360" w:lineRule="auto"/>
        <w:jc w:val="both"/>
        <w:rPr>
          <w:sz w:val="24"/>
          <w:szCs w:val="24"/>
        </w:rPr>
      </w:pPr>
      <w:r w:rsidDel="00000000" w:rsidR="00000000" w:rsidRPr="00000000">
        <w:rPr>
          <w:rtl w:val="0"/>
        </w:rPr>
      </w:r>
    </w:p>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Henig, D.,( 2023), Perspectives: How precedent and politics are stalling the UK trade policy agenda, Borderlex, 15/11/2023</w:t>
      </w:r>
    </w:p>
    <w:p w:rsidR="00000000" w:rsidDel="00000000" w:rsidP="00000000" w:rsidRDefault="00000000" w:rsidRPr="00000000" w14:paraId="00000075">
      <w:pPr>
        <w:pBdr>
          <w:top w:color="auto" w:space="2" w:sz="0" w:val="none"/>
          <w:bottom w:color="auto" w:space="2" w:sz="0" w:val="none"/>
          <w:right w:color="auto" w:space="0" w:sz="0" w:val="none"/>
          <w:between w:color="auto" w:space="2" w:sz="0" w:val="none"/>
        </w:pBdr>
        <w:shd w:fill="ffffff" w:val="clear"/>
        <w:spacing w:line="360" w:lineRule="auto"/>
        <w:rPr>
          <w:color w:val="222222"/>
          <w:sz w:val="20"/>
          <w:szCs w:val="20"/>
        </w:rPr>
      </w:pPr>
      <w:r w:rsidDel="00000000" w:rsidR="00000000" w:rsidRPr="00000000">
        <w:rPr>
          <w:color w:val="222222"/>
          <w:sz w:val="20"/>
          <w:szCs w:val="20"/>
          <w:rtl w:val="0"/>
        </w:rPr>
        <w:t xml:space="preserve"> </w:t>
      </w:r>
    </w:p>
    <w:p w:rsidR="00000000" w:rsidDel="00000000" w:rsidP="00000000" w:rsidRDefault="00000000" w:rsidRPr="00000000" w14:paraId="00000076">
      <w:pPr>
        <w:spacing w:line="360" w:lineRule="auto"/>
        <w:jc w:val="both"/>
        <w:rPr>
          <w:sz w:val="24"/>
          <w:szCs w:val="24"/>
        </w:rPr>
      </w:pPr>
      <w:r w:rsidDel="00000000" w:rsidR="00000000" w:rsidRPr="00000000">
        <w:rPr>
          <w:sz w:val="24"/>
          <w:szCs w:val="24"/>
          <w:rtl w:val="0"/>
        </w:rPr>
        <w:t xml:space="preserve">Infrastructure for charging electric vehicles: Approved Document S. 2023.</w:t>
      </w:r>
    </w:p>
    <w:p w:rsidR="00000000" w:rsidDel="00000000" w:rsidP="00000000" w:rsidRDefault="00000000" w:rsidRPr="00000000" w14:paraId="00000077">
      <w:pPr>
        <w:spacing w:line="360" w:lineRule="auto"/>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color w:val="707070"/>
          <w:sz w:val="24"/>
          <w:szCs w:val="24"/>
        </w:rPr>
      </w:pPr>
      <w:r w:rsidDel="00000000" w:rsidR="00000000" w:rsidRPr="00000000">
        <w:rPr>
          <w:color w:val="1f1f1f"/>
          <w:sz w:val="24"/>
          <w:szCs w:val="24"/>
          <w:rtl w:val="0"/>
        </w:rPr>
        <w:t xml:space="preserve">HM Government (2021). </w:t>
      </w:r>
      <w:r w:rsidDel="00000000" w:rsidR="00000000" w:rsidRPr="00000000">
        <w:rPr>
          <w:i w:val="1"/>
          <w:iCs w:val="1"/>
          <w:color w:val="1f1f1f"/>
          <w:sz w:val="24"/>
          <w:szCs w:val="24"/>
          <w:rtl w:val="0"/>
        </w:rPr>
        <w:t xml:space="preserve">Net zero strategy: Build back greener</w:t>
      </w:r>
      <w:r w:rsidDel="00000000" w:rsidR="00000000" w:rsidRPr="00000000">
        <w:rPr>
          <w:color w:val="1f1f1f"/>
          <w:sz w:val="24"/>
          <w:szCs w:val="24"/>
          <w:rtl w:val="0"/>
        </w:rPr>
        <w:t xml:space="preserve"> Report</w:t>
      </w:r>
      <w:r w:rsidDel="00000000" w:rsidR="00000000" w:rsidRPr="00000000">
        <w:rPr>
          <w:rFonts w:ascii="Georgia" w:cs="Georgia" w:eastAsia="Georgia" w:hAnsi="Georgia"/>
          <w:color w:val="1f1f1f"/>
          <w:sz w:val="24"/>
          <w:szCs w:val="24"/>
          <w:rtl w:val="0"/>
        </w:rPr>
        <w:t xml:space="preserve">, </w:t>
      </w:r>
      <w:r w:rsidDel="00000000" w:rsidR="00000000" w:rsidRPr="00000000">
        <w:rPr>
          <w:color w:val="707070"/>
          <w:sz w:val="24"/>
          <w:szCs w:val="24"/>
          <w:rtl w:val="0"/>
        </w:rPr>
        <w:t xml:space="preserve">UK Government, London, UK (2021)</w:t>
      </w:r>
    </w:p>
    <w:p w:rsidR="00000000" w:rsidDel="00000000" w:rsidP="00000000" w:rsidRDefault="00000000" w:rsidRPr="00000000" w14:paraId="00000079">
      <w:pPr>
        <w:spacing w:line="360" w:lineRule="auto"/>
        <w:jc w:val="both"/>
        <w:rPr>
          <w:sz w:val="24"/>
          <w:szCs w:val="24"/>
        </w:rPr>
      </w:pPr>
      <w:r w:rsidDel="00000000" w:rsidR="00000000" w:rsidRPr="00000000">
        <w:rPr>
          <w:rtl w:val="0"/>
        </w:rPr>
      </w:r>
    </w:p>
    <w:p w:rsidR="00000000" w:rsidDel="00000000" w:rsidP="00000000" w:rsidRDefault="00000000" w:rsidRPr="00000000" w14:paraId="0000007A">
      <w:pPr>
        <w:spacing w:line="360" w:lineRule="auto"/>
        <w:jc w:val="both"/>
        <w:rPr>
          <w:sz w:val="24"/>
          <w:szCs w:val="24"/>
        </w:rPr>
      </w:pPr>
      <w:r w:rsidDel="00000000" w:rsidR="00000000" w:rsidRPr="00000000">
        <w:rPr>
          <w:sz w:val="24"/>
          <w:szCs w:val="24"/>
          <w:rtl w:val="0"/>
        </w:rPr>
        <w:t xml:space="preserve">HM Government, 2024. Pathway for the transition to zero-emission vehicles by 2035 becomes law. This legislation highlights the ongoing commitment, reinforcing the audience's sense of contributing to impactful policy change. </w:t>
      </w:r>
    </w:p>
    <w:p w:rsidR="00000000" w:rsidDel="00000000" w:rsidP="00000000" w:rsidRDefault="00000000" w:rsidRPr="00000000" w14:paraId="0000007B">
      <w:pPr>
        <w:spacing w:line="360" w:lineRule="auto"/>
        <w:jc w:val="both"/>
        <w:rPr>
          <w:sz w:val="24"/>
          <w:szCs w:val="24"/>
        </w:rPr>
      </w:pPr>
      <w:r w:rsidDel="00000000" w:rsidR="00000000" w:rsidRPr="00000000">
        <w:rPr>
          <w:rtl w:val="0"/>
        </w:rPr>
      </w:r>
    </w:p>
    <w:p w:rsidR="00000000" w:rsidDel="00000000" w:rsidP="00000000" w:rsidRDefault="00000000" w:rsidRPr="00000000" w14:paraId="0000007C">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color w:val="222222"/>
          <w:sz w:val="24"/>
          <w:szCs w:val="24"/>
          <w:rtl w:val="0"/>
        </w:rPr>
        <w:t xml:space="preserve">UNEP. Emissions Gap Report 2019 Executive Summary. 2019. Available online: </w:t>
      </w:r>
      <w:hyperlink r:id="rId9">
        <w:r w:rsidDel="00000000" w:rsidR="00000000" w:rsidRPr="00000000">
          <w:rPr>
            <w:b w:val="1"/>
            <w:bCs w:val="1"/>
            <w:color w:val="4f5671"/>
            <w:sz w:val="24"/>
            <w:szCs w:val="24"/>
            <w:rtl w:val="0"/>
          </w:rPr>
          <w:t xml:space="preserve">https://www.unep.org/emissions-gap-report-2020</w:t>
        </w:r>
      </w:hyperlink>
      <w:r w:rsidDel="00000000" w:rsidR="00000000" w:rsidRPr="00000000">
        <w:rPr>
          <w:color w:val="222222"/>
          <w:sz w:val="24"/>
          <w:szCs w:val="24"/>
          <w:rtl w:val="0"/>
        </w:rPr>
        <w:t xml:space="preserve"> (accessed on 14 July 2021).</w:t>
      </w:r>
    </w:p>
    <w:p w:rsidR="00000000" w:rsidDel="00000000" w:rsidP="00000000" w:rsidRDefault="00000000" w:rsidRPr="00000000" w14:paraId="0000007D">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rtl w:val="0"/>
        </w:rPr>
      </w:r>
    </w:p>
    <w:p w:rsidR="00000000" w:rsidDel="00000000" w:rsidP="00000000" w:rsidRDefault="00000000" w:rsidRPr="00000000" w14:paraId="0000007E">
      <w:pPr>
        <w:pBdr>
          <w:top w:color="auto" w:space="2" w:sz="0" w:val="none"/>
          <w:bottom w:color="auto" w:space="2" w:sz="0" w:val="none"/>
          <w:right w:color="auto" w:space="0" w:sz="0" w:val="none"/>
          <w:between w:color="auto" w:space="2" w:sz="0" w:val="none"/>
        </w:pBdr>
        <w:shd w:fill="ffffff" w:val="clear"/>
        <w:spacing w:line="360" w:lineRule="auto"/>
        <w:rPr>
          <w:color w:val="222222"/>
          <w:sz w:val="24"/>
          <w:szCs w:val="24"/>
        </w:rPr>
      </w:pPr>
      <w:r w:rsidDel="00000000" w:rsidR="00000000" w:rsidRPr="00000000">
        <w:rPr>
          <w:color w:val="222222"/>
          <w:sz w:val="24"/>
          <w:szCs w:val="24"/>
          <w:rtl w:val="0"/>
        </w:rPr>
        <w:t xml:space="preserve">UK Department for Transport. </w:t>
      </w:r>
      <w:r w:rsidDel="00000000" w:rsidR="00000000" w:rsidRPr="00000000">
        <w:rPr>
          <w:i w:val="1"/>
          <w:iCs w:val="1"/>
          <w:color w:val="222222"/>
          <w:sz w:val="24"/>
          <w:szCs w:val="24"/>
          <w:rtl w:val="0"/>
        </w:rPr>
        <w:t xml:space="preserve">National Travel Survey</w:t>
      </w:r>
      <w:r w:rsidDel="00000000" w:rsidR="00000000" w:rsidRPr="00000000">
        <w:rPr>
          <w:color w:val="222222"/>
          <w:sz w:val="24"/>
          <w:szCs w:val="24"/>
          <w:rtl w:val="0"/>
        </w:rPr>
        <w:t xml:space="preserve">; UK Department for Transport: London, UK, 2020.</w:t>
      </w:r>
    </w:p>
    <w:p w:rsidR="00000000" w:rsidDel="00000000" w:rsidP="00000000" w:rsidRDefault="00000000" w:rsidRPr="00000000" w14:paraId="0000007F">
      <w:pPr>
        <w:pBdr>
          <w:top w:color="auto" w:space="2" w:sz="0" w:val="none"/>
          <w:bottom w:color="auto" w:space="2" w:sz="0" w:val="none"/>
          <w:right w:color="auto" w:space="0" w:sz="0" w:val="none"/>
          <w:between w:color="auto" w:space="2" w:sz="0" w:val="none"/>
        </w:pBdr>
        <w:shd w:fill="ffffff" w:val="clear"/>
        <w:spacing w:line="360" w:lineRule="auto"/>
        <w:ind w:left="0" w:firstLine="0"/>
        <w:rPr>
          <w:color w:val="222222"/>
          <w:sz w:val="24"/>
          <w:szCs w:val="24"/>
        </w:rPr>
      </w:pPr>
      <w:r w:rsidDel="00000000" w:rsidR="00000000" w:rsidRPr="00000000">
        <w:rPr>
          <w:rtl w:val="0"/>
        </w:rPr>
      </w:r>
    </w:p>
    <w:p w:rsidR="00000000" w:rsidDel="00000000" w:rsidP="00000000" w:rsidRDefault="00000000" w:rsidRPr="00000000" w14:paraId="00000080">
      <w:pPr>
        <w:pBdr>
          <w:top w:color="auto" w:space="2" w:sz="0" w:val="none"/>
          <w:bottom w:color="auto" w:space="2" w:sz="0" w:val="none"/>
          <w:right w:color="auto" w:space="0" w:sz="0" w:val="none"/>
          <w:between w:color="auto" w:space="2" w:sz="0" w:val="none"/>
        </w:pBdr>
        <w:shd w:fill="ffffff" w:val="clear"/>
        <w:spacing w:line="360" w:lineRule="auto"/>
        <w:rPr>
          <w:sz w:val="24"/>
          <w:szCs w:val="24"/>
        </w:rPr>
      </w:pPr>
      <w:r w:rsidDel="00000000" w:rsidR="00000000" w:rsidRPr="00000000">
        <w:rPr>
          <w:color w:val="222222"/>
          <w:sz w:val="24"/>
          <w:szCs w:val="24"/>
          <w:rtl w:val="0"/>
        </w:rPr>
        <w:t xml:space="preserve">UK Department for Transport, Office for Zero Emission Vehicles. </w:t>
      </w:r>
      <w:r w:rsidDel="00000000" w:rsidR="00000000" w:rsidRPr="00000000">
        <w:rPr>
          <w:i w:val="1"/>
          <w:iCs w:val="1"/>
          <w:color w:val="222222"/>
          <w:sz w:val="24"/>
          <w:szCs w:val="24"/>
          <w:rtl w:val="0"/>
        </w:rPr>
        <w:t xml:space="preserve">The Consumer Experience at Public Charge Points</w:t>
      </w:r>
      <w:r w:rsidDel="00000000" w:rsidR="00000000" w:rsidRPr="00000000">
        <w:rPr>
          <w:color w:val="222222"/>
          <w:sz w:val="24"/>
          <w:szCs w:val="24"/>
          <w:rtl w:val="0"/>
        </w:rPr>
        <w:t xml:space="preserve">; Consultation Paper; UK Department for Transport, Office for Zero Emission Vehicles: London, UK, 2021.</w:t>
      </w:r>
      <w:r w:rsidDel="00000000" w:rsidR="00000000" w:rsidRPr="00000000">
        <w:rPr>
          <w:rtl w:val="0"/>
        </w:rPr>
      </w:r>
    </w:p>
    <w:p w:rsidR="00000000" w:rsidDel="00000000" w:rsidP="00000000" w:rsidRDefault="00000000" w:rsidRPr="00000000" w14:paraId="00000081">
      <w:pPr>
        <w:pStyle w:val="Heading1"/>
        <w:keepNext w:val="0"/>
        <w:keepLines w:val="0"/>
        <w:pBdr>
          <w:top w:color="auto" w:space="0" w:sz="0" w:val="none"/>
          <w:left w:color="auto" w:space="0" w:sz="0" w:val="none"/>
          <w:bottom w:color="auto" w:space="0" w:sz="0" w:val="none"/>
          <w:right w:color="auto" w:space="0" w:sz="0" w:val="none"/>
          <w:between w:color="auto" w:space="0" w:sz="0" w:val="none"/>
        </w:pBdr>
        <w:spacing w:after="240" w:before="240" w:line="315" w:lineRule="auto"/>
        <w:jc w:val="both"/>
        <w:rPr>
          <w:color w:val="1f1f1f"/>
          <w:sz w:val="24"/>
          <w:szCs w:val="24"/>
        </w:rPr>
      </w:pPr>
      <w:bookmarkStart w:colFirst="0" w:colLast="0" w:name="_p8vfuugr1o8n" w:id="2"/>
      <w:bookmarkEnd w:id="2"/>
      <w:r w:rsidDel="00000000" w:rsidR="00000000" w:rsidRPr="00000000">
        <w:rPr>
          <w:i w:val="1"/>
          <w:iCs w:val="1"/>
          <w:color w:val="222222"/>
          <w:sz w:val="24"/>
          <w:szCs w:val="24"/>
          <w:highlight w:val="white"/>
          <w:rtl w:val="0"/>
        </w:rPr>
        <w:t xml:space="preserve">Veh. J.</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 (</w:t>
      </w:r>
      <w:r w:rsidDel="00000000" w:rsidR="00000000" w:rsidRPr="00000000">
        <w:rPr>
          <w:b w:val="1"/>
          <w:bCs w:val="1"/>
          <w:color w:val="222222"/>
          <w:sz w:val="24"/>
          <w:szCs w:val="24"/>
          <w:highlight w:val="white"/>
          <w:rtl w:val="0"/>
        </w:rPr>
        <w:t xml:space="preserve">2022</w:t>
      </w:r>
      <w:r w:rsidDel="00000000" w:rsidR="00000000" w:rsidRPr="00000000">
        <w:rPr>
          <w:color w:val="222222"/>
          <w:sz w:val="24"/>
          <w:szCs w:val="24"/>
          <w:highlight w:val="white"/>
          <w:rtl w:val="0"/>
        </w:rPr>
        <w:t xml:space="preserve">).</w:t>
      </w:r>
      <w:r w:rsidDel="00000000" w:rsidR="00000000" w:rsidRPr="00000000">
        <w:rPr>
          <w:color w:val="1f1f1f"/>
          <w:sz w:val="24"/>
          <w:szCs w:val="24"/>
          <w:rtl w:val="0"/>
        </w:rPr>
        <w:t xml:space="preserve">Lifecycle assessment and environmental impacts of hybrid electric vehicles fuelled by bioethanol and biogas.</w:t>
      </w:r>
    </w:p>
    <w:p w:rsidR="00000000" w:rsidDel="00000000" w:rsidP="00000000" w:rsidRDefault="00000000" w:rsidRPr="00000000" w14:paraId="00000082">
      <w:pPr>
        <w:spacing w:line="360" w:lineRule="auto"/>
        <w:jc w:val="both"/>
        <w:rPr>
          <w:sz w:val="24"/>
          <w:szCs w:val="24"/>
        </w:rPr>
      </w:pPr>
      <w:r w:rsidDel="00000000" w:rsidR="00000000" w:rsidRPr="00000000">
        <w:rPr>
          <w:rtl w:val="0"/>
        </w:rPr>
      </w:r>
    </w:p>
    <w:p w:rsidR="00000000" w:rsidDel="00000000" w:rsidP="00000000" w:rsidRDefault="00000000" w:rsidRPr="00000000" w14:paraId="00000083">
      <w:pPr>
        <w:spacing w:line="360" w:lineRule="auto"/>
        <w:jc w:val="both"/>
        <w:rPr>
          <w:sz w:val="24"/>
          <w:szCs w:val="24"/>
        </w:rPr>
      </w:pPr>
      <w:r w:rsidDel="00000000" w:rsidR="00000000" w:rsidRPr="00000000">
        <w:rPr>
          <w:rtl w:val="0"/>
        </w:rPr>
      </w:r>
    </w:p>
    <w:p w:rsidR="00000000" w:rsidDel="00000000" w:rsidP="00000000" w:rsidRDefault="00000000" w:rsidRPr="00000000" w14:paraId="00000084">
      <w:pPr>
        <w:spacing w:line="360" w:lineRule="auto"/>
        <w:jc w:val="both"/>
        <w:rPr>
          <w:sz w:val="24"/>
          <w:szCs w:val="24"/>
        </w:rPr>
      </w:pPr>
      <w:r w:rsidDel="00000000" w:rsidR="00000000" w:rsidRPr="00000000">
        <w:rPr>
          <w:rtl w:val="0"/>
        </w:rPr>
      </w:r>
    </w:p>
    <w:p w:rsidR="00000000" w:rsidDel="00000000" w:rsidP="00000000" w:rsidRDefault="00000000" w:rsidRPr="00000000" w14:paraId="00000085">
      <w:pPr>
        <w:spacing w:line="360" w:lineRule="auto"/>
        <w:jc w:val="both"/>
        <w:rPr>
          <w:sz w:val="24"/>
          <w:szCs w:val="24"/>
        </w:rPr>
      </w:pPr>
      <w:r w:rsidDel="00000000" w:rsidR="00000000" w:rsidRPr="00000000">
        <w:rPr>
          <w:rtl w:val="0"/>
        </w:rPr>
      </w:r>
    </w:p>
    <w:p w:rsidR="00000000" w:rsidDel="00000000" w:rsidP="00000000" w:rsidRDefault="00000000" w:rsidRPr="00000000" w14:paraId="00000086">
      <w:pPr>
        <w:spacing w:line="360" w:lineRule="auto"/>
        <w:jc w:val="both"/>
        <w:rPr>
          <w:sz w:val="24"/>
          <w:szCs w:val="24"/>
        </w:rPr>
      </w:pPr>
      <w:r w:rsidDel="00000000" w:rsidR="00000000" w:rsidRPr="00000000">
        <w:rPr>
          <w:rtl w:val="0"/>
        </w:rPr>
      </w:r>
    </w:p>
    <w:p w:rsidR="00000000" w:rsidDel="00000000" w:rsidP="00000000" w:rsidRDefault="00000000" w:rsidRPr="00000000" w14:paraId="00000087">
      <w:pPr>
        <w:pBdr>
          <w:top w:color="455f7c" w:space="0" w:sz="0" w:val="none"/>
          <w:left w:color="455f7c" w:space="0" w:sz="0" w:val="none"/>
          <w:bottom w:color="455f7c" w:space="0" w:sz="0" w:val="none"/>
          <w:right w:color="455f7c" w:space="0" w:sz="0" w:val="none"/>
          <w:between w:color="455f7c" w:space="0" w:sz="0" w:val="none"/>
        </w:pBdr>
        <w:spacing w:line="360" w:lineRule="auto"/>
        <w:jc w:val="both"/>
        <w:rPr>
          <w:color w:val="0b0c0c"/>
          <w:sz w:val="24"/>
          <w:szCs w:val="24"/>
          <w:highlight w:val="white"/>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nep.org/emissions-gap-report-2020"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gridserve.com/how-government-incentives-shape-ev-adoption-worldwide/" TargetMode="External"/><Relationship Id="rId8" Type="http://schemas.openxmlformats.org/officeDocument/2006/relationships/hyperlink" Target="https://www.gridserve.com/how-government-incentives-shape-ev-adoption-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