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9F6EB2" w:rsidRDefault="009F6EB2">
      <w:pPr>
        <w:spacing w:before="120" w:after="120" w:line="360" w:lineRule="auto"/>
        <w:jc w:val="center"/>
        <w:rPr>
          <w:rFonts w:ascii="Times New Roman" w:eastAsia="Times New Roman" w:hAnsi="Times New Roman" w:cs="Times New Roman"/>
          <w:b/>
          <w:sz w:val="32"/>
          <w:szCs w:val="32"/>
        </w:rPr>
      </w:pPr>
    </w:p>
    <w:p w14:paraId="132148EC" w14:textId="77777777" w:rsidR="008714E2" w:rsidRDefault="008714E2" w:rsidP="008714E2">
      <w:pPr>
        <w:spacing w:before="120" w:after="120" w:line="360" w:lineRule="auto"/>
        <w:jc w:val="center"/>
        <w:rPr>
          <w:rFonts w:eastAsia="Times New Roman"/>
          <w:bCs/>
          <w:sz w:val="36"/>
          <w:szCs w:val="36"/>
        </w:rPr>
      </w:pPr>
    </w:p>
    <w:p w14:paraId="713D318A" w14:textId="77777777" w:rsidR="008714E2" w:rsidRDefault="008714E2" w:rsidP="008714E2">
      <w:pPr>
        <w:spacing w:before="120" w:after="120" w:line="360" w:lineRule="auto"/>
        <w:jc w:val="center"/>
        <w:rPr>
          <w:rFonts w:eastAsia="Times New Roman"/>
          <w:bCs/>
          <w:sz w:val="36"/>
          <w:szCs w:val="36"/>
        </w:rPr>
      </w:pPr>
    </w:p>
    <w:p w14:paraId="1159C13F" w14:textId="7EF75322" w:rsidR="008714E2" w:rsidRPr="008714E2" w:rsidRDefault="008714E2" w:rsidP="008714E2">
      <w:pPr>
        <w:spacing w:before="120" w:after="120" w:line="360" w:lineRule="auto"/>
        <w:jc w:val="center"/>
        <w:rPr>
          <w:rFonts w:eastAsia="Times New Roman"/>
          <w:bCs/>
          <w:sz w:val="36"/>
          <w:szCs w:val="36"/>
        </w:rPr>
      </w:pPr>
      <w:r w:rsidRPr="008714E2">
        <w:rPr>
          <w:rFonts w:eastAsia="Times New Roman"/>
          <w:bCs/>
          <w:sz w:val="36"/>
          <w:szCs w:val="36"/>
        </w:rPr>
        <w:t>Elena</w:t>
      </w:r>
      <w:r w:rsidRPr="008714E2">
        <w:rPr>
          <w:rFonts w:eastAsia="Times New Roman"/>
          <w:bCs/>
          <w:sz w:val="36"/>
          <w:szCs w:val="36"/>
        </w:rPr>
        <w:t xml:space="preserve"> Ene</w:t>
      </w:r>
    </w:p>
    <w:p w14:paraId="3B5744E2" w14:textId="49F63603" w:rsidR="008714E2" w:rsidRPr="008714E2" w:rsidRDefault="008714E2" w:rsidP="008714E2">
      <w:pPr>
        <w:spacing w:before="120" w:after="120" w:line="360" w:lineRule="auto"/>
        <w:jc w:val="center"/>
        <w:rPr>
          <w:rFonts w:eastAsia="Times New Roman"/>
          <w:bCs/>
          <w:sz w:val="36"/>
          <w:szCs w:val="36"/>
        </w:rPr>
      </w:pPr>
      <w:r w:rsidRPr="008714E2">
        <w:rPr>
          <w:rFonts w:eastAsia="Times New Roman"/>
          <w:bCs/>
          <w:sz w:val="36"/>
          <w:szCs w:val="36"/>
        </w:rPr>
        <w:t>Student ID: 231012</w:t>
      </w:r>
      <w:r w:rsidRPr="008714E2">
        <w:rPr>
          <w:rFonts w:eastAsia="Times New Roman"/>
          <w:bCs/>
          <w:sz w:val="36"/>
          <w:szCs w:val="36"/>
        </w:rPr>
        <w:t>1</w:t>
      </w:r>
    </w:p>
    <w:p w14:paraId="1DFA7862" w14:textId="77777777" w:rsidR="008714E2" w:rsidRPr="008714E2" w:rsidRDefault="008714E2" w:rsidP="008714E2">
      <w:pPr>
        <w:spacing w:before="120" w:after="120" w:line="360" w:lineRule="auto"/>
        <w:jc w:val="center"/>
        <w:rPr>
          <w:rFonts w:eastAsia="Times New Roman"/>
          <w:bCs/>
          <w:sz w:val="36"/>
          <w:szCs w:val="36"/>
        </w:rPr>
      </w:pPr>
      <w:r w:rsidRPr="008714E2">
        <w:rPr>
          <w:rFonts w:eastAsia="Times New Roman"/>
          <w:bCs/>
          <w:sz w:val="36"/>
          <w:szCs w:val="36"/>
        </w:rPr>
        <w:t>Module: LCBB5015 PRINCIPLES OF MARKETING</w:t>
      </w:r>
    </w:p>
    <w:p w14:paraId="2CE8F8C2" w14:textId="77777777" w:rsidR="008714E2" w:rsidRPr="008714E2" w:rsidRDefault="008714E2" w:rsidP="008714E2">
      <w:pPr>
        <w:spacing w:before="120" w:after="120" w:line="360" w:lineRule="auto"/>
        <w:jc w:val="center"/>
        <w:rPr>
          <w:rFonts w:eastAsia="Times New Roman"/>
          <w:bCs/>
          <w:sz w:val="36"/>
          <w:szCs w:val="36"/>
        </w:rPr>
      </w:pPr>
      <w:r w:rsidRPr="008714E2">
        <w:rPr>
          <w:rFonts w:eastAsia="Times New Roman"/>
          <w:bCs/>
          <w:sz w:val="36"/>
          <w:szCs w:val="36"/>
        </w:rPr>
        <w:t xml:space="preserve">Lecturer: MD </w:t>
      </w:r>
      <w:proofErr w:type="spellStart"/>
      <w:r w:rsidRPr="008714E2">
        <w:rPr>
          <w:rFonts w:eastAsia="Times New Roman"/>
          <w:bCs/>
          <w:sz w:val="36"/>
          <w:szCs w:val="36"/>
        </w:rPr>
        <w:t>Ashikul</w:t>
      </w:r>
      <w:proofErr w:type="spellEnd"/>
      <w:r w:rsidRPr="008714E2">
        <w:rPr>
          <w:rFonts w:eastAsia="Times New Roman"/>
          <w:bCs/>
          <w:sz w:val="36"/>
          <w:szCs w:val="36"/>
        </w:rPr>
        <w:t xml:space="preserve"> Khan</w:t>
      </w:r>
    </w:p>
    <w:p w14:paraId="009BE3F3" w14:textId="77777777" w:rsidR="008714E2" w:rsidRPr="008714E2" w:rsidRDefault="008714E2" w:rsidP="008714E2">
      <w:pPr>
        <w:spacing w:before="120" w:after="120" w:line="360" w:lineRule="auto"/>
        <w:jc w:val="center"/>
        <w:rPr>
          <w:rFonts w:eastAsia="Times New Roman"/>
          <w:bCs/>
          <w:sz w:val="36"/>
          <w:szCs w:val="36"/>
        </w:rPr>
      </w:pPr>
      <w:r w:rsidRPr="008714E2">
        <w:rPr>
          <w:rFonts w:eastAsia="Times New Roman"/>
          <w:bCs/>
          <w:sz w:val="36"/>
          <w:szCs w:val="36"/>
        </w:rPr>
        <w:t>Assignment title: Coursework individual report</w:t>
      </w:r>
    </w:p>
    <w:p w14:paraId="1B17D4E9" w14:textId="1A59EFE4" w:rsidR="008714E2" w:rsidRPr="008714E2" w:rsidRDefault="008714E2" w:rsidP="008714E2">
      <w:pPr>
        <w:spacing w:before="120" w:after="120" w:line="360" w:lineRule="auto"/>
        <w:jc w:val="center"/>
        <w:rPr>
          <w:rFonts w:eastAsia="Times New Roman"/>
          <w:bCs/>
          <w:iCs/>
          <w:sz w:val="36"/>
          <w:szCs w:val="36"/>
        </w:rPr>
      </w:pPr>
      <w:r w:rsidRPr="008714E2">
        <w:rPr>
          <w:rFonts w:eastAsia="Times New Roman"/>
          <w:bCs/>
          <w:iCs/>
          <w:sz w:val="36"/>
          <w:szCs w:val="36"/>
        </w:rPr>
        <w:t>(</w:t>
      </w:r>
      <w:r w:rsidRPr="008714E2">
        <w:rPr>
          <w:rFonts w:eastAsia="Times New Roman"/>
          <w:bCs/>
          <w:iCs/>
          <w:sz w:val="36"/>
          <w:szCs w:val="36"/>
        </w:rPr>
        <w:t>Burberry Group Plc</w:t>
      </w:r>
      <w:r w:rsidRPr="008714E2">
        <w:rPr>
          <w:rFonts w:eastAsia="Times New Roman"/>
          <w:bCs/>
          <w:iCs/>
          <w:sz w:val="36"/>
          <w:szCs w:val="36"/>
        </w:rPr>
        <w:t xml:space="preserve">- </w:t>
      </w:r>
      <w:r>
        <w:rPr>
          <w:rFonts w:eastAsia="Times New Roman"/>
          <w:bCs/>
          <w:iCs/>
          <w:sz w:val="36"/>
          <w:szCs w:val="36"/>
        </w:rPr>
        <w:t>P</w:t>
      </w:r>
      <w:r w:rsidRPr="008714E2">
        <w:rPr>
          <w:rFonts w:eastAsia="Times New Roman"/>
          <w:bCs/>
          <w:iCs/>
          <w:sz w:val="36"/>
          <w:szCs w:val="36"/>
        </w:rPr>
        <w:t>orter’s five forces)</w:t>
      </w:r>
    </w:p>
    <w:p w14:paraId="09F46437" w14:textId="77777777" w:rsidR="008714E2" w:rsidRPr="008714E2" w:rsidRDefault="008714E2" w:rsidP="008714E2">
      <w:pPr>
        <w:spacing w:before="120" w:after="120" w:line="360" w:lineRule="auto"/>
        <w:jc w:val="center"/>
        <w:rPr>
          <w:rFonts w:ascii="Times New Roman" w:eastAsia="Times New Roman" w:hAnsi="Times New Roman" w:cs="Times New Roman"/>
          <w:b/>
          <w:sz w:val="32"/>
          <w:szCs w:val="32"/>
        </w:rPr>
      </w:pPr>
    </w:p>
    <w:p w14:paraId="00000002" w14:textId="77777777" w:rsidR="009F6EB2" w:rsidRDefault="009F6EB2">
      <w:pPr>
        <w:spacing w:before="120" w:after="120" w:line="360" w:lineRule="auto"/>
        <w:jc w:val="center"/>
        <w:rPr>
          <w:rFonts w:ascii="Times New Roman" w:eastAsia="Times New Roman" w:hAnsi="Times New Roman" w:cs="Times New Roman"/>
          <w:b/>
          <w:sz w:val="32"/>
          <w:szCs w:val="32"/>
        </w:rPr>
      </w:pPr>
    </w:p>
    <w:p w14:paraId="00000003" w14:textId="77777777" w:rsidR="009F6EB2" w:rsidRDefault="009F6EB2">
      <w:pPr>
        <w:spacing w:before="120" w:after="120" w:line="360" w:lineRule="auto"/>
        <w:jc w:val="center"/>
        <w:rPr>
          <w:rFonts w:ascii="Times New Roman" w:eastAsia="Times New Roman" w:hAnsi="Times New Roman" w:cs="Times New Roman"/>
          <w:b/>
          <w:sz w:val="32"/>
          <w:szCs w:val="32"/>
        </w:rPr>
      </w:pPr>
    </w:p>
    <w:p w14:paraId="00000004" w14:textId="77777777" w:rsidR="009F6EB2" w:rsidRDefault="009F6EB2">
      <w:pPr>
        <w:spacing w:before="120" w:after="120" w:line="360" w:lineRule="auto"/>
        <w:jc w:val="center"/>
        <w:rPr>
          <w:rFonts w:ascii="Times New Roman" w:eastAsia="Times New Roman" w:hAnsi="Times New Roman" w:cs="Times New Roman"/>
          <w:b/>
          <w:sz w:val="32"/>
          <w:szCs w:val="32"/>
        </w:rPr>
      </w:pPr>
    </w:p>
    <w:p w14:paraId="00000005" w14:textId="77777777" w:rsidR="009F6EB2" w:rsidRDefault="009F6EB2">
      <w:pPr>
        <w:spacing w:before="120" w:after="120" w:line="360" w:lineRule="auto"/>
        <w:jc w:val="center"/>
        <w:rPr>
          <w:rFonts w:ascii="Times New Roman" w:eastAsia="Times New Roman" w:hAnsi="Times New Roman" w:cs="Times New Roman"/>
          <w:b/>
          <w:sz w:val="32"/>
          <w:szCs w:val="32"/>
        </w:rPr>
      </w:pPr>
    </w:p>
    <w:p w14:paraId="00000006" w14:textId="77777777" w:rsidR="009F6EB2" w:rsidRDefault="009F6EB2">
      <w:pPr>
        <w:spacing w:before="120" w:after="120" w:line="360" w:lineRule="auto"/>
        <w:jc w:val="center"/>
        <w:rPr>
          <w:rFonts w:ascii="Times New Roman" w:eastAsia="Times New Roman" w:hAnsi="Times New Roman" w:cs="Times New Roman"/>
          <w:b/>
          <w:sz w:val="32"/>
          <w:szCs w:val="32"/>
        </w:rPr>
      </w:pPr>
    </w:p>
    <w:p w14:paraId="00000009" w14:textId="77777777" w:rsidR="009F6EB2" w:rsidRDefault="001C3C25">
      <w:pPr>
        <w:spacing w:before="120" w:after="120" w:line="360" w:lineRule="auto"/>
        <w:jc w:val="center"/>
        <w:rPr>
          <w:rFonts w:ascii="Times New Roman" w:eastAsia="Times New Roman" w:hAnsi="Times New Roman" w:cs="Times New Roman"/>
          <w:b/>
          <w:sz w:val="28"/>
          <w:szCs w:val="28"/>
        </w:rPr>
      </w:pPr>
      <w:r>
        <w:br w:type="page"/>
      </w:r>
    </w:p>
    <w:p w14:paraId="0000000A" w14:textId="57706B84" w:rsidR="009F6EB2" w:rsidRDefault="001C3C25">
      <w:pPr>
        <w:spacing w:before="120" w:after="12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w:t>
      </w:r>
      <w:r w:rsidR="008714E2">
        <w:rPr>
          <w:rFonts w:ascii="Times New Roman" w:eastAsia="Times New Roman" w:hAnsi="Times New Roman" w:cs="Times New Roman"/>
          <w:b/>
          <w:sz w:val="28"/>
          <w:szCs w:val="28"/>
        </w:rPr>
        <w:t>Contents</w:t>
      </w:r>
    </w:p>
    <w:sdt>
      <w:sdtPr>
        <w:rPr>
          <w:rFonts w:ascii="Arial" w:eastAsia="Arial" w:hAnsi="Arial" w:cs="Arial"/>
          <w:b w:val="0"/>
          <w:bCs w:val="0"/>
          <w:color w:val="auto"/>
          <w:sz w:val="22"/>
          <w:szCs w:val="22"/>
          <w:lang w:eastAsia="en-US"/>
        </w:rPr>
        <w:id w:val="-1054235374"/>
        <w:docPartObj>
          <w:docPartGallery w:val="Table of Contents"/>
          <w:docPartUnique/>
        </w:docPartObj>
      </w:sdtPr>
      <w:sdtEndPr>
        <w:rPr>
          <w:rFonts w:ascii="Times New Roman" w:hAnsi="Times New Roman" w:cs="Times New Roman"/>
          <w:noProof/>
          <w:sz w:val="24"/>
        </w:rPr>
      </w:sdtEndPr>
      <w:sdtContent>
        <w:p w14:paraId="52185360" w14:textId="1D720D93" w:rsidR="001453B3" w:rsidRDefault="001453B3">
          <w:pPr>
            <w:pStyle w:val="TOCHeading"/>
          </w:pPr>
        </w:p>
        <w:p w14:paraId="3FD38399" w14:textId="77777777" w:rsidR="001453B3" w:rsidRPr="008714E2" w:rsidRDefault="001453B3" w:rsidP="001453B3">
          <w:pPr>
            <w:pStyle w:val="TOC1"/>
            <w:tabs>
              <w:tab w:val="right" w:leader="dot" w:pos="9350"/>
            </w:tabs>
            <w:spacing w:line="360" w:lineRule="auto"/>
            <w:rPr>
              <w:noProof/>
              <w:sz w:val="24"/>
              <w:szCs w:val="24"/>
            </w:rPr>
          </w:pPr>
          <w:r w:rsidRPr="008714E2">
            <w:rPr>
              <w:sz w:val="24"/>
              <w:szCs w:val="24"/>
            </w:rPr>
            <w:fldChar w:fldCharType="begin"/>
          </w:r>
          <w:r w:rsidRPr="008714E2">
            <w:rPr>
              <w:sz w:val="24"/>
              <w:szCs w:val="24"/>
            </w:rPr>
            <w:instrText xml:space="preserve"> TOC \o "1-3" \h \z \u </w:instrText>
          </w:r>
          <w:r w:rsidRPr="008714E2">
            <w:rPr>
              <w:sz w:val="24"/>
              <w:szCs w:val="24"/>
            </w:rPr>
            <w:fldChar w:fldCharType="separate"/>
          </w:r>
          <w:hyperlink w:anchor="_Toc210841859" w:history="1">
            <w:r w:rsidRPr="008714E2">
              <w:rPr>
                <w:rStyle w:val="Hyperlink"/>
                <w:noProof/>
                <w:sz w:val="24"/>
                <w:szCs w:val="24"/>
              </w:rPr>
              <w:t>Introduction</w:t>
            </w:r>
            <w:r w:rsidRPr="008714E2">
              <w:rPr>
                <w:noProof/>
                <w:webHidden/>
                <w:sz w:val="24"/>
                <w:szCs w:val="24"/>
              </w:rPr>
              <w:tab/>
            </w:r>
            <w:r w:rsidRPr="008714E2">
              <w:rPr>
                <w:noProof/>
                <w:webHidden/>
                <w:sz w:val="24"/>
                <w:szCs w:val="24"/>
              </w:rPr>
              <w:fldChar w:fldCharType="begin"/>
            </w:r>
            <w:r w:rsidRPr="008714E2">
              <w:rPr>
                <w:noProof/>
                <w:webHidden/>
                <w:sz w:val="24"/>
                <w:szCs w:val="24"/>
              </w:rPr>
              <w:instrText xml:space="preserve"> PAGEREF _Toc210841859 \h </w:instrText>
            </w:r>
            <w:r w:rsidRPr="008714E2">
              <w:rPr>
                <w:noProof/>
                <w:webHidden/>
                <w:sz w:val="24"/>
                <w:szCs w:val="24"/>
              </w:rPr>
            </w:r>
            <w:r w:rsidRPr="008714E2">
              <w:rPr>
                <w:noProof/>
                <w:webHidden/>
                <w:sz w:val="24"/>
                <w:szCs w:val="24"/>
              </w:rPr>
              <w:fldChar w:fldCharType="separate"/>
            </w:r>
            <w:r w:rsidRPr="008714E2">
              <w:rPr>
                <w:noProof/>
                <w:webHidden/>
                <w:sz w:val="24"/>
                <w:szCs w:val="24"/>
              </w:rPr>
              <w:t>3</w:t>
            </w:r>
            <w:r w:rsidRPr="008714E2">
              <w:rPr>
                <w:noProof/>
                <w:webHidden/>
                <w:sz w:val="24"/>
                <w:szCs w:val="24"/>
              </w:rPr>
              <w:fldChar w:fldCharType="end"/>
            </w:r>
          </w:hyperlink>
        </w:p>
        <w:p w14:paraId="306C68EA" w14:textId="3A4B94B4" w:rsidR="001453B3" w:rsidRPr="008714E2" w:rsidRDefault="001453B3" w:rsidP="001453B3">
          <w:pPr>
            <w:pStyle w:val="TOC1"/>
            <w:tabs>
              <w:tab w:val="right" w:leader="dot" w:pos="9350"/>
            </w:tabs>
            <w:spacing w:line="360" w:lineRule="auto"/>
            <w:rPr>
              <w:noProof/>
              <w:sz w:val="24"/>
              <w:szCs w:val="24"/>
            </w:rPr>
          </w:pPr>
          <w:hyperlink w:anchor="_Toc210841860" w:history="1">
            <w:r w:rsidRPr="008714E2">
              <w:rPr>
                <w:rStyle w:val="Hyperlink"/>
                <w:noProof/>
                <w:sz w:val="24"/>
                <w:szCs w:val="24"/>
              </w:rPr>
              <w:t>Situational Analysis</w:t>
            </w:r>
            <w:r w:rsidR="008714E2" w:rsidRPr="008714E2">
              <w:rPr>
                <w:rStyle w:val="Hyperlink"/>
                <w:noProof/>
                <w:sz w:val="24"/>
                <w:szCs w:val="24"/>
              </w:rPr>
              <w:t xml:space="preserve">: </w:t>
            </w:r>
            <w:r w:rsidRPr="008714E2">
              <w:rPr>
                <w:rStyle w:val="Hyperlink"/>
                <w:noProof/>
                <w:sz w:val="24"/>
                <w:szCs w:val="24"/>
              </w:rPr>
              <w:t>Porter’s Five Forces</w:t>
            </w:r>
            <w:r w:rsidRPr="008714E2">
              <w:rPr>
                <w:noProof/>
                <w:webHidden/>
                <w:sz w:val="24"/>
                <w:szCs w:val="24"/>
              </w:rPr>
              <w:tab/>
            </w:r>
            <w:r w:rsidRPr="008714E2">
              <w:rPr>
                <w:noProof/>
                <w:webHidden/>
                <w:sz w:val="24"/>
                <w:szCs w:val="24"/>
              </w:rPr>
              <w:fldChar w:fldCharType="begin"/>
            </w:r>
            <w:r w:rsidRPr="008714E2">
              <w:rPr>
                <w:noProof/>
                <w:webHidden/>
                <w:sz w:val="24"/>
                <w:szCs w:val="24"/>
              </w:rPr>
              <w:instrText xml:space="preserve"> PAGEREF _Toc210841860 \h </w:instrText>
            </w:r>
            <w:r w:rsidRPr="008714E2">
              <w:rPr>
                <w:noProof/>
                <w:webHidden/>
                <w:sz w:val="24"/>
                <w:szCs w:val="24"/>
              </w:rPr>
            </w:r>
            <w:r w:rsidRPr="008714E2">
              <w:rPr>
                <w:noProof/>
                <w:webHidden/>
                <w:sz w:val="24"/>
                <w:szCs w:val="24"/>
              </w:rPr>
              <w:fldChar w:fldCharType="separate"/>
            </w:r>
            <w:r w:rsidRPr="008714E2">
              <w:rPr>
                <w:noProof/>
                <w:webHidden/>
                <w:sz w:val="24"/>
                <w:szCs w:val="24"/>
              </w:rPr>
              <w:t>3</w:t>
            </w:r>
            <w:r w:rsidRPr="008714E2">
              <w:rPr>
                <w:noProof/>
                <w:webHidden/>
                <w:sz w:val="24"/>
                <w:szCs w:val="24"/>
              </w:rPr>
              <w:fldChar w:fldCharType="end"/>
            </w:r>
          </w:hyperlink>
          <w:r w:rsidR="002A36A8">
            <w:rPr>
              <w:sz w:val="24"/>
              <w:szCs w:val="24"/>
            </w:rPr>
            <w:t>-4</w:t>
          </w:r>
        </w:p>
        <w:p w14:paraId="4A0194CD" w14:textId="13EFB242" w:rsidR="001453B3" w:rsidRPr="008714E2" w:rsidRDefault="001453B3" w:rsidP="001453B3">
          <w:pPr>
            <w:pStyle w:val="TOC1"/>
            <w:tabs>
              <w:tab w:val="right" w:leader="dot" w:pos="9350"/>
            </w:tabs>
            <w:spacing w:line="360" w:lineRule="auto"/>
            <w:rPr>
              <w:noProof/>
              <w:sz w:val="24"/>
              <w:szCs w:val="24"/>
            </w:rPr>
          </w:pPr>
          <w:hyperlink w:anchor="_Toc210841861" w:history="1">
            <w:r w:rsidRPr="008714E2">
              <w:rPr>
                <w:rStyle w:val="Hyperlink"/>
                <w:noProof/>
                <w:sz w:val="24"/>
                <w:szCs w:val="24"/>
              </w:rPr>
              <w:t>Critical Analysis and Evaluation</w:t>
            </w:r>
            <w:r w:rsidRPr="008714E2">
              <w:rPr>
                <w:noProof/>
                <w:webHidden/>
                <w:sz w:val="24"/>
                <w:szCs w:val="24"/>
              </w:rPr>
              <w:tab/>
            </w:r>
            <w:r w:rsidR="002A36A8">
              <w:rPr>
                <w:noProof/>
                <w:webHidden/>
                <w:sz w:val="24"/>
                <w:szCs w:val="24"/>
              </w:rPr>
              <w:t>5</w:t>
            </w:r>
          </w:hyperlink>
          <w:r w:rsidR="002A36A8">
            <w:rPr>
              <w:sz w:val="24"/>
              <w:szCs w:val="24"/>
            </w:rPr>
            <w:t>-6</w:t>
          </w:r>
        </w:p>
        <w:p w14:paraId="39B6545D" w14:textId="77777777" w:rsidR="001453B3" w:rsidRPr="008714E2" w:rsidRDefault="001453B3" w:rsidP="001453B3">
          <w:pPr>
            <w:pStyle w:val="TOC1"/>
            <w:tabs>
              <w:tab w:val="right" w:leader="dot" w:pos="9350"/>
            </w:tabs>
            <w:spacing w:line="360" w:lineRule="auto"/>
            <w:rPr>
              <w:noProof/>
              <w:sz w:val="24"/>
              <w:szCs w:val="24"/>
            </w:rPr>
          </w:pPr>
          <w:hyperlink w:anchor="_Toc210841862" w:history="1">
            <w:r w:rsidRPr="008714E2">
              <w:rPr>
                <w:rStyle w:val="Hyperlink"/>
                <w:noProof/>
                <w:sz w:val="24"/>
                <w:szCs w:val="24"/>
              </w:rPr>
              <w:t>Conclusion</w:t>
            </w:r>
            <w:r w:rsidRPr="008714E2">
              <w:rPr>
                <w:noProof/>
                <w:webHidden/>
                <w:sz w:val="24"/>
                <w:szCs w:val="24"/>
              </w:rPr>
              <w:tab/>
            </w:r>
            <w:r w:rsidRPr="008714E2">
              <w:rPr>
                <w:noProof/>
                <w:webHidden/>
                <w:sz w:val="24"/>
                <w:szCs w:val="24"/>
              </w:rPr>
              <w:fldChar w:fldCharType="begin"/>
            </w:r>
            <w:r w:rsidRPr="008714E2">
              <w:rPr>
                <w:noProof/>
                <w:webHidden/>
                <w:sz w:val="24"/>
                <w:szCs w:val="24"/>
              </w:rPr>
              <w:instrText xml:space="preserve"> PAGEREF _Toc210841862 \h </w:instrText>
            </w:r>
            <w:r w:rsidRPr="008714E2">
              <w:rPr>
                <w:noProof/>
                <w:webHidden/>
                <w:sz w:val="24"/>
                <w:szCs w:val="24"/>
              </w:rPr>
            </w:r>
            <w:r w:rsidRPr="008714E2">
              <w:rPr>
                <w:noProof/>
                <w:webHidden/>
                <w:sz w:val="24"/>
                <w:szCs w:val="24"/>
              </w:rPr>
              <w:fldChar w:fldCharType="separate"/>
            </w:r>
            <w:r w:rsidRPr="008714E2">
              <w:rPr>
                <w:noProof/>
                <w:webHidden/>
                <w:sz w:val="24"/>
                <w:szCs w:val="24"/>
              </w:rPr>
              <w:t>6</w:t>
            </w:r>
            <w:r w:rsidRPr="008714E2">
              <w:rPr>
                <w:noProof/>
                <w:webHidden/>
                <w:sz w:val="24"/>
                <w:szCs w:val="24"/>
              </w:rPr>
              <w:fldChar w:fldCharType="end"/>
            </w:r>
          </w:hyperlink>
        </w:p>
        <w:p w14:paraId="22CF5019" w14:textId="3F2BE2EB" w:rsidR="001453B3" w:rsidRPr="008714E2" w:rsidRDefault="001453B3" w:rsidP="001453B3">
          <w:pPr>
            <w:pStyle w:val="TOC1"/>
            <w:tabs>
              <w:tab w:val="right" w:leader="dot" w:pos="9350"/>
            </w:tabs>
            <w:spacing w:line="360" w:lineRule="auto"/>
            <w:rPr>
              <w:noProof/>
              <w:sz w:val="24"/>
              <w:szCs w:val="24"/>
            </w:rPr>
          </w:pPr>
          <w:hyperlink w:anchor="_Toc210841863" w:history="1">
            <w:r w:rsidRPr="008714E2">
              <w:rPr>
                <w:rStyle w:val="Hyperlink"/>
                <w:noProof/>
                <w:sz w:val="24"/>
                <w:szCs w:val="24"/>
              </w:rPr>
              <w:t>References</w:t>
            </w:r>
            <w:r w:rsidRPr="008714E2">
              <w:rPr>
                <w:noProof/>
                <w:webHidden/>
                <w:sz w:val="24"/>
                <w:szCs w:val="24"/>
              </w:rPr>
              <w:tab/>
            </w:r>
            <w:r w:rsidRPr="008714E2">
              <w:rPr>
                <w:noProof/>
                <w:webHidden/>
                <w:sz w:val="24"/>
                <w:szCs w:val="24"/>
              </w:rPr>
              <w:fldChar w:fldCharType="begin"/>
            </w:r>
            <w:r w:rsidRPr="008714E2">
              <w:rPr>
                <w:noProof/>
                <w:webHidden/>
                <w:sz w:val="24"/>
                <w:szCs w:val="24"/>
              </w:rPr>
              <w:instrText xml:space="preserve"> PAGEREF _Toc210841863 \h </w:instrText>
            </w:r>
            <w:r w:rsidRPr="008714E2">
              <w:rPr>
                <w:noProof/>
                <w:webHidden/>
                <w:sz w:val="24"/>
                <w:szCs w:val="24"/>
              </w:rPr>
            </w:r>
            <w:r w:rsidRPr="008714E2">
              <w:rPr>
                <w:noProof/>
                <w:webHidden/>
                <w:sz w:val="24"/>
                <w:szCs w:val="24"/>
              </w:rPr>
              <w:fldChar w:fldCharType="separate"/>
            </w:r>
            <w:r w:rsidRPr="008714E2">
              <w:rPr>
                <w:noProof/>
                <w:webHidden/>
                <w:sz w:val="24"/>
                <w:szCs w:val="24"/>
              </w:rPr>
              <w:t>7</w:t>
            </w:r>
            <w:r w:rsidRPr="008714E2">
              <w:rPr>
                <w:noProof/>
                <w:webHidden/>
                <w:sz w:val="24"/>
                <w:szCs w:val="24"/>
              </w:rPr>
              <w:fldChar w:fldCharType="end"/>
            </w:r>
          </w:hyperlink>
          <w:r w:rsidR="002A36A8">
            <w:rPr>
              <w:sz w:val="24"/>
              <w:szCs w:val="24"/>
            </w:rPr>
            <w:t>-8</w:t>
          </w:r>
        </w:p>
        <w:p w14:paraId="0A4369A3" w14:textId="0640A088" w:rsidR="001453B3" w:rsidRPr="001453B3" w:rsidRDefault="001453B3" w:rsidP="001453B3">
          <w:pPr>
            <w:spacing w:line="360" w:lineRule="auto"/>
            <w:rPr>
              <w:rFonts w:ascii="Times New Roman" w:hAnsi="Times New Roman" w:cs="Times New Roman"/>
              <w:sz w:val="24"/>
            </w:rPr>
          </w:pPr>
          <w:r w:rsidRPr="008714E2">
            <w:rPr>
              <w:b/>
              <w:bCs/>
              <w:noProof/>
              <w:sz w:val="24"/>
              <w:szCs w:val="24"/>
            </w:rPr>
            <w:fldChar w:fldCharType="end"/>
          </w:r>
        </w:p>
      </w:sdtContent>
    </w:sdt>
    <w:p w14:paraId="6F382D83" w14:textId="77777777" w:rsidR="001453B3" w:rsidRDefault="001453B3">
      <w:pPr>
        <w:spacing w:before="120" w:after="120" w:line="360" w:lineRule="auto"/>
        <w:jc w:val="center"/>
        <w:rPr>
          <w:rFonts w:ascii="Times New Roman" w:eastAsia="Times New Roman" w:hAnsi="Times New Roman" w:cs="Times New Roman"/>
          <w:b/>
          <w:sz w:val="28"/>
          <w:szCs w:val="28"/>
        </w:rPr>
      </w:pPr>
    </w:p>
    <w:p w14:paraId="0000000B" w14:textId="77777777" w:rsidR="009F6EB2" w:rsidRDefault="009F6EB2">
      <w:pPr>
        <w:spacing w:before="120" w:after="120" w:line="360" w:lineRule="auto"/>
        <w:jc w:val="both"/>
        <w:rPr>
          <w:rFonts w:ascii="Times New Roman" w:eastAsia="Times New Roman" w:hAnsi="Times New Roman" w:cs="Times New Roman"/>
          <w:b/>
          <w:sz w:val="28"/>
          <w:szCs w:val="28"/>
        </w:rPr>
      </w:pPr>
    </w:p>
    <w:p w14:paraId="0000000C" w14:textId="77777777" w:rsidR="009F6EB2" w:rsidRDefault="001C3C25">
      <w:pPr>
        <w:spacing w:before="120" w:after="120" w:line="360" w:lineRule="auto"/>
        <w:jc w:val="both"/>
        <w:rPr>
          <w:rFonts w:ascii="Times New Roman" w:eastAsia="Times New Roman" w:hAnsi="Times New Roman" w:cs="Times New Roman"/>
          <w:b/>
          <w:sz w:val="28"/>
          <w:szCs w:val="28"/>
        </w:rPr>
      </w:pPr>
      <w:r>
        <w:br w:type="page"/>
      </w:r>
    </w:p>
    <w:p w14:paraId="0000000D" w14:textId="77777777" w:rsidR="009F6EB2" w:rsidRDefault="001C3C25" w:rsidP="001453B3">
      <w:pPr>
        <w:pStyle w:val="Heading1"/>
      </w:pPr>
      <w:bookmarkStart w:id="0" w:name="_Toc210841859"/>
      <w:r>
        <w:lastRenderedPageBreak/>
        <w:t>Introduction</w:t>
      </w:r>
      <w:bookmarkEnd w:id="0"/>
    </w:p>
    <w:p w14:paraId="0000000F" w14:textId="471C35EF" w:rsidR="009F6EB2" w:rsidRPr="008714E2" w:rsidRDefault="001C3C25">
      <w:pPr>
        <w:spacing w:before="120" w:after="120" w:line="360" w:lineRule="auto"/>
        <w:jc w:val="both"/>
        <w:rPr>
          <w:rFonts w:eastAsia="Times New Roman"/>
          <w:sz w:val="24"/>
          <w:szCs w:val="24"/>
        </w:rPr>
      </w:pPr>
      <w:r w:rsidRPr="008714E2">
        <w:rPr>
          <w:rFonts w:eastAsia="Times New Roman"/>
          <w:bCs/>
          <w:iCs/>
          <w:sz w:val="24"/>
          <w:szCs w:val="24"/>
        </w:rPr>
        <w:t>Burberry Group Plc</w:t>
      </w:r>
      <w:r w:rsidR="001453B3" w:rsidRPr="008714E2">
        <w:rPr>
          <w:rFonts w:eastAsia="Times New Roman"/>
          <w:bCs/>
          <w:iCs/>
          <w:sz w:val="24"/>
          <w:szCs w:val="24"/>
        </w:rPr>
        <w:t>.</w:t>
      </w:r>
      <w:r w:rsidRPr="008714E2">
        <w:rPr>
          <w:rFonts w:eastAsia="Times New Roman"/>
          <w:sz w:val="24"/>
          <w:szCs w:val="24"/>
        </w:rPr>
        <w:t xml:space="preserve"> is a reputable British fashion luxury brand. It deals primarily with the luxury fashion business, and its major product line consists of apparel. The brand is known around the world due to quality, classic designs, and invention collections. Burberry is a strong competitor in the high-end market position </w:t>
      </w:r>
      <w:r w:rsidR="008714E2">
        <w:rPr>
          <w:rFonts w:eastAsia="Times New Roman"/>
          <w:sz w:val="24"/>
          <w:szCs w:val="24"/>
        </w:rPr>
        <w:t>who is</w:t>
      </w:r>
      <w:r w:rsidRPr="008714E2">
        <w:rPr>
          <w:rFonts w:eastAsia="Times New Roman"/>
          <w:sz w:val="24"/>
          <w:szCs w:val="24"/>
        </w:rPr>
        <w:t xml:space="preserve"> </w:t>
      </w:r>
      <w:r w:rsidR="008714E2">
        <w:rPr>
          <w:rFonts w:eastAsia="Times New Roman"/>
          <w:sz w:val="24"/>
          <w:szCs w:val="24"/>
        </w:rPr>
        <w:t>competing</w:t>
      </w:r>
      <w:r w:rsidRPr="008714E2">
        <w:rPr>
          <w:rFonts w:eastAsia="Times New Roman"/>
          <w:sz w:val="24"/>
          <w:szCs w:val="24"/>
        </w:rPr>
        <w:t xml:space="preserve"> with other luxury brands throughout the world. This report aims to discuss the external competitive environment of Burberry through Porter's Five Forces. This discussion will determine the most important factors that influence the company. It will also demonstrate the effects of these forces on the marketing strategy and decisions of Burberry.</w:t>
      </w:r>
    </w:p>
    <w:p w14:paraId="00000010" w14:textId="78F59AA5" w:rsidR="009F6EB2" w:rsidRPr="008714E2" w:rsidRDefault="001C3C25" w:rsidP="001453B3">
      <w:pPr>
        <w:pStyle w:val="Heading1"/>
        <w:rPr>
          <w:rFonts w:ascii="Arial" w:hAnsi="Arial"/>
          <w:szCs w:val="28"/>
        </w:rPr>
      </w:pPr>
      <w:bookmarkStart w:id="1" w:name="_Toc210841860"/>
      <w:r w:rsidRPr="008714E2">
        <w:rPr>
          <w:rFonts w:ascii="Arial" w:hAnsi="Arial"/>
          <w:szCs w:val="28"/>
        </w:rPr>
        <w:t>Situational Analysis</w:t>
      </w:r>
      <w:r w:rsidR="008714E2" w:rsidRPr="008714E2">
        <w:rPr>
          <w:rFonts w:ascii="Arial" w:hAnsi="Arial"/>
          <w:szCs w:val="28"/>
        </w:rPr>
        <w:t xml:space="preserve">: </w:t>
      </w:r>
      <w:r w:rsidRPr="008714E2">
        <w:rPr>
          <w:rFonts w:ascii="Arial" w:hAnsi="Arial"/>
          <w:szCs w:val="28"/>
        </w:rPr>
        <w:t>Porter’s Five Forces</w:t>
      </w:r>
      <w:bookmarkEnd w:id="1"/>
    </w:p>
    <w:p w14:paraId="00000011" w14:textId="77777777" w:rsidR="009F6EB2" w:rsidRPr="008714E2" w:rsidRDefault="001C3C25">
      <w:pPr>
        <w:spacing w:before="120" w:after="120" w:line="360" w:lineRule="auto"/>
        <w:jc w:val="both"/>
        <w:rPr>
          <w:rFonts w:eastAsia="Times New Roman"/>
          <w:b/>
          <w:sz w:val="24"/>
          <w:szCs w:val="24"/>
        </w:rPr>
      </w:pPr>
      <w:r w:rsidRPr="008714E2">
        <w:rPr>
          <w:rFonts w:eastAsia="Times New Roman"/>
          <w:b/>
          <w:sz w:val="24"/>
          <w:szCs w:val="24"/>
        </w:rPr>
        <w:t>Threat of New Entrants</w:t>
      </w:r>
    </w:p>
    <w:p w14:paraId="00000012" w14:textId="771D364D" w:rsidR="009F6EB2" w:rsidRPr="008714E2" w:rsidRDefault="001C3C25">
      <w:pPr>
        <w:spacing w:before="120" w:after="120" w:line="360" w:lineRule="auto"/>
        <w:jc w:val="both"/>
        <w:rPr>
          <w:rFonts w:eastAsia="Times New Roman"/>
          <w:sz w:val="24"/>
          <w:szCs w:val="24"/>
        </w:rPr>
      </w:pPr>
      <w:r w:rsidRPr="008714E2">
        <w:rPr>
          <w:rFonts w:eastAsia="Times New Roman"/>
          <w:sz w:val="24"/>
          <w:szCs w:val="24"/>
        </w:rPr>
        <w:t xml:space="preserve">Burberry has a very low threat of new market entry. Burberry has a long history, and it provides a strong international reputation. Marketing and advertising campaigns are extremely expensive for new companies (Castillo-Abdul et al. 2022). They find it difficult to create brand awareness within a short time in the international luxury fashion industry. Burberry has good retail stores in major cities across the globe. The distribution channels and intellectual protection deny new </w:t>
      </w:r>
      <w:r w:rsidR="008714E2">
        <w:rPr>
          <w:rFonts w:eastAsia="Times New Roman"/>
          <w:sz w:val="24"/>
          <w:szCs w:val="24"/>
        </w:rPr>
        <w:t>entrants</w:t>
      </w:r>
      <w:r w:rsidRPr="008714E2">
        <w:rPr>
          <w:rFonts w:eastAsia="Times New Roman"/>
          <w:sz w:val="24"/>
          <w:szCs w:val="24"/>
        </w:rPr>
        <w:t xml:space="preserve"> easy access. Thus, the new entrants cannot easily overcome these obstacles and compete with Burberry successfully.</w:t>
      </w:r>
    </w:p>
    <w:p w14:paraId="00000013" w14:textId="77777777" w:rsidR="009F6EB2" w:rsidRPr="008714E2" w:rsidRDefault="001C3C25">
      <w:pPr>
        <w:spacing w:before="120" w:after="120" w:line="360" w:lineRule="auto"/>
        <w:jc w:val="both"/>
        <w:rPr>
          <w:rFonts w:eastAsia="Times New Roman"/>
          <w:b/>
          <w:sz w:val="24"/>
          <w:szCs w:val="24"/>
        </w:rPr>
      </w:pPr>
      <w:r w:rsidRPr="008714E2">
        <w:rPr>
          <w:rFonts w:eastAsia="Times New Roman"/>
          <w:b/>
          <w:sz w:val="24"/>
          <w:szCs w:val="24"/>
        </w:rPr>
        <w:t>Bargaining Power of Suppliers</w:t>
      </w:r>
    </w:p>
    <w:p w14:paraId="00000014" w14:textId="3C76800B" w:rsidR="009F6EB2" w:rsidRPr="008714E2" w:rsidRDefault="001C3C25">
      <w:pPr>
        <w:spacing w:before="120" w:after="120" w:line="360" w:lineRule="auto"/>
        <w:jc w:val="both"/>
        <w:rPr>
          <w:rFonts w:eastAsia="Times New Roman"/>
          <w:sz w:val="24"/>
          <w:szCs w:val="24"/>
        </w:rPr>
      </w:pPr>
      <w:r w:rsidRPr="008714E2">
        <w:rPr>
          <w:rFonts w:eastAsia="Times New Roman"/>
          <w:sz w:val="24"/>
          <w:szCs w:val="24"/>
        </w:rPr>
        <w:t xml:space="preserve">Burberry has moderate to high supplier power in the luxury fashion industry. The company operates with </w:t>
      </w:r>
      <w:r w:rsidR="00DE68D6">
        <w:rPr>
          <w:rFonts w:eastAsia="Times New Roman"/>
          <w:sz w:val="24"/>
          <w:szCs w:val="24"/>
        </w:rPr>
        <w:t>specific</w:t>
      </w:r>
      <w:r w:rsidRPr="008714E2">
        <w:rPr>
          <w:rFonts w:eastAsia="Times New Roman"/>
          <w:sz w:val="24"/>
          <w:szCs w:val="24"/>
        </w:rPr>
        <w:t xml:space="preserve"> materials, including its iconic Gabardine. Burberry has its own mill in Yorkshire, which produces core fabrics (burberryplc.com, 2025b). But the suppliers of artisanal leather and accessories are few and costly to substitute. Changing suppliers will add a lot of expenses to the production. The quality materials can be sold at high prices by </w:t>
      </w:r>
      <w:proofErr w:type="spellStart"/>
      <w:r w:rsidR="00DE68D6">
        <w:rPr>
          <w:rFonts w:eastAsia="Times New Roman"/>
          <w:sz w:val="24"/>
          <w:szCs w:val="24"/>
        </w:rPr>
        <w:t>specialised</w:t>
      </w:r>
      <w:proofErr w:type="spellEnd"/>
      <w:r w:rsidRPr="008714E2">
        <w:rPr>
          <w:rFonts w:eastAsia="Times New Roman"/>
          <w:sz w:val="24"/>
          <w:szCs w:val="24"/>
        </w:rPr>
        <w:t xml:space="preserve"> vendors. Vertical integration assists Burberry in controlling </w:t>
      </w:r>
      <w:r w:rsidRPr="008714E2">
        <w:rPr>
          <w:rFonts w:eastAsia="Times New Roman"/>
          <w:sz w:val="24"/>
          <w:szCs w:val="24"/>
        </w:rPr>
        <w:lastRenderedPageBreak/>
        <w:t>the outerwear manufacturing costs. Close relationships with suppliers would facilitate the quality of the products and the reliability of supply.</w:t>
      </w:r>
    </w:p>
    <w:p w14:paraId="00000015" w14:textId="77777777" w:rsidR="009F6EB2" w:rsidRPr="00DE68D6" w:rsidRDefault="001C3C25" w:rsidP="00DE68D6">
      <w:pPr>
        <w:spacing w:before="120" w:after="120" w:line="360" w:lineRule="auto"/>
        <w:jc w:val="both"/>
        <w:rPr>
          <w:rFonts w:eastAsia="Times New Roman"/>
          <w:b/>
          <w:sz w:val="24"/>
          <w:szCs w:val="24"/>
        </w:rPr>
      </w:pPr>
      <w:r w:rsidRPr="00DE68D6">
        <w:rPr>
          <w:rFonts w:eastAsia="Times New Roman"/>
          <w:b/>
          <w:sz w:val="24"/>
          <w:szCs w:val="24"/>
        </w:rPr>
        <w:t>Bargaining Power of Buyers</w:t>
      </w:r>
    </w:p>
    <w:p w14:paraId="00000016" w14:textId="77777777" w:rsidR="009F6EB2" w:rsidRPr="00DE68D6" w:rsidRDefault="001C3C25" w:rsidP="00DE68D6">
      <w:pPr>
        <w:spacing w:before="120" w:after="120" w:line="360" w:lineRule="auto"/>
        <w:jc w:val="both"/>
        <w:rPr>
          <w:rFonts w:eastAsia="Times New Roman"/>
          <w:sz w:val="24"/>
          <w:szCs w:val="24"/>
        </w:rPr>
      </w:pPr>
      <w:r w:rsidRPr="00DE68D6">
        <w:rPr>
          <w:rFonts w:eastAsia="Times New Roman"/>
          <w:sz w:val="24"/>
          <w:szCs w:val="24"/>
        </w:rPr>
        <w:t>The power of buyers is usually low because of the loyalty in the luxury markets. Customers are committed to traditional luxury, such as Burberry. The majority of buyers are not very price sensitive to slight price increments. Nevertheless, declining luxury demand in the world has raised the bargaining power of buyers a bit. Burberry has recorded a 15% decline in revenue in the 2024/25 fiscal year (burberryplc.com, 2025a). The resale market offers consumers other choices with used luxurious products. It is also easier to compare the prices and buy used Burberry products now.</w:t>
      </w:r>
    </w:p>
    <w:p w14:paraId="00000017" w14:textId="77777777" w:rsidR="009F6EB2" w:rsidRPr="00DE68D6" w:rsidRDefault="001C3C25" w:rsidP="00DE68D6">
      <w:pPr>
        <w:spacing w:before="120" w:after="120" w:line="360" w:lineRule="auto"/>
        <w:jc w:val="both"/>
        <w:rPr>
          <w:rFonts w:eastAsia="Times New Roman"/>
          <w:b/>
          <w:sz w:val="24"/>
          <w:szCs w:val="24"/>
        </w:rPr>
      </w:pPr>
      <w:r w:rsidRPr="00DE68D6">
        <w:rPr>
          <w:rFonts w:eastAsia="Times New Roman"/>
          <w:b/>
          <w:sz w:val="24"/>
          <w:szCs w:val="24"/>
        </w:rPr>
        <w:t>Threat of Substitute Products</w:t>
      </w:r>
    </w:p>
    <w:p w14:paraId="00000018" w14:textId="3DCE8440" w:rsidR="009F6EB2" w:rsidRPr="00DE68D6" w:rsidRDefault="001C3C25" w:rsidP="00DE68D6">
      <w:pPr>
        <w:spacing w:before="120" w:after="120" w:line="360" w:lineRule="auto"/>
        <w:jc w:val="both"/>
        <w:rPr>
          <w:rFonts w:eastAsia="Times New Roman"/>
          <w:sz w:val="24"/>
          <w:szCs w:val="24"/>
        </w:rPr>
      </w:pPr>
      <w:r w:rsidRPr="00DE68D6">
        <w:rPr>
          <w:rFonts w:eastAsia="Times New Roman"/>
          <w:sz w:val="24"/>
          <w:szCs w:val="24"/>
        </w:rPr>
        <w:t xml:space="preserve">Burberry has a moderate to high threat of substitutes for its products worldwide. It is possible that consumers can choose lower-end luxury brands or quality clothes. Semi-expensive products offer the same quality and </w:t>
      </w:r>
      <w:r w:rsidR="00DE68D6">
        <w:rPr>
          <w:rFonts w:eastAsia="Times New Roman"/>
          <w:sz w:val="24"/>
          <w:szCs w:val="24"/>
        </w:rPr>
        <w:t>attractive</w:t>
      </w:r>
      <w:r w:rsidR="00DE68D6" w:rsidRPr="00DE68D6">
        <w:rPr>
          <w:rFonts w:eastAsia="Times New Roman"/>
          <w:sz w:val="24"/>
          <w:szCs w:val="24"/>
        </w:rPr>
        <w:t xml:space="preserve"> style</w:t>
      </w:r>
      <w:r w:rsidRPr="00DE68D6">
        <w:rPr>
          <w:rFonts w:eastAsia="Times New Roman"/>
          <w:sz w:val="24"/>
          <w:szCs w:val="24"/>
        </w:rPr>
        <w:t xml:space="preserve"> to the customers. Customers can also allocate their money to other luxurious products such as </w:t>
      </w:r>
      <w:r w:rsidR="00DE68D6">
        <w:rPr>
          <w:rFonts w:eastAsia="Times New Roman"/>
          <w:sz w:val="24"/>
          <w:szCs w:val="24"/>
        </w:rPr>
        <w:t>travelling</w:t>
      </w:r>
      <w:r w:rsidRPr="00DE68D6">
        <w:rPr>
          <w:rFonts w:eastAsia="Times New Roman"/>
          <w:sz w:val="24"/>
          <w:szCs w:val="24"/>
        </w:rPr>
        <w:t>, watches, or technology. The issue of cheap fake products has been a persistent challenge in the global markets (Meyer et al. 2023). To counter these threats, Burberry focuses on the differentiation of its British design and high-quality craftsmanship at all times.</w:t>
      </w:r>
    </w:p>
    <w:p w14:paraId="00000019" w14:textId="77777777" w:rsidR="009F6EB2" w:rsidRPr="00DE68D6" w:rsidRDefault="001C3C25" w:rsidP="00DE68D6">
      <w:pPr>
        <w:spacing w:before="120" w:after="120" w:line="360" w:lineRule="auto"/>
        <w:jc w:val="both"/>
        <w:rPr>
          <w:rFonts w:eastAsia="Times New Roman"/>
          <w:b/>
          <w:sz w:val="24"/>
          <w:szCs w:val="24"/>
        </w:rPr>
      </w:pPr>
      <w:r w:rsidRPr="00DE68D6">
        <w:rPr>
          <w:rFonts w:eastAsia="Times New Roman"/>
          <w:b/>
          <w:sz w:val="24"/>
          <w:szCs w:val="24"/>
        </w:rPr>
        <w:t>Industry Rivalry</w:t>
      </w:r>
    </w:p>
    <w:p w14:paraId="0000001B" w14:textId="7370A3C1" w:rsidR="009F6EB2" w:rsidRPr="00DE68D6" w:rsidRDefault="001C3C25" w:rsidP="00DE68D6">
      <w:pPr>
        <w:spacing w:before="120" w:after="120" w:line="360" w:lineRule="auto"/>
        <w:jc w:val="both"/>
        <w:rPr>
          <w:rFonts w:eastAsia="Times New Roman"/>
          <w:sz w:val="24"/>
          <w:szCs w:val="24"/>
        </w:rPr>
      </w:pPr>
      <w:r w:rsidRPr="00DE68D6">
        <w:rPr>
          <w:rFonts w:eastAsia="Times New Roman"/>
          <w:sz w:val="24"/>
          <w:szCs w:val="24"/>
        </w:rPr>
        <w:t xml:space="preserve">The luxury industry is highly competitive and intense across the globe. Burberry's rival company includes Louis Vuitton, Gucci, and Prada. These competitors are well-known brands with good financial assets in the world. Marketing campaigns, advertising, and store improvement are also very important to compete. Recently, Burberry also redefined its strategy in order to enhance its outerwear products and collections. High fixed costs imply that competitors will hardly leave the market, making competition intense (De Loecker et al. 2021). </w:t>
      </w:r>
    </w:p>
    <w:p w14:paraId="0000001C" w14:textId="77777777" w:rsidR="009F6EB2" w:rsidRPr="00DE68D6" w:rsidRDefault="001C3C25" w:rsidP="001453B3">
      <w:pPr>
        <w:pStyle w:val="Heading1"/>
        <w:rPr>
          <w:rFonts w:ascii="Arial" w:hAnsi="Arial"/>
          <w:sz w:val="24"/>
          <w:szCs w:val="24"/>
        </w:rPr>
      </w:pPr>
      <w:bookmarkStart w:id="2" w:name="_Toc210841861"/>
      <w:r w:rsidRPr="00DE68D6">
        <w:rPr>
          <w:rFonts w:ascii="Arial" w:hAnsi="Arial"/>
          <w:sz w:val="24"/>
          <w:szCs w:val="24"/>
        </w:rPr>
        <w:lastRenderedPageBreak/>
        <w:t>Critical Analysis and Evaluation</w:t>
      </w:r>
      <w:bookmarkEnd w:id="2"/>
    </w:p>
    <w:p w14:paraId="0000001D" w14:textId="54CB41E5" w:rsidR="009F6EB2" w:rsidRPr="00DE68D6" w:rsidRDefault="001C3C25">
      <w:pPr>
        <w:spacing w:before="240" w:after="240" w:line="360" w:lineRule="auto"/>
        <w:jc w:val="both"/>
        <w:rPr>
          <w:rFonts w:eastAsia="Times New Roman"/>
          <w:b/>
          <w:sz w:val="24"/>
          <w:szCs w:val="24"/>
        </w:rPr>
      </w:pPr>
      <w:r w:rsidRPr="00DE68D6">
        <w:rPr>
          <w:rFonts w:eastAsia="Times New Roman"/>
          <w:b/>
          <w:sz w:val="24"/>
          <w:szCs w:val="24"/>
        </w:rPr>
        <w:t xml:space="preserve">Critically </w:t>
      </w:r>
      <w:proofErr w:type="spellStart"/>
      <w:r w:rsidR="00DE68D6">
        <w:rPr>
          <w:rFonts w:eastAsia="Times New Roman"/>
          <w:b/>
          <w:sz w:val="24"/>
          <w:szCs w:val="24"/>
        </w:rPr>
        <w:t>Analyse</w:t>
      </w:r>
      <w:proofErr w:type="spellEnd"/>
      <w:r w:rsidRPr="00DE68D6">
        <w:rPr>
          <w:rFonts w:eastAsia="Times New Roman"/>
          <w:b/>
          <w:sz w:val="24"/>
          <w:szCs w:val="24"/>
        </w:rPr>
        <w:t xml:space="preserve"> the Findings from the Situational Analysis</w:t>
      </w:r>
    </w:p>
    <w:p w14:paraId="6883B429" w14:textId="76FACE97" w:rsidR="00E87F43" w:rsidRPr="00DE68D6" w:rsidRDefault="001C3C25">
      <w:pPr>
        <w:spacing w:before="240" w:after="240" w:line="360" w:lineRule="auto"/>
        <w:jc w:val="both"/>
        <w:rPr>
          <w:rFonts w:eastAsia="Times New Roman"/>
          <w:sz w:val="24"/>
          <w:szCs w:val="24"/>
        </w:rPr>
      </w:pPr>
      <w:r w:rsidRPr="00DE68D6">
        <w:rPr>
          <w:rFonts w:eastAsia="Times New Roman"/>
          <w:sz w:val="24"/>
          <w:szCs w:val="24"/>
        </w:rPr>
        <w:t xml:space="preserve">From the situational analysis, it is very clear that Burberry Group </w:t>
      </w:r>
      <w:r w:rsidR="001453B3" w:rsidRPr="00DE68D6">
        <w:rPr>
          <w:rFonts w:eastAsia="Times New Roman"/>
          <w:sz w:val="24"/>
          <w:szCs w:val="24"/>
        </w:rPr>
        <w:t>Plc.</w:t>
      </w:r>
      <w:r w:rsidRPr="00DE68D6">
        <w:rPr>
          <w:rFonts w:eastAsia="Times New Roman"/>
          <w:sz w:val="24"/>
          <w:szCs w:val="24"/>
        </w:rPr>
        <w:t xml:space="preserve"> drives into a very </w:t>
      </w:r>
      <w:r w:rsidR="00DE68D6" w:rsidRPr="00DE68D6">
        <w:rPr>
          <w:rFonts w:eastAsia="Times New Roman"/>
          <w:sz w:val="24"/>
          <w:szCs w:val="24"/>
        </w:rPr>
        <w:t>highly</w:t>
      </w:r>
      <w:r w:rsidRPr="00DE68D6">
        <w:rPr>
          <w:rFonts w:eastAsia="Times New Roman"/>
          <w:sz w:val="24"/>
          <w:szCs w:val="24"/>
        </w:rPr>
        <w:t xml:space="preserve"> demanding luxury fashion industry. The company’s entry challenges are very strong, as its brand equity and </w:t>
      </w:r>
      <w:r w:rsidR="00DE68D6">
        <w:rPr>
          <w:rFonts w:eastAsia="Times New Roman"/>
          <w:sz w:val="24"/>
          <w:szCs w:val="24"/>
        </w:rPr>
        <w:t>worldwide</w:t>
      </w:r>
      <w:r w:rsidRPr="00DE68D6">
        <w:rPr>
          <w:rFonts w:eastAsia="Times New Roman"/>
          <w:sz w:val="24"/>
          <w:szCs w:val="24"/>
        </w:rPr>
        <w:t xml:space="preserve"> heritage boost consumers’ faith. Burberry indicates a decline rate of 15% in profitability in the 2024-25 year (</w:t>
      </w:r>
      <w:r w:rsidRPr="00DE68D6">
        <w:rPr>
          <w:rFonts w:eastAsia="Times New Roman"/>
          <w:color w:val="222222"/>
          <w:sz w:val="24"/>
          <w:szCs w:val="24"/>
          <w:highlight w:val="white"/>
        </w:rPr>
        <w:t>Zhang et al., 2025)</w:t>
      </w:r>
      <w:r w:rsidRPr="00DE68D6">
        <w:rPr>
          <w:rFonts w:eastAsia="Times New Roman"/>
          <w:sz w:val="24"/>
          <w:szCs w:val="24"/>
        </w:rPr>
        <w:t>. Consequently, it drops its loyalty</w:t>
      </w:r>
      <w:r w:rsidR="00DE68D6">
        <w:rPr>
          <w:rFonts w:eastAsia="Times New Roman"/>
          <w:sz w:val="24"/>
          <w:szCs w:val="24"/>
        </w:rPr>
        <w:t>,</w:t>
      </w:r>
      <w:r w:rsidRPr="00DE68D6">
        <w:rPr>
          <w:rFonts w:eastAsia="Times New Roman"/>
          <w:sz w:val="24"/>
          <w:szCs w:val="24"/>
        </w:rPr>
        <w:t xml:space="preserve"> </w:t>
      </w:r>
      <w:r w:rsidR="00DE68D6">
        <w:rPr>
          <w:rFonts w:eastAsia="Times New Roman"/>
          <w:sz w:val="24"/>
          <w:szCs w:val="24"/>
        </w:rPr>
        <w:t>which</w:t>
      </w:r>
      <w:r w:rsidRPr="00DE68D6">
        <w:rPr>
          <w:rFonts w:eastAsia="Times New Roman"/>
          <w:sz w:val="24"/>
          <w:szCs w:val="24"/>
        </w:rPr>
        <w:t xml:space="preserve"> weakens luxury claims across the world. The company’s major competitors </w:t>
      </w:r>
      <w:r w:rsidR="00DE68D6" w:rsidRPr="00DE68D6">
        <w:rPr>
          <w:rFonts w:eastAsia="Times New Roman"/>
          <w:sz w:val="24"/>
          <w:szCs w:val="24"/>
        </w:rPr>
        <w:t>are</w:t>
      </w:r>
      <w:r w:rsidRPr="00DE68D6">
        <w:rPr>
          <w:rFonts w:eastAsia="Times New Roman"/>
          <w:sz w:val="24"/>
          <w:szCs w:val="24"/>
        </w:rPr>
        <w:t xml:space="preserve"> Louis Vuitton and Gucci. These two leading global companies </w:t>
      </w:r>
      <w:proofErr w:type="spellStart"/>
      <w:r w:rsidR="00DE68D6">
        <w:rPr>
          <w:rFonts w:eastAsia="Times New Roman"/>
          <w:sz w:val="24"/>
          <w:szCs w:val="24"/>
        </w:rPr>
        <w:t>signalled</w:t>
      </w:r>
      <w:proofErr w:type="spellEnd"/>
      <w:r w:rsidRPr="00DE68D6">
        <w:rPr>
          <w:rFonts w:eastAsia="Times New Roman"/>
          <w:sz w:val="24"/>
          <w:szCs w:val="24"/>
        </w:rPr>
        <w:t xml:space="preserve"> improvement of 10% and 12% respectively. These companies’ growth rates give more push to Burberry for further improvement</w:t>
      </w:r>
      <w:r w:rsidR="00DE68D6">
        <w:rPr>
          <w:rFonts w:eastAsia="Times New Roman"/>
          <w:sz w:val="24"/>
          <w:szCs w:val="24"/>
        </w:rPr>
        <w:t>,</w:t>
      </w:r>
      <w:r w:rsidRPr="00DE68D6">
        <w:rPr>
          <w:rFonts w:eastAsia="Times New Roman"/>
          <w:sz w:val="24"/>
          <w:szCs w:val="24"/>
        </w:rPr>
        <w:t xml:space="preserve"> as well as </w:t>
      </w:r>
      <w:r w:rsidR="00DE68D6">
        <w:rPr>
          <w:rFonts w:eastAsia="Times New Roman"/>
          <w:sz w:val="24"/>
          <w:szCs w:val="24"/>
        </w:rPr>
        <w:t>adding</w:t>
      </w:r>
      <w:r w:rsidRPr="00DE68D6">
        <w:rPr>
          <w:rFonts w:eastAsia="Times New Roman"/>
          <w:sz w:val="24"/>
          <w:szCs w:val="24"/>
        </w:rPr>
        <w:t xml:space="preserve"> pressure (</w:t>
      </w:r>
      <w:r w:rsidRPr="00DE68D6">
        <w:rPr>
          <w:rFonts w:eastAsia="Times New Roman"/>
          <w:color w:val="222222"/>
          <w:sz w:val="24"/>
          <w:szCs w:val="24"/>
          <w:highlight w:val="white"/>
        </w:rPr>
        <w:t>Lim, 2023)</w:t>
      </w:r>
      <w:r w:rsidRPr="00DE68D6">
        <w:rPr>
          <w:rFonts w:eastAsia="Times New Roman"/>
          <w:sz w:val="24"/>
          <w:szCs w:val="24"/>
        </w:rPr>
        <w:t xml:space="preserve">. The expenses of changing providers can boost manufacturing charges by around 8-10% at the end of the year.        </w:t>
      </w:r>
    </w:p>
    <w:p w14:paraId="0000001F" w14:textId="5F289D41" w:rsidR="009F6EB2" w:rsidRPr="00DE68D6" w:rsidRDefault="001C3C25">
      <w:pPr>
        <w:spacing w:before="240" w:after="240" w:line="360" w:lineRule="auto"/>
        <w:jc w:val="both"/>
        <w:rPr>
          <w:rFonts w:eastAsia="Times New Roman"/>
          <w:sz w:val="24"/>
          <w:szCs w:val="24"/>
        </w:rPr>
      </w:pPr>
      <w:r w:rsidRPr="00DE68D6">
        <w:rPr>
          <w:rFonts w:eastAsia="Times New Roman"/>
          <w:b/>
          <w:sz w:val="24"/>
          <w:szCs w:val="24"/>
        </w:rPr>
        <w:t>Impact on Strategic Decision-Making and Overall Success</w:t>
      </w:r>
    </w:p>
    <w:p w14:paraId="00000020" w14:textId="03236222" w:rsidR="009F6EB2" w:rsidRPr="00DE68D6" w:rsidRDefault="001C3C25">
      <w:pPr>
        <w:spacing w:before="240" w:after="240" w:line="360" w:lineRule="auto"/>
        <w:jc w:val="both"/>
        <w:rPr>
          <w:rFonts w:eastAsia="Times New Roman"/>
          <w:color w:val="FF0000"/>
          <w:sz w:val="24"/>
          <w:szCs w:val="24"/>
        </w:rPr>
      </w:pPr>
      <w:r w:rsidRPr="00DE68D6">
        <w:rPr>
          <w:rFonts w:eastAsia="Times New Roman"/>
          <w:sz w:val="24"/>
          <w:szCs w:val="24"/>
        </w:rPr>
        <w:t xml:space="preserve">Such influences very heavily affect the tactical preferences of the brand in development, pricing strategy and growth. Because of high competitiveness, the brand </w:t>
      </w:r>
      <w:r w:rsidR="00DE68D6" w:rsidRPr="00DE68D6">
        <w:rPr>
          <w:rFonts w:eastAsia="Times New Roman"/>
          <w:sz w:val="24"/>
          <w:szCs w:val="24"/>
        </w:rPr>
        <w:t>must</w:t>
      </w:r>
      <w:r w:rsidRPr="00DE68D6">
        <w:rPr>
          <w:rFonts w:eastAsia="Times New Roman"/>
          <w:sz w:val="24"/>
          <w:szCs w:val="24"/>
        </w:rPr>
        <w:t xml:space="preserve"> invest more in marketing approaches, such as digital marketing</w:t>
      </w:r>
      <w:r w:rsidR="004B32E6">
        <w:rPr>
          <w:rFonts w:eastAsia="Times New Roman"/>
          <w:sz w:val="24"/>
          <w:szCs w:val="24"/>
        </w:rPr>
        <w:t>,</w:t>
      </w:r>
      <w:r w:rsidRPr="00DE68D6">
        <w:rPr>
          <w:rFonts w:eastAsia="Times New Roman"/>
          <w:sz w:val="24"/>
          <w:szCs w:val="24"/>
        </w:rPr>
        <w:t xml:space="preserve"> and they will also have to change their goods. Providers’ limitations call for effective </w:t>
      </w:r>
      <w:r w:rsidR="004B32E6">
        <w:rPr>
          <w:rFonts w:eastAsia="Times New Roman"/>
          <w:sz w:val="24"/>
          <w:szCs w:val="24"/>
        </w:rPr>
        <w:t>expense</w:t>
      </w:r>
      <w:r w:rsidRPr="00DE68D6">
        <w:rPr>
          <w:rFonts w:eastAsia="Times New Roman"/>
          <w:sz w:val="24"/>
          <w:szCs w:val="24"/>
        </w:rPr>
        <w:t xml:space="preserve"> management for maintaining profits without compromising the quality of commodities (</w:t>
      </w:r>
      <w:r w:rsidRPr="00DE68D6">
        <w:rPr>
          <w:rFonts w:eastAsia="Times New Roman"/>
          <w:color w:val="222222"/>
          <w:sz w:val="24"/>
          <w:szCs w:val="24"/>
          <w:highlight w:val="white"/>
        </w:rPr>
        <w:t>McCormick and Ram, 2022)</w:t>
      </w:r>
      <w:r w:rsidRPr="00DE68D6">
        <w:rPr>
          <w:rFonts w:eastAsia="Times New Roman"/>
          <w:sz w:val="24"/>
          <w:szCs w:val="24"/>
        </w:rPr>
        <w:t xml:space="preserve">. Poor faith </w:t>
      </w:r>
      <w:proofErr w:type="gramStart"/>
      <w:r w:rsidRPr="00DE68D6">
        <w:rPr>
          <w:rFonts w:eastAsia="Times New Roman"/>
          <w:sz w:val="24"/>
          <w:szCs w:val="24"/>
        </w:rPr>
        <w:t>of</w:t>
      </w:r>
      <w:proofErr w:type="gramEnd"/>
      <w:r w:rsidRPr="00DE68D6">
        <w:rPr>
          <w:rFonts w:eastAsia="Times New Roman"/>
          <w:sz w:val="24"/>
          <w:szCs w:val="24"/>
        </w:rPr>
        <w:t xml:space="preserve"> the customers internationally </w:t>
      </w:r>
      <w:r w:rsidR="004B32E6" w:rsidRPr="00DE68D6">
        <w:rPr>
          <w:rFonts w:eastAsia="Times New Roman"/>
          <w:sz w:val="24"/>
          <w:szCs w:val="24"/>
        </w:rPr>
        <w:t>influences</w:t>
      </w:r>
      <w:r w:rsidRPr="00DE68D6">
        <w:rPr>
          <w:rFonts w:eastAsia="Times New Roman"/>
          <w:sz w:val="24"/>
          <w:szCs w:val="24"/>
        </w:rPr>
        <w:t xml:space="preserve"> brand credibility and sales predictions.        </w:t>
      </w:r>
    </w:p>
    <w:p w14:paraId="00000021" w14:textId="77777777" w:rsidR="009F6EB2" w:rsidRPr="004B32E6" w:rsidRDefault="001C3C25" w:rsidP="004B32E6">
      <w:pPr>
        <w:spacing w:before="240" w:after="240" w:line="360" w:lineRule="auto"/>
        <w:jc w:val="both"/>
        <w:rPr>
          <w:rFonts w:eastAsia="Times New Roman"/>
          <w:b/>
          <w:sz w:val="24"/>
          <w:szCs w:val="24"/>
        </w:rPr>
      </w:pPr>
      <w:r w:rsidRPr="004B32E6">
        <w:rPr>
          <w:rFonts w:eastAsia="Times New Roman"/>
          <w:b/>
          <w:sz w:val="24"/>
          <w:szCs w:val="24"/>
        </w:rPr>
        <w:t>Supporting Theories and Industry Examples</w:t>
      </w:r>
    </w:p>
    <w:p w14:paraId="00000022" w14:textId="1EACA2A1" w:rsidR="009F6EB2" w:rsidRPr="004B32E6" w:rsidRDefault="001C3C25" w:rsidP="004B32E6">
      <w:pPr>
        <w:spacing w:before="240" w:after="240" w:line="360" w:lineRule="auto"/>
        <w:jc w:val="both"/>
        <w:rPr>
          <w:rFonts w:eastAsia="Times New Roman"/>
          <w:color w:val="FF0000"/>
          <w:sz w:val="24"/>
          <w:szCs w:val="24"/>
        </w:rPr>
      </w:pPr>
      <w:r w:rsidRPr="004B32E6">
        <w:rPr>
          <w:rFonts w:eastAsia="Times New Roman"/>
          <w:sz w:val="24"/>
          <w:szCs w:val="24"/>
        </w:rPr>
        <w:t xml:space="preserve">This report employs RBV (Resource-Based View) and Porter’s Generic Strategies that describe the competitive fight of Burberry Group. This luxury product brand </w:t>
      </w:r>
      <w:r w:rsidR="004B32E6">
        <w:rPr>
          <w:rFonts w:eastAsia="Times New Roman"/>
          <w:sz w:val="24"/>
          <w:szCs w:val="24"/>
        </w:rPr>
        <w:t>pressures</w:t>
      </w:r>
      <w:r w:rsidRPr="004B32E6">
        <w:rPr>
          <w:rFonts w:eastAsia="Times New Roman"/>
          <w:sz w:val="24"/>
          <w:szCs w:val="24"/>
        </w:rPr>
        <w:t xml:space="preserve"> growth and heritage branding</w:t>
      </w:r>
      <w:r w:rsidR="004B32E6">
        <w:rPr>
          <w:rFonts w:eastAsia="Times New Roman"/>
          <w:sz w:val="24"/>
          <w:szCs w:val="24"/>
        </w:rPr>
        <w:t>,</w:t>
      </w:r>
      <w:r w:rsidRPr="004B32E6">
        <w:rPr>
          <w:rFonts w:eastAsia="Times New Roman"/>
          <w:sz w:val="24"/>
          <w:szCs w:val="24"/>
        </w:rPr>
        <w:t xml:space="preserve"> </w:t>
      </w:r>
      <w:proofErr w:type="spellStart"/>
      <w:r w:rsidR="004B32E6">
        <w:rPr>
          <w:rFonts w:eastAsia="Times New Roman"/>
          <w:sz w:val="24"/>
          <w:szCs w:val="24"/>
        </w:rPr>
        <w:t>utilising</w:t>
      </w:r>
      <w:proofErr w:type="spellEnd"/>
      <w:r w:rsidRPr="004B32E6">
        <w:rPr>
          <w:rFonts w:eastAsia="Times New Roman"/>
          <w:sz w:val="24"/>
          <w:szCs w:val="24"/>
        </w:rPr>
        <w:t xml:space="preserve"> distinction </w:t>
      </w:r>
      <w:r w:rsidR="004B32E6">
        <w:rPr>
          <w:rFonts w:eastAsia="Times New Roman"/>
          <w:sz w:val="24"/>
          <w:szCs w:val="24"/>
        </w:rPr>
        <w:t>to defend</w:t>
      </w:r>
      <w:r w:rsidRPr="004B32E6">
        <w:rPr>
          <w:rFonts w:eastAsia="Times New Roman"/>
          <w:sz w:val="24"/>
          <w:szCs w:val="24"/>
        </w:rPr>
        <w:t xml:space="preserve"> their market hardiness (</w:t>
      </w:r>
      <w:r w:rsidRPr="004B32E6">
        <w:rPr>
          <w:rFonts w:eastAsia="Times New Roman"/>
          <w:color w:val="222222"/>
          <w:sz w:val="24"/>
          <w:szCs w:val="24"/>
          <w:highlight w:val="white"/>
        </w:rPr>
        <w:t>Lawry, 2023)</w:t>
      </w:r>
      <w:r w:rsidRPr="004B32E6">
        <w:rPr>
          <w:rFonts w:eastAsia="Times New Roman"/>
          <w:sz w:val="24"/>
          <w:szCs w:val="24"/>
        </w:rPr>
        <w:t>. The RBV Theory aids the brand’s high investment in technologies and efficient artistry as rare assets that cannot be obtained again. As an instance, the exclusive partnership of Louis Vuitton improved the company’s customers’ footfalls by 20% in 2023 (</w:t>
      </w:r>
      <w:r w:rsidRPr="004B32E6">
        <w:rPr>
          <w:rFonts w:eastAsia="Times New Roman"/>
          <w:color w:val="222222"/>
          <w:sz w:val="24"/>
          <w:szCs w:val="24"/>
          <w:highlight w:val="white"/>
        </w:rPr>
        <w:t>Di Leo et al., 2023)</w:t>
      </w:r>
      <w:r w:rsidRPr="004B32E6">
        <w:rPr>
          <w:rFonts w:eastAsia="Times New Roman"/>
          <w:sz w:val="24"/>
          <w:szCs w:val="24"/>
        </w:rPr>
        <w:t xml:space="preserve">. On the same </w:t>
      </w:r>
      <w:r w:rsidR="001453B3" w:rsidRPr="004B32E6">
        <w:rPr>
          <w:rFonts w:eastAsia="Times New Roman"/>
          <w:sz w:val="24"/>
          <w:szCs w:val="24"/>
        </w:rPr>
        <w:t xml:space="preserve">note, Gucci </w:t>
      </w:r>
      <w:proofErr w:type="spellStart"/>
      <w:r w:rsidR="004B32E6">
        <w:rPr>
          <w:rFonts w:eastAsia="Times New Roman"/>
          <w:sz w:val="24"/>
          <w:szCs w:val="24"/>
        </w:rPr>
        <w:t>emphasised</w:t>
      </w:r>
      <w:proofErr w:type="spellEnd"/>
      <w:r w:rsidR="001453B3" w:rsidRPr="004B32E6">
        <w:rPr>
          <w:rFonts w:eastAsia="Times New Roman"/>
          <w:sz w:val="24"/>
          <w:szCs w:val="24"/>
        </w:rPr>
        <w:t xml:space="preserve"> mainly on</w:t>
      </w:r>
      <w:r w:rsidRPr="004B32E6">
        <w:rPr>
          <w:rFonts w:eastAsia="Times New Roman"/>
          <w:sz w:val="24"/>
          <w:szCs w:val="24"/>
        </w:rPr>
        <w:t xml:space="preserve"> eco-</w:t>
      </w:r>
      <w:r w:rsidRPr="004B32E6">
        <w:rPr>
          <w:rFonts w:eastAsia="Times New Roman"/>
          <w:sz w:val="24"/>
          <w:szCs w:val="24"/>
        </w:rPr>
        <w:lastRenderedPageBreak/>
        <w:t>conscious products</w:t>
      </w:r>
      <w:r w:rsidR="001453B3" w:rsidRPr="004B32E6">
        <w:rPr>
          <w:rFonts w:eastAsia="Times New Roman"/>
          <w:sz w:val="24"/>
          <w:szCs w:val="24"/>
        </w:rPr>
        <w:t>,</w:t>
      </w:r>
      <w:r w:rsidRPr="004B32E6">
        <w:rPr>
          <w:rFonts w:eastAsia="Times New Roman"/>
          <w:sz w:val="24"/>
          <w:szCs w:val="24"/>
        </w:rPr>
        <w:t xml:space="preserve"> </w:t>
      </w:r>
      <w:r w:rsidR="004B32E6">
        <w:rPr>
          <w:rFonts w:eastAsia="Times New Roman"/>
          <w:sz w:val="24"/>
          <w:szCs w:val="24"/>
        </w:rPr>
        <w:t>which</w:t>
      </w:r>
      <w:r w:rsidRPr="004B32E6">
        <w:rPr>
          <w:rFonts w:eastAsia="Times New Roman"/>
          <w:sz w:val="24"/>
          <w:szCs w:val="24"/>
        </w:rPr>
        <w:t xml:space="preserve"> helped them to increase their revenue by 12% in the previous year.      </w:t>
      </w:r>
    </w:p>
    <w:p w14:paraId="00000023" w14:textId="77777777" w:rsidR="009F6EB2" w:rsidRPr="004B32E6" w:rsidRDefault="001C3C25" w:rsidP="001453B3">
      <w:pPr>
        <w:pStyle w:val="Heading1"/>
        <w:rPr>
          <w:rFonts w:ascii="Arial" w:hAnsi="Arial"/>
          <w:sz w:val="24"/>
          <w:szCs w:val="24"/>
        </w:rPr>
      </w:pPr>
      <w:bookmarkStart w:id="3" w:name="_Toc210841862"/>
      <w:r w:rsidRPr="004B32E6">
        <w:rPr>
          <w:rFonts w:ascii="Arial" w:hAnsi="Arial"/>
          <w:sz w:val="24"/>
          <w:szCs w:val="24"/>
        </w:rPr>
        <w:t>Conclusion</w:t>
      </w:r>
      <w:bookmarkEnd w:id="3"/>
    </w:p>
    <w:p w14:paraId="00000024" w14:textId="404FFF99" w:rsidR="009F6EB2" w:rsidRPr="004B32E6" w:rsidRDefault="001C3C25">
      <w:pPr>
        <w:spacing w:before="240" w:after="240" w:line="360" w:lineRule="auto"/>
        <w:jc w:val="both"/>
        <w:rPr>
          <w:rFonts w:eastAsia="Times New Roman"/>
          <w:sz w:val="24"/>
          <w:szCs w:val="24"/>
        </w:rPr>
      </w:pPr>
      <w:r w:rsidRPr="004B32E6">
        <w:rPr>
          <w:rFonts w:eastAsia="Times New Roman"/>
          <w:sz w:val="24"/>
          <w:szCs w:val="24"/>
        </w:rPr>
        <w:t xml:space="preserve">The situational evaluation mirrors how much competition Burberry Group </w:t>
      </w:r>
      <w:r w:rsidR="001453B3" w:rsidRPr="004B32E6">
        <w:rPr>
          <w:rFonts w:eastAsia="Times New Roman"/>
          <w:sz w:val="24"/>
          <w:szCs w:val="24"/>
        </w:rPr>
        <w:t>Plc.</w:t>
      </w:r>
      <w:r w:rsidRPr="004B32E6">
        <w:rPr>
          <w:rFonts w:eastAsia="Times New Roman"/>
          <w:sz w:val="24"/>
          <w:szCs w:val="24"/>
        </w:rPr>
        <w:t xml:space="preserve"> encounters. They face the risk of </w:t>
      </w:r>
      <w:r w:rsidR="004B32E6">
        <w:rPr>
          <w:rFonts w:eastAsia="Times New Roman"/>
          <w:sz w:val="24"/>
          <w:szCs w:val="24"/>
        </w:rPr>
        <w:t>a medium-level</w:t>
      </w:r>
      <w:r w:rsidRPr="004B32E6">
        <w:rPr>
          <w:rFonts w:eastAsia="Times New Roman"/>
          <w:sz w:val="24"/>
          <w:szCs w:val="24"/>
        </w:rPr>
        <w:t xml:space="preserve"> provider worry and </w:t>
      </w:r>
      <w:r w:rsidR="004B32E6">
        <w:rPr>
          <w:rFonts w:eastAsia="Times New Roman"/>
          <w:sz w:val="24"/>
          <w:szCs w:val="24"/>
        </w:rPr>
        <w:t xml:space="preserve">a </w:t>
      </w:r>
      <w:r w:rsidRPr="004B32E6">
        <w:rPr>
          <w:rFonts w:eastAsia="Times New Roman"/>
          <w:sz w:val="24"/>
          <w:szCs w:val="24"/>
        </w:rPr>
        <w:t xml:space="preserve">low market entry barrier. Alternatives and customers’ negotiation </w:t>
      </w:r>
      <w:r w:rsidR="004B32E6">
        <w:rPr>
          <w:rFonts w:eastAsia="Times New Roman"/>
          <w:sz w:val="24"/>
          <w:szCs w:val="24"/>
        </w:rPr>
        <w:t>remain</w:t>
      </w:r>
      <w:r w:rsidRPr="004B32E6">
        <w:rPr>
          <w:rFonts w:eastAsia="Times New Roman"/>
          <w:sz w:val="24"/>
          <w:szCs w:val="24"/>
        </w:rPr>
        <w:t xml:space="preserve"> as medium challenges for retaining the company's goodwill and </w:t>
      </w:r>
      <w:proofErr w:type="spellStart"/>
      <w:r w:rsidR="004B32E6">
        <w:rPr>
          <w:rFonts w:eastAsia="Times New Roman"/>
          <w:sz w:val="24"/>
          <w:szCs w:val="24"/>
        </w:rPr>
        <w:t>stabilising</w:t>
      </w:r>
      <w:proofErr w:type="spellEnd"/>
      <w:r w:rsidRPr="004B32E6">
        <w:rPr>
          <w:rFonts w:eastAsia="Times New Roman"/>
          <w:sz w:val="24"/>
          <w:szCs w:val="24"/>
        </w:rPr>
        <w:t xml:space="preserve"> pricing. </w:t>
      </w:r>
    </w:p>
    <w:p w14:paraId="00000025" w14:textId="40860195" w:rsidR="009F6EB2" w:rsidRPr="004B32E6" w:rsidRDefault="001C3C25">
      <w:pPr>
        <w:spacing w:before="240" w:after="240" w:line="360" w:lineRule="auto"/>
        <w:jc w:val="both"/>
        <w:rPr>
          <w:rFonts w:eastAsia="Times New Roman"/>
          <w:sz w:val="24"/>
          <w:szCs w:val="24"/>
        </w:rPr>
      </w:pPr>
      <w:r w:rsidRPr="004B32E6">
        <w:rPr>
          <w:rFonts w:eastAsia="Times New Roman"/>
          <w:sz w:val="24"/>
          <w:szCs w:val="24"/>
        </w:rPr>
        <w:t xml:space="preserve">For trust development in the market for new consumer </w:t>
      </w:r>
      <w:proofErr w:type="gramStart"/>
      <w:r w:rsidRPr="004B32E6">
        <w:rPr>
          <w:rFonts w:eastAsia="Times New Roman"/>
          <w:sz w:val="24"/>
          <w:szCs w:val="24"/>
        </w:rPr>
        <w:t>entry</w:t>
      </w:r>
      <w:proofErr w:type="gramEnd"/>
      <w:r w:rsidRPr="004B32E6">
        <w:rPr>
          <w:rFonts w:eastAsia="Times New Roman"/>
          <w:sz w:val="24"/>
          <w:szCs w:val="24"/>
        </w:rPr>
        <w:t xml:space="preserve">, the brand must </w:t>
      </w:r>
      <w:r w:rsidR="004B32E6">
        <w:rPr>
          <w:rFonts w:eastAsia="Times New Roman"/>
          <w:sz w:val="24"/>
          <w:szCs w:val="24"/>
        </w:rPr>
        <w:t>improve</w:t>
      </w:r>
      <w:r w:rsidRPr="004B32E6">
        <w:rPr>
          <w:rFonts w:eastAsia="Times New Roman"/>
          <w:sz w:val="24"/>
          <w:szCs w:val="24"/>
        </w:rPr>
        <w:t xml:space="preserve"> </w:t>
      </w:r>
      <w:r w:rsidR="004B32E6">
        <w:rPr>
          <w:rFonts w:eastAsia="Times New Roman"/>
          <w:sz w:val="24"/>
          <w:szCs w:val="24"/>
        </w:rPr>
        <w:t>its</w:t>
      </w:r>
      <w:r w:rsidRPr="004B32E6">
        <w:rPr>
          <w:rFonts w:eastAsia="Times New Roman"/>
          <w:sz w:val="24"/>
          <w:szCs w:val="24"/>
        </w:rPr>
        <w:t xml:space="preserve"> commodity</w:t>
      </w:r>
      <w:r w:rsidR="004B32E6">
        <w:rPr>
          <w:rFonts w:eastAsia="Times New Roman"/>
          <w:sz w:val="24"/>
          <w:szCs w:val="24"/>
        </w:rPr>
        <w:t xml:space="preserve">, </w:t>
      </w:r>
      <w:r w:rsidRPr="004B32E6">
        <w:rPr>
          <w:rFonts w:eastAsia="Times New Roman"/>
          <w:sz w:val="24"/>
          <w:szCs w:val="24"/>
        </w:rPr>
        <w:t xml:space="preserve">quality and technical development. Increasing eco-friendly products and formulating partnerships with </w:t>
      </w:r>
      <w:r w:rsidR="004B32E6" w:rsidRPr="004B32E6">
        <w:rPr>
          <w:rFonts w:eastAsia="Times New Roman"/>
          <w:sz w:val="24"/>
          <w:szCs w:val="24"/>
        </w:rPr>
        <w:t>premier</w:t>
      </w:r>
      <w:r w:rsidRPr="004B32E6">
        <w:rPr>
          <w:rFonts w:eastAsia="Times New Roman"/>
          <w:sz w:val="24"/>
          <w:szCs w:val="24"/>
        </w:rPr>
        <w:t xml:space="preserve"> fashion designers can boost the </w:t>
      </w:r>
      <w:r w:rsidR="004B32E6">
        <w:rPr>
          <w:rFonts w:eastAsia="Times New Roman"/>
          <w:sz w:val="24"/>
          <w:szCs w:val="24"/>
        </w:rPr>
        <w:t>brand's</w:t>
      </w:r>
      <w:r w:rsidRPr="004B32E6">
        <w:rPr>
          <w:rFonts w:eastAsia="Times New Roman"/>
          <w:sz w:val="24"/>
          <w:szCs w:val="24"/>
        </w:rPr>
        <w:t xml:space="preserve"> faith across the globe. </w:t>
      </w:r>
    </w:p>
    <w:p w14:paraId="00000026" w14:textId="6D96395C" w:rsidR="009F6EB2" w:rsidRPr="004B32E6" w:rsidRDefault="004B32E6">
      <w:pPr>
        <w:spacing w:before="240" w:after="240" w:line="360" w:lineRule="auto"/>
        <w:jc w:val="both"/>
        <w:rPr>
          <w:rFonts w:eastAsia="Times New Roman"/>
          <w:b/>
          <w:sz w:val="24"/>
          <w:szCs w:val="24"/>
        </w:rPr>
      </w:pPr>
      <w:r>
        <w:rPr>
          <w:rFonts w:eastAsia="Times New Roman"/>
          <w:sz w:val="24"/>
          <w:szCs w:val="24"/>
        </w:rPr>
        <w:t>The above</w:t>
      </w:r>
      <w:r w:rsidRPr="004B32E6">
        <w:rPr>
          <w:rFonts w:eastAsia="Times New Roman"/>
          <w:sz w:val="24"/>
          <w:szCs w:val="24"/>
        </w:rPr>
        <w:t>-mentioned</w:t>
      </w:r>
      <w:r w:rsidR="001C3C25" w:rsidRPr="004B32E6">
        <w:rPr>
          <w:rFonts w:eastAsia="Times New Roman"/>
          <w:sz w:val="24"/>
          <w:szCs w:val="24"/>
        </w:rPr>
        <w:t xml:space="preserve"> analysis assists the company </w:t>
      </w:r>
      <w:r>
        <w:rPr>
          <w:rFonts w:eastAsia="Times New Roman"/>
          <w:sz w:val="24"/>
          <w:szCs w:val="24"/>
        </w:rPr>
        <w:t>in perceiving</w:t>
      </w:r>
      <w:r w:rsidR="001C3C25" w:rsidRPr="004B32E6">
        <w:rPr>
          <w:rFonts w:eastAsia="Times New Roman"/>
          <w:sz w:val="24"/>
          <w:szCs w:val="24"/>
        </w:rPr>
        <w:t xml:space="preserve"> how much competition they are facing and </w:t>
      </w:r>
      <w:r>
        <w:rPr>
          <w:rFonts w:eastAsia="Times New Roman"/>
          <w:sz w:val="24"/>
          <w:szCs w:val="24"/>
        </w:rPr>
        <w:t xml:space="preserve">the </w:t>
      </w:r>
      <w:r w:rsidR="001C3C25" w:rsidRPr="004B32E6">
        <w:rPr>
          <w:rFonts w:eastAsia="Times New Roman"/>
          <w:sz w:val="24"/>
          <w:szCs w:val="24"/>
        </w:rPr>
        <w:t xml:space="preserve">market </w:t>
      </w:r>
      <w:proofErr w:type="spellStart"/>
      <w:r>
        <w:rPr>
          <w:rFonts w:eastAsia="Times New Roman"/>
          <w:sz w:val="24"/>
          <w:szCs w:val="24"/>
        </w:rPr>
        <w:t>behaviour</w:t>
      </w:r>
      <w:proofErr w:type="spellEnd"/>
      <w:r w:rsidR="001C3C25" w:rsidRPr="004B32E6">
        <w:rPr>
          <w:rFonts w:eastAsia="Times New Roman"/>
          <w:sz w:val="24"/>
          <w:szCs w:val="24"/>
        </w:rPr>
        <w:t xml:space="preserve"> before taking vital decisions as far as business growth is concerned. This analysis backs </w:t>
      </w:r>
      <w:r>
        <w:rPr>
          <w:rFonts w:eastAsia="Times New Roman"/>
          <w:sz w:val="24"/>
          <w:szCs w:val="24"/>
        </w:rPr>
        <w:t xml:space="preserve">the </w:t>
      </w:r>
      <w:r w:rsidR="001C3C25" w:rsidRPr="004B32E6">
        <w:rPr>
          <w:rFonts w:eastAsia="Times New Roman"/>
          <w:sz w:val="24"/>
          <w:szCs w:val="24"/>
        </w:rPr>
        <w:t xml:space="preserve">positive prediction of sales and confirms </w:t>
      </w:r>
      <w:r w:rsidR="002A36A8">
        <w:rPr>
          <w:rFonts w:eastAsia="Times New Roman"/>
          <w:sz w:val="24"/>
          <w:szCs w:val="24"/>
        </w:rPr>
        <w:t xml:space="preserve">that </w:t>
      </w:r>
      <w:r w:rsidR="001C3C25" w:rsidRPr="004B32E6">
        <w:rPr>
          <w:rFonts w:eastAsia="Times New Roman"/>
          <w:sz w:val="24"/>
          <w:szCs w:val="24"/>
        </w:rPr>
        <w:t xml:space="preserve">approaches stay integrated into </w:t>
      </w:r>
      <w:r>
        <w:rPr>
          <w:rFonts w:eastAsia="Times New Roman"/>
          <w:sz w:val="24"/>
          <w:szCs w:val="24"/>
        </w:rPr>
        <w:t>long-term</w:t>
      </w:r>
      <w:r w:rsidR="001C3C25" w:rsidRPr="004B32E6">
        <w:rPr>
          <w:rFonts w:eastAsia="Times New Roman"/>
          <w:sz w:val="24"/>
          <w:szCs w:val="24"/>
        </w:rPr>
        <w:t xml:space="preserve"> objectives and external market environments.             </w:t>
      </w:r>
      <w:r w:rsidR="001C3C25" w:rsidRPr="004B32E6">
        <w:rPr>
          <w:rFonts w:eastAsia="Times New Roman"/>
          <w:b/>
          <w:sz w:val="24"/>
          <w:szCs w:val="24"/>
        </w:rPr>
        <w:t xml:space="preserve"> </w:t>
      </w:r>
    </w:p>
    <w:p w14:paraId="00000027" w14:textId="77777777" w:rsidR="009F6EB2" w:rsidRDefault="009F6EB2">
      <w:pPr>
        <w:spacing w:before="240" w:after="240" w:line="360" w:lineRule="auto"/>
        <w:jc w:val="both"/>
        <w:rPr>
          <w:rFonts w:ascii="Times New Roman" w:eastAsia="Times New Roman" w:hAnsi="Times New Roman" w:cs="Times New Roman"/>
          <w:color w:val="FF0000"/>
          <w:sz w:val="24"/>
          <w:szCs w:val="24"/>
        </w:rPr>
      </w:pPr>
    </w:p>
    <w:p w14:paraId="00000028" w14:textId="77777777" w:rsidR="009F6EB2" w:rsidRDefault="001C3C25">
      <w:pPr>
        <w:spacing w:before="120" w:after="120" w:line="360" w:lineRule="auto"/>
        <w:jc w:val="both"/>
        <w:rPr>
          <w:rFonts w:ascii="Times New Roman" w:eastAsia="Times New Roman" w:hAnsi="Times New Roman" w:cs="Times New Roman"/>
          <w:sz w:val="28"/>
          <w:szCs w:val="28"/>
        </w:rPr>
      </w:pPr>
      <w:r>
        <w:br w:type="page"/>
      </w:r>
    </w:p>
    <w:p w14:paraId="00000029" w14:textId="77777777" w:rsidR="009F6EB2" w:rsidRPr="004B32E6" w:rsidRDefault="001C3C25" w:rsidP="001453B3">
      <w:pPr>
        <w:pStyle w:val="Heading1"/>
        <w:rPr>
          <w:rFonts w:ascii="Arial" w:hAnsi="Arial"/>
        </w:rPr>
      </w:pPr>
      <w:bookmarkStart w:id="4" w:name="_Toc210841863"/>
      <w:r w:rsidRPr="004B32E6">
        <w:rPr>
          <w:rFonts w:ascii="Arial" w:hAnsi="Arial"/>
        </w:rPr>
        <w:lastRenderedPageBreak/>
        <w:t>References</w:t>
      </w:r>
      <w:bookmarkEnd w:id="4"/>
    </w:p>
    <w:p w14:paraId="12C3566B" w14:textId="77777777" w:rsidR="004B32E6" w:rsidRDefault="001453B3">
      <w:pPr>
        <w:spacing w:before="240" w:after="240" w:line="360" w:lineRule="auto"/>
        <w:jc w:val="both"/>
        <w:rPr>
          <w:rFonts w:eastAsia="Times New Roman"/>
          <w:i/>
          <w:sz w:val="24"/>
          <w:szCs w:val="24"/>
        </w:rPr>
      </w:pPr>
      <w:r w:rsidRPr="004B32E6">
        <w:rPr>
          <w:rFonts w:eastAsia="Times New Roman"/>
          <w:sz w:val="24"/>
          <w:szCs w:val="24"/>
        </w:rPr>
        <w:t xml:space="preserve">burberryplc.com, 2025a. </w:t>
      </w:r>
      <w:r w:rsidRPr="004B32E6">
        <w:rPr>
          <w:rFonts w:eastAsia="Times New Roman"/>
          <w:i/>
          <w:sz w:val="24"/>
          <w:szCs w:val="24"/>
        </w:rPr>
        <w:t>Burberry Annual Report 2024/25</w:t>
      </w:r>
    </w:p>
    <w:p w14:paraId="123F8E5C" w14:textId="2401BB7C" w:rsidR="004B32E6" w:rsidRDefault="001453B3">
      <w:pPr>
        <w:spacing w:before="240" w:after="240" w:line="360" w:lineRule="auto"/>
        <w:jc w:val="both"/>
        <w:rPr>
          <w:rFonts w:eastAsia="Times New Roman"/>
          <w:sz w:val="24"/>
          <w:szCs w:val="24"/>
        </w:rPr>
      </w:pPr>
      <w:r w:rsidRPr="004B32E6">
        <w:rPr>
          <w:rFonts w:eastAsia="Times New Roman"/>
          <w:sz w:val="24"/>
          <w:szCs w:val="24"/>
        </w:rPr>
        <w:t>Available</w:t>
      </w:r>
      <w:r w:rsidR="004B32E6">
        <w:rPr>
          <w:rFonts w:eastAsia="Times New Roman"/>
          <w:sz w:val="24"/>
          <w:szCs w:val="24"/>
        </w:rPr>
        <w:t>:</w:t>
      </w:r>
      <w:hyperlink r:id="rId7" w:history="1">
        <w:r w:rsidR="004B32E6" w:rsidRPr="00A2515E">
          <w:rPr>
            <w:rStyle w:val="Hyperlink"/>
            <w:rFonts w:eastAsia="Times New Roman"/>
            <w:sz w:val="24"/>
            <w:szCs w:val="24"/>
          </w:rPr>
          <w:t>https://www.burberryplc.com/content/dam/burberryplc/corporate/oar/oar-2024-2025/annual-report-2024-25.pdf</w:t>
        </w:r>
      </w:hyperlink>
    </w:p>
    <w:p w14:paraId="7A5548B7" w14:textId="3F51D76F" w:rsidR="001453B3" w:rsidRPr="004B32E6" w:rsidRDefault="001453B3">
      <w:pPr>
        <w:spacing w:before="240" w:after="240" w:line="360" w:lineRule="auto"/>
        <w:jc w:val="both"/>
      </w:pPr>
      <w:r w:rsidRPr="004B32E6">
        <w:rPr>
          <w:rFonts w:eastAsia="Times New Roman"/>
          <w:sz w:val="24"/>
          <w:szCs w:val="24"/>
        </w:rPr>
        <w:t>Accessed on</w:t>
      </w:r>
      <w:r w:rsidR="004B32E6">
        <w:rPr>
          <w:rFonts w:eastAsia="Times New Roman"/>
          <w:sz w:val="24"/>
          <w:szCs w:val="24"/>
        </w:rPr>
        <w:t>:</w:t>
      </w:r>
      <w:r w:rsidRPr="004B32E6">
        <w:rPr>
          <w:rFonts w:eastAsia="Times New Roman"/>
          <w:sz w:val="24"/>
          <w:szCs w:val="24"/>
        </w:rPr>
        <w:t xml:space="preserve"> 1st October 2025</w:t>
      </w:r>
    </w:p>
    <w:p w14:paraId="2D64CCA9" w14:textId="77777777" w:rsidR="004B32E6" w:rsidRDefault="001453B3">
      <w:pPr>
        <w:spacing w:before="240" w:after="240" w:line="360" w:lineRule="auto"/>
        <w:jc w:val="both"/>
        <w:rPr>
          <w:rFonts w:eastAsia="Times New Roman"/>
          <w:sz w:val="24"/>
          <w:szCs w:val="24"/>
        </w:rPr>
      </w:pPr>
      <w:r w:rsidRPr="004B32E6">
        <w:rPr>
          <w:rFonts w:eastAsia="Times New Roman"/>
          <w:sz w:val="24"/>
          <w:szCs w:val="24"/>
        </w:rPr>
        <w:t xml:space="preserve">burberryplc.com, 2025b. </w:t>
      </w:r>
      <w:r w:rsidRPr="004B32E6">
        <w:rPr>
          <w:rFonts w:eastAsia="Times New Roman"/>
          <w:i/>
          <w:sz w:val="24"/>
          <w:szCs w:val="24"/>
        </w:rPr>
        <w:t>Business Model</w:t>
      </w:r>
      <w:r w:rsidRPr="004B32E6">
        <w:rPr>
          <w:rFonts w:eastAsia="Times New Roman"/>
          <w:sz w:val="24"/>
          <w:szCs w:val="24"/>
        </w:rPr>
        <w:t xml:space="preserve"> </w:t>
      </w:r>
    </w:p>
    <w:p w14:paraId="646C3F86" w14:textId="35E76A84" w:rsidR="004B32E6" w:rsidRPr="004B32E6" w:rsidRDefault="001453B3">
      <w:pPr>
        <w:spacing w:before="240" w:after="240" w:line="360" w:lineRule="auto"/>
        <w:jc w:val="both"/>
        <w:rPr>
          <w:rFonts w:eastAsia="Times New Roman"/>
          <w:sz w:val="24"/>
          <w:szCs w:val="24"/>
        </w:rPr>
      </w:pPr>
      <w:r w:rsidRPr="004B32E6">
        <w:rPr>
          <w:rFonts w:eastAsia="Times New Roman"/>
          <w:sz w:val="24"/>
          <w:szCs w:val="24"/>
        </w:rPr>
        <w:t>Available at:</w:t>
      </w:r>
      <w:r w:rsidR="004B32E6">
        <w:rPr>
          <w:rFonts w:eastAsia="Times New Roman"/>
          <w:sz w:val="24"/>
          <w:szCs w:val="24"/>
        </w:rPr>
        <w:t xml:space="preserve"> </w:t>
      </w:r>
      <w:hyperlink r:id="rId8" w:history="1">
        <w:r w:rsidR="004B32E6" w:rsidRPr="00A2515E">
          <w:rPr>
            <w:rStyle w:val="Hyperlink"/>
            <w:rFonts w:eastAsia="Times New Roman"/>
            <w:sz w:val="24"/>
            <w:szCs w:val="24"/>
          </w:rPr>
          <w:t>https://www.burberryplc.com/company/business-model</w:t>
        </w:r>
      </w:hyperlink>
    </w:p>
    <w:p w14:paraId="34D37C42" w14:textId="41C283FB" w:rsidR="001453B3" w:rsidRPr="004B32E6" w:rsidRDefault="001453B3">
      <w:pPr>
        <w:spacing w:before="240" w:after="240" w:line="360" w:lineRule="auto"/>
        <w:jc w:val="both"/>
        <w:rPr>
          <w:rFonts w:eastAsia="Times New Roman"/>
          <w:sz w:val="24"/>
          <w:szCs w:val="24"/>
        </w:rPr>
      </w:pPr>
      <w:r w:rsidRPr="004B32E6">
        <w:rPr>
          <w:rFonts w:eastAsia="Times New Roman"/>
          <w:sz w:val="24"/>
          <w:szCs w:val="24"/>
        </w:rPr>
        <w:t xml:space="preserve"> Accessed on</w:t>
      </w:r>
      <w:r w:rsidR="004B32E6">
        <w:rPr>
          <w:rFonts w:eastAsia="Times New Roman"/>
          <w:sz w:val="24"/>
          <w:szCs w:val="24"/>
        </w:rPr>
        <w:t>:</w:t>
      </w:r>
      <w:r w:rsidRPr="004B32E6">
        <w:rPr>
          <w:rFonts w:eastAsia="Times New Roman"/>
          <w:sz w:val="24"/>
          <w:szCs w:val="24"/>
        </w:rPr>
        <w:t xml:space="preserve"> 1st October 2025</w:t>
      </w:r>
    </w:p>
    <w:p w14:paraId="3052B97C" w14:textId="77777777" w:rsidR="001453B3" w:rsidRPr="004B32E6" w:rsidRDefault="001453B3">
      <w:pPr>
        <w:spacing w:before="240" w:after="240" w:line="360" w:lineRule="auto"/>
        <w:jc w:val="both"/>
        <w:rPr>
          <w:rFonts w:eastAsia="Times New Roman"/>
          <w:sz w:val="24"/>
          <w:szCs w:val="24"/>
        </w:rPr>
      </w:pPr>
      <w:r w:rsidRPr="004B32E6">
        <w:rPr>
          <w:rFonts w:eastAsia="Times New Roman"/>
          <w:sz w:val="24"/>
          <w:szCs w:val="24"/>
        </w:rPr>
        <w:t xml:space="preserve">Castillo-Abdul, B., Pérez-Escoda, A. and </w:t>
      </w:r>
      <w:proofErr w:type="spellStart"/>
      <w:r w:rsidRPr="004B32E6">
        <w:rPr>
          <w:rFonts w:eastAsia="Times New Roman"/>
          <w:sz w:val="24"/>
          <w:szCs w:val="24"/>
        </w:rPr>
        <w:t>Civila</w:t>
      </w:r>
      <w:proofErr w:type="spellEnd"/>
      <w:r w:rsidRPr="004B32E6">
        <w:rPr>
          <w:rFonts w:eastAsia="Times New Roman"/>
          <w:sz w:val="24"/>
          <w:szCs w:val="24"/>
        </w:rPr>
        <w:t xml:space="preserve">, S., 2022. Social media fostering happiness management: Three luxury brands case study on Instagram. </w:t>
      </w:r>
      <w:r w:rsidRPr="004B32E6">
        <w:rPr>
          <w:rFonts w:eastAsia="Times New Roman"/>
          <w:i/>
          <w:sz w:val="24"/>
          <w:szCs w:val="24"/>
        </w:rPr>
        <w:t>Corporate Governance: The International Journal of Business in Society</w:t>
      </w:r>
      <w:r w:rsidRPr="004B32E6">
        <w:rPr>
          <w:rFonts w:eastAsia="Times New Roman"/>
          <w:sz w:val="24"/>
          <w:szCs w:val="24"/>
        </w:rPr>
        <w:t xml:space="preserve">, </w:t>
      </w:r>
      <w:r w:rsidRPr="004B32E6">
        <w:rPr>
          <w:rFonts w:eastAsia="Times New Roman"/>
          <w:i/>
          <w:sz w:val="24"/>
          <w:szCs w:val="24"/>
        </w:rPr>
        <w:t>22</w:t>
      </w:r>
      <w:r w:rsidRPr="004B32E6">
        <w:rPr>
          <w:rFonts w:eastAsia="Times New Roman"/>
          <w:sz w:val="24"/>
          <w:szCs w:val="24"/>
        </w:rPr>
        <w:t>(3), pp.491-505.</w:t>
      </w:r>
    </w:p>
    <w:p w14:paraId="70A284CA" w14:textId="77777777" w:rsidR="001453B3" w:rsidRPr="004B32E6" w:rsidRDefault="001453B3">
      <w:pPr>
        <w:spacing w:before="240" w:after="240" w:line="360" w:lineRule="auto"/>
        <w:jc w:val="both"/>
        <w:rPr>
          <w:rFonts w:eastAsia="Times New Roman"/>
          <w:sz w:val="24"/>
          <w:szCs w:val="24"/>
        </w:rPr>
      </w:pPr>
      <w:r w:rsidRPr="004B32E6">
        <w:rPr>
          <w:rFonts w:eastAsia="Times New Roman"/>
          <w:sz w:val="24"/>
          <w:szCs w:val="24"/>
        </w:rPr>
        <w:t xml:space="preserve">De Loecker, J., </w:t>
      </w:r>
      <w:proofErr w:type="spellStart"/>
      <w:r w:rsidRPr="004B32E6">
        <w:rPr>
          <w:rFonts w:eastAsia="Times New Roman"/>
          <w:sz w:val="24"/>
          <w:szCs w:val="24"/>
        </w:rPr>
        <w:t>Eeckhout</w:t>
      </w:r>
      <w:proofErr w:type="spellEnd"/>
      <w:r w:rsidRPr="004B32E6">
        <w:rPr>
          <w:rFonts w:eastAsia="Times New Roman"/>
          <w:sz w:val="24"/>
          <w:szCs w:val="24"/>
        </w:rPr>
        <w:t xml:space="preserve">, J. and </w:t>
      </w:r>
      <w:proofErr w:type="spellStart"/>
      <w:r w:rsidRPr="004B32E6">
        <w:rPr>
          <w:rFonts w:eastAsia="Times New Roman"/>
          <w:sz w:val="24"/>
          <w:szCs w:val="24"/>
        </w:rPr>
        <w:t>Mongey</w:t>
      </w:r>
      <w:proofErr w:type="spellEnd"/>
      <w:r w:rsidRPr="004B32E6">
        <w:rPr>
          <w:rFonts w:eastAsia="Times New Roman"/>
          <w:sz w:val="24"/>
          <w:szCs w:val="24"/>
        </w:rPr>
        <w:t xml:space="preserve">, S., 2021. </w:t>
      </w:r>
      <w:r w:rsidRPr="004B32E6">
        <w:rPr>
          <w:rFonts w:eastAsia="Times New Roman"/>
          <w:i/>
          <w:sz w:val="24"/>
          <w:szCs w:val="24"/>
        </w:rPr>
        <w:t>Quantifying market power and business dynamism in the macroeconomy</w:t>
      </w:r>
      <w:r w:rsidRPr="004B32E6">
        <w:rPr>
          <w:rFonts w:eastAsia="Times New Roman"/>
          <w:sz w:val="24"/>
          <w:szCs w:val="24"/>
        </w:rPr>
        <w:t xml:space="preserve"> (No. w28761). National Bureau of Economic Research.</w:t>
      </w:r>
    </w:p>
    <w:p w14:paraId="25CD22CF" w14:textId="77777777" w:rsidR="001453B3" w:rsidRPr="004B32E6" w:rsidRDefault="001453B3">
      <w:pPr>
        <w:spacing w:before="240" w:after="240" w:line="360" w:lineRule="auto"/>
        <w:jc w:val="both"/>
        <w:rPr>
          <w:rFonts w:eastAsia="Times New Roman"/>
          <w:sz w:val="24"/>
          <w:szCs w:val="24"/>
          <w:highlight w:val="white"/>
        </w:rPr>
      </w:pPr>
      <w:r w:rsidRPr="004B32E6">
        <w:rPr>
          <w:rFonts w:eastAsia="Times New Roman"/>
          <w:sz w:val="24"/>
          <w:szCs w:val="24"/>
          <w:highlight w:val="white"/>
        </w:rPr>
        <w:t xml:space="preserve">Di Leo, A., Sfodera, F., </w:t>
      </w:r>
      <w:proofErr w:type="spellStart"/>
      <w:r w:rsidRPr="004B32E6">
        <w:rPr>
          <w:rFonts w:eastAsia="Times New Roman"/>
          <w:sz w:val="24"/>
          <w:szCs w:val="24"/>
          <w:highlight w:val="white"/>
        </w:rPr>
        <w:t>Cucari</w:t>
      </w:r>
      <w:proofErr w:type="spellEnd"/>
      <w:r w:rsidRPr="004B32E6">
        <w:rPr>
          <w:rFonts w:eastAsia="Times New Roman"/>
          <w:sz w:val="24"/>
          <w:szCs w:val="24"/>
          <w:highlight w:val="white"/>
        </w:rPr>
        <w:t xml:space="preserve">, N., Mattia, G. and Dezi, L., 2023. Sustainability reporting practices: an explorative analysis of luxury fashion brands. </w:t>
      </w:r>
      <w:r w:rsidRPr="004B32E6">
        <w:rPr>
          <w:rFonts w:eastAsia="Times New Roman"/>
          <w:i/>
          <w:sz w:val="24"/>
          <w:szCs w:val="24"/>
          <w:highlight w:val="white"/>
        </w:rPr>
        <w:t>Management decision</w:t>
      </w:r>
      <w:r w:rsidRPr="004B32E6">
        <w:rPr>
          <w:rFonts w:eastAsia="Times New Roman"/>
          <w:sz w:val="24"/>
          <w:szCs w:val="24"/>
          <w:highlight w:val="white"/>
        </w:rPr>
        <w:t xml:space="preserve">, </w:t>
      </w:r>
      <w:r w:rsidRPr="004B32E6">
        <w:rPr>
          <w:rFonts w:eastAsia="Times New Roman"/>
          <w:i/>
          <w:sz w:val="24"/>
          <w:szCs w:val="24"/>
          <w:highlight w:val="white"/>
        </w:rPr>
        <w:t>61</w:t>
      </w:r>
      <w:r w:rsidRPr="004B32E6">
        <w:rPr>
          <w:rFonts w:eastAsia="Times New Roman"/>
          <w:sz w:val="24"/>
          <w:szCs w:val="24"/>
          <w:highlight w:val="white"/>
        </w:rPr>
        <w:t>(5), pp.1274-1297.</w:t>
      </w:r>
    </w:p>
    <w:p w14:paraId="49BD288E" w14:textId="77777777" w:rsidR="001453B3" w:rsidRPr="004B32E6" w:rsidRDefault="001453B3">
      <w:pPr>
        <w:spacing w:before="240" w:after="240" w:line="360" w:lineRule="auto"/>
        <w:jc w:val="both"/>
        <w:rPr>
          <w:rFonts w:eastAsia="Times New Roman"/>
          <w:sz w:val="24"/>
          <w:szCs w:val="24"/>
          <w:highlight w:val="white"/>
        </w:rPr>
      </w:pPr>
      <w:r w:rsidRPr="004B32E6">
        <w:rPr>
          <w:rFonts w:eastAsia="Times New Roman"/>
          <w:sz w:val="24"/>
          <w:szCs w:val="24"/>
          <w:highlight w:val="white"/>
        </w:rPr>
        <w:t xml:space="preserve">Lawry, C.A., 2023. Futurizing luxury: an activity-centric model of phygital luxury experiences. </w:t>
      </w:r>
      <w:r w:rsidRPr="004B32E6">
        <w:rPr>
          <w:rFonts w:eastAsia="Times New Roman"/>
          <w:i/>
          <w:sz w:val="24"/>
          <w:szCs w:val="24"/>
          <w:highlight w:val="white"/>
        </w:rPr>
        <w:t>Journal of Fashion Marketing and Management: An International Journal</w:t>
      </w:r>
      <w:r w:rsidRPr="004B32E6">
        <w:rPr>
          <w:rFonts w:eastAsia="Times New Roman"/>
          <w:sz w:val="24"/>
          <w:szCs w:val="24"/>
          <w:highlight w:val="white"/>
        </w:rPr>
        <w:t xml:space="preserve">, </w:t>
      </w:r>
      <w:r w:rsidRPr="004B32E6">
        <w:rPr>
          <w:rFonts w:eastAsia="Times New Roman"/>
          <w:i/>
          <w:sz w:val="24"/>
          <w:szCs w:val="24"/>
          <w:highlight w:val="white"/>
        </w:rPr>
        <w:t>27</w:t>
      </w:r>
      <w:r w:rsidRPr="004B32E6">
        <w:rPr>
          <w:rFonts w:eastAsia="Times New Roman"/>
          <w:sz w:val="24"/>
          <w:szCs w:val="24"/>
          <w:highlight w:val="white"/>
        </w:rPr>
        <w:t>(3), pp.397-417.</w:t>
      </w:r>
    </w:p>
    <w:p w14:paraId="78C9A2C1" w14:textId="77777777" w:rsidR="001453B3" w:rsidRPr="004B32E6" w:rsidRDefault="001453B3">
      <w:pPr>
        <w:spacing w:before="240" w:after="240" w:line="360" w:lineRule="auto"/>
        <w:jc w:val="both"/>
        <w:rPr>
          <w:rFonts w:eastAsia="Times New Roman"/>
          <w:sz w:val="24"/>
          <w:szCs w:val="24"/>
          <w:highlight w:val="white"/>
        </w:rPr>
      </w:pPr>
      <w:r w:rsidRPr="004B32E6">
        <w:rPr>
          <w:rFonts w:eastAsia="Times New Roman"/>
          <w:sz w:val="24"/>
          <w:szCs w:val="24"/>
          <w:highlight w:val="white"/>
        </w:rPr>
        <w:t xml:space="preserve">Lim, M., 2023. ‘Net </w:t>
      </w:r>
      <w:proofErr w:type="spellStart"/>
      <w:r w:rsidRPr="004B32E6">
        <w:rPr>
          <w:rFonts w:eastAsia="Times New Roman"/>
          <w:sz w:val="24"/>
          <w:szCs w:val="24"/>
          <w:highlight w:val="white"/>
        </w:rPr>
        <w:t>Zero’Luxury</w:t>
      </w:r>
      <w:proofErr w:type="spellEnd"/>
      <w:r w:rsidRPr="004B32E6">
        <w:rPr>
          <w:rFonts w:eastAsia="Times New Roman"/>
          <w:sz w:val="24"/>
          <w:szCs w:val="24"/>
          <w:highlight w:val="white"/>
        </w:rPr>
        <w:t xml:space="preserve">: Guy Debord, Burberry and the Spectacle of (Hypo) Crisis. </w:t>
      </w:r>
      <w:r w:rsidRPr="004B32E6">
        <w:rPr>
          <w:rFonts w:eastAsia="Times New Roman"/>
          <w:i/>
          <w:sz w:val="24"/>
          <w:szCs w:val="24"/>
          <w:highlight w:val="white"/>
        </w:rPr>
        <w:t>Luxury</w:t>
      </w:r>
      <w:r w:rsidRPr="004B32E6">
        <w:rPr>
          <w:rFonts w:eastAsia="Times New Roman"/>
          <w:sz w:val="24"/>
          <w:szCs w:val="24"/>
          <w:highlight w:val="white"/>
        </w:rPr>
        <w:t xml:space="preserve">, </w:t>
      </w:r>
      <w:r w:rsidRPr="004B32E6">
        <w:rPr>
          <w:rFonts w:eastAsia="Times New Roman"/>
          <w:i/>
          <w:sz w:val="24"/>
          <w:szCs w:val="24"/>
          <w:highlight w:val="white"/>
        </w:rPr>
        <w:t>10</w:t>
      </w:r>
      <w:r w:rsidRPr="004B32E6">
        <w:rPr>
          <w:rFonts w:eastAsia="Times New Roman"/>
          <w:sz w:val="24"/>
          <w:szCs w:val="24"/>
          <w:highlight w:val="white"/>
        </w:rPr>
        <w:t>(1-2), pp.23-40.</w:t>
      </w:r>
    </w:p>
    <w:p w14:paraId="6A75B7C7" w14:textId="77777777" w:rsidR="001453B3" w:rsidRPr="004B32E6" w:rsidRDefault="001453B3">
      <w:pPr>
        <w:spacing w:before="240" w:after="240" w:line="360" w:lineRule="auto"/>
        <w:jc w:val="both"/>
        <w:rPr>
          <w:rFonts w:eastAsia="Times New Roman"/>
          <w:sz w:val="24"/>
          <w:szCs w:val="24"/>
          <w:highlight w:val="white"/>
        </w:rPr>
      </w:pPr>
      <w:r w:rsidRPr="004B32E6">
        <w:rPr>
          <w:rFonts w:eastAsia="Times New Roman"/>
          <w:sz w:val="24"/>
          <w:szCs w:val="24"/>
          <w:highlight w:val="white"/>
        </w:rPr>
        <w:t xml:space="preserve">McCormick, H. and Ram, P., 2022. ‘Take a Stand’: The Importance of Social Sustainability and Its Effect on Generation Z Consumption of Luxury Fashion Brands. In </w:t>
      </w:r>
      <w:r w:rsidRPr="004B32E6">
        <w:rPr>
          <w:rFonts w:eastAsia="Times New Roman"/>
          <w:i/>
          <w:sz w:val="24"/>
          <w:szCs w:val="24"/>
          <w:highlight w:val="white"/>
        </w:rPr>
        <w:lastRenderedPageBreak/>
        <w:t>Sustainable luxury: an international perspective</w:t>
      </w:r>
      <w:r w:rsidRPr="004B32E6">
        <w:rPr>
          <w:rFonts w:eastAsia="Times New Roman"/>
          <w:sz w:val="24"/>
          <w:szCs w:val="24"/>
          <w:highlight w:val="white"/>
        </w:rPr>
        <w:t xml:space="preserve"> (pp. 219-239). Cham: Springer International Publishing.</w:t>
      </w:r>
    </w:p>
    <w:p w14:paraId="41183C43" w14:textId="77777777" w:rsidR="001453B3" w:rsidRPr="004B32E6" w:rsidRDefault="001453B3">
      <w:pPr>
        <w:spacing w:before="240" w:after="240" w:line="360" w:lineRule="auto"/>
        <w:jc w:val="both"/>
        <w:rPr>
          <w:rFonts w:eastAsia="Times New Roman"/>
          <w:sz w:val="24"/>
          <w:szCs w:val="24"/>
        </w:rPr>
      </w:pPr>
      <w:r w:rsidRPr="004B32E6">
        <w:rPr>
          <w:rFonts w:eastAsia="Times New Roman"/>
          <w:sz w:val="24"/>
          <w:szCs w:val="24"/>
        </w:rPr>
        <w:t xml:space="preserve">Meyer, K.E., Li, J. and </w:t>
      </w:r>
      <w:proofErr w:type="spellStart"/>
      <w:r w:rsidRPr="004B32E6">
        <w:rPr>
          <w:rFonts w:eastAsia="Times New Roman"/>
          <w:sz w:val="24"/>
          <w:szCs w:val="24"/>
        </w:rPr>
        <w:t>Brouthers</w:t>
      </w:r>
      <w:proofErr w:type="spellEnd"/>
      <w:r w:rsidRPr="004B32E6">
        <w:rPr>
          <w:rFonts w:eastAsia="Times New Roman"/>
          <w:sz w:val="24"/>
          <w:szCs w:val="24"/>
        </w:rPr>
        <w:t xml:space="preserve">, K.D., 2023. International business in the digital age: Global strategies in a world of national institutions. </w:t>
      </w:r>
      <w:r w:rsidRPr="004B32E6">
        <w:rPr>
          <w:rFonts w:eastAsia="Times New Roman"/>
          <w:i/>
          <w:sz w:val="24"/>
          <w:szCs w:val="24"/>
        </w:rPr>
        <w:t>Journal of International Business Studies</w:t>
      </w:r>
      <w:r w:rsidRPr="004B32E6">
        <w:rPr>
          <w:rFonts w:eastAsia="Times New Roman"/>
          <w:sz w:val="24"/>
          <w:szCs w:val="24"/>
        </w:rPr>
        <w:t xml:space="preserve">, </w:t>
      </w:r>
      <w:r w:rsidRPr="004B32E6">
        <w:rPr>
          <w:rFonts w:eastAsia="Times New Roman"/>
          <w:i/>
          <w:sz w:val="24"/>
          <w:szCs w:val="24"/>
        </w:rPr>
        <w:t>54</w:t>
      </w:r>
      <w:r w:rsidRPr="004B32E6">
        <w:rPr>
          <w:rFonts w:eastAsia="Times New Roman"/>
          <w:sz w:val="24"/>
          <w:szCs w:val="24"/>
        </w:rPr>
        <w:t>(4), p.577.</w:t>
      </w:r>
    </w:p>
    <w:p w14:paraId="59CCB08D" w14:textId="77777777" w:rsidR="001453B3" w:rsidRPr="004B32E6" w:rsidRDefault="001453B3">
      <w:pPr>
        <w:spacing w:before="240" w:after="240" w:line="360" w:lineRule="auto"/>
        <w:jc w:val="both"/>
        <w:rPr>
          <w:rFonts w:eastAsia="Times New Roman"/>
          <w:sz w:val="24"/>
          <w:szCs w:val="24"/>
          <w:highlight w:val="white"/>
        </w:rPr>
      </w:pPr>
      <w:r w:rsidRPr="004B32E6">
        <w:rPr>
          <w:rFonts w:eastAsia="Times New Roman"/>
          <w:sz w:val="24"/>
          <w:szCs w:val="24"/>
          <w:highlight w:val="white"/>
        </w:rPr>
        <w:t xml:space="preserve">Zhang, Y., Liu, C. and Lang, C., 2025. How luxury fashion brands leverage TikTok to captivate young consumers: an exploratory investigation using video analytics. </w:t>
      </w:r>
      <w:r w:rsidRPr="004B32E6">
        <w:rPr>
          <w:rFonts w:eastAsia="Times New Roman"/>
          <w:i/>
          <w:sz w:val="24"/>
          <w:szCs w:val="24"/>
          <w:highlight w:val="white"/>
        </w:rPr>
        <w:t>Journal of Marketing Analytics</w:t>
      </w:r>
      <w:r w:rsidRPr="004B32E6">
        <w:rPr>
          <w:rFonts w:eastAsia="Times New Roman"/>
          <w:sz w:val="24"/>
          <w:szCs w:val="24"/>
          <w:highlight w:val="white"/>
        </w:rPr>
        <w:t xml:space="preserve">, </w:t>
      </w:r>
      <w:r w:rsidRPr="004B32E6">
        <w:rPr>
          <w:rFonts w:eastAsia="Times New Roman"/>
          <w:i/>
          <w:sz w:val="24"/>
          <w:szCs w:val="24"/>
          <w:highlight w:val="white"/>
        </w:rPr>
        <w:t>13</w:t>
      </w:r>
      <w:r w:rsidRPr="004B32E6">
        <w:rPr>
          <w:rFonts w:eastAsia="Times New Roman"/>
          <w:sz w:val="24"/>
          <w:szCs w:val="24"/>
          <w:highlight w:val="white"/>
        </w:rPr>
        <w:t>(1), pp.128-144.</w:t>
      </w:r>
    </w:p>
    <w:sectPr w:rsidR="001453B3" w:rsidRPr="004B32E6" w:rsidSect="001453B3">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6BCBB" w14:textId="77777777" w:rsidR="00DC4FE7" w:rsidRDefault="00DC4FE7" w:rsidP="001453B3">
      <w:pPr>
        <w:spacing w:line="240" w:lineRule="auto"/>
      </w:pPr>
      <w:r>
        <w:separator/>
      </w:r>
    </w:p>
  </w:endnote>
  <w:endnote w:type="continuationSeparator" w:id="0">
    <w:p w14:paraId="34D1E388" w14:textId="77777777" w:rsidR="00DC4FE7" w:rsidRDefault="00DC4FE7" w:rsidP="001453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1985166"/>
      <w:docPartObj>
        <w:docPartGallery w:val="Page Numbers (Bottom of Page)"/>
        <w:docPartUnique/>
      </w:docPartObj>
    </w:sdtPr>
    <w:sdtEndPr>
      <w:rPr>
        <w:noProof/>
      </w:rPr>
    </w:sdtEndPr>
    <w:sdtContent>
      <w:p w14:paraId="36A38BA8" w14:textId="75F50D2A" w:rsidR="001453B3" w:rsidRDefault="001453B3">
        <w:pPr>
          <w:pStyle w:val="Footer"/>
          <w:jc w:val="right"/>
        </w:pPr>
        <w:r>
          <w:fldChar w:fldCharType="begin"/>
        </w:r>
        <w:r>
          <w:instrText xml:space="preserve"> PAGE   \* MERGEFORMAT </w:instrText>
        </w:r>
        <w:r>
          <w:fldChar w:fldCharType="separate"/>
        </w:r>
        <w:r w:rsidR="00E87F43">
          <w:rPr>
            <w:noProof/>
          </w:rPr>
          <w:t>7</w:t>
        </w:r>
        <w:r>
          <w:rPr>
            <w:noProof/>
          </w:rPr>
          <w:fldChar w:fldCharType="end"/>
        </w:r>
      </w:p>
    </w:sdtContent>
  </w:sdt>
  <w:p w14:paraId="355FA7BA" w14:textId="77777777" w:rsidR="001453B3" w:rsidRDefault="00145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328CB" w14:textId="77777777" w:rsidR="00DC4FE7" w:rsidRDefault="00DC4FE7" w:rsidP="001453B3">
      <w:pPr>
        <w:spacing w:line="240" w:lineRule="auto"/>
      </w:pPr>
      <w:r>
        <w:separator/>
      </w:r>
    </w:p>
  </w:footnote>
  <w:footnote w:type="continuationSeparator" w:id="0">
    <w:p w14:paraId="6F23E425" w14:textId="77777777" w:rsidR="00DC4FE7" w:rsidRDefault="00DC4FE7" w:rsidP="001453B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F6EB2"/>
    <w:rsid w:val="001453B3"/>
    <w:rsid w:val="001C3C25"/>
    <w:rsid w:val="002A36A8"/>
    <w:rsid w:val="003C7B89"/>
    <w:rsid w:val="004A7C4E"/>
    <w:rsid w:val="004B32E6"/>
    <w:rsid w:val="0050678C"/>
    <w:rsid w:val="0078759B"/>
    <w:rsid w:val="008714E2"/>
    <w:rsid w:val="009F6EB2"/>
    <w:rsid w:val="00DC4FE7"/>
    <w:rsid w:val="00DE68D6"/>
    <w:rsid w:val="00E87F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808914"/>
  <w15:docId w15:val="{DAACA967-30E7-9E45-A294-9659ED68D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453B3"/>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453B3"/>
    <w:pPr>
      <w:tabs>
        <w:tab w:val="center" w:pos="4680"/>
        <w:tab w:val="right" w:pos="9360"/>
      </w:tabs>
      <w:spacing w:line="240" w:lineRule="auto"/>
    </w:pPr>
  </w:style>
  <w:style w:type="character" w:customStyle="1" w:styleId="HeaderChar">
    <w:name w:val="Header Char"/>
    <w:basedOn w:val="DefaultParagraphFont"/>
    <w:link w:val="Header"/>
    <w:uiPriority w:val="99"/>
    <w:rsid w:val="001453B3"/>
  </w:style>
  <w:style w:type="paragraph" w:styleId="Footer">
    <w:name w:val="footer"/>
    <w:basedOn w:val="Normal"/>
    <w:link w:val="FooterChar"/>
    <w:uiPriority w:val="99"/>
    <w:unhideWhenUsed/>
    <w:rsid w:val="001453B3"/>
    <w:pPr>
      <w:tabs>
        <w:tab w:val="center" w:pos="4680"/>
        <w:tab w:val="right" w:pos="9360"/>
      </w:tabs>
      <w:spacing w:line="240" w:lineRule="auto"/>
    </w:pPr>
  </w:style>
  <w:style w:type="character" w:customStyle="1" w:styleId="FooterChar">
    <w:name w:val="Footer Char"/>
    <w:basedOn w:val="DefaultParagraphFont"/>
    <w:link w:val="Footer"/>
    <w:uiPriority w:val="99"/>
    <w:rsid w:val="001453B3"/>
  </w:style>
  <w:style w:type="paragraph" w:styleId="TOCHeading">
    <w:name w:val="TOC Heading"/>
    <w:basedOn w:val="Heading1"/>
    <w:next w:val="Normal"/>
    <w:uiPriority w:val="39"/>
    <w:semiHidden/>
    <w:unhideWhenUsed/>
    <w:qFormat/>
    <w:rsid w:val="001453B3"/>
    <w:pPr>
      <w:spacing w:before="480" w:after="0" w:line="276" w:lineRule="auto"/>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1453B3"/>
    <w:pPr>
      <w:spacing w:after="100"/>
    </w:pPr>
  </w:style>
  <w:style w:type="character" w:styleId="Hyperlink">
    <w:name w:val="Hyperlink"/>
    <w:basedOn w:val="DefaultParagraphFont"/>
    <w:uiPriority w:val="99"/>
    <w:unhideWhenUsed/>
    <w:rsid w:val="001453B3"/>
    <w:rPr>
      <w:color w:val="0000FF" w:themeColor="hyperlink"/>
      <w:u w:val="single"/>
    </w:rPr>
  </w:style>
  <w:style w:type="paragraph" w:styleId="BalloonText">
    <w:name w:val="Balloon Text"/>
    <w:basedOn w:val="Normal"/>
    <w:link w:val="BalloonTextChar"/>
    <w:uiPriority w:val="99"/>
    <w:semiHidden/>
    <w:unhideWhenUsed/>
    <w:rsid w:val="001453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3B3"/>
    <w:rPr>
      <w:rFonts w:ascii="Tahoma" w:hAnsi="Tahoma" w:cs="Tahoma"/>
      <w:sz w:val="16"/>
      <w:szCs w:val="16"/>
    </w:rPr>
  </w:style>
  <w:style w:type="character" w:styleId="UnresolvedMention">
    <w:name w:val="Unresolved Mention"/>
    <w:basedOn w:val="DefaultParagraphFont"/>
    <w:uiPriority w:val="99"/>
    <w:semiHidden/>
    <w:unhideWhenUsed/>
    <w:rsid w:val="004B32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urberryplc.com/company/business-model" TargetMode="External"/><Relationship Id="rId3" Type="http://schemas.openxmlformats.org/officeDocument/2006/relationships/settings" Target="settings.xml"/><Relationship Id="rId7" Type="http://schemas.openxmlformats.org/officeDocument/2006/relationships/hyperlink" Target="https://www.burberryplc.com/content/dam/burberryplc/corporate/oar/oar-2024-2025/annual-report-2024-25.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40343A-A250-4EAC-8ABA-94F4A46D3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8</Pages>
  <Words>1413</Words>
  <Characters>8451</Characters>
  <Application>Microsoft Office Word</Application>
  <DocSecurity>0</DocSecurity>
  <Lines>162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Florenta Ene (2310121)</cp:lastModifiedBy>
  <cp:revision>3</cp:revision>
  <dcterms:created xsi:type="dcterms:W3CDTF">2025-10-09T14:02:00Z</dcterms:created>
  <dcterms:modified xsi:type="dcterms:W3CDTF">2025-10-09T15:05:00Z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f6d6533f-b71f-4963-9b97-768d4e3804a1</vt:lpwstr>
  </property>
</Properties>
</file>