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Arial" w:eastAsiaTheme="minorHAnsi" w:hAnsi="Arial"/>
          <w:color w:val="156082" w:themeColor="accent1"/>
          <w:kern w:val="2"/>
          <w:sz w:val="56"/>
          <w:szCs w:val="56"/>
          <w:lang w:val="en-GB"/>
          <w14:ligatures w14:val="standardContextual"/>
        </w:rPr>
        <w:id w:val="442587868"/>
        <w:docPartObj>
          <w:docPartGallery w:val="Cover Pages"/>
          <w:docPartUnique/>
        </w:docPartObj>
      </w:sdtPr>
      <w:sdtEndPr>
        <w:rPr>
          <w:rFonts w:cs="Arial"/>
          <w:color w:val="auto"/>
          <w:sz w:val="24"/>
          <w:szCs w:val="22"/>
        </w:rPr>
      </w:sdtEndPr>
      <w:sdtContent>
        <w:p w14:paraId="22E07EA4" w14:textId="11EB6192" w:rsidR="0044711D" w:rsidRPr="00AD735F" w:rsidRDefault="00AB1969">
          <w:pPr>
            <w:pStyle w:val="NoSpacing"/>
            <w:spacing w:before="1540" w:after="240"/>
            <w:jc w:val="center"/>
            <w:rPr>
              <w:b/>
              <w:sz w:val="56"/>
              <w:szCs w:val="56"/>
            </w:rPr>
          </w:pPr>
          <w:r w:rsidRPr="00AD735F">
            <w:rPr>
              <w:b/>
              <w:sz w:val="56"/>
              <w:szCs w:val="56"/>
            </w:rPr>
            <w:t>U</w:t>
          </w:r>
          <w:r w:rsidR="0044711D" w:rsidRPr="00AD735F">
            <w:rPr>
              <w:b/>
              <w:sz w:val="56"/>
              <w:szCs w:val="56"/>
            </w:rPr>
            <w:t>niversity of Wales Trinity Saint David</w:t>
          </w:r>
        </w:p>
        <w:sdt>
          <w:sdtPr>
            <w:rPr>
              <w:rFonts w:asciiTheme="majorHAnsi" w:eastAsiaTheme="majorEastAsia" w:hAnsiTheme="majorHAnsi" w:cstheme="majorBidi"/>
              <w:b/>
              <w:bCs/>
              <w:caps/>
              <w:sz w:val="72"/>
              <w:szCs w:val="72"/>
            </w:rPr>
            <w:alias w:val="Title"/>
            <w:tag w:val=""/>
            <w:id w:val="1735040861"/>
            <w:placeholder>
              <w:docPart w:val="63F02B49DE034E808DD3509D38A0C78C"/>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9672961" w14:textId="54399134" w:rsidR="0044711D" w:rsidRPr="0044711D" w:rsidRDefault="0044711D">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b/>
                  <w:bCs/>
                  <w:caps/>
                  <w:sz w:val="80"/>
                  <w:szCs w:val="80"/>
                </w:rPr>
              </w:pPr>
              <w:r w:rsidRPr="0044711D">
                <w:rPr>
                  <w:rFonts w:asciiTheme="majorHAnsi" w:eastAsiaTheme="majorEastAsia" w:hAnsiTheme="majorHAnsi" w:cstheme="majorBidi"/>
                  <w:b/>
                  <w:bCs/>
                  <w:caps/>
                  <w:sz w:val="72"/>
                  <w:szCs w:val="72"/>
                </w:rPr>
                <w:t>lcbb6002 international financial management – coursework: written report</w:t>
              </w:r>
            </w:p>
          </w:sdtContent>
        </w:sdt>
        <w:sdt>
          <w:sdtPr>
            <w:rPr>
              <w:b/>
              <w:sz w:val="36"/>
              <w:szCs w:val="36"/>
            </w:rPr>
            <w:alias w:val="Subtitle"/>
            <w:tag w:val=""/>
            <w:id w:val="328029620"/>
            <w:placeholder>
              <w:docPart w:val="93ABFB6DD5D14C1F8452CB900EA05C73"/>
            </w:placeholder>
            <w:dataBinding w:prefixMappings="xmlns:ns0='http://purl.org/dc/elements/1.1/' xmlns:ns1='http://schemas.openxmlformats.org/package/2006/metadata/core-properties' " w:xpath="/ns1:coreProperties[1]/ns0:subject[1]" w:storeItemID="{6C3C8BC8-F283-45AE-878A-BAB7291924A1}"/>
            <w:text/>
          </w:sdtPr>
          <w:sdtEndPr/>
          <w:sdtContent>
            <w:p w14:paraId="25AB32E0" w14:textId="17D6E510" w:rsidR="0044711D" w:rsidRPr="007F7772" w:rsidRDefault="0044711D" w:rsidP="00AF0041">
              <w:pPr>
                <w:pStyle w:val="NoSpacing"/>
                <w:numPr>
                  <w:ilvl w:val="0"/>
                  <w:numId w:val="6"/>
                </w:numPr>
                <w:jc w:val="center"/>
                <w:rPr>
                  <w:b/>
                  <w:color w:val="156082" w:themeColor="accent1"/>
                  <w:sz w:val="36"/>
                  <w:szCs w:val="36"/>
                </w:rPr>
              </w:pPr>
              <w:r w:rsidRPr="007F7772">
                <w:rPr>
                  <w:b/>
                  <w:sz w:val="36"/>
                  <w:szCs w:val="36"/>
                </w:rPr>
                <w:t xml:space="preserve">MODULE LEADER: Dr. </w:t>
              </w:r>
              <w:r w:rsidR="000B2A2C" w:rsidRPr="007F7772">
                <w:rPr>
                  <w:b/>
                  <w:sz w:val="36"/>
                  <w:szCs w:val="36"/>
                </w:rPr>
                <w:t>A</w:t>
              </w:r>
              <w:r w:rsidR="00E934EE" w:rsidRPr="007F7772">
                <w:rPr>
                  <w:b/>
                  <w:sz w:val="36"/>
                  <w:szCs w:val="36"/>
                </w:rPr>
                <w:t>ndry Rakoto</w:t>
              </w:r>
              <w:r w:rsidR="008B4C07" w:rsidRPr="007F7772">
                <w:rPr>
                  <w:b/>
                  <w:sz w:val="36"/>
                  <w:szCs w:val="36"/>
                </w:rPr>
                <w:t>v</w:t>
              </w:r>
              <w:r w:rsidR="00E934EE" w:rsidRPr="007F7772">
                <w:rPr>
                  <w:b/>
                  <w:sz w:val="36"/>
                  <w:szCs w:val="36"/>
                </w:rPr>
                <w:t>olo</w:t>
              </w:r>
              <w:r w:rsidR="002E22B6" w:rsidRPr="007F7772">
                <w:rPr>
                  <w:b/>
                  <w:sz w:val="36"/>
                  <w:szCs w:val="36"/>
                </w:rPr>
                <w:t>lo</w:t>
              </w:r>
              <w:r w:rsidR="008B4C07" w:rsidRPr="007F7772">
                <w:rPr>
                  <w:b/>
                  <w:sz w:val="36"/>
                  <w:szCs w:val="36"/>
                </w:rPr>
                <w:t>na</w:t>
              </w:r>
            </w:p>
          </w:sdtContent>
        </w:sdt>
        <w:p w14:paraId="33CB7D8A" w14:textId="57550268" w:rsidR="0044711D" w:rsidRDefault="0044711D">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8240" behindDoc="0" locked="0" layoutInCell="1" allowOverlap="1" wp14:anchorId="63DC1D99" wp14:editId="0E686900">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caps/>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09ECC110" w14:textId="70A59D12" w:rsidR="0044711D" w:rsidRPr="0044711D" w:rsidRDefault="0044711D">
                                    <w:pPr>
                                      <w:pStyle w:val="NoSpacing"/>
                                      <w:spacing w:after="40"/>
                                      <w:jc w:val="center"/>
                                      <w:rPr>
                                        <w:b/>
                                        <w:bCs/>
                                        <w:caps/>
                                        <w:sz w:val="28"/>
                                        <w:szCs w:val="28"/>
                                      </w:rPr>
                                    </w:pPr>
                                    <w:r w:rsidRPr="0044711D">
                                      <w:rPr>
                                        <w:b/>
                                        <w:bCs/>
                                        <w:caps/>
                                        <w:sz w:val="28"/>
                                        <w:szCs w:val="28"/>
                                      </w:rPr>
                                      <w:t>STUDENT ID: 1916906</w:t>
                                    </w:r>
                                  </w:p>
                                </w:sdtContent>
                              </w:sdt>
                              <w:p w14:paraId="5AB725E1" w14:textId="57FD92D5" w:rsidR="0044711D" w:rsidRPr="0044711D" w:rsidRDefault="009D4E9C">
                                <w:pPr>
                                  <w:pStyle w:val="NoSpacing"/>
                                  <w:jc w:val="center"/>
                                  <w:rPr>
                                    <w:b/>
                                    <w:bCs/>
                                  </w:rPr>
                                </w:pPr>
                                <w:sdt>
                                  <w:sdtPr>
                                    <w:rPr>
                                      <w:b/>
                                      <w:bCs/>
                                      <w:caps/>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4711D" w:rsidRPr="0044711D">
                                      <w:rPr>
                                        <w:b/>
                                        <w:bCs/>
                                        <w:caps/>
                                      </w:rPr>
                                      <w:t>STUDENT NAME: LACHEZAR NIKOLOV</w:t>
                                    </w:r>
                                  </w:sdtContent>
                                </w:sdt>
                              </w:p>
                              <w:p w14:paraId="3F3502E1" w14:textId="3970E41C" w:rsidR="0044711D" w:rsidRPr="0044711D" w:rsidRDefault="009D4E9C">
                                <w:pPr>
                                  <w:pStyle w:val="NoSpacing"/>
                                  <w:jc w:val="center"/>
                                  <w:rPr>
                                    <w:b/>
                                    <w:bCs/>
                                  </w:rPr>
                                </w:pPr>
                                <w:sdt>
                                  <w:sdtPr>
                                    <w:rPr>
                                      <w:b/>
                                      <w:bCs/>
                                    </w:rPr>
                                    <w:alias w:val="Address"/>
                                    <w:tag w:val=""/>
                                    <w:id w:val="-726379553"/>
                                    <w:dataBinding w:prefixMappings="xmlns:ns0='http://schemas.microsoft.com/office/2006/coverPageProps' " w:xpath="/ns0:CoverPageProperties[1]/ns0:CompanyAddress[1]" w:storeItemID="{55AF091B-3C7A-41E3-B477-F2FDAA23CFDA}"/>
                                    <w:text/>
                                  </w:sdtPr>
                                  <w:sdtEndPr/>
                                  <w:sdtContent>
                                    <w:r w:rsidR="0044711D" w:rsidRPr="0044711D">
                                      <w:rPr>
                                        <w:b/>
                                        <w:bCs/>
                                      </w:rPr>
                                      <w:t>WORD COUNT:</w:t>
                                    </w:r>
                                  </w:sdtContent>
                                </w:sdt>
                                <w:r w:rsidR="0044711D">
                                  <w:rPr>
                                    <w:b/>
                                    <w:bCs/>
                                  </w:rPr>
                                  <w:t xml:space="preserve"> 16</w:t>
                                </w:r>
                                <w:r w:rsidR="00D12BC6">
                                  <w:rPr>
                                    <w:b/>
                                    <w:bCs/>
                                  </w:rPr>
                                  <w:t>40</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3DC1D99"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b/>
                              <w:bCs/>
                              <w:caps/>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09ECC110" w14:textId="70A59D12" w:rsidR="0044711D" w:rsidRPr="0044711D" w:rsidRDefault="0044711D">
                              <w:pPr>
                                <w:pStyle w:val="NoSpacing"/>
                                <w:spacing w:after="40"/>
                                <w:jc w:val="center"/>
                                <w:rPr>
                                  <w:b/>
                                  <w:bCs/>
                                  <w:caps/>
                                  <w:sz w:val="28"/>
                                  <w:szCs w:val="28"/>
                                </w:rPr>
                              </w:pPr>
                              <w:r w:rsidRPr="0044711D">
                                <w:rPr>
                                  <w:b/>
                                  <w:bCs/>
                                  <w:caps/>
                                  <w:sz w:val="28"/>
                                  <w:szCs w:val="28"/>
                                </w:rPr>
                                <w:t>STUDENT ID: 1916906</w:t>
                              </w:r>
                            </w:p>
                          </w:sdtContent>
                        </w:sdt>
                        <w:p w14:paraId="5AB725E1" w14:textId="57FD92D5" w:rsidR="0044711D" w:rsidRPr="0044711D" w:rsidRDefault="009D4E9C">
                          <w:pPr>
                            <w:pStyle w:val="NoSpacing"/>
                            <w:jc w:val="center"/>
                            <w:rPr>
                              <w:b/>
                              <w:bCs/>
                            </w:rPr>
                          </w:pPr>
                          <w:sdt>
                            <w:sdtPr>
                              <w:rPr>
                                <w:b/>
                                <w:bCs/>
                                <w:caps/>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4711D" w:rsidRPr="0044711D">
                                <w:rPr>
                                  <w:b/>
                                  <w:bCs/>
                                  <w:caps/>
                                </w:rPr>
                                <w:t>STUDENT NAME: LACHEZAR NIKOLOV</w:t>
                              </w:r>
                            </w:sdtContent>
                          </w:sdt>
                        </w:p>
                        <w:p w14:paraId="3F3502E1" w14:textId="3970E41C" w:rsidR="0044711D" w:rsidRPr="0044711D" w:rsidRDefault="009D4E9C">
                          <w:pPr>
                            <w:pStyle w:val="NoSpacing"/>
                            <w:jc w:val="center"/>
                            <w:rPr>
                              <w:b/>
                              <w:bCs/>
                            </w:rPr>
                          </w:pPr>
                          <w:sdt>
                            <w:sdtPr>
                              <w:rPr>
                                <w:b/>
                                <w:bCs/>
                              </w:rPr>
                              <w:alias w:val="Address"/>
                              <w:tag w:val=""/>
                              <w:id w:val="-726379553"/>
                              <w:dataBinding w:prefixMappings="xmlns:ns0='http://schemas.microsoft.com/office/2006/coverPageProps' " w:xpath="/ns0:CoverPageProperties[1]/ns0:CompanyAddress[1]" w:storeItemID="{55AF091B-3C7A-41E3-B477-F2FDAA23CFDA}"/>
                              <w:text/>
                            </w:sdtPr>
                            <w:sdtEndPr/>
                            <w:sdtContent>
                              <w:r w:rsidR="0044711D" w:rsidRPr="0044711D">
                                <w:rPr>
                                  <w:b/>
                                  <w:bCs/>
                                </w:rPr>
                                <w:t>WORD COUNT:</w:t>
                              </w:r>
                            </w:sdtContent>
                          </w:sdt>
                          <w:r w:rsidR="0044711D">
                            <w:rPr>
                              <w:b/>
                              <w:bCs/>
                            </w:rPr>
                            <w:t xml:space="preserve"> 16</w:t>
                          </w:r>
                          <w:r w:rsidR="00D12BC6">
                            <w:rPr>
                              <w:b/>
                              <w:bCs/>
                            </w:rPr>
                            <w:t>40</w:t>
                          </w:r>
                        </w:p>
                      </w:txbxContent>
                    </v:textbox>
                    <w10:wrap anchorx="margin" anchory="page"/>
                  </v:shape>
                </w:pict>
              </mc:Fallback>
            </mc:AlternateContent>
          </w:r>
        </w:p>
        <w:p w14:paraId="2C6EA0A8" w14:textId="5443049D" w:rsidR="0044711D" w:rsidRDefault="0044711D">
          <w:pPr>
            <w:rPr>
              <w:rFonts w:cs="Arial"/>
            </w:rPr>
          </w:pPr>
          <w:r>
            <w:rPr>
              <w:rFonts w:cs="Arial"/>
            </w:rPr>
            <w:br w:type="page"/>
          </w:r>
        </w:p>
      </w:sdtContent>
    </w:sdt>
    <w:sdt>
      <w:sdtPr>
        <w:rPr>
          <w:rFonts w:ascii="Arial" w:eastAsiaTheme="minorHAnsi" w:hAnsi="Arial" w:cs="Arial"/>
          <w:b/>
          <w:bCs/>
          <w:color w:val="auto"/>
          <w:kern w:val="2"/>
          <w:sz w:val="24"/>
          <w:szCs w:val="22"/>
          <w:lang w:val="en-GB"/>
          <w14:ligatures w14:val="standardContextual"/>
        </w:rPr>
        <w:id w:val="-1530024050"/>
        <w:docPartObj>
          <w:docPartGallery w:val="Table of Contents"/>
          <w:docPartUnique/>
        </w:docPartObj>
      </w:sdtPr>
      <w:sdtEndPr>
        <w:rPr>
          <w:noProof/>
        </w:rPr>
      </w:sdtEndPr>
      <w:sdtContent>
        <w:p w14:paraId="2909B38E" w14:textId="416A7746" w:rsidR="0044711D" w:rsidRPr="0044711D" w:rsidRDefault="0044711D" w:rsidP="00B23F44">
          <w:pPr>
            <w:pStyle w:val="TOCHeading"/>
            <w:ind w:left="2880"/>
            <w:rPr>
              <w:rFonts w:ascii="Arial" w:hAnsi="Arial" w:cs="Arial"/>
              <w:b/>
              <w:bCs/>
              <w:color w:val="auto"/>
            </w:rPr>
          </w:pPr>
          <w:r w:rsidRPr="0044711D">
            <w:rPr>
              <w:rFonts w:ascii="Arial" w:hAnsi="Arial" w:cs="Arial"/>
              <w:b/>
              <w:bCs/>
              <w:color w:val="auto"/>
            </w:rPr>
            <w:t>Table of Contents</w:t>
          </w:r>
        </w:p>
        <w:p w14:paraId="3DD2FB8B" w14:textId="447C6389" w:rsidR="0044711D" w:rsidRPr="0044711D" w:rsidRDefault="0044711D">
          <w:pPr>
            <w:pStyle w:val="TOC1"/>
            <w:tabs>
              <w:tab w:val="right" w:leader="dot" w:pos="9016"/>
            </w:tabs>
            <w:rPr>
              <w:rFonts w:cs="Arial"/>
              <w:noProof/>
            </w:rPr>
          </w:pPr>
          <w:r w:rsidRPr="0044711D">
            <w:rPr>
              <w:rFonts w:cs="Arial"/>
            </w:rPr>
            <w:fldChar w:fldCharType="begin"/>
          </w:r>
          <w:r w:rsidRPr="0044711D">
            <w:rPr>
              <w:rFonts w:cs="Arial"/>
            </w:rPr>
            <w:instrText xml:space="preserve"> TOC \o "1-3" \h \z \u </w:instrText>
          </w:r>
          <w:r w:rsidRPr="0044711D">
            <w:rPr>
              <w:rFonts w:cs="Arial"/>
            </w:rPr>
            <w:fldChar w:fldCharType="separate"/>
          </w:r>
          <w:hyperlink w:anchor="_Toc165225534" w:history="1">
            <w:r w:rsidRPr="0044711D">
              <w:rPr>
                <w:rStyle w:val="Hyperlink"/>
                <w:rFonts w:cs="Arial"/>
                <w:noProof/>
              </w:rPr>
              <w:t>Introduction</w:t>
            </w:r>
            <w:r w:rsidRPr="0044711D">
              <w:rPr>
                <w:rFonts w:cs="Arial"/>
                <w:noProof/>
                <w:webHidden/>
              </w:rPr>
              <w:tab/>
            </w:r>
            <w:r w:rsidRPr="0044711D">
              <w:rPr>
                <w:rFonts w:cs="Arial"/>
                <w:noProof/>
                <w:webHidden/>
              </w:rPr>
              <w:fldChar w:fldCharType="begin"/>
            </w:r>
            <w:r w:rsidRPr="0044711D">
              <w:rPr>
                <w:rFonts w:cs="Arial"/>
                <w:noProof/>
                <w:webHidden/>
              </w:rPr>
              <w:instrText xml:space="preserve"> PAGEREF _Toc165225534 \h </w:instrText>
            </w:r>
            <w:r w:rsidRPr="0044711D">
              <w:rPr>
                <w:rFonts w:cs="Arial"/>
                <w:noProof/>
                <w:webHidden/>
              </w:rPr>
            </w:r>
            <w:r w:rsidRPr="0044711D">
              <w:rPr>
                <w:rFonts w:cs="Arial"/>
                <w:noProof/>
                <w:webHidden/>
              </w:rPr>
              <w:fldChar w:fldCharType="separate"/>
            </w:r>
            <w:r w:rsidR="0066174E">
              <w:rPr>
                <w:rFonts w:cs="Arial"/>
                <w:noProof/>
                <w:webHidden/>
              </w:rPr>
              <w:t>2</w:t>
            </w:r>
            <w:r w:rsidRPr="0044711D">
              <w:rPr>
                <w:rFonts w:cs="Arial"/>
                <w:noProof/>
                <w:webHidden/>
              </w:rPr>
              <w:fldChar w:fldCharType="end"/>
            </w:r>
          </w:hyperlink>
        </w:p>
        <w:p w14:paraId="6208E128" w14:textId="42577944" w:rsidR="0044711D" w:rsidRPr="0044711D" w:rsidRDefault="009D4E9C">
          <w:pPr>
            <w:pStyle w:val="TOC1"/>
            <w:tabs>
              <w:tab w:val="right" w:leader="dot" w:pos="9016"/>
            </w:tabs>
            <w:rPr>
              <w:rFonts w:cs="Arial"/>
              <w:noProof/>
            </w:rPr>
          </w:pPr>
          <w:hyperlink w:anchor="_Toc165225535" w:history="1">
            <w:r w:rsidR="0044711D" w:rsidRPr="0044711D">
              <w:rPr>
                <w:rStyle w:val="Hyperlink"/>
                <w:rFonts w:cs="Arial"/>
                <w:noProof/>
              </w:rPr>
              <w:t>Understanding Foreign Exchange Risk</w:t>
            </w:r>
            <w:r w:rsidR="0044711D" w:rsidRPr="0044711D">
              <w:rPr>
                <w:rFonts w:cs="Arial"/>
                <w:noProof/>
                <w:webHidden/>
              </w:rPr>
              <w:tab/>
            </w:r>
            <w:r w:rsidR="0044711D" w:rsidRPr="0044711D">
              <w:rPr>
                <w:rFonts w:cs="Arial"/>
                <w:noProof/>
                <w:webHidden/>
              </w:rPr>
              <w:fldChar w:fldCharType="begin"/>
            </w:r>
            <w:r w:rsidR="0044711D" w:rsidRPr="0044711D">
              <w:rPr>
                <w:rFonts w:cs="Arial"/>
                <w:noProof/>
                <w:webHidden/>
              </w:rPr>
              <w:instrText xml:space="preserve"> PAGEREF _Toc165225535 \h </w:instrText>
            </w:r>
            <w:r w:rsidR="0044711D" w:rsidRPr="0044711D">
              <w:rPr>
                <w:rFonts w:cs="Arial"/>
                <w:noProof/>
                <w:webHidden/>
              </w:rPr>
            </w:r>
            <w:r w:rsidR="0044711D" w:rsidRPr="0044711D">
              <w:rPr>
                <w:rFonts w:cs="Arial"/>
                <w:noProof/>
                <w:webHidden/>
              </w:rPr>
              <w:fldChar w:fldCharType="separate"/>
            </w:r>
            <w:r w:rsidR="0066174E">
              <w:rPr>
                <w:rFonts w:cs="Arial"/>
                <w:noProof/>
                <w:webHidden/>
              </w:rPr>
              <w:t>2</w:t>
            </w:r>
            <w:r w:rsidR="0044711D" w:rsidRPr="0044711D">
              <w:rPr>
                <w:rFonts w:cs="Arial"/>
                <w:noProof/>
                <w:webHidden/>
              </w:rPr>
              <w:fldChar w:fldCharType="end"/>
            </w:r>
          </w:hyperlink>
        </w:p>
        <w:p w14:paraId="09B29752" w14:textId="1AE34ACB" w:rsidR="0044711D" w:rsidRPr="0044711D" w:rsidRDefault="009D4E9C">
          <w:pPr>
            <w:pStyle w:val="TOC1"/>
            <w:tabs>
              <w:tab w:val="right" w:leader="dot" w:pos="9016"/>
            </w:tabs>
            <w:rPr>
              <w:rFonts w:cs="Arial"/>
              <w:noProof/>
            </w:rPr>
          </w:pPr>
          <w:hyperlink w:anchor="_Toc165225536" w:history="1">
            <w:r w:rsidR="0044711D" w:rsidRPr="0044711D">
              <w:rPr>
                <w:rStyle w:val="Hyperlink"/>
                <w:rFonts w:cs="Arial"/>
                <w:noProof/>
              </w:rPr>
              <w:t>Evaluation and Empirical Evidence</w:t>
            </w:r>
            <w:r w:rsidR="0044711D" w:rsidRPr="0044711D">
              <w:rPr>
                <w:rFonts w:cs="Arial"/>
                <w:noProof/>
                <w:webHidden/>
              </w:rPr>
              <w:tab/>
            </w:r>
            <w:r w:rsidR="0044711D" w:rsidRPr="0044711D">
              <w:rPr>
                <w:rFonts w:cs="Arial"/>
                <w:noProof/>
                <w:webHidden/>
              </w:rPr>
              <w:fldChar w:fldCharType="begin"/>
            </w:r>
            <w:r w:rsidR="0044711D" w:rsidRPr="0044711D">
              <w:rPr>
                <w:rFonts w:cs="Arial"/>
                <w:noProof/>
                <w:webHidden/>
              </w:rPr>
              <w:instrText xml:space="preserve"> PAGEREF _Toc165225536 \h </w:instrText>
            </w:r>
            <w:r w:rsidR="0044711D" w:rsidRPr="0044711D">
              <w:rPr>
                <w:rFonts w:cs="Arial"/>
                <w:noProof/>
                <w:webHidden/>
              </w:rPr>
            </w:r>
            <w:r w:rsidR="0044711D" w:rsidRPr="0044711D">
              <w:rPr>
                <w:rFonts w:cs="Arial"/>
                <w:noProof/>
                <w:webHidden/>
              </w:rPr>
              <w:fldChar w:fldCharType="separate"/>
            </w:r>
            <w:r w:rsidR="0066174E">
              <w:rPr>
                <w:rFonts w:cs="Arial"/>
                <w:noProof/>
                <w:webHidden/>
              </w:rPr>
              <w:t>3</w:t>
            </w:r>
            <w:r w:rsidR="0044711D" w:rsidRPr="0044711D">
              <w:rPr>
                <w:rFonts w:cs="Arial"/>
                <w:noProof/>
                <w:webHidden/>
              </w:rPr>
              <w:fldChar w:fldCharType="end"/>
            </w:r>
          </w:hyperlink>
        </w:p>
        <w:p w14:paraId="2363EBD3" w14:textId="1A0DB16C" w:rsidR="0044711D" w:rsidRPr="0044711D" w:rsidRDefault="009D4E9C">
          <w:pPr>
            <w:pStyle w:val="TOC1"/>
            <w:tabs>
              <w:tab w:val="right" w:leader="dot" w:pos="9016"/>
            </w:tabs>
            <w:rPr>
              <w:rFonts w:cs="Arial"/>
              <w:noProof/>
            </w:rPr>
          </w:pPr>
          <w:hyperlink w:anchor="_Toc165225537" w:history="1">
            <w:r w:rsidR="0044711D" w:rsidRPr="0044711D">
              <w:rPr>
                <w:rStyle w:val="Hyperlink"/>
                <w:rFonts w:cs="Arial"/>
                <w:noProof/>
              </w:rPr>
              <w:t>Further Considerations</w:t>
            </w:r>
            <w:r w:rsidR="0044711D" w:rsidRPr="0044711D">
              <w:rPr>
                <w:rFonts w:cs="Arial"/>
                <w:noProof/>
                <w:webHidden/>
              </w:rPr>
              <w:tab/>
            </w:r>
            <w:r w:rsidR="0044711D" w:rsidRPr="0044711D">
              <w:rPr>
                <w:rFonts w:cs="Arial"/>
                <w:noProof/>
                <w:webHidden/>
              </w:rPr>
              <w:fldChar w:fldCharType="begin"/>
            </w:r>
            <w:r w:rsidR="0044711D" w:rsidRPr="0044711D">
              <w:rPr>
                <w:rFonts w:cs="Arial"/>
                <w:noProof/>
                <w:webHidden/>
              </w:rPr>
              <w:instrText xml:space="preserve"> PAGEREF _Toc165225537 \h </w:instrText>
            </w:r>
            <w:r w:rsidR="0044711D" w:rsidRPr="0044711D">
              <w:rPr>
                <w:rFonts w:cs="Arial"/>
                <w:noProof/>
                <w:webHidden/>
              </w:rPr>
            </w:r>
            <w:r w:rsidR="0044711D" w:rsidRPr="0044711D">
              <w:rPr>
                <w:rFonts w:cs="Arial"/>
                <w:noProof/>
                <w:webHidden/>
              </w:rPr>
              <w:fldChar w:fldCharType="separate"/>
            </w:r>
            <w:r w:rsidR="0066174E">
              <w:rPr>
                <w:rFonts w:cs="Arial"/>
                <w:noProof/>
                <w:webHidden/>
              </w:rPr>
              <w:t>5</w:t>
            </w:r>
            <w:r w:rsidR="0044711D" w:rsidRPr="0044711D">
              <w:rPr>
                <w:rFonts w:cs="Arial"/>
                <w:noProof/>
                <w:webHidden/>
              </w:rPr>
              <w:fldChar w:fldCharType="end"/>
            </w:r>
          </w:hyperlink>
        </w:p>
        <w:p w14:paraId="4B5AB89F" w14:textId="26ED782F" w:rsidR="0044711D" w:rsidRPr="0044711D" w:rsidRDefault="009D4E9C">
          <w:pPr>
            <w:pStyle w:val="TOC1"/>
            <w:tabs>
              <w:tab w:val="right" w:leader="dot" w:pos="9016"/>
            </w:tabs>
            <w:rPr>
              <w:rFonts w:cs="Arial"/>
              <w:noProof/>
            </w:rPr>
          </w:pPr>
          <w:hyperlink w:anchor="_Toc165225538" w:history="1">
            <w:r w:rsidR="0044711D" w:rsidRPr="0044711D">
              <w:rPr>
                <w:rStyle w:val="Hyperlink"/>
                <w:rFonts w:cs="Arial"/>
                <w:noProof/>
              </w:rPr>
              <w:t>Conclusion</w:t>
            </w:r>
            <w:r w:rsidR="0044711D" w:rsidRPr="0044711D">
              <w:rPr>
                <w:rFonts w:cs="Arial"/>
                <w:noProof/>
                <w:webHidden/>
              </w:rPr>
              <w:tab/>
            </w:r>
            <w:r w:rsidR="0044711D" w:rsidRPr="0044711D">
              <w:rPr>
                <w:rFonts w:cs="Arial"/>
                <w:noProof/>
                <w:webHidden/>
              </w:rPr>
              <w:fldChar w:fldCharType="begin"/>
            </w:r>
            <w:r w:rsidR="0044711D" w:rsidRPr="0044711D">
              <w:rPr>
                <w:rFonts w:cs="Arial"/>
                <w:noProof/>
                <w:webHidden/>
              </w:rPr>
              <w:instrText xml:space="preserve"> PAGEREF _Toc165225538 \h </w:instrText>
            </w:r>
            <w:r w:rsidR="0044711D" w:rsidRPr="0044711D">
              <w:rPr>
                <w:rFonts w:cs="Arial"/>
                <w:noProof/>
                <w:webHidden/>
              </w:rPr>
            </w:r>
            <w:r w:rsidR="0044711D" w:rsidRPr="0044711D">
              <w:rPr>
                <w:rFonts w:cs="Arial"/>
                <w:noProof/>
                <w:webHidden/>
              </w:rPr>
              <w:fldChar w:fldCharType="separate"/>
            </w:r>
            <w:r w:rsidR="0066174E">
              <w:rPr>
                <w:rFonts w:cs="Arial"/>
                <w:noProof/>
                <w:webHidden/>
              </w:rPr>
              <w:t>5</w:t>
            </w:r>
            <w:r w:rsidR="0044711D" w:rsidRPr="0044711D">
              <w:rPr>
                <w:rFonts w:cs="Arial"/>
                <w:noProof/>
                <w:webHidden/>
              </w:rPr>
              <w:fldChar w:fldCharType="end"/>
            </w:r>
          </w:hyperlink>
        </w:p>
        <w:p w14:paraId="726983BA" w14:textId="062276C1" w:rsidR="0044711D" w:rsidRPr="0044711D" w:rsidRDefault="009D4E9C">
          <w:pPr>
            <w:pStyle w:val="TOC1"/>
            <w:tabs>
              <w:tab w:val="right" w:leader="dot" w:pos="9016"/>
            </w:tabs>
            <w:rPr>
              <w:rFonts w:cs="Arial"/>
              <w:noProof/>
            </w:rPr>
          </w:pPr>
          <w:hyperlink w:anchor="_Toc165225539" w:history="1">
            <w:r w:rsidR="0044711D" w:rsidRPr="0044711D">
              <w:rPr>
                <w:rStyle w:val="Hyperlink"/>
                <w:rFonts w:cs="Arial"/>
                <w:noProof/>
              </w:rPr>
              <w:t>References</w:t>
            </w:r>
            <w:r w:rsidR="0044711D" w:rsidRPr="0044711D">
              <w:rPr>
                <w:rFonts w:cs="Arial"/>
                <w:noProof/>
                <w:webHidden/>
              </w:rPr>
              <w:tab/>
            </w:r>
            <w:r w:rsidR="0044711D" w:rsidRPr="0044711D">
              <w:rPr>
                <w:rFonts w:cs="Arial"/>
                <w:noProof/>
                <w:webHidden/>
              </w:rPr>
              <w:fldChar w:fldCharType="begin"/>
            </w:r>
            <w:r w:rsidR="0044711D" w:rsidRPr="0044711D">
              <w:rPr>
                <w:rFonts w:cs="Arial"/>
                <w:noProof/>
                <w:webHidden/>
              </w:rPr>
              <w:instrText xml:space="preserve"> PAGEREF _Toc165225539 \h </w:instrText>
            </w:r>
            <w:r w:rsidR="0044711D" w:rsidRPr="0044711D">
              <w:rPr>
                <w:rFonts w:cs="Arial"/>
                <w:noProof/>
                <w:webHidden/>
              </w:rPr>
            </w:r>
            <w:r w:rsidR="0044711D" w:rsidRPr="0044711D">
              <w:rPr>
                <w:rFonts w:cs="Arial"/>
                <w:noProof/>
                <w:webHidden/>
              </w:rPr>
              <w:fldChar w:fldCharType="separate"/>
            </w:r>
            <w:r w:rsidR="0066174E">
              <w:rPr>
                <w:rFonts w:cs="Arial"/>
                <w:noProof/>
                <w:webHidden/>
              </w:rPr>
              <w:t>6</w:t>
            </w:r>
            <w:r w:rsidR="0044711D" w:rsidRPr="0044711D">
              <w:rPr>
                <w:rFonts w:cs="Arial"/>
                <w:noProof/>
                <w:webHidden/>
              </w:rPr>
              <w:fldChar w:fldCharType="end"/>
            </w:r>
          </w:hyperlink>
        </w:p>
        <w:p w14:paraId="743A1FF5" w14:textId="429965CC" w:rsidR="0044711D" w:rsidRPr="0044711D" w:rsidRDefault="0044711D">
          <w:pPr>
            <w:rPr>
              <w:rFonts w:cs="Arial"/>
            </w:rPr>
          </w:pPr>
          <w:r w:rsidRPr="0044711D">
            <w:rPr>
              <w:rFonts w:cs="Arial"/>
              <w:b/>
              <w:bCs/>
              <w:noProof/>
            </w:rPr>
            <w:fldChar w:fldCharType="end"/>
          </w:r>
        </w:p>
      </w:sdtContent>
    </w:sdt>
    <w:p w14:paraId="39B7F739" w14:textId="77777777" w:rsidR="00954263" w:rsidRPr="0044711D" w:rsidRDefault="00954263" w:rsidP="00954263">
      <w:pPr>
        <w:rPr>
          <w:rFonts w:cs="Arial"/>
        </w:rPr>
      </w:pPr>
    </w:p>
    <w:p w14:paraId="0C039E98" w14:textId="77777777" w:rsidR="00954263" w:rsidRPr="0044711D" w:rsidRDefault="00954263">
      <w:pPr>
        <w:rPr>
          <w:rFonts w:cs="Arial"/>
        </w:rPr>
      </w:pPr>
      <w:r w:rsidRPr="0044711D">
        <w:rPr>
          <w:rFonts w:cs="Arial"/>
        </w:rPr>
        <w:br w:type="page"/>
      </w:r>
    </w:p>
    <w:p w14:paraId="10451C8B" w14:textId="4BD9C1FA" w:rsidR="00954263" w:rsidRDefault="00954263" w:rsidP="00954263">
      <w:pPr>
        <w:pStyle w:val="Heading1"/>
      </w:pPr>
      <w:bookmarkStart w:id="0" w:name="_Toc165225534"/>
      <w:r>
        <w:lastRenderedPageBreak/>
        <w:t>Introduction</w:t>
      </w:r>
      <w:bookmarkEnd w:id="0"/>
    </w:p>
    <w:p w14:paraId="46E4CEE7" w14:textId="797B7619" w:rsidR="00954263" w:rsidRDefault="00954263" w:rsidP="00954263">
      <w:r w:rsidRPr="00954263">
        <w:t>MNCs are exposed to several risks as they expand their business internationally, one of the most significant ones being the risk of foreign exchange. Currency changes can have a big effect on the cash flows, profitability, and competitiveness of an MNC</w:t>
      </w:r>
      <w:r w:rsidR="00AB2FA8" w:rsidRPr="00AB2FA8">
        <w:t xml:space="preserve"> (Boubaker and Larbi, 2022)</w:t>
      </w:r>
      <w:r w:rsidRPr="00954263">
        <w:t>. For long-term growth and shareholder value, this risk must be effectively managed. Insights from well-established IFM theories are incorporated into this research as it explores the several approaches MNCs have taken to reduce foreign exchange risk.</w:t>
      </w:r>
    </w:p>
    <w:p w14:paraId="1B50DB2B" w14:textId="7546AFF1" w:rsidR="00954263" w:rsidRPr="00954263" w:rsidRDefault="00954263" w:rsidP="00954263">
      <w:r w:rsidRPr="00CF1F33">
        <w:t>Theories of international financial management</w:t>
      </w:r>
      <w:r w:rsidRPr="00954263">
        <w:t>, or IFM, offer a solid framework for comprehending and reducing this risk</w:t>
      </w:r>
      <w:r w:rsidR="00CF1F33">
        <w:t xml:space="preserve">. </w:t>
      </w:r>
      <w:r w:rsidR="00CF1F33" w:rsidRPr="00CF1F33">
        <w:t>Exchange rate dynamics, policy pre-announcement, currency crises, game theory, intertemporal optimising model, open economy endogenous growth, national income accounting, new open economy, and exchange rate target zones are some of the primary theories of international finance</w:t>
      </w:r>
      <w:r w:rsidR="00CF1F33">
        <w:t xml:space="preserve"> </w:t>
      </w:r>
      <w:r w:rsidR="00AB2FA8" w:rsidRPr="00AB2FA8">
        <w:t>(Teece, 2017)</w:t>
      </w:r>
      <w:r w:rsidRPr="00954263">
        <w:t xml:space="preserve">. In order to manage foreign exchange exposure, MNCs have developed a variety of tactics. This research examines these strategies, evaluating their efficacy via a critical lens based on known IFM concepts. </w:t>
      </w:r>
    </w:p>
    <w:p w14:paraId="0D030925" w14:textId="2CB6043B" w:rsidR="00954263" w:rsidRDefault="00954263" w:rsidP="00954263">
      <w:pPr>
        <w:pStyle w:val="Heading1"/>
      </w:pPr>
      <w:bookmarkStart w:id="1" w:name="_Toc165225535"/>
      <w:r>
        <w:t>Understanding Foreign Exchange Risk</w:t>
      </w:r>
      <w:bookmarkEnd w:id="1"/>
    </w:p>
    <w:p w14:paraId="621C3F4A" w14:textId="3CB09BB0" w:rsidR="00CF1F33" w:rsidRDefault="00954263" w:rsidP="00CF1F33">
      <w:r>
        <w:t>The fluctuation of exchange values between different currencies is the source of foreign exchange risk. MNCs are exposed to possible losses if the value of their home currency appreciates in relation to the transaction currency. MNCs must take into account three primary forms of foreign exchange risk</w:t>
      </w:r>
      <w:r w:rsidR="00CF1F33">
        <w:t>:</w:t>
      </w:r>
    </w:p>
    <w:p w14:paraId="637E54ED" w14:textId="12304D90" w:rsidR="00954263" w:rsidRDefault="00954263" w:rsidP="00CF1F33">
      <w:pPr>
        <w:pStyle w:val="ListParagraph"/>
        <w:numPr>
          <w:ilvl w:val="0"/>
          <w:numId w:val="4"/>
        </w:numPr>
      </w:pPr>
      <w:r>
        <w:t>Risk of Transaction: This is the risk of unanticipated changes in currency values between the agreed upon transaction and its settlement. For example, if an MNC commits to paying for raw materials in USD in three months, there could be a transaction risk if the USD depreciates before the payment deadline</w:t>
      </w:r>
      <w:r w:rsidR="00CF1F33">
        <w:t xml:space="preserve"> (Teece, 2017)</w:t>
      </w:r>
      <w:r>
        <w:t>.</w:t>
      </w:r>
    </w:p>
    <w:p w14:paraId="5724B154" w14:textId="7A19D3A2" w:rsidR="00954263" w:rsidRDefault="00954263" w:rsidP="00954263">
      <w:pPr>
        <w:pStyle w:val="ListParagraph"/>
        <w:numPr>
          <w:ilvl w:val="0"/>
          <w:numId w:val="4"/>
        </w:numPr>
      </w:pPr>
      <w:r>
        <w:t>Translation Risk: For the purpose of consolidated reporting, foreign subsidiary financial statements must be translated into the home currency. This presents a risk. Exchange rate fluctuations may have an effect on the reported value of the MNC's equity, liabilities, and assets through affecting the company's overall financial performance</w:t>
      </w:r>
      <w:r w:rsidR="00CF1F33">
        <w:t xml:space="preserve"> (Teece, 2017)</w:t>
      </w:r>
      <w:r>
        <w:t>.</w:t>
      </w:r>
    </w:p>
    <w:p w14:paraId="276401AB" w14:textId="46A5B5CC" w:rsidR="00954263" w:rsidRDefault="00954263" w:rsidP="00954263">
      <w:pPr>
        <w:pStyle w:val="ListParagraph"/>
        <w:numPr>
          <w:ilvl w:val="0"/>
          <w:numId w:val="4"/>
        </w:numPr>
      </w:pPr>
      <w:r>
        <w:t>Economic Risk: This more general risk relates to the possible effect of exchange rate changes on the long-term profitability and competitiveness of a multinational corporation. For instance, an MNC's exports may become more expensive due to a notable increase in the value of the home currency, which could result in a drop in the amount of sales in overseas markets</w:t>
      </w:r>
      <w:r w:rsidR="00CF1F33">
        <w:t xml:space="preserve"> (Teece, 2017)</w:t>
      </w:r>
      <w:r>
        <w:t>.</w:t>
      </w:r>
    </w:p>
    <w:p w14:paraId="31C2A579" w14:textId="65A13AE0" w:rsidR="00954263" w:rsidRPr="00954263" w:rsidRDefault="00954263" w:rsidP="00954263">
      <w:pPr>
        <w:rPr>
          <w:b/>
          <w:bCs/>
        </w:rPr>
      </w:pPr>
      <w:r w:rsidRPr="00954263">
        <w:rPr>
          <w:b/>
          <w:bCs/>
        </w:rPr>
        <w:t>Foreign Exchange Risk Management Strategies:</w:t>
      </w:r>
    </w:p>
    <w:p w14:paraId="069203CB" w14:textId="6FAF4174" w:rsidR="00954263" w:rsidRDefault="00954263" w:rsidP="00954263">
      <w:r>
        <w:t>Multinational corporations utilise an array of tactics to mitigate their exposure to foreign exchange risk. This is a critical assessment of a few well-known methods</w:t>
      </w:r>
      <w:r w:rsidR="00AB2FA8" w:rsidRPr="00AB2FA8">
        <w:t xml:space="preserve"> </w:t>
      </w:r>
      <w:r w:rsidR="00CF1F33">
        <w:t xml:space="preserve">According to </w:t>
      </w:r>
      <w:proofErr w:type="spellStart"/>
      <w:r w:rsidR="00AB2FA8" w:rsidRPr="00AB2FA8">
        <w:t>Taskinsoy</w:t>
      </w:r>
      <w:proofErr w:type="spellEnd"/>
      <w:r w:rsidR="00CF1F33">
        <w:t xml:space="preserve"> (</w:t>
      </w:r>
      <w:r w:rsidR="00AB2FA8" w:rsidRPr="00AB2FA8">
        <w:t>2019</w:t>
      </w:r>
      <w:r w:rsidR="00CF1F33">
        <w:t xml:space="preserve">), they are exposure netting, currency forward </w:t>
      </w:r>
      <w:r w:rsidR="00CF1F33">
        <w:lastRenderedPageBreak/>
        <w:t>contracts, currency options, financial translation methods, and natural hedges. Their descriptions are provided as follows:</w:t>
      </w:r>
    </w:p>
    <w:p w14:paraId="7742D328" w14:textId="2EEA781A" w:rsidR="00954263" w:rsidRDefault="00954263" w:rsidP="00954263">
      <w:r w:rsidRPr="00954263">
        <w:rPr>
          <w:b/>
          <w:bCs/>
        </w:rPr>
        <w:t>Exposure Netting</w:t>
      </w:r>
      <w:r>
        <w:t>: This tactic entails balancing exposures across various currency pairs. By attempting to net these exposures, an MNC with a USD receivable and a EUR payable can lower its overall foreign exchange risk. However, disparities in transaction quantities and currencies could make netting impossible in certain situations.</w:t>
      </w:r>
    </w:p>
    <w:p w14:paraId="4A080D8B" w14:textId="4819C77A" w:rsidR="00954263" w:rsidRDefault="00954263" w:rsidP="00954263">
      <w:r w:rsidRPr="00954263">
        <w:rPr>
          <w:b/>
          <w:bCs/>
        </w:rPr>
        <w:t>Currency Forward Contracts</w:t>
      </w:r>
      <w:r>
        <w:t>: They reduce transaction risk by fixing the currency rate for a future transaction. The MNC commits to buying or selling a certain quantity of foreign currency on a prearranged date at a certain rate. Forward contracts have a cost (forward premium or discount) and might not be flexible if exchange rates improve in the positive direction even if they provide protection.</w:t>
      </w:r>
    </w:p>
    <w:p w14:paraId="31FC72E0" w14:textId="77777777" w:rsidR="00954263" w:rsidRDefault="00954263" w:rsidP="00954263">
      <w:r w:rsidRPr="00954263">
        <w:rPr>
          <w:b/>
          <w:bCs/>
        </w:rPr>
        <w:t>Currency Options</w:t>
      </w:r>
      <w:r>
        <w:t>: Options contracts offer the right, but not the responsibility, to purchase or sell a predetermined quantity of foreign currency by a given date (expiry date) at a predetermined price (strike price). This enables multinational corporations (MNCs) to protect themselves against possible losses and profit from any positive currency fluctuations. But whether or not they are exercised, options have an initial premium cost.</w:t>
      </w:r>
    </w:p>
    <w:p w14:paraId="02721EEE" w14:textId="7897505C" w:rsidR="00954263" w:rsidRDefault="00954263" w:rsidP="00954263">
      <w:r w:rsidRPr="00954263">
        <w:rPr>
          <w:b/>
          <w:bCs/>
        </w:rPr>
        <w:t>Monetary Translation Methods</w:t>
      </w:r>
      <w:r>
        <w:t xml:space="preserve">: The reported impact of exchange rate variations might be affected by the accounting method selected for translating the financial statements of overseas subsidiaries. The temporal method and the current rate method are the two primary approaches. </w:t>
      </w:r>
    </w:p>
    <w:p w14:paraId="1A410FBC" w14:textId="0D52ECFC" w:rsidR="00954263" w:rsidRDefault="00954263" w:rsidP="00954263">
      <w:r w:rsidRPr="00954263">
        <w:rPr>
          <w:b/>
          <w:bCs/>
        </w:rPr>
        <w:t>Natural Hedges</w:t>
      </w:r>
      <w:r>
        <w:t>: This tactic uses the MNC's organic cash flow patterns to reduce foreign exchange risk. For example, an MNC can use this natural hedge to partially offset the risk of a EUR depreciation if its subsidiary exports in USD and purchases raw materials in EUR. But depending only on natural hedges cannot always offer enough security, particularly in situations when there are cash flow mismatches.</w:t>
      </w:r>
    </w:p>
    <w:p w14:paraId="7B288922" w14:textId="2D8EACFB" w:rsidR="00954263" w:rsidRDefault="00954263" w:rsidP="00954263">
      <w:pPr>
        <w:pStyle w:val="Heading1"/>
      </w:pPr>
      <w:bookmarkStart w:id="2" w:name="_Toc165225536"/>
      <w:r>
        <w:t>Evaluation and Empirical Evidence</w:t>
      </w:r>
      <w:bookmarkEnd w:id="2"/>
    </w:p>
    <w:p w14:paraId="7606F04C" w14:textId="20CC7D52" w:rsidR="00954263" w:rsidRDefault="00954263" w:rsidP="00954263">
      <w:r w:rsidRPr="00954263">
        <w:t>Each strategy's effectiveness is contingent upon a number of variables, such as the extent and volatility of anticipated currency swings, the length and scope of the transaction, and the MNC's tolerance for risk</w:t>
      </w:r>
      <w:r w:rsidR="00AB2FA8" w:rsidRPr="00AB2FA8">
        <w:t xml:space="preserve"> (Alfaro, Calani and Varela, 2021)</w:t>
      </w:r>
      <w:r w:rsidRPr="00954263">
        <w:t>. This is a critical assessment of the tactics that were covered:</w:t>
      </w:r>
    </w:p>
    <w:p w14:paraId="3D656D4D" w14:textId="0F1387B7" w:rsidR="00AB2FA8" w:rsidRDefault="00AB2FA8" w:rsidP="00AB2FA8">
      <w:r w:rsidRPr="00AB2FA8">
        <w:t xml:space="preserve">Exposure Netting: This tactic provides a straightforward and affordable means of controlling foreign exchange risk. </w:t>
      </w:r>
      <w:r w:rsidR="00CF1F33">
        <w:t>For example,</w:t>
      </w:r>
      <w:r w:rsidRPr="00AB2FA8">
        <w:t xml:space="preserve"> Apple</w:t>
      </w:r>
      <w:r w:rsidR="00CF1F33">
        <w:t xml:space="preserve"> Inc</w:t>
      </w:r>
      <w:r w:rsidRPr="00AB2FA8">
        <w:t xml:space="preserve"> makes money in USD, EUR, and CNY, among other currencies. Apple may try to net its payables and receivables in various currencies to lessen transaction risk and lower its overall foreign exchange exposure. Nevertheless, the availability of offsetting exposures limits the usefulness of netting. Netting would be less effective in reducing risk if Apple's USD receivables continuously exceeded its EUR payables</w:t>
      </w:r>
      <w:r w:rsidR="00CF1F33">
        <w:t xml:space="preserve"> </w:t>
      </w:r>
      <w:r w:rsidR="00CF1F33" w:rsidRPr="00CF1F33">
        <w:t>(Canepa, 2022)</w:t>
      </w:r>
      <w:r w:rsidR="00CF1F33">
        <w:t>.</w:t>
      </w:r>
    </w:p>
    <w:p w14:paraId="57D49545" w14:textId="6B1583D2" w:rsidR="00AB2FA8" w:rsidRDefault="00AB2FA8" w:rsidP="00AB2FA8">
      <w:r w:rsidRPr="00AB2FA8">
        <w:t xml:space="preserve">Currency forward contracts: Forward contracts offer security and defence against unfavourable fluctuations in exchange rates. Consider the following scenario: in six </w:t>
      </w:r>
      <w:r w:rsidRPr="00AB2FA8">
        <w:lastRenderedPageBreak/>
        <w:t>months, the German automaker BMW (BMW.DE) expects to make a sizable purchase of parts valued in USD. BMW might sign up for a forward contract to purchase USD at a fixed exchange rate in six months to protect against any potential increase in the value of the currency. This strategy shields BMW's profit margins from unanticipated currency movements and assures the exchange rate. However, in the event that exchange rates rise in your favour, forwards might be costly and lack flexibility. BMW would forfeit any possible benefits by using the forward contract to lock in a higher exchange rate in the event that the USD depreciates against the EUR during the next six months</w:t>
      </w:r>
      <w:r w:rsidR="0044711D" w:rsidRPr="0044711D">
        <w:t xml:space="preserve"> (Pons et al., 2021)</w:t>
      </w:r>
      <w:r w:rsidRPr="00AB2FA8">
        <w:t>.</w:t>
      </w:r>
    </w:p>
    <w:p w14:paraId="0CDCDC8C" w14:textId="75060AFF" w:rsidR="00AB2FA8" w:rsidRDefault="00AB2FA8" w:rsidP="00AB2FA8">
      <w:r w:rsidRPr="00AB2FA8">
        <w:t>Currency Options: MNCs can take advantage of favourable fluctuations in exchange rates and enjoy flexibility through options contracts. Using the BMW example again, the business might think about buying USD call options as an alternative to a forward contract. With these options, BMW would have the option—but not the duty—to purchase USD by the expiration date at a fixed strike price</w:t>
      </w:r>
      <w:r w:rsidR="0066174E" w:rsidRPr="0066174E">
        <w:t xml:space="preserve"> (Sodhi and Tang, 2012)</w:t>
      </w:r>
      <w:r w:rsidRPr="00AB2FA8">
        <w:t>. By using this strategy, BMW may protect itself from possible losses in the event that the USD appreciates against the EUR while still reaping the benefits if the USD declines. On the other hand, one disadvantage of options may be their initial premium cost. The premium charge raises the total cost of hedging regardless of whether BMW executes the options</w:t>
      </w:r>
      <w:r w:rsidR="0066174E">
        <w:t>.</w:t>
      </w:r>
      <w:r w:rsidRPr="00AB2FA8">
        <w:t xml:space="preserve"> </w:t>
      </w:r>
    </w:p>
    <w:p w14:paraId="1FACEC24" w14:textId="58D61F5F" w:rsidR="00AB2FA8" w:rsidRDefault="00AB2FA8" w:rsidP="00AB2FA8">
      <w:r w:rsidRPr="00AB2FA8">
        <w:t>Monetary Translation Methods: Cash flows are not immediately impacted by the translation method selection, but it does have an impact on reported financial performance. Use the international food and beverage corporation Nestle (</w:t>
      </w:r>
      <w:proofErr w:type="spellStart"/>
      <w:r w:rsidRPr="00AB2FA8">
        <w:t>NESN.SW</w:t>
      </w:r>
      <w:proofErr w:type="spellEnd"/>
      <w:r w:rsidRPr="00AB2FA8">
        <w:t>), based in Switzerland, as an example. Swiss Francs (CHF) are used by Nestle to generate its consolidated financial statements. Nestle can choose to translate the US subsidiary's financial statements using either the temporal technique or the current rate method. The US subsidiary's assets and liabilities would be translated using the current rate technique at the exchange rate in effect on the balance sheet date, giving the most recent view of the company's financial situation. On the other hand, the temporal approach can potentially smooth out variations in reported values by translating monetary assets and liabilities at the current rate and non-monetary assets and liabilities at historical rates</w:t>
      </w:r>
      <w:r w:rsidR="0066174E" w:rsidRPr="0066174E">
        <w:t xml:space="preserve"> (Meier et al., 2023)</w:t>
      </w:r>
      <w:r w:rsidRPr="00AB2FA8">
        <w:t>.</w:t>
      </w:r>
    </w:p>
    <w:p w14:paraId="2E373E26" w14:textId="6F3924E6" w:rsidR="00AB2FA8" w:rsidRDefault="00AB2FA8" w:rsidP="00AB2FA8">
      <w:r w:rsidRPr="00AB2FA8">
        <w:t xml:space="preserve">Natural Hedges: Although they might not always completely offset exposure, natural hedges can be an affordable method of risk management. Imagine a US-based oil and gas business that conducts drilling activities in Canada. The business incurs exploration and production expenses in Canadian dollars (CAD) and gets revenue from oil sales denominated in US dollars (USD). Given that USD revenue can be used to offset CAD expenses, this natural hedging helps reduce the risk of a CAD depreciation to some extent. However, the natural hedge might not provide enough protection if there are large fluctuations in oil prices or if the company has an unanticipated increase in its production costs. This idea is supported by empirical data from </w:t>
      </w:r>
      <w:proofErr w:type="spellStart"/>
      <w:r w:rsidR="0044711D" w:rsidRPr="0044711D">
        <w:t>Gooy</w:t>
      </w:r>
      <w:proofErr w:type="spellEnd"/>
      <w:r w:rsidR="0044711D" w:rsidRPr="0044711D">
        <w:t xml:space="preserve"> et al.</w:t>
      </w:r>
      <w:r w:rsidR="0044711D">
        <w:t xml:space="preserve"> (</w:t>
      </w:r>
      <w:r w:rsidR="0044711D" w:rsidRPr="0044711D">
        <w:t>2023</w:t>
      </w:r>
      <w:r w:rsidRPr="00AB2FA8">
        <w:t xml:space="preserve">), which shows that companies with larger natural hedges typically participate in fewer formal hedging operations. </w:t>
      </w:r>
    </w:p>
    <w:p w14:paraId="698763B1" w14:textId="465C70B6" w:rsidR="00AB2FA8" w:rsidRDefault="00954263" w:rsidP="00AB2FA8">
      <w:pPr>
        <w:pStyle w:val="Heading1"/>
      </w:pPr>
      <w:bookmarkStart w:id="3" w:name="_Toc165225537"/>
      <w:r>
        <w:lastRenderedPageBreak/>
        <w:t>Further Considerations</w:t>
      </w:r>
      <w:bookmarkEnd w:id="3"/>
    </w:p>
    <w:p w14:paraId="0A087471" w14:textId="1B5F7E12" w:rsidR="00AB2FA8" w:rsidRPr="0066174E" w:rsidRDefault="0066174E" w:rsidP="00AB2FA8">
      <w:r>
        <w:t>There are p</w:t>
      </w:r>
      <w:r w:rsidR="00AB2FA8" w:rsidRPr="0066174E">
        <w:t xml:space="preserve">rospective </w:t>
      </w:r>
      <w:r>
        <w:t>r</w:t>
      </w:r>
      <w:r w:rsidR="00AB2FA8" w:rsidRPr="0066174E">
        <w:t xml:space="preserve">outes for </w:t>
      </w:r>
      <w:r>
        <w:t>r</w:t>
      </w:r>
      <w:r w:rsidR="00AB2FA8" w:rsidRPr="0066174E">
        <w:t>esearch</w:t>
      </w:r>
      <w:r>
        <w:t xml:space="preserve"> according to </w:t>
      </w:r>
      <w:r w:rsidRPr="0066174E">
        <w:t>Javaid et al.</w:t>
      </w:r>
      <w:r>
        <w:t xml:space="preserve"> (</w:t>
      </w:r>
      <w:r w:rsidRPr="0066174E">
        <w:t>2022)</w:t>
      </w:r>
      <w:r>
        <w:t xml:space="preserve"> including</w:t>
      </w:r>
      <w:r w:rsidR="00AB2FA8" w:rsidRPr="0066174E">
        <w:t>:</w:t>
      </w:r>
    </w:p>
    <w:p w14:paraId="0167BF30" w14:textId="77777777" w:rsidR="00AB2FA8" w:rsidRDefault="00AB2FA8" w:rsidP="00AB2FA8">
      <w:pPr>
        <w:pStyle w:val="ListParagraph"/>
        <w:numPr>
          <w:ilvl w:val="0"/>
          <w:numId w:val="5"/>
        </w:numPr>
      </w:pPr>
      <w:r>
        <w:t>The influence of novel financial instruments and technological innovations on techniques for managing foreign currency risk.</w:t>
      </w:r>
    </w:p>
    <w:p w14:paraId="041E4765" w14:textId="434FE12F" w:rsidR="00AB2FA8" w:rsidRDefault="0066174E" w:rsidP="00AB2FA8">
      <w:pPr>
        <w:pStyle w:val="ListParagraph"/>
        <w:numPr>
          <w:ilvl w:val="0"/>
          <w:numId w:val="5"/>
        </w:numPr>
      </w:pPr>
      <w:r>
        <w:t>T</w:t>
      </w:r>
      <w:r w:rsidR="00AB2FA8">
        <w:t>he efficacy of integrated risk management strategies that combine other financial risks that multinational corporations face with foreign exchange risk.</w:t>
      </w:r>
    </w:p>
    <w:p w14:paraId="2073858C" w14:textId="4186D69D" w:rsidR="00AB2FA8" w:rsidRDefault="00AB2FA8" w:rsidP="00AB2FA8">
      <w:pPr>
        <w:pStyle w:val="ListParagraph"/>
        <w:numPr>
          <w:ilvl w:val="0"/>
          <w:numId w:val="5"/>
        </w:numPr>
      </w:pPr>
      <w:r>
        <w:t>The impact of political unrest and regulatory modifications on multinational corporations' foreign exchange risk management strategies.</w:t>
      </w:r>
    </w:p>
    <w:p w14:paraId="22E99E1C" w14:textId="1EFB0ECD" w:rsidR="00954263" w:rsidRDefault="00954263" w:rsidP="00AB2FA8">
      <w:pPr>
        <w:pStyle w:val="ListParagraph"/>
        <w:numPr>
          <w:ilvl w:val="0"/>
          <w:numId w:val="5"/>
        </w:numPr>
      </w:pPr>
      <w:r>
        <w:t>The influence of regulatory changes and political instability on MNCs' foreign exchange risk management practices.</w:t>
      </w:r>
    </w:p>
    <w:p w14:paraId="0BFC48D2" w14:textId="77777777" w:rsidR="00954263" w:rsidRDefault="00954263" w:rsidP="00954263">
      <w:pPr>
        <w:pStyle w:val="Heading1"/>
      </w:pPr>
      <w:bookmarkStart w:id="4" w:name="_Toc165225538"/>
      <w:r>
        <w:t>Conclusion</w:t>
      </w:r>
      <w:bookmarkEnd w:id="4"/>
    </w:p>
    <w:p w14:paraId="5505F850" w14:textId="13CBF573" w:rsidR="0066174E" w:rsidRDefault="00D12BC6" w:rsidP="0066174E">
      <w:r w:rsidRPr="00D12BC6">
        <w:t>Multinational businesses (MNCs) functioning in a globalised environment have a perpetual difficulty due to the constantly fluctuating foreign exchange market. Foreign currency risk that is not controlled can seriously impair profitability, warp financial statements, and interfere with strategic goals.  Using well-established International Financial Management (IFM) concepts as a guide, this paper has examined a range of risk management tactics available to multinational corporations.</w:t>
      </w:r>
    </w:p>
    <w:p w14:paraId="1BCEF23A" w14:textId="78A5AC2A" w:rsidR="00E905BC" w:rsidRDefault="00D12BC6" w:rsidP="00954263">
      <w:r w:rsidRPr="00D12BC6">
        <w:t>The best strategy for managing foreign exchange risk is not a one-size-fits-all proposition. It relies on the particulars of each MNC, such as the expected size and volatility of currency movements, the volumes and duration of transactions, and the company's general risk tolerance. MNCs may increase their long-term growth and financial stability by handling foreign exchange risk well. MNCs are better equipped to sail the shifting tides of the global economy with greater confidence and resilience when they have a comprehensive risk management framework that integrates several tactics catered to their unique needs.</w:t>
      </w:r>
    </w:p>
    <w:p w14:paraId="7E733E07" w14:textId="77777777" w:rsidR="00AB2FA8" w:rsidRDefault="00AB2FA8" w:rsidP="00954263"/>
    <w:p w14:paraId="2402BE7F" w14:textId="77777777" w:rsidR="00AB2FA8" w:rsidRDefault="00AB2FA8" w:rsidP="00954263"/>
    <w:p w14:paraId="3D71B083" w14:textId="77777777" w:rsidR="00AB2FA8" w:rsidRDefault="00AB2FA8" w:rsidP="00954263"/>
    <w:p w14:paraId="0082B8AC" w14:textId="77777777" w:rsidR="0066174E" w:rsidRDefault="0066174E" w:rsidP="00954263"/>
    <w:p w14:paraId="5E3D404E" w14:textId="77777777" w:rsidR="0066174E" w:rsidRDefault="0066174E" w:rsidP="00954263"/>
    <w:p w14:paraId="129AEAD4" w14:textId="77777777" w:rsidR="0066174E" w:rsidRDefault="0066174E" w:rsidP="00954263"/>
    <w:p w14:paraId="24F97FC2" w14:textId="77777777" w:rsidR="0066174E" w:rsidRDefault="0066174E" w:rsidP="00954263"/>
    <w:p w14:paraId="3F3F4AFB" w14:textId="77777777" w:rsidR="00D12BC6" w:rsidRDefault="00D12BC6" w:rsidP="00954263"/>
    <w:p w14:paraId="268BDDF1" w14:textId="77777777" w:rsidR="00AB2FA8" w:rsidRDefault="00AB2FA8" w:rsidP="00954263"/>
    <w:p w14:paraId="28F95478" w14:textId="6DB01912" w:rsidR="00AB2FA8" w:rsidRDefault="00AB2FA8" w:rsidP="00AB2FA8">
      <w:pPr>
        <w:pStyle w:val="Heading1"/>
      </w:pPr>
      <w:bookmarkStart w:id="5" w:name="_Toc165225539"/>
      <w:r>
        <w:lastRenderedPageBreak/>
        <w:t>References</w:t>
      </w:r>
      <w:bookmarkEnd w:id="5"/>
    </w:p>
    <w:p w14:paraId="2492F03F" w14:textId="5D2D4E7A" w:rsidR="00AB2FA8" w:rsidRDefault="00AB2FA8" w:rsidP="00AB2FA8">
      <w:r w:rsidRPr="00AB2FA8">
        <w:t xml:space="preserve">Alfaro, L., Calani, M. and Varela, L. (2021). Granular Corporate Hedging Under Dominant Currency. </w:t>
      </w:r>
    </w:p>
    <w:p w14:paraId="25556EE9" w14:textId="5FF06657" w:rsidR="00AB2FA8" w:rsidRDefault="00AB2FA8" w:rsidP="00AB2FA8">
      <w:r w:rsidRPr="00AB2FA8">
        <w:t>Boubaker, H. and Larbi, O.B. (2022). Dynamic dependence and hedging strategies in BRICS stock markets with oil during crises. </w:t>
      </w:r>
      <w:r w:rsidRPr="00AB2FA8">
        <w:rPr>
          <w:i/>
          <w:iCs/>
        </w:rPr>
        <w:t>Economic Analysis and Policy</w:t>
      </w:r>
      <w:r w:rsidRPr="00AB2FA8">
        <w:t xml:space="preserve">, 76, </w:t>
      </w:r>
      <w:proofErr w:type="spellStart"/>
      <w:r w:rsidRPr="00AB2FA8">
        <w:t>pp.263</w:t>
      </w:r>
      <w:proofErr w:type="spellEnd"/>
      <w:r w:rsidRPr="00AB2FA8">
        <w:t xml:space="preserve">–279. </w:t>
      </w:r>
    </w:p>
    <w:p w14:paraId="657620A9" w14:textId="1B9FCED3" w:rsidR="00CF1F33" w:rsidRDefault="00CF1F33" w:rsidP="00AB2FA8">
      <w:r w:rsidRPr="00CF1F33">
        <w:t>Canepa, A. (2022). The Role of Payment Services in the Development of the Big Tech Ecosystem. </w:t>
      </w:r>
      <w:r w:rsidRPr="00CF1F33">
        <w:rPr>
          <w:i/>
          <w:iCs/>
        </w:rPr>
        <w:t>European business law review</w:t>
      </w:r>
      <w:r w:rsidRPr="00CF1F33">
        <w:t>, 33(</w:t>
      </w:r>
      <w:r w:rsidRPr="00CF1F33">
        <w:rPr>
          <w:b/>
          <w:bCs/>
        </w:rPr>
        <w:t>7</w:t>
      </w:r>
      <w:r w:rsidRPr="00CF1F33">
        <w:t xml:space="preserve">), </w:t>
      </w:r>
      <w:proofErr w:type="spellStart"/>
      <w:r w:rsidRPr="00CF1F33">
        <w:t>pp.1003</w:t>
      </w:r>
      <w:proofErr w:type="spellEnd"/>
      <w:r w:rsidRPr="00CF1F33">
        <w:t xml:space="preserve">–1020. </w:t>
      </w:r>
    </w:p>
    <w:p w14:paraId="66248790" w14:textId="729F5948" w:rsidR="0044711D" w:rsidRDefault="0044711D" w:rsidP="00AB2FA8">
      <w:proofErr w:type="spellStart"/>
      <w:r w:rsidRPr="0044711D">
        <w:t>Gooy</w:t>
      </w:r>
      <w:proofErr w:type="spellEnd"/>
      <w:r w:rsidRPr="0044711D">
        <w:t xml:space="preserve">, </w:t>
      </w:r>
      <w:proofErr w:type="spellStart"/>
      <w:r w:rsidRPr="0044711D">
        <w:t>S.Y</w:t>
      </w:r>
      <w:proofErr w:type="spellEnd"/>
      <w:r w:rsidRPr="0044711D">
        <w:t xml:space="preserve">., Gong, P.S., Gong, </w:t>
      </w:r>
      <w:proofErr w:type="spellStart"/>
      <w:r w:rsidRPr="0044711D">
        <w:t>W.K</w:t>
      </w:r>
      <w:proofErr w:type="spellEnd"/>
      <w:r w:rsidRPr="0044711D">
        <w:t>., Han, R. and Rana, V. (2023). A Study of Nestlé Financial Analysis. </w:t>
      </w:r>
      <w:r w:rsidRPr="0044711D">
        <w:rPr>
          <w:i/>
          <w:iCs/>
        </w:rPr>
        <w:t xml:space="preserve">International Journal of Accounting &amp; Finance in Asia </w:t>
      </w:r>
      <w:proofErr w:type="spellStart"/>
      <w:r w:rsidRPr="0044711D">
        <w:rPr>
          <w:i/>
          <w:iCs/>
        </w:rPr>
        <w:t>Pasific</w:t>
      </w:r>
      <w:proofErr w:type="spellEnd"/>
      <w:r w:rsidRPr="0044711D">
        <w:rPr>
          <w:i/>
          <w:iCs/>
        </w:rPr>
        <w:t xml:space="preserve"> (</w:t>
      </w:r>
      <w:proofErr w:type="spellStart"/>
      <w:r w:rsidRPr="0044711D">
        <w:rPr>
          <w:i/>
          <w:iCs/>
        </w:rPr>
        <w:t>IJAFAP</w:t>
      </w:r>
      <w:proofErr w:type="spellEnd"/>
      <w:r w:rsidRPr="0044711D">
        <w:rPr>
          <w:i/>
          <w:iCs/>
        </w:rPr>
        <w:t>)</w:t>
      </w:r>
      <w:r w:rsidRPr="0044711D">
        <w:t>, [online] 6(</w:t>
      </w:r>
      <w:r w:rsidRPr="0044711D">
        <w:rPr>
          <w:b/>
          <w:bCs/>
        </w:rPr>
        <w:t>1</w:t>
      </w:r>
      <w:r w:rsidRPr="0044711D">
        <w:t xml:space="preserve">), </w:t>
      </w:r>
      <w:proofErr w:type="spellStart"/>
      <w:r w:rsidRPr="0044711D">
        <w:t>pp.82</w:t>
      </w:r>
      <w:proofErr w:type="spellEnd"/>
      <w:r w:rsidRPr="0044711D">
        <w:t xml:space="preserve">–95. </w:t>
      </w:r>
    </w:p>
    <w:p w14:paraId="3D52B2E1" w14:textId="0E559D65" w:rsidR="0066174E" w:rsidRDefault="0066174E" w:rsidP="00AB2FA8">
      <w:r w:rsidRPr="0066174E">
        <w:t>Javaid, M., Haleem, A., Singh, R.P., Suman, R. and Khan, S. (2022). A review of Blockchain Technology applications for financial services. </w:t>
      </w:r>
      <w:proofErr w:type="spellStart"/>
      <w:r w:rsidRPr="0066174E">
        <w:rPr>
          <w:i/>
          <w:iCs/>
        </w:rPr>
        <w:t>BenchCouncil</w:t>
      </w:r>
      <w:proofErr w:type="spellEnd"/>
      <w:r w:rsidRPr="0066174E">
        <w:rPr>
          <w:i/>
          <w:iCs/>
        </w:rPr>
        <w:t xml:space="preserve"> Transactions on Benchmarks, Standards and Evaluations</w:t>
      </w:r>
      <w:r w:rsidRPr="0066174E">
        <w:t>, [online] 2(</w:t>
      </w:r>
      <w:r w:rsidRPr="0066174E">
        <w:rPr>
          <w:b/>
          <w:bCs/>
        </w:rPr>
        <w:t>3</w:t>
      </w:r>
      <w:r w:rsidRPr="0066174E">
        <w:t xml:space="preserve">), </w:t>
      </w:r>
      <w:proofErr w:type="spellStart"/>
      <w:r w:rsidRPr="0066174E">
        <w:t>p.100073</w:t>
      </w:r>
      <w:proofErr w:type="spellEnd"/>
      <w:r w:rsidRPr="0066174E">
        <w:t xml:space="preserve">. </w:t>
      </w:r>
    </w:p>
    <w:p w14:paraId="6E5F0D10" w14:textId="39C26283" w:rsidR="0066174E" w:rsidRDefault="0066174E" w:rsidP="00AB2FA8">
      <w:r w:rsidRPr="0066174E">
        <w:t xml:space="preserve">Meier, H.B., Marthinsen, </w:t>
      </w:r>
      <w:proofErr w:type="spellStart"/>
      <w:r w:rsidRPr="0066174E">
        <w:t>J.E</w:t>
      </w:r>
      <w:proofErr w:type="spellEnd"/>
      <w:r w:rsidRPr="0066174E">
        <w:t>., Gantenbein, P.A. and Weber, S.S. (2023). Swiss Equity Markets. </w:t>
      </w:r>
      <w:r w:rsidRPr="0066174E">
        <w:rPr>
          <w:i/>
          <w:iCs/>
        </w:rPr>
        <w:t>Swiss Finance</w:t>
      </w:r>
      <w:r w:rsidRPr="0066174E">
        <w:t xml:space="preserve">, </w:t>
      </w:r>
      <w:proofErr w:type="spellStart"/>
      <w:r w:rsidRPr="0066174E">
        <w:t>pp.455</w:t>
      </w:r>
      <w:proofErr w:type="spellEnd"/>
      <w:r w:rsidRPr="0066174E">
        <w:t xml:space="preserve">–499. </w:t>
      </w:r>
    </w:p>
    <w:p w14:paraId="442883BF" w14:textId="4163EAFF" w:rsidR="0044711D" w:rsidRDefault="0044711D" w:rsidP="00AB2FA8">
      <w:r w:rsidRPr="0044711D">
        <w:t xml:space="preserve">Pons, A., Cristobal-Fransi, E., </w:t>
      </w:r>
      <w:proofErr w:type="spellStart"/>
      <w:r w:rsidRPr="0044711D">
        <w:t>Vintrò</w:t>
      </w:r>
      <w:proofErr w:type="spellEnd"/>
      <w:r w:rsidRPr="0044711D">
        <w:t>, C., Rius, J., Querol, O. and Vilaplana, J. (2021). An Application of the IFM Method for the Risk Assessment of Financial Instruments. </w:t>
      </w:r>
      <w:r w:rsidRPr="0044711D">
        <w:rPr>
          <w:i/>
          <w:iCs/>
        </w:rPr>
        <w:t>Computational Economics</w:t>
      </w:r>
      <w:r w:rsidRPr="0044711D">
        <w:t xml:space="preserve">. </w:t>
      </w:r>
    </w:p>
    <w:p w14:paraId="625D63CD" w14:textId="38B8F58B" w:rsidR="0066174E" w:rsidRDefault="0066174E" w:rsidP="00AB2FA8">
      <w:r w:rsidRPr="0066174E">
        <w:t xml:space="preserve">Sodhi, M.S. and Tang, </w:t>
      </w:r>
      <w:proofErr w:type="spellStart"/>
      <w:r w:rsidRPr="0066174E">
        <w:t>C.S</w:t>
      </w:r>
      <w:proofErr w:type="spellEnd"/>
      <w:r w:rsidRPr="0066174E">
        <w:t>. (2012). Tactical Approaches for Mitigating Supply Chain Risks: Financial and Operational Hedging. </w:t>
      </w:r>
      <w:r w:rsidRPr="0066174E">
        <w:rPr>
          <w:i/>
          <w:iCs/>
        </w:rPr>
        <w:t>International series in management science/operations research/International series in operations research &amp; management science</w:t>
      </w:r>
      <w:r w:rsidRPr="0066174E">
        <w:t xml:space="preserve">, </w:t>
      </w:r>
      <w:proofErr w:type="spellStart"/>
      <w:r w:rsidRPr="0066174E">
        <w:t>pp.109</w:t>
      </w:r>
      <w:proofErr w:type="spellEnd"/>
      <w:r w:rsidRPr="0066174E">
        <w:t xml:space="preserve">–133. </w:t>
      </w:r>
    </w:p>
    <w:p w14:paraId="2513FC7C" w14:textId="0BB23E92" w:rsidR="00AB2FA8" w:rsidRDefault="00AB2FA8" w:rsidP="00AB2FA8">
      <w:proofErr w:type="spellStart"/>
      <w:r w:rsidRPr="00AB2FA8">
        <w:t>Taskinsoy</w:t>
      </w:r>
      <w:proofErr w:type="spellEnd"/>
      <w:r w:rsidRPr="00AB2FA8">
        <w:t xml:space="preserve">, J. (2019). Typology of Stress Testing: </w:t>
      </w:r>
      <w:proofErr w:type="spellStart"/>
      <w:r w:rsidRPr="00AB2FA8">
        <w:t>Microprudential</w:t>
      </w:r>
      <w:proofErr w:type="spellEnd"/>
      <w:r w:rsidRPr="00AB2FA8">
        <w:t xml:space="preserve"> vs. Macroprudential Stress Testing of Risk Exposures. </w:t>
      </w:r>
      <w:proofErr w:type="spellStart"/>
      <w:r w:rsidRPr="00AB2FA8">
        <w:rPr>
          <w:i/>
          <w:iCs/>
        </w:rPr>
        <w:t>SSRN</w:t>
      </w:r>
      <w:proofErr w:type="spellEnd"/>
      <w:r w:rsidRPr="00AB2FA8">
        <w:rPr>
          <w:i/>
          <w:iCs/>
        </w:rPr>
        <w:t xml:space="preserve"> Electronic Journal</w:t>
      </w:r>
      <w:r w:rsidRPr="00AB2FA8">
        <w:t xml:space="preserve">. </w:t>
      </w:r>
    </w:p>
    <w:p w14:paraId="7E9A74FA" w14:textId="6E72B19F" w:rsidR="00AB2FA8" w:rsidRPr="00AB2FA8" w:rsidRDefault="00AB2FA8" w:rsidP="00AB2FA8">
      <w:r w:rsidRPr="00AB2FA8">
        <w:t>Teece, D.J. (2017). Dynamic Capabilities and the Multinational Enterprise. </w:t>
      </w:r>
      <w:r w:rsidRPr="00AB2FA8">
        <w:rPr>
          <w:i/>
          <w:iCs/>
        </w:rPr>
        <w:t>Springer eBooks</w:t>
      </w:r>
      <w:r w:rsidRPr="00AB2FA8">
        <w:t xml:space="preserve">, </w:t>
      </w:r>
      <w:proofErr w:type="spellStart"/>
      <w:r w:rsidRPr="00AB2FA8">
        <w:t>pp.105</w:t>
      </w:r>
      <w:proofErr w:type="spellEnd"/>
      <w:r w:rsidRPr="00AB2FA8">
        <w:t xml:space="preserve">–129. </w:t>
      </w:r>
    </w:p>
    <w:p w14:paraId="3593988C" w14:textId="77777777" w:rsidR="00AB2FA8" w:rsidRPr="00AB2FA8" w:rsidRDefault="00AB2FA8" w:rsidP="00AB2FA8"/>
    <w:p w14:paraId="090243D0" w14:textId="77777777" w:rsidR="00AB2FA8" w:rsidRPr="00AB2FA8" w:rsidRDefault="00AB2FA8" w:rsidP="00AB2FA8"/>
    <w:sectPr w:rsidR="00AB2FA8" w:rsidRPr="00AB2FA8" w:rsidSect="00C0276A">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4C9C046" w14:textId="77777777" w:rsidR="00C0276A" w:rsidRDefault="00C0276A" w:rsidP="00954263">
      <w:pPr>
        <w:spacing w:after="0" w:line="240" w:lineRule="auto"/>
      </w:pPr>
      <w:r>
        <w:separator/>
      </w:r>
    </w:p>
  </w:endnote>
  <w:endnote w:type="continuationSeparator" w:id="0">
    <w:p w14:paraId="50D40A85" w14:textId="77777777" w:rsidR="00C0276A" w:rsidRDefault="00C0276A" w:rsidP="00954263">
      <w:pPr>
        <w:spacing w:after="0" w:line="240" w:lineRule="auto"/>
      </w:pPr>
      <w:r>
        <w:continuationSeparator/>
      </w:r>
    </w:p>
  </w:endnote>
  <w:endnote w:type="continuationNotice" w:id="1">
    <w:p w14:paraId="4BC88F5C" w14:textId="77777777" w:rsidR="00744255" w:rsidRDefault="0074425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08415039"/>
      <w:docPartObj>
        <w:docPartGallery w:val="Page Numbers (Bottom of Page)"/>
        <w:docPartUnique/>
      </w:docPartObj>
    </w:sdtPr>
    <w:sdtEndPr>
      <w:rPr>
        <w:noProof/>
      </w:rPr>
    </w:sdtEndPr>
    <w:sdtContent>
      <w:p w14:paraId="310D5B30" w14:textId="7D64BC0F" w:rsidR="00954263" w:rsidRDefault="0095426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FE04443" w14:textId="77777777" w:rsidR="00954263" w:rsidRDefault="009542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AF289F0" w14:textId="77777777" w:rsidR="00C0276A" w:rsidRDefault="00C0276A" w:rsidP="00954263">
      <w:pPr>
        <w:spacing w:after="0" w:line="240" w:lineRule="auto"/>
      </w:pPr>
      <w:r>
        <w:separator/>
      </w:r>
    </w:p>
  </w:footnote>
  <w:footnote w:type="continuationSeparator" w:id="0">
    <w:p w14:paraId="49E3B665" w14:textId="77777777" w:rsidR="00C0276A" w:rsidRDefault="00C0276A" w:rsidP="00954263">
      <w:pPr>
        <w:spacing w:after="0" w:line="240" w:lineRule="auto"/>
      </w:pPr>
      <w:r>
        <w:continuationSeparator/>
      </w:r>
    </w:p>
  </w:footnote>
  <w:footnote w:type="continuationNotice" w:id="1">
    <w:p w14:paraId="07BEBADD" w14:textId="77777777" w:rsidR="00744255" w:rsidRDefault="00744255">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EB4323D"/>
    <w:multiLevelType w:val="multilevel"/>
    <w:tmpl w:val="0846E9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1364082"/>
    <w:multiLevelType w:val="hybridMultilevel"/>
    <w:tmpl w:val="F2AA0E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F4D4741"/>
    <w:multiLevelType w:val="multilevel"/>
    <w:tmpl w:val="B98833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19F5C42"/>
    <w:multiLevelType w:val="hybridMultilevel"/>
    <w:tmpl w:val="31CA82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6F62021"/>
    <w:multiLevelType w:val="multilevel"/>
    <w:tmpl w:val="80CA45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A1970C1"/>
    <w:multiLevelType w:val="hybridMultilevel"/>
    <w:tmpl w:val="B8EE0E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20358456">
    <w:abstractNumId w:val="2"/>
  </w:num>
  <w:num w:numId="2" w16cid:durableId="945575015">
    <w:abstractNumId w:val="4"/>
  </w:num>
  <w:num w:numId="3" w16cid:durableId="366419803">
    <w:abstractNumId w:val="0"/>
  </w:num>
  <w:num w:numId="4" w16cid:durableId="1713457922">
    <w:abstractNumId w:val="1"/>
  </w:num>
  <w:num w:numId="5" w16cid:durableId="1997371806">
    <w:abstractNumId w:val="5"/>
  </w:num>
  <w:num w:numId="6" w16cid:durableId="28346918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4263"/>
    <w:rsid w:val="00094121"/>
    <w:rsid w:val="000960AC"/>
    <w:rsid w:val="00097D67"/>
    <w:rsid w:val="000B2A2C"/>
    <w:rsid w:val="001251D3"/>
    <w:rsid w:val="001433F7"/>
    <w:rsid w:val="00194A8F"/>
    <w:rsid w:val="00197504"/>
    <w:rsid w:val="002805B0"/>
    <w:rsid w:val="00287C51"/>
    <w:rsid w:val="0029289A"/>
    <w:rsid w:val="002E22B6"/>
    <w:rsid w:val="00324BF2"/>
    <w:rsid w:val="003448FD"/>
    <w:rsid w:val="003F1424"/>
    <w:rsid w:val="0040740D"/>
    <w:rsid w:val="00441FEC"/>
    <w:rsid w:val="00442845"/>
    <w:rsid w:val="0044711D"/>
    <w:rsid w:val="004B1969"/>
    <w:rsid w:val="004C0381"/>
    <w:rsid w:val="00563815"/>
    <w:rsid w:val="0061671F"/>
    <w:rsid w:val="0066174E"/>
    <w:rsid w:val="007145E7"/>
    <w:rsid w:val="00744255"/>
    <w:rsid w:val="007F7772"/>
    <w:rsid w:val="00814FC5"/>
    <w:rsid w:val="00835E0F"/>
    <w:rsid w:val="00883CA1"/>
    <w:rsid w:val="008B4C07"/>
    <w:rsid w:val="008D030F"/>
    <w:rsid w:val="00954263"/>
    <w:rsid w:val="00971445"/>
    <w:rsid w:val="009807BE"/>
    <w:rsid w:val="00985B6E"/>
    <w:rsid w:val="00996C4A"/>
    <w:rsid w:val="009D4E9C"/>
    <w:rsid w:val="009E4B0C"/>
    <w:rsid w:val="00AA6FCF"/>
    <w:rsid w:val="00AB1969"/>
    <w:rsid w:val="00AB2FA8"/>
    <w:rsid w:val="00AC4D69"/>
    <w:rsid w:val="00AD735F"/>
    <w:rsid w:val="00AF0041"/>
    <w:rsid w:val="00B153EE"/>
    <w:rsid w:val="00B23F44"/>
    <w:rsid w:val="00B47D86"/>
    <w:rsid w:val="00B77870"/>
    <w:rsid w:val="00BC5AF4"/>
    <w:rsid w:val="00C0276A"/>
    <w:rsid w:val="00C63E41"/>
    <w:rsid w:val="00C8193B"/>
    <w:rsid w:val="00C91EBC"/>
    <w:rsid w:val="00C97318"/>
    <w:rsid w:val="00CB67D9"/>
    <w:rsid w:val="00CF1F33"/>
    <w:rsid w:val="00D12BC6"/>
    <w:rsid w:val="00D46835"/>
    <w:rsid w:val="00D90904"/>
    <w:rsid w:val="00D9307F"/>
    <w:rsid w:val="00DB0F8A"/>
    <w:rsid w:val="00DD580A"/>
    <w:rsid w:val="00E36C14"/>
    <w:rsid w:val="00E43AAA"/>
    <w:rsid w:val="00E650DA"/>
    <w:rsid w:val="00E905BC"/>
    <w:rsid w:val="00E934EE"/>
    <w:rsid w:val="00EC7B4D"/>
    <w:rsid w:val="00F83181"/>
    <w:rsid w:val="00FA347B"/>
    <w:rsid w:val="00FD4E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4D7BFEA"/>
  <w15:chartTrackingRefBased/>
  <w15:docId w15:val="{BB65B5BB-6FE5-4A3B-8A10-CCF73D816C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2FA8"/>
    <w:rPr>
      <w:rFonts w:ascii="Arial" w:hAnsi="Arial"/>
      <w:sz w:val="24"/>
    </w:rPr>
  </w:style>
  <w:style w:type="paragraph" w:styleId="Heading1">
    <w:name w:val="heading 1"/>
    <w:basedOn w:val="Normal"/>
    <w:next w:val="Normal"/>
    <w:link w:val="Heading1Char"/>
    <w:uiPriority w:val="9"/>
    <w:qFormat/>
    <w:rsid w:val="00954263"/>
    <w:pPr>
      <w:keepNext/>
      <w:keepLines/>
      <w:spacing w:before="360" w:after="80"/>
      <w:outlineLvl w:val="0"/>
    </w:pPr>
    <w:rPr>
      <w:rFonts w:eastAsiaTheme="majorEastAsia" w:cstheme="majorBidi"/>
      <w:b/>
      <w:sz w:val="34"/>
      <w:szCs w:val="40"/>
    </w:rPr>
  </w:style>
  <w:style w:type="paragraph" w:styleId="Heading2">
    <w:name w:val="heading 2"/>
    <w:basedOn w:val="Normal"/>
    <w:next w:val="Normal"/>
    <w:link w:val="Heading2Char"/>
    <w:uiPriority w:val="9"/>
    <w:semiHidden/>
    <w:unhideWhenUsed/>
    <w:qFormat/>
    <w:rsid w:val="0095426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5426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5426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5426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5426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426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426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426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4263"/>
    <w:rPr>
      <w:rFonts w:ascii="Arial" w:eastAsiaTheme="majorEastAsia" w:hAnsi="Arial" w:cstheme="majorBidi"/>
      <w:b/>
      <w:sz w:val="34"/>
      <w:szCs w:val="40"/>
    </w:rPr>
  </w:style>
  <w:style w:type="character" w:customStyle="1" w:styleId="Heading2Char">
    <w:name w:val="Heading 2 Char"/>
    <w:basedOn w:val="DefaultParagraphFont"/>
    <w:link w:val="Heading2"/>
    <w:uiPriority w:val="9"/>
    <w:semiHidden/>
    <w:rsid w:val="0095426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5426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5426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5426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542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42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42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4263"/>
    <w:rPr>
      <w:rFonts w:eastAsiaTheme="majorEastAsia" w:cstheme="majorBidi"/>
      <w:color w:val="272727" w:themeColor="text1" w:themeTint="D8"/>
    </w:rPr>
  </w:style>
  <w:style w:type="paragraph" w:styleId="Title">
    <w:name w:val="Title"/>
    <w:basedOn w:val="Normal"/>
    <w:next w:val="Normal"/>
    <w:link w:val="TitleChar"/>
    <w:uiPriority w:val="10"/>
    <w:qFormat/>
    <w:rsid w:val="0095426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42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426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42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4263"/>
    <w:pPr>
      <w:spacing w:before="160"/>
      <w:jc w:val="center"/>
    </w:pPr>
    <w:rPr>
      <w:i/>
      <w:iCs/>
      <w:color w:val="404040" w:themeColor="text1" w:themeTint="BF"/>
    </w:rPr>
  </w:style>
  <w:style w:type="character" w:customStyle="1" w:styleId="QuoteChar">
    <w:name w:val="Quote Char"/>
    <w:basedOn w:val="DefaultParagraphFont"/>
    <w:link w:val="Quote"/>
    <w:uiPriority w:val="29"/>
    <w:rsid w:val="00954263"/>
    <w:rPr>
      <w:i/>
      <w:iCs/>
      <w:color w:val="404040" w:themeColor="text1" w:themeTint="BF"/>
    </w:rPr>
  </w:style>
  <w:style w:type="paragraph" w:styleId="ListParagraph">
    <w:name w:val="List Paragraph"/>
    <w:basedOn w:val="Normal"/>
    <w:uiPriority w:val="34"/>
    <w:qFormat/>
    <w:rsid w:val="00954263"/>
    <w:pPr>
      <w:ind w:left="720"/>
      <w:contextualSpacing/>
    </w:pPr>
  </w:style>
  <w:style w:type="character" w:styleId="IntenseEmphasis">
    <w:name w:val="Intense Emphasis"/>
    <w:basedOn w:val="DefaultParagraphFont"/>
    <w:uiPriority w:val="21"/>
    <w:qFormat/>
    <w:rsid w:val="00954263"/>
    <w:rPr>
      <w:i/>
      <w:iCs/>
      <w:color w:val="0F4761" w:themeColor="accent1" w:themeShade="BF"/>
    </w:rPr>
  </w:style>
  <w:style w:type="paragraph" w:styleId="IntenseQuote">
    <w:name w:val="Intense Quote"/>
    <w:basedOn w:val="Normal"/>
    <w:next w:val="Normal"/>
    <w:link w:val="IntenseQuoteChar"/>
    <w:uiPriority w:val="30"/>
    <w:qFormat/>
    <w:rsid w:val="0095426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54263"/>
    <w:rPr>
      <w:i/>
      <w:iCs/>
      <w:color w:val="0F4761" w:themeColor="accent1" w:themeShade="BF"/>
    </w:rPr>
  </w:style>
  <w:style w:type="character" w:styleId="IntenseReference">
    <w:name w:val="Intense Reference"/>
    <w:basedOn w:val="DefaultParagraphFont"/>
    <w:uiPriority w:val="32"/>
    <w:qFormat/>
    <w:rsid w:val="00954263"/>
    <w:rPr>
      <w:b/>
      <w:bCs/>
      <w:smallCaps/>
      <w:color w:val="0F4761" w:themeColor="accent1" w:themeShade="BF"/>
      <w:spacing w:val="5"/>
    </w:rPr>
  </w:style>
  <w:style w:type="paragraph" w:styleId="Header">
    <w:name w:val="header"/>
    <w:basedOn w:val="Normal"/>
    <w:link w:val="HeaderChar"/>
    <w:uiPriority w:val="99"/>
    <w:unhideWhenUsed/>
    <w:rsid w:val="009542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4263"/>
  </w:style>
  <w:style w:type="paragraph" w:styleId="Footer">
    <w:name w:val="footer"/>
    <w:basedOn w:val="Normal"/>
    <w:link w:val="FooterChar"/>
    <w:uiPriority w:val="99"/>
    <w:unhideWhenUsed/>
    <w:rsid w:val="009542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4263"/>
  </w:style>
  <w:style w:type="character" w:styleId="Hyperlink">
    <w:name w:val="Hyperlink"/>
    <w:basedOn w:val="DefaultParagraphFont"/>
    <w:uiPriority w:val="99"/>
    <w:unhideWhenUsed/>
    <w:rsid w:val="0044711D"/>
    <w:rPr>
      <w:color w:val="467886" w:themeColor="hyperlink"/>
      <w:u w:val="single"/>
    </w:rPr>
  </w:style>
  <w:style w:type="character" w:styleId="UnresolvedMention">
    <w:name w:val="Unresolved Mention"/>
    <w:basedOn w:val="DefaultParagraphFont"/>
    <w:uiPriority w:val="99"/>
    <w:semiHidden/>
    <w:unhideWhenUsed/>
    <w:rsid w:val="0044711D"/>
    <w:rPr>
      <w:color w:val="605E5C"/>
      <w:shd w:val="clear" w:color="auto" w:fill="E1DFDD"/>
    </w:rPr>
  </w:style>
  <w:style w:type="paragraph" w:styleId="TOCHeading">
    <w:name w:val="TOC Heading"/>
    <w:basedOn w:val="Heading1"/>
    <w:next w:val="Normal"/>
    <w:uiPriority w:val="39"/>
    <w:unhideWhenUsed/>
    <w:qFormat/>
    <w:rsid w:val="0044711D"/>
    <w:pPr>
      <w:spacing w:before="240" w:after="0"/>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44711D"/>
    <w:pPr>
      <w:spacing w:after="100"/>
    </w:pPr>
  </w:style>
  <w:style w:type="paragraph" w:styleId="NoSpacing">
    <w:name w:val="No Spacing"/>
    <w:link w:val="NoSpacingChar"/>
    <w:uiPriority w:val="1"/>
    <w:qFormat/>
    <w:rsid w:val="0044711D"/>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44711D"/>
    <w:rPr>
      <w:rFonts w:eastAsiaTheme="minorEastAsia"/>
      <w:kern w:val="0"/>
      <w:lang w:val="en-US"/>
      <w14:ligatures w14:val="none"/>
    </w:rPr>
  </w:style>
  <w:style w:type="character" w:styleId="CommentReference">
    <w:name w:val="annotation reference"/>
    <w:basedOn w:val="DefaultParagraphFont"/>
    <w:uiPriority w:val="99"/>
    <w:semiHidden/>
    <w:unhideWhenUsed/>
    <w:rsid w:val="00B23F44"/>
    <w:rPr>
      <w:sz w:val="16"/>
      <w:szCs w:val="16"/>
    </w:rPr>
  </w:style>
  <w:style w:type="paragraph" w:styleId="CommentText">
    <w:name w:val="annotation text"/>
    <w:basedOn w:val="Normal"/>
    <w:link w:val="CommentTextChar"/>
    <w:uiPriority w:val="99"/>
    <w:unhideWhenUsed/>
    <w:rsid w:val="00B23F44"/>
    <w:pPr>
      <w:spacing w:line="240" w:lineRule="auto"/>
    </w:pPr>
    <w:rPr>
      <w:sz w:val="20"/>
      <w:szCs w:val="20"/>
    </w:rPr>
  </w:style>
  <w:style w:type="character" w:customStyle="1" w:styleId="CommentTextChar">
    <w:name w:val="Comment Text Char"/>
    <w:basedOn w:val="DefaultParagraphFont"/>
    <w:link w:val="CommentText"/>
    <w:uiPriority w:val="99"/>
    <w:rsid w:val="00B23F44"/>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B23F44"/>
    <w:rPr>
      <w:b/>
      <w:bCs/>
    </w:rPr>
  </w:style>
  <w:style w:type="character" w:customStyle="1" w:styleId="CommentSubjectChar">
    <w:name w:val="Comment Subject Char"/>
    <w:basedOn w:val="CommentTextChar"/>
    <w:link w:val="CommentSubject"/>
    <w:uiPriority w:val="99"/>
    <w:semiHidden/>
    <w:rsid w:val="00B23F44"/>
    <w:rPr>
      <w:rFonts w:ascii="Arial" w:hAnsi="Arial"/>
      <w:b/>
      <w:bCs/>
      <w:sz w:val="20"/>
      <w:szCs w:val="20"/>
    </w:rPr>
  </w:style>
  <w:style w:type="character" w:styleId="FollowedHyperlink">
    <w:name w:val="FollowedHyperlink"/>
    <w:basedOn w:val="DefaultParagraphFont"/>
    <w:uiPriority w:val="99"/>
    <w:semiHidden/>
    <w:unhideWhenUsed/>
    <w:rsid w:val="009E4B0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0830779">
      <w:bodyDiv w:val="1"/>
      <w:marLeft w:val="0"/>
      <w:marRight w:val="0"/>
      <w:marTop w:val="0"/>
      <w:marBottom w:val="0"/>
      <w:divBdr>
        <w:top w:val="none" w:sz="0" w:space="0" w:color="auto"/>
        <w:left w:val="none" w:sz="0" w:space="0" w:color="auto"/>
        <w:bottom w:val="none" w:sz="0" w:space="0" w:color="auto"/>
        <w:right w:val="none" w:sz="0" w:space="0" w:color="auto"/>
      </w:divBdr>
      <w:divsChild>
        <w:div w:id="1261569775">
          <w:marLeft w:val="0"/>
          <w:marRight w:val="0"/>
          <w:marTop w:val="0"/>
          <w:marBottom w:val="150"/>
          <w:divBdr>
            <w:top w:val="none" w:sz="0" w:space="0" w:color="auto"/>
            <w:left w:val="none" w:sz="0" w:space="0" w:color="auto"/>
            <w:bottom w:val="none" w:sz="0" w:space="0" w:color="auto"/>
            <w:right w:val="none" w:sz="0" w:space="0" w:color="auto"/>
          </w:divBdr>
        </w:div>
      </w:divsChild>
    </w:div>
    <w:div w:id="104739325">
      <w:bodyDiv w:val="1"/>
      <w:marLeft w:val="0"/>
      <w:marRight w:val="0"/>
      <w:marTop w:val="0"/>
      <w:marBottom w:val="0"/>
      <w:divBdr>
        <w:top w:val="none" w:sz="0" w:space="0" w:color="auto"/>
        <w:left w:val="none" w:sz="0" w:space="0" w:color="auto"/>
        <w:bottom w:val="none" w:sz="0" w:space="0" w:color="auto"/>
        <w:right w:val="none" w:sz="0" w:space="0" w:color="auto"/>
      </w:divBdr>
    </w:div>
    <w:div w:id="126092444">
      <w:bodyDiv w:val="1"/>
      <w:marLeft w:val="0"/>
      <w:marRight w:val="0"/>
      <w:marTop w:val="0"/>
      <w:marBottom w:val="0"/>
      <w:divBdr>
        <w:top w:val="none" w:sz="0" w:space="0" w:color="auto"/>
        <w:left w:val="none" w:sz="0" w:space="0" w:color="auto"/>
        <w:bottom w:val="none" w:sz="0" w:space="0" w:color="auto"/>
        <w:right w:val="none" w:sz="0" w:space="0" w:color="auto"/>
      </w:divBdr>
    </w:div>
    <w:div w:id="137919383">
      <w:bodyDiv w:val="1"/>
      <w:marLeft w:val="0"/>
      <w:marRight w:val="0"/>
      <w:marTop w:val="0"/>
      <w:marBottom w:val="0"/>
      <w:divBdr>
        <w:top w:val="none" w:sz="0" w:space="0" w:color="auto"/>
        <w:left w:val="none" w:sz="0" w:space="0" w:color="auto"/>
        <w:bottom w:val="none" w:sz="0" w:space="0" w:color="auto"/>
        <w:right w:val="none" w:sz="0" w:space="0" w:color="auto"/>
      </w:divBdr>
    </w:div>
    <w:div w:id="193884994">
      <w:bodyDiv w:val="1"/>
      <w:marLeft w:val="0"/>
      <w:marRight w:val="0"/>
      <w:marTop w:val="0"/>
      <w:marBottom w:val="0"/>
      <w:divBdr>
        <w:top w:val="none" w:sz="0" w:space="0" w:color="auto"/>
        <w:left w:val="none" w:sz="0" w:space="0" w:color="auto"/>
        <w:bottom w:val="none" w:sz="0" w:space="0" w:color="auto"/>
        <w:right w:val="none" w:sz="0" w:space="0" w:color="auto"/>
      </w:divBdr>
      <w:divsChild>
        <w:div w:id="217783645">
          <w:marLeft w:val="0"/>
          <w:marRight w:val="0"/>
          <w:marTop w:val="0"/>
          <w:marBottom w:val="150"/>
          <w:divBdr>
            <w:top w:val="none" w:sz="0" w:space="0" w:color="auto"/>
            <w:left w:val="none" w:sz="0" w:space="0" w:color="auto"/>
            <w:bottom w:val="none" w:sz="0" w:space="0" w:color="auto"/>
            <w:right w:val="none" w:sz="0" w:space="0" w:color="auto"/>
          </w:divBdr>
        </w:div>
      </w:divsChild>
    </w:div>
    <w:div w:id="194461464">
      <w:bodyDiv w:val="1"/>
      <w:marLeft w:val="0"/>
      <w:marRight w:val="0"/>
      <w:marTop w:val="0"/>
      <w:marBottom w:val="0"/>
      <w:divBdr>
        <w:top w:val="none" w:sz="0" w:space="0" w:color="auto"/>
        <w:left w:val="none" w:sz="0" w:space="0" w:color="auto"/>
        <w:bottom w:val="none" w:sz="0" w:space="0" w:color="auto"/>
        <w:right w:val="none" w:sz="0" w:space="0" w:color="auto"/>
      </w:divBdr>
    </w:div>
    <w:div w:id="237176955">
      <w:bodyDiv w:val="1"/>
      <w:marLeft w:val="0"/>
      <w:marRight w:val="0"/>
      <w:marTop w:val="0"/>
      <w:marBottom w:val="0"/>
      <w:divBdr>
        <w:top w:val="none" w:sz="0" w:space="0" w:color="auto"/>
        <w:left w:val="none" w:sz="0" w:space="0" w:color="auto"/>
        <w:bottom w:val="none" w:sz="0" w:space="0" w:color="auto"/>
        <w:right w:val="none" w:sz="0" w:space="0" w:color="auto"/>
      </w:divBdr>
    </w:div>
    <w:div w:id="243877232">
      <w:bodyDiv w:val="1"/>
      <w:marLeft w:val="0"/>
      <w:marRight w:val="0"/>
      <w:marTop w:val="0"/>
      <w:marBottom w:val="0"/>
      <w:divBdr>
        <w:top w:val="none" w:sz="0" w:space="0" w:color="auto"/>
        <w:left w:val="none" w:sz="0" w:space="0" w:color="auto"/>
        <w:bottom w:val="none" w:sz="0" w:space="0" w:color="auto"/>
        <w:right w:val="none" w:sz="0" w:space="0" w:color="auto"/>
      </w:divBdr>
      <w:divsChild>
        <w:div w:id="527526786">
          <w:marLeft w:val="0"/>
          <w:marRight w:val="0"/>
          <w:marTop w:val="0"/>
          <w:marBottom w:val="150"/>
          <w:divBdr>
            <w:top w:val="none" w:sz="0" w:space="0" w:color="auto"/>
            <w:left w:val="none" w:sz="0" w:space="0" w:color="auto"/>
            <w:bottom w:val="none" w:sz="0" w:space="0" w:color="auto"/>
            <w:right w:val="none" w:sz="0" w:space="0" w:color="auto"/>
          </w:divBdr>
        </w:div>
      </w:divsChild>
    </w:div>
    <w:div w:id="295836639">
      <w:bodyDiv w:val="1"/>
      <w:marLeft w:val="0"/>
      <w:marRight w:val="0"/>
      <w:marTop w:val="0"/>
      <w:marBottom w:val="0"/>
      <w:divBdr>
        <w:top w:val="none" w:sz="0" w:space="0" w:color="auto"/>
        <w:left w:val="none" w:sz="0" w:space="0" w:color="auto"/>
        <w:bottom w:val="none" w:sz="0" w:space="0" w:color="auto"/>
        <w:right w:val="none" w:sz="0" w:space="0" w:color="auto"/>
      </w:divBdr>
    </w:div>
    <w:div w:id="370375357">
      <w:bodyDiv w:val="1"/>
      <w:marLeft w:val="0"/>
      <w:marRight w:val="0"/>
      <w:marTop w:val="0"/>
      <w:marBottom w:val="0"/>
      <w:divBdr>
        <w:top w:val="none" w:sz="0" w:space="0" w:color="auto"/>
        <w:left w:val="none" w:sz="0" w:space="0" w:color="auto"/>
        <w:bottom w:val="none" w:sz="0" w:space="0" w:color="auto"/>
        <w:right w:val="none" w:sz="0" w:space="0" w:color="auto"/>
      </w:divBdr>
      <w:divsChild>
        <w:div w:id="78526709">
          <w:marLeft w:val="0"/>
          <w:marRight w:val="0"/>
          <w:marTop w:val="0"/>
          <w:marBottom w:val="150"/>
          <w:divBdr>
            <w:top w:val="none" w:sz="0" w:space="0" w:color="auto"/>
            <w:left w:val="none" w:sz="0" w:space="0" w:color="auto"/>
            <w:bottom w:val="none" w:sz="0" w:space="0" w:color="auto"/>
            <w:right w:val="none" w:sz="0" w:space="0" w:color="auto"/>
          </w:divBdr>
        </w:div>
      </w:divsChild>
    </w:div>
    <w:div w:id="487475652">
      <w:bodyDiv w:val="1"/>
      <w:marLeft w:val="0"/>
      <w:marRight w:val="0"/>
      <w:marTop w:val="0"/>
      <w:marBottom w:val="0"/>
      <w:divBdr>
        <w:top w:val="none" w:sz="0" w:space="0" w:color="auto"/>
        <w:left w:val="none" w:sz="0" w:space="0" w:color="auto"/>
        <w:bottom w:val="none" w:sz="0" w:space="0" w:color="auto"/>
        <w:right w:val="none" w:sz="0" w:space="0" w:color="auto"/>
      </w:divBdr>
      <w:divsChild>
        <w:div w:id="868251957">
          <w:marLeft w:val="0"/>
          <w:marRight w:val="0"/>
          <w:marTop w:val="0"/>
          <w:marBottom w:val="150"/>
          <w:divBdr>
            <w:top w:val="none" w:sz="0" w:space="0" w:color="auto"/>
            <w:left w:val="none" w:sz="0" w:space="0" w:color="auto"/>
            <w:bottom w:val="none" w:sz="0" w:space="0" w:color="auto"/>
            <w:right w:val="none" w:sz="0" w:space="0" w:color="auto"/>
          </w:divBdr>
        </w:div>
      </w:divsChild>
    </w:div>
    <w:div w:id="625083107">
      <w:bodyDiv w:val="1"/>
      <w:marLeft w:val="0"/>
      <w:marRight w:val="0"/>
      <w:marTop w:val="0"/>
      <w:marBottom w:val="0"/>
      <w:divBdr>
        <w:top w:val="none" w:sz="0" w:space="0" w:color="auto"/>
        <w:left w:val="none" w:sz="0" w:space="0" w:color="auto"/>
        <w:bottom w:val="none" w:sz="0" w:space="0" w:color="auto"/>
        <w:right w:val="none" w:sz="0" w:space="0" w:color="auto"/>
      </w:divBdr>
      <w:divsChild>
        <w:div w:id="2078816511">
          <w:marLeft w:val="0"/>
          <w:marRight w:val="0"/>
          <w:marTop w:val="0"/>
          <w:marBottom w:val="150"/>
          <w:divBdr>
            <w:top w:val="none" w:sz="0" w:space="0" w:color="auto"/>
            <w:left w:val="none" w:sz="0" w:space="0" w:color="auto"/>
            <w:bottom w:val="none" w:sz="0" w:space="0" w:color="auto"/>
            <w:right w:val="none" w:sz="0" w:space="0" w:color="auto"/>
          </w:divBdr>
        </w:div>
      </w:divsChild>
    </w:div>
    <w:div w:id="654721015">
      <w:bodyDiv w:val="1"/>
      <w:marLeft w:val="0"/>
      <w:marRight w:val="0"/>
      <w:marTop w:val="0"/>
      <w:marBottom w:val="0"/>
      <w:divBdr>
        <w:top w:val="none" w:sz="0" w:space="0" w:color="auto"/>
        <w:left w:val="none" w:sz="0" w:space="0" w:color="auto"/>
        <w:bottom w:val="none" w:sz="0" w:space="0" w:color="auto"/>
        <w:right w:val="none" w:sz="0" w:space="0" w:color="auto"/>
      </w:divBdr>
      <w:divsChild>
        <w:div w:id="159009845">
          <w:marLeft w:val="0"/>
          <w:marRight w:val="0"/>
          <w:marTop w:val="0"/>
          <w:marBottom w:val="150"/>
          <w:divBdr>
            <w:top w:val="none" w:sz="0" w:space="0" w:color="auto"/>
            <w:left w:val="none" w:sz="0" w:space="0" w:color="auto"/>
            <w:bottom w:val="none" w:sz="0" w:space="0" w:color="auto"/>
            <w:right w:val="none" w:sz="0" w:space="0" w:color="auto"/>
          </w:divBdr>
        </w:div>
      </w:divsChild>
    </w:div>
    <w:div w:id="701250746">
      <w:bodyDiv w:val="1"/>
      <w:marLeft w:val="0"/>
      <w:marRight w:val="0"/>
      <w:marTop w:val="0"/>
      <w:marBottom w:val="0"/>
      <w:divBdr>
        <w:top w:val="none" w:sz="0" w:space="0" w:color="auto"/>
        <w:left w:val="none" w:sz="0" w:space="0" w:color="auto"/>
        <w:bottom w:val="none" w:sz="0" w:space="0" w:color="auto"/>
        <w:right w:val="none" w:sz="0" w:space="0" w:color="auto"/>
      </w:divBdr>
      <w:divsChild>
        <w:div w:id="2111654051">
          <w:marLeft w:val="0"/>
          <w:marRight w:val="0"/>
          <w:marTop w:val="0"/>
          <w:marBottom w:val="150"/>
          <w:divBdr>
            <w:top w:val="none" w:sz="0" w:space="0" w:color="auto"/>
            <w:left w:val="none" w:sz="0" w:space="0" w:color="auto"/>
            <w:bottom w:val="none" w:sz="0" w:space="0" w:color="auto"/>
            <w:right w:val="none" w:sz="0" w:space="0" w:color="auto"/>
          </w:divBdr>
        </w:div>
      </w:divsChild>
    </w:div>
    <w:div w:id="708379272">
      <w:bodyDiv w:val="1"/>
      <w:marLeft w:val="0"/>
      <w:marRight w:val="0"/>
      <w:marTop w:val="0"/>
      <w:marBottom w:val="0"/>
      <w:divBdr>
        <w:top w:val="none" w:sz="0" w:space="0" w:color="auto"/>
        <w:left w:val="none" w:sz="0" w:space="0" w:color="auto"/>
        <w:bottom w:val="none" w:sz="0" w:space="0" w:color="auto"/>
        <w:right w:val="none" w:sz="0" w:space="0" w:color="auto"/>
      </w:divBdr>
    </w:div>
    <w:div w:id="744764439">
      <w:bodyDiv w:val="1"/>
      <w:marLeft w:val="0"/>
      <w:marRight w:val="0"/>
      <w:marTop w:val="0"/>
      <w:marBottom w:val="0"/>
      <w:divBdr>
        <w:top w:val="none" w:sz="0" w:space="0" w:color="auto"/>
        <w:left w:val="none" w:sz="0" w:space="0" w:color="auto"/>
        <w:bottom w:val="none" w:sz="0" w:space="0" w:color="auto"/>
        <w:right w:val="none" w:sz="0" w:space="0" w:color="auto"/>
      </w:divBdr>
    </w:div>
    <w:div w:id="807164653">
      <w:bodyDiv w:val="1"/>
      <w:marLeft w:val="0"/>
      <w:marRight w:val="0"/>
      <w:marTop w:val="0"/>
      <w:marBottom w:val="0"/>
      <w:divBdr>
        <w:top w:val="none" w:sz="0" w:space="0" w:color="auto"/>
        <w:left w:val="none" w:sz="0" w:space="0" w:color="auto"/>
        <w:bottom w:val="none" w:sz="0" w:space="0" w:color="auto"/>
        <w:right w:val="none" w:sz="0" w:space="0" w:color="auto"/>
      </w:divBdr>
      <w:divsChild>
        <w:div w:id="1962689872">
          <w:marLeft w:val="0"/>
          <w:marRight w:val="0"/>
          <w:marTop w:val="0"/>
          <w:marBottom w:val="150"/>
          <w:divBdr>
            <w:top w:val="none" w:sz="0" w:space="0" w:color="auto"/>
            <w:left w:val="none" w:sz="0" w:space="0" w:color="auto"/>
            <w:bottom w:val="none" w:sz="0" w:space="0" w:color="auto"/>
            <w:right w:val="none" w:sz="0" w:space="0" w:color="auto"/>
          </w:divBdr>
        </w:div>
      </w:divsChild>
    </w:div>
    <w:div w:id="826020046">
      <w:bodyDiv w:val="1"/>
      <w:marLeft w:val="0"/>
      <w:marRight w:val="0"/>
      <w:marTop w:val="0"/>
      <w:marBottom w:val="0"/>
      <w:divBdr>
        <w:top w:val="none" w:sz="0" w:space="0" w:color="auto"/>
        <w:left w:val="none" w:sz="0" w:space="0" w:color="auto"/>
        <w:bottom w:val="none" w:sz="0" w:space="0" w:color="auto"/>
        <w:right w:val="none" w:sz="0" w:space="0" w:color="auto"/>
      </w:divBdr>
      <w:divsChild>
        <w:div w:id="1494443850">
          <w:marLeft w:val="0"/>
          <w:marRight w:val="0"/>
          <w:marTop w:val="0"/>
          <w:marBottom w:val="150"/>
          <w:divBdr>
            <w:top w:val="none" w:sz="0" w:space="0" w:color="auto"/>
            <w:left w:val="none" w:sz="0" w:space="0" w:color="auto"/>
            <w:bottom w:val="none" w:sz="0" w:space="0" w:color="auto"/>
            <w:right w:val="none" w:sz="0" w:space="0" w:color="auto"/>
          </w:divBdr>
        </w:div>
      </w:divsChild>
    </w:div>
    <w:div w:id="846675930">
      <w:bodyDiv w:val="1"/>
      <w:marLeft w:val="0"/>
      <w:marRight w:val="0"/>
      <w:marTop w:val="0"/>
      <w:marBottom w:val="0"/>
      <w:divBdr>
        <w:top w:val="none" w:sz="0" w:space="0" w:color="auto"/>
        <w:left w:val="none" w:sz="0" w:space="0" w:color="auto"/>
        <w:bottom w:val="none" w:sz="0" w:space="0" w:color="auto"/>
        <w:right w:val="none" w:sz="0" w:space="0" w:color="auto"/>
      </w:divBdr>
    </w:div>
    <w:div w:id="1075393295">
      <w:bodyDiv w:val="1"/>
      <w:marLeft w:val="0"/>
      <w:marRight w:val="0"/>
      <w:marTop w:val="0"/>
      <w:marBottom w:val="0"/>
      <w:divBdr>
        <w:top w:val="none" w:sz="0" w:space="0" w:color="auto"/>
        <w:left w:val="none" w:sz="0" w:space="0" w:color="auto"/>
        <w:bottom w:val="none" w:sz="0" w:space="0" w:color="auto"/>
        <w:right w:val="none" w:sz="0" w:space="0" w:color="auto"/>
      </w:divBdr>
    </w:div>
    <w:div w:id="1096364162">
      <w:bodyDiv w:val="1"/>
      <w:marLeft w:val="0"/>
      <w:marRight w:val="0"/>
      <w:marTop w:val="0"/>
      <w:marBottom w:val="0"/>
      <w:divBdr>
        <w:top w:val="none" w:sz="0" w:space="0" w:color="auto"/>
        <w:left w:val="none" w:sz="0" w:space="0" w:color="auto"/>
        <w:bottom w:val="none" w:sz="0" w:space="0" w:color="auto"/>
        <w:right w:val="none" w:sz="0" w:space="0" w:color="auto"/>
      </w:divBdr>
      <w:divsChild>
        <w:div w:id="1084179282">
          <w:marLeft w:val="0"/>
          <w:marRight w:val="0"/>
          <w:marTop w:val="0"/>
          <w:marBottom w:val="150"/>
          <w:divBdr>
            <w:top w:val="none" w:sz="0" w:space="0" w:color="auto"/>
            <w:left w:val="none" w:sz="0" w:space="0" w:color="auto"/>
            <w:bottom w:val="none" w:sz="0" w:space="0" w:color="auto"/>
            <w:right w:val="none" w:sz="0" w:space="0" w:color="auto"/>
          </w:divBdr>
        </w:div>
      </w:divsChild>
    </w:div>
    <w:div w:id="1116558821">
      <w:bodyDiv w:val="1"/>
      <w:marLeft w:val="0"/>
      <w:marRight w:val="0"/>
      <w:marTop w:val="0"/>
      <w:marBottom w:val="0"/>
      <w:divBdr>
        <w:top w:val="none" w:sz="0" w:space="0" w:color="auto"/>
        <w:left w:val="none" w:sz="0" w:space="0" w:color="auto"/>
        <w:bottom w:val="none" w:sz="0" w:space="0" w:color="auto"/>
        <w:right w:val="none" w:sz="0" w:space="0" w:color="auto"/>
      </w:divBdr>
    </w:div>
    <w:div w:id="1155949217">
      <w:bodyDiv w:val="1"/>
      <w:marLeft w:val="0"/>
      <w:marRight w:val="0"/>
      <w:marTop w:val="0"/>
      <w:marBottom w:val="0"/>
      <w:divBdr>
        <w:top w:val="none" w:sz="0" w:space="0" w:color="auto"/>
        <w:left w:val="none" w:sz="0" w:space="0" w:color="auto"/>
        <w:bottom w:val="none" w:sz="0" w:space="0" w:color="auto"/>
        <w:right w:val="none" w:sz="0" w:space="0" w:color="auto"/>
      </w:divBdr>
      <w:divsChild>
        <w:div w:id="931355663">
          <w:marLeft w:val="0"/>
          <w:marRight w:val="0"/>
          <w:marTop w:val="0"/>
          <w:marBottom w:val="150"/>
          <w:divBdr>
            <w:top w:val="none" w:sz="0" w:space="0" w:color="auto"/>
            <w:left w:val="none" w:sz="0" w:space="0" w:color="auto"/>
            <w:bottom w:val="none" w:sz="0" w:space="0" w:color="auto"/>
            <w:right w:val="none" w:sz="0" w:space="0" w:color="auto"/>
          </w:divBdr>
        </w:div>
      </w:divsChild>
    </w:div>
    <w:div w:id="1203205463">
      <w:bodyDiv w:val="1"/>
      <w:marLeft w:val="0"/>
      <w:marRight w:val="0"/>
      <w:marTop w:val="0"/>
      <w:marBottom w:val="0"/>
      <w:divBdr>
        <w:top w:val="none" w:sz="0" w:space="0" w:color="auto"/>
        <w:left w:val="none" w:sz="0" w:space="0" w:color="auto"/>
        <w:bottom w:val="none" w:sz="0" w:space="0" w:color="auto"/>
        <w:right w:val="none" w:sz="0" w:space="0" w:color="auto"/>
      </w:divBdr>
    </w:div>
    <w:div w:id="1210724186">
      <w:bodyDiv w:val="1"/>
      <w:marLeft w:val="0"/>
      <w:marRight w:val="0"/>
      <w:marTop w:val="0"/>
      <w:marBottom w:val="0"/>
      <w:divBdr>
        <w:top w:val="none" w:sz="0" w:space="0" w:color="auto"/>
        <w:left w:val="none" w:sz="0" w:space="0" w:color="auto"/>
        <w:bottom w:val="none" w:sz="0" w:space="0" w:color="auto"/>
        <w:right w:val="none" w:sz="0" w:space="0" w:color="auto"/>
      </w:divBdr>
      <w:divsChild>
        <w:div w:id="940796117">
          <w:marLeft w:val="0"/>
          <w:marRight w:val="0"/>
          <w:marTop w:val="0"/>
          <w:marBottom w:val="150"/>
          <w:divBdr>
            <w:top w:val="none" w:sz="0" w:space="0" w:color="auto"/>
            <w:left w:val="none" w:sz="0" w:space="0" w:color="auto"/>
            <w:bottom w:val="none" w:sz="0" w:space="0" w:color="auto"/>
            <w:right w:val="none" w:sz="0" w:space="0" w:color="auto"/>
          </w:divBdr>
        </w:div>
      </w:divsChild>
    </w:div>
    <w:div w:id="1262834183">
      <w:bodyDiv w:val="1"/>
      <w:marLeft w:val="0"/>
      <w:marRight w:val="0"/>
      <w:marTop w:val="0"/>
      <w:marBottom w:val="0"/>
      <w:divBdr>
        <w:top w:val="none" w:sz="0" w:space="0" w:color="auto"/>
        <w:left w:val="none" w:sz="0" w:space="0" w:color="auto"/>
        <w:bottom w:val="none" w:sz="0" w:space="0" w:color="auto"/>
        <w:right w:val="none" w:sz="0" w:space="0" w:color="auto"/>
      </w:divBdr>
    </w:div>
    <w:div w:id="1290236226">
      <w:bodyDiv w:val="1"/>
      <w:marLeft w:val="0"/>
      <w:marRight w:val="0"/>
      <w:marTop w:val="0"/>
      <w:marBottom w:val="0"/>
      <w:divBdr>
        <w:top w:val="none" w:sz="0" w:space="0" w:color="auto"/>
        <w:left w:val="none" w:sz="0" w:space="0" w:color="auto"/>
        <w:bottom w:val="none" w:sz="0" w:space="0" w:color="auto"/>
        <w:right w:val="none" w:sz="0" w:space="0" w:color="auto"/>
      </w:divBdr>
      <w:divsChild>
        <w:div w:id="765464893">
          <w:marLeft w:val="0"/>
          <w:marRight w:val="0"/>
          <w:marTop w:val="0"/>
          <w:marBottom w:val="150"/>
          <w:divBdr>
            <w:top w:val="none" w:sz="0" w:space="0" w:color="auto"/>
            <w:left w:val="none" w:sz="0" w:space="0" w:color="auto"/>
            <w:bottom w:val="none" w:sz="0" w:space="0" w:color="auto"/>
            <w:right w:val="none" w:sz="0" w:space="0" w:color="auto"/>
          </w:divBdr>
        </w:div>
      </w:divsChild>
    </w:div>
    <w:div w:id="1296325667">
      <w:bodyDiv w:val="1"/>
      <w:marLeft w:val="0"/>
      <w:marRight w:val="0"/>
      <w:marTop w:val="0"/>
      <w:marBottom w:val="0"/>
      <w:divBdr>
        <w:top w:val="none" w:sz="0" w:space="0" w:color="auto"/>
        <w:left w:val="none" w:sz="0" w:space="0" w:color="auto"/>
        <w:bottom w:val="none" w:sz="0" w:space="0" w:color="auto"/>
        <w:right w:val="none" w:sz="0" w:space="0" w:color="auto"/>
      </w:divBdr>
      <w:divsChild>
        <w:div w:id="1370689369">
          <w:marLeft w:val="0"/>
          <w:marRight w:val="0"/>
          <w:marTop w:val="0"/>
          <w:marBottom w:val="150"/>
          <w:divBdr>
            <w:top w:val="none" w:sz="0" w:space="0" w:color="auto"/>
            <w:left w:val="none" w:sz="0" w:space="0" w:color="auto"/>
            <w:bottom w:val="none" w:sz="0" w:space="0" w:color="auto"/>
            <w:right w:val="none" w:sz="0" w:space="0" w:color="auto"/>
          </w:divBdr>
        </w:div>
      </w:divsChild>
    </w:div>
    <w:div w:id="1361474469">
      <w:bodyDiv w:val="1"/>
      <w:marLeft w:val="0"/>
      <w:marRight w:val="0"/>
      <w:marTop w:val="0"/>
      <w:marBottom w:val="0"/>
      <w:divBdr>
        <w:top w:val="none" w:sz="0" w:space="0" w:color="auto"/>
        <w:left w:val="none" w:sz="0" w:space="0" w:color="auto"/>
        <w:bottom w:val="none" w:sz="0" w:space="0" w:color="auto"/>
        <w:right w:val="none" w:sz="0" w:space="0" w:color="auto"/>
      </w:divBdr>
    </w:div>
    <w:div w:id="1361779374">
      <w:bodyDiv w:val="1"/>
      <w:marLeft w:val="0"/>
      <w:marRight w:val="0"/>
      <w:marTop w:val="0"/>
      <w:marBottom w:val="0"/>
      <w:divBdr>
        <w:top w:val="none" w:sz="0" w:space="0" w:color="auto"/>
        <w:left w:val="none" w:sz="0" w:space="0" w:color="auto"/>
        <w:bottom w:val="none" w:sz="0" w:space="0" w:color="auto"/>
        <w:right w:val="none" w:sz="0" w:space="0" w:color="auto"/>
      </w:divBdr>
    </w:div>
    <w:div w:id="1401640434">
      <w:bodyDiv w:val="1"/>
      <w:marLeft w:val="0"/>
      <w:marRight w:val="0"/>
      <w:marTop w:val="0"/>
      <w:marBottom w:val="0"/>
      <w:divBdr>
        <w:top w:val="none" w:sz="0" w:space="0" w:color="auto"/>
        <w:left w:val="none" w:sz="0" w:space="0" w:color="auto"/>
        <w:bottom w:val="none" w:sz="0" w:space="0" w:color="auto"/>
        <w:right w:val="none" w:sz="0" w:space="0" w:color="auto"/>
      </w:divBdr>
    </w:div>
    <w:div w:id="1427265533">
      <w:bodyDiv w:val="1"/>
      <w:marLeft w:val="0"/>
      <w:marRight w:val="0"/>
      <w:marTop w:val="0"/>
      <w:marBottom w:val="0"/>
      <w:divBdr>
        <w:top w:val="none" w:sz="0" w:space="0" w:color="auto"/>
        <w:left w:val="none" w:sz="0" w:space="0" w:color="auto"/>
        <w:bottom w:val="none" w:sz="0" w:space="0" w:color="auto"/>
        <w:right w:val="none" w:sz="0" w:space="0" w:color="auto"/>
      </w:divBdr>
    </w:div>
    <w:div w:id="1435326148">
      <w:bodyDiv w:val="1"/>
      <w:marLeft w:val="0"/>
      <w:marRight w:val="0"/>
      <w:marTop w:val="0"/>
      <w:marBottom w:val="0"/>
      <w:divBdr>
        <w:top w:val="none" w:sz="0" w:space="0" w:color="auto"/>
        <w:left w:val="none" w:sz="0" w:space="0" w:color="auto"/>
        <w:bottom w:val="none" w:sz="0" w:space="0" w:color="auto"/>
        <w:right w:val="none" w:sz="0" w:space="0" w:color="auto"/>
      </w:divBdr>
    </w:div>
    <w:div w:id="1468010836">
      <w:bodyDiv w:val="1"/>
      <w:marLeft w:val="0"/>
      <w:marRight w:val="0"/>
      <w:marTop w:val="0"/>
      <w:marBottom w:val="0"/>
      <w:divBdr>
        <w:top w:val="none" w:sz="0" w:space="0" w:color="auto"/>
        <w:left w:val="none" w:sz="0" w:space="0" w:color="auto"/>
        <w:bottom w:val="none" w:sz="0" w:space="0" w:color="auto"/>
        <w:right w:val="none" w:sz="0" w:space="0" w:color="auto"/>
      </w:divBdr>
    </w:div>
    <w:div w:id="1603757051">
      <w:bodyDiv w:val="1"/>
      <w:marLeft w:val="0"/>
      <w:marRight w:val="0"/>
      <w:marTop w:val="0"/>
      <w:marBottom w:val="0"/>
      <w:divBdr>
        <w:top w:val="none" w:sz="0" w:space="0" w:color="auto"/>
        <w:left w:val="none" w:sz="0" w:space="0" w:color="auto"/>
        <w:bottom w:val="none" w:sz="0" w:space="0" w:color="auto"/>
        <w:right w:val="none" w:sz="0" w:space="0" w:color="auto"/>
      </w:divBdr>
    </w:div>
    <w:div w:id="1630431862">
      <w:bodyDiv w:val="1"/>
      <w:marLeft w:val="0"/>
      <w:marRight w:val="0"/>
      <w:marTop w:val="0"/>
      <w:marBottom w:val="0"/>
      <w:divBdr>
        <w:top w:val="none" w:sz="0" w:space="0" w:color="auto"/>
        <w:left w:val="none" w:sz="0" w:space="0" w:color="auto"/>
        <w:bottom w:val="none" w:sz="0" w:space="0" w:color="auto"/>
        <w:right w:val="none" w:sz="0" w:space="0" w:color="auto"/>
      </w:divBdr>
    </w:div>
    <w:div w:id="1662274989">
      <w:bodyDiv w:val="1"/>
      <w:marLeft w:val="0"/>
      <w:marRight w:val="0"/>
      <w:marTop w:val="0"/>
      <w:marBottom w:val="0"/>
      <w:divBdr>
        <w:top w:val="none" w:sz="0" w:space="0" w:color="auto"/>
        <w:left w:val="none" w:sz="0" w:space="0" w:color="auto"/>
        <w:bottom w:val="none" w:sz="0" w:space="0" w:color="auto"/>
        <w:right w:val="none" w:sz="0" w:space="0" w:color="auto"/>
      </w:divBdr>
    </w:div>
    <w:div w:id="1706057207">
      <w:bodyDiv w:val="1"/>
      <w:marLeft w:val="0"/>
      <w:marRight w:val="0"/>
      <w:marTop w:val="0"/>
      <w:marBottom w:val="0"/>
      <w:divBdr>
        <w:top w:val="none" w:sz="0" w:space="0" w:color="auto"/>
        <w:left w:val="none" w:sz="0" w:space="0" w:color="auto"/>
        <w:bottom w:val="none" w:sz="0" w:space="0" w:color="auto"/>
        <w:right w:val="none" w:sz="0" w:space="0" w:color="auto"/>
      </w:divBdr>
      <w:divsChild>
        <w:div w:id="101192094">
          <w:marLeft w:val="0"/>
          <w:marRight w:val="0"/>
          <w:marTop w:val="0"/>
          <w:marBottom w:val="150"/>
          <w:divBdr>
            <w:top w:val="none" w:sz="0" w:space="0" w:color="auto"/>
            <w:left w:val="none" w:sz="0" w:space="0" w:color="auto"/>
            <w:bottom w:val="none" w:sz="0" w:space="0" w:color="auto"/>
            <w:right w:val="none" w:sz="0" w:space="0" w:color="auto"/>
          </w:divBdr>
        </w:div>
      </w:divsChild>
    </w:div>
    <w:div w:id="1745683782">
      <w:bodyDiv w:val="1"/>
      <w:marLeft w:val="0"/>
      <w:marRight w:val="0"/>
      <w:marTop w:val="0"/>
      <w:marBottom w:val="0"/>
      <w:divBdr>
        <w:top w:val="none" w:sz="0" w:space="0" w:color="auto"/>
        <w:left w:val="none" w:sz="0" w:space="0" w:color="auto"/>
        <w:bottom w:val="none" w:sz="0" w:space="0" w:color="auto"/>
        <w:right w:val="none" w:sz="0" w:space="0" w:color="auto"/>
      </w:divBdr>
    </w:div>
    <w:div w:id="1748188831">
      <w:bodyDiv w:val="1"/>
      <w:marLeft w:val="0"/>
      <w:marRight w:val="0"/>
      <w:marTop w:val="0"/>
      <w:marBottom w:val="0"/>
      <w:divBdr>
        <w:top w:val="none" w:sz="0" w:space="0" w:color="auto"/>
        <w:left w:val="none" w:sz="0" w:space="0" w:color="auto"/>
        <w:bottom w:val="none" w:sz="0" w:space="0" w:color="auto"/>
        <w:right w:val="none" w:sz="0" w:space="0" w:color="auto"/>
      </w:divBdr>
    </w:div>
    <w:div w:id="1765031347">
      <w:bodyDiv w:val="1"/>
      <w:marLeft w:val="0"/>
      <w:marRight w:val="0"/>
      <w:marTop w:val="0"/>
      <w:marBottom w:val="0"/>
      <w:divBdr>
        <w:top w:val="none" w:sz="0" w:space="0" w:color="auto"/>
        <w:left w:val="none" w:sz="0" w:space="0" w:color="auto"/>
        <w:bottom w:val="none" w:sz="0" w:space="0" w:color="auto"/>
        <w:right w:val="none" w:sz="0" w:space="0" w:color="auto"/>
      </w:divBdr>
    </w:div>
    <w:div w:id="1789737806">
      <w:bodyDiv w:val="1"/>
      <w:marLeft w:val="0"/>
      <w:marRight w:val="0"/>
      <w:marTop w:val="0"/>
      <w:marBottom w:val="0"/>
      <w:divBdr>
        <w:top w:val="none" w:sz="0" w:space="0" w:color="auto"/>
        <w:left w:val="none" w:sz="0" w:space="0" w:color="auto"/>
        <w:bottom w:val="none" w:sz="0" w:space="0" w:color="auto"/>
        <w:right w:val="none" w:sz="0" w:space="0" w:color="auto"/>
      </w:divBdr>
      <w:divsChild>
        <w:div w:id="1790314122">
          <w:marLeft w:val="0"/>
          <w:marRight w:val="0"/>
          <w:marTop w:val="0"/>
          <w:marBottom w:val="150"/>
          <w:divBdr>
            <w:top w:val="none" w:sz="0" w:space="0" w:color="auto"/>
            <w:left w:val="none" w:sz="0" w:space="0" w:color="auto"/>
            <w:bottom w:val="none" w:sz="0" w:space="0" w:color="auto"/>
            <w:right w:val="none" w:sz="0" w:space="0" w:color="auto"/>
          </w:divBdr>
        </w:div>
      </w:divsChild>
    </w:div>
    <w:div w:id="1837576603">
      <w:bodyDiv w:val="1"/>
      <w:marLeft w:val="0"/>
      <w:marRight w:val="0"/>
      <w:marTop w:val="0"/>
      <w:marBottom w:val="0"/>
      <w:divBdr>
        <w:top w:val="none" w:sz="0" w:space="0" w:color="auto"/>
        <w:left w:val="none" w:sz="0" w:space="0" w:color="auto"/>
        <w:bottom w:val="none" w:sz="0" w:space="0" w:color="auto"/>
        <w:right w:val="none" w:sz="0" w:space="0" w:color="auto"/>
      </w:divBdr>
    </w:div>
    <w:div w:id="1961837042">
      <w:bodyDiv w:val="1"/>
      <w:marLeft w:val="0"/>
      <w:marRight w:val="0"/>
      <w:marTop w:val="0"/>
      <w:marBottom w:val="0"/>
      <w:divBdr>
        <w:top w:val="none" w:sz="0" w:space="0" w:color="auto"/>
        <w:left w:val="none" w:sz="0" w:space="0" w:color="auto"/>
        <w:bottom w:val="none" w:sz="0" w:space="0" w:color="auto"/>
        <w:right w:val="none" w:sz="0" w:space="0" w:color="auto"/>
      </w:divBdr>
      <w:divsChild>
        <w:div w:id="1704476870">
          <w:marLeft w:val="0"/>
          <w:marRight w:val="0"/>
          <w:marTop w:val="0"/>
          <w:marBottom w:val="150"/>
          <w:divBdr>
            <w:top w:val="none" w:sz="0" w:space="0" w:color="auto"/>
            <w:left w:val="none" w:sz="0" w:space="0" w:color="auto"/>
            <w:bottom w:val="none" w:sz="0" w:space="0" w:color="auto"/>
            <w:right w:val="none" w:sz="0" w:space="0" w:color="auto"/>
          </w:divBdr>
        </w:div>
      </w:divsChild>
    </w:div>
    <w:div w:id="1972787181">
      <w:bodyDiv w:val="1"/>
      <w:marLeft w:val="0"/>
      <w:marRight w:val="0"/>
      <w:marTop w:val="0"/>
      <w:marBottom w:val="0"/>
      <w:divBdr>
        <w:top w:val="none" w:sz="0" w:space="0" w:color="auto"/>
        <w:left w:val="none" w:sz="0" w:space="0" w:color="auto"/>
        <w:bottom w:val="none" w:sz="0" w:space="0" w:color="auto"/>
        <w:right w:val="none" w:sz="0" w:space="0" w:color="auto"/>
      </w:divBdr>
    </w:div>
    <w:div w:id="1992295626">
      <w:bodyDiv w:val="1"/>
      <w:marLeft w:val="0"/>
      <w:marRight w:val="0"/>
      <w:marTop w:val="0"/>
      <w:marBottom w:val="0"/>
      <w:divBdr>
        <w:top w:val="none" w:sz="0" w:space="0" w:color="auto"/>
        <w:left w:val="none" w:sz="0" w:space="0" w:color="auto"/>
        <w:bottom w:val="none" w:sz="0" w:space="0" w:color="auto"/>
        <w:right w:val="none" w:sz="0" w:space="0" w:color="auto"/>
      </w:divBdr>
      <w:divsChild>
        <w:div w:id="506793558">
          <w:marLeft w:val="0"/>
          <w:marRight w:val="0"/>
          <w:marTop w:val="0"/>
          <w:marBottom w:val="150"/>
          <w:divBdr>
            <w:top w:val="none" w:sz="0" w:space="0" w:color="auto"/>
            <w:left w:val="none" w:sz="0" w:space="0" w:color="auto"/>
            <w:bottom w:val="none" w:sz="0" w:space="0" w:color="auto"/>
            <w:right w:val="none" w:sz="0" w:space="0" w:color="auto"/>
          </w:divBdr>
        </w:div>
      </w:divsChild>
    </w:div>
    <w:div w:id="1992709085">
      <w:bodyDiv w:val="1"/>
      <w:marLeft w:val="0"/>
      <w:marRight w:val="0"/>
      <w:marTop w:val="0"/>
      <w:marBottom w:val="0"/>
      <w:divBdr>
        <w:top w:val="none" w:sz="0" w:space="0" w:color="auto"/>
        <w:left w:val="none" w:sz="0" w:space="0" w:color="auto"/>
        <w:bottom w:val="none" w:sz="0" w:space="0" w:color="auto"/>
        <w:right w:val="none" w:sz="0" w:space="0" w:color="auto"/>
      </w:divBdr>
      <w:divsChild>
        <w:div w:id="1761368063">
          <w:marLeft w:val="0"/>
          <w:marRight w:val="0"/>
          <w:marTop w:val="0"/>
          <w:marBottom w:val="150"/>
          <w:divBdr>
            <w:top w:val="none" w:sz="0" w:space="0" w:color="auto"/>
            <w:left w:val="none" w:sz="0" w:space="0" w:color="auto"/>
            <w:bottom w:val="none" w:sz="0" w:space="0" w:color="auto"/>
            <w:right w:val="none" w:sz="0" w:space="0" w:color="auto"/>
          </w:divBdr>
        </w:div>
      </w:divsChild>
    </w:div>
    <w:div w:id="2018193750">
      <w:bodyDiv w:val="1"/>
      <w:marLeft w:val="0"/>
      <w:marRight w:val="0"/>
      <w:marTop w:val="0"/>
      <w:marBottom w:val="0"/>
      <w:divBdr>
        <w:top w:val="none" w:sz="0" w:space="0" w:color="auto"/>
        <w:left w:val="none" w:sz="0" w:space="0" w:color="auto"/>
        <w:bottom w:val="none" w:sz="0" w:space="0" w:color="auto"/>
        <w:right w:val="none" w:sz="0" w:space="0" w:color="auto"/>
      </w:divBdr>
    </w:div>
    <w:div w:id="2071882616">
      <w:bodyDiv w:val="1"/>
      <w:marLeft w:val="0"/>
      <w:marRight w:val="0"/>
      <w:marTop w:val="0"/>
      <w:marBottom w:val="0"/>
      <w:divBdr>
        <w:top w:val="none" w:sz="0" w:space="0" w:color="auto"/>
        <w:left w:val="none" w:sz="0" w:space="0" w:color="auto"/>
        <w:bottom w:val="none" w:sz="0" w:space="0" w:color="auto"/>
        <w:right w:val="none" w:sz="0" w:space="0" w:color="auto"/>
      </w:divBdr>
    </w:div>
    <w:div w:id="2097702282">
      <w:bodyDiv w:val="1"/>
      <w:marLeft w:val="0"/>
      <w:marRight w:val="0"/>
      <w:marTop w:val="0"/>
      <w:marBottom w:val="0"/>
      <w:divBdr>
        <w:top w:val="none" w:sz="0" w:space="0" w:color="auto"/>
        <w:left w:val="none" w:sz="0" w:space="0" w:color="auto"/>
        <w:bottom w:val="none" w:sz="0" w:space="0" w:color="auto"/>
        <w:right w:val="none" w:sz="0" w:space="0" w:color="auto"/>
      </w:divBdr>
      <w:divsChild>
        <w:div w:id="764693686">
          <w:marLeft w:val="0"/>
          <w:marRight w:val="0"/>
          <w:marTop w:val="0"/>
          <w:marBottom w:val="150"/>
          <w:divBdr>
            <w:top w:val="none" w:sz="0" w:space="0" w:color="auto"/>
            <w:left w:val="none" w:sz="0" w:space="0" w:color="auto"/>
            <w:bottom w:val="none" w:sz="0" w:space="0" w:color="auto"/>
            <w:right w:val="none" w:sz="0" w:space="0" w:color="auto"/>
          </w:divBdr>
        </w:div>
      </w:divsChild>
    </w:div>
    <w:div w:id="2107916902">
      <w:bodyDiv w:val="1"/>
      <w:marLeft w:val="0"/>
      <w:marRight w:val="0"/>
      <w:marTop w:val="0"/>
      <w:marBottom w:val="0"/>
      <w:divBdr>
        <w:top w:val="none" w:sz="0" w:space="0" w:color="auto"/>
        <w:left w:val="none" w:sz="0" w:space="0" w:color="auto"/>
        <w:bottom w:val="none" w:sz="0" w:space="0" w:color="auto"/>
        <w:right w:val="none" w:sz="0" w:space="0" w:color="auto"/>
      </w:divBdr>
    </w:div>
    <w:div w:id="2143185121">
      <w:bodyDiv w:val="1"/>
      <w:marLeft w:val="0"/>
      <w:marRight w:val="0"/>
      <w:marTop w:val="0"/>
      <w:marBottom w:val="0"/>
      <w:divBdr>
        <w:top w:val="none" w:sz="0" w:space="0" w:color="auto"/>
        <w:left w:val="none" w:sz="0" w:space="0" w:color="auto"/>
        <w:bottom w:val="none" w:sz="0" w:space="0" w:color="auto"/>
        <w:right w:val="none" w:sz="0" w:space="0" w:color="auto"/>
      </w:divBdr>
      <w:divsChild>
        <w:div w:id="589004078">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glossaryDocument" Target="glossary/document.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63F02B49DE034E808DD3509D38A0C78C"/>
        <w:category>
          <w:name w:val="General"/>
          <w:gallery w:val="placeholder"/>
        </w:category>
        <w:types>
          <w:type w:val="bbPlcHdr"/>
        </w:types>
        <w:behaviors>
          <w:behavior w:val="content"/>
        </w:behaviors>
        <w:guid w:val="{D5DCBB16-6065-45F1-AA0F-904E9306AE15}"/>
      </w:docPartPr>
      <w:docPartBody>
        <w:p w:rsidR="00143CD7" w:rsidRDefault="000E77AB" w:rsidP="000E77AB">
          <w:pPr>
            <w:pStyle w:val="63F02B49DE034E808DD3509D38A0C78C"/>
          </w:pPr>
          <w:r>
            <w:rPr>
              <w:rFonts w:asciiTheme="majorHAnsi" w:eastAsiaTheme="majorEastAsia" w:hAnsiTheme="majorHAnsi" w:cstheme="majorBidi"/>
              <w:caps/>
              <w:color w:val="156082" w:themeColor="accent1"/>
              <w:sz w:val="80"/>
              <w:szCs w:val="80"/>
            </w:rPr>
            <w:t>[Document title]</w:t>
          </w:r>
        </w:p>
      </w:docPartBody>
    </w:docPart>
    <w:docPart>
      <w:docPartPr>
        <w:name w:val="93ABFB6DD5D14C1F8452CB900EA05C73"/>
        <w:category>
          <w:name w:val="General"/>
          <w:gallery w:val="placeholder"/>
        </w:category>
        <w:types>
          <w:type w:val="bbPlcHdr"/>
        </w:types>
        <w:behaviors>
          <w:behavior w:val="content"/>
        </w:behaviors>
        <w:guid w:val="{328EE2A7-138E-4775-86CF-D3BEE9585B02}"/>
      </w:docPartPr>
      <w:docPartBody>
        <w:p w:rsidR="00143CD7" w:rsidRDefault="000E77AB" w:rsidP="000E77AB">
          <w:pPr>
            <w:pStyle w:val="93ABFB6DD5D14C1F8452CB900EA05C73"/>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77AB"/>
    <w:rsid w:val="000E77AB"/>
    <w:rsid w:val="00143CD7"/>
    <w:rsid w:val="001A2879"/>
    <w:rsid w:val="00C76530"/>
    <w:rsid w:val="00CB516D"/>
    <w:rsid w:val="00CE1CFE"/>
    <w:rsid w:val="00FF4F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3F02B49DE034E808DD3509D38A0C78C">
    <w:name w:val="63F02B49DE034E808DD3509D38A0C78C"/>
    <w:rsid w:val="000E77AB"/>
  </w:style>
  <w:style w:type="paragraph" w:customStyle="1" w:styleId="93ABFB6DD5D14C1F8452CB900EA05C73">
    <w:name w:val="93ABFB6DD5D14C1F8452CB900EA05C73"/>
    <w:rsid w:val="000E77A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ID: 1916906</PublishDate>
  <Abstract/>
  <CompanyAddress>WORD COUNT:</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3E1BB48-0D89-4808-96AC-E6D4B5193A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2001</Words>
  <Characters>11411</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lcbb6002 international financial management – coursework: written report</vt:lpstr>
    </vt:vector>
  </TitlesOfParts>
  <Company>STUDENT NAME: LACHEZAR NIKOLOV</Company>
  <LinksUpToDate>false</LinksUpToDate>
  <CharactersWithSpaces>13386</CharactersWithSpaces>
  <SharedDoc>false</SharedDoc>
  <HLinks>
    <vt:vector size="36" baseType="variant">
      <vt:variant>
        <vt:i4>1376307</vt:i4>
      </vt:variant>
      <vt:variant>
        <vt:i4>32</vt:i4>
      </vt:variant>
      <vt:variant>
        <vt:i4>0</vt:i4>
      </vt:variant>
      <vt:variant>
        <vt:i4>5</vt:i4>
      </vt:variant>
      <vt:variant>
        <vt:lpwstr/>
      </vt:variant>
      <vt:variant>
        <vt:lpwstr>_Toc165225539</vt:lpwstr>
      </vt:variant>
      <vt:variant>
        <vt:i4>1376307</vt:i4>
      </vt:variant>
      <vt:variant>
        <vt:i4>26</vt:i4>
      </vt:variant>
      <vt:variant>
        <vt:i4>0</vt:i4>
      </vt:variant>
      <vt:variant>
        <vt:i4>5</vt:i4>
      </vt:variant>
      <vt:variant>
        <vt:lpwstr/>
      </vt:variant>
      <vt:variant>
        <vt:lpwstr>_Toc165225538</vt:lpwstr>
      </vt:variant>
      <vt:variant>
        <vt:i4>1376307</vt:i4>
      </vt:variant>
      <vt:variant>
        <vt:i4>20</vt:i4>
      </vt:variant>
      <vt:variant>
        <vt:i4>0</vt:i4>
      </vt:variant>
      <vt:variant>
        <vt:i4>5</vt:i4>
      </vt:variant>
      <vt:variant>
        <vt:lpwstr/>
      </vt:variant>
      <vt:variant>
        <vt:lpwstr>_Toc165225537</vt:lpwstr>
      </vt:variant>
      <vt:variant>
        <vt:i4>1376307</vt:i4>
      </vt:variant>
      <vt:variant>
        <vt:i4>14</vt:i4>
      </vt:variant>
      <vt:variant>
        <vt:i4>0</vt:i4>
      </vt:variant>
      <vt:variant>
        <vt:i4>5</vt:i4>
      </vt:variant>
      <vt:variant>
        <vt:lpwstr/>
      </vt:variant>
      <vt:variant>
        <vt:lpwstr>_Toc165225536</vt:lpwstr>
      </vt:variant>
      <vt:variant>
        <vt:i4>1376307</vt:i4>
      </vt:variant>
      <vt:variant>
        <vt:i4>8</vt:i4>
      </vt:variant>
      <vt:variant>
        <vt:i4>0</vt:i4>
      </vt:variant>
      <vt:variant>
        <vt:i4>5</vt:i4>
      </vt:variant>
      <vt:variant>
        <vt:lpwstr/>
      </vt:variant>
      <vt:variant>
        <vt:lpwstr>_Toc165225535</vt:lpwstr>
      </vt:variant>
      <vt:variant>
        <vt:i4>1376307</vt:i4>
      </vt:variant>
      <vt:variant>
        <vt:i4>2</vt:i4>
      </vt:variant>
      <vt:variant>
        <vt:i4>0</vt:i4>
      </vt:variant>
      <vt:variant>
        <vt:i4>5</vt:i4>
      </vt:variant>
      <vt:variant>
        <vt:lpwstr/>
      </vt:variant>
      <vt:variant>
        <vt:lpwstr>_Toc165225534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lcbb6002 international financial management – coursework: written report</dc:title>
  <dc:subject>MODULE LEADER: Dr. Andry Rakotovololona</dc:subject>
  <dc:creator>Lachezar Nikolov</dc:creator>
  <cp:keywords/>
  <dc:description/>
  <cp:lastModifiedBy>Lachezar Nikolov</cp:lastModifiedBy>
  <cp:revision>2</cp:revision>
  <dcterms:created xsi:type="dcterms:W3CDTF">2024-05-01T22:00:00Z</dcterms:created>
  <dcterms:modified xsi:type="dcterms:W3CDTF">2024-05-01T22:00:00Z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01a5c46027871a08781e625d616d1a53a0c6fb94681bd05d28e78fc2d572567f</vt:lpwstr>
  </property>
</Properties>
</file>