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165153554"/>
        <w:docPartObj>
          <w:docPartGallery w:val="Cover Pages"/>
          <w:docPartUnique/>
        </w:docPartObj>
      </w:sdtPr>
      <w:sdtContent>
        <w:p w14:paraId="4CBCC699" w14:textId="77777777" w:rsidR="00DA5E3A" w:rsidRDefault="00DA5E3A" w:rsidP="00DA5E3A">
          <w:r>
            <w:rPr>
              <w:noProof/>
            </w:rPr>
            <mc:AlternateContent>
              <mc:Choice Requires="wps">
                <w:drawing>
                  <wp:anchor distT="0" distB="0" distL="114300" distR="114300" simplePos="0" relativeHeight="251659264" behindDoc="0" locked="0" layoutInCell="1" allowOverlap="1" wp14:anchorId="6E3233BA" wp14:editId="16F75295">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cs="Arial"/>
                                    <w:b w:val="0"/>
                                    <w:bCs/>
                                    <w:caps/>
                                    <w:color w:val="FFFFFF" w:themeColor="background1"/>
                                    <w:sz w:val="56"/>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61A8324" w14:textId="4122D77D" w:rsidR="00DA5E3A" w:rsidRDefault="00DA5E3A" w:rsidP="00DA5E3A">
                                    <w:pPr>
                                      <w:pStyle w:val="Title"/>
                                      <w:jc w:val="center"/>
                                      <w:rPr>
                                        <w:caps/>
                                        <w:color w:val="FFFFFF" w:themeColor="background1"/>
                                        <w:sz w:val="80"/>
                                        <w:szCs w:val="80"/>
                                      </w:rPr>
                                    </w:pPr>
                                    <w:r>
                                      <w:rPr>
                                        <w:rFonts w:cs="Arial"/>
                                        <w:b w:val="0"/>
                                        <w:bCs/>
                                        <w:caps/>
                                        <w:color w:val="FFFFFF" w:themeColor="background1"/>
                                        <w:sz w:val="56"/>
                                      </w:rPr>
                                      <w:t>Mental Disorders and pSYCHOPATHOLOGY (BMHP6006)</w:t>
                                    </w:r>
                                  </w:p>
                                </w:sdtContent>
                              </w:sdt>
                              <w:p w14:paraId="2225FB89" w14:textId="77777777" w:rsidR="00DA5E3A" w:rsidRDefault="00DA5E3A" w:rsidP="00DA5E3A">
                                <w:pPr>
                                  <w:spacing w:before="240"/>
                                  <w:ind w:left="720"/>
                                  <w:jc w:val="right"/>
                                  <w:rPr>
                                    <w:color w:val="FFFFFF" w:themeColor="background1"/>
                                  </w:rPr>
                                </w:pPr>
                              </w:p>
                              <w:sdt>
                                <w:sdtPr>
                                  <w:rPr>
                                    <w:rFonts w:ascii="Arial" w:hAnsi="Arial" w:cs="Arial"/>
                                    <w:b/>
                                    <w:bCs/>
                                    <w:color w:val="FFFFFF" w:themeColor="background1"/>
                                    <w:sz w:val="40"/>
                                    <w:szCs w:val="40"/>
                                  </w:rPr>
                                  <w:alias w:val="Abstract"/>
                                  <w:id w:val="-1812170092"/>
                                  <w:dataBinding w:prefixMappings="xmlns:ns0='http://schemas.microsoft.com/office/2006/coverPageProps'" w:xpath="/ns0:CoverPageProperties[1]/ns0:Abstract[1]" w:storeItemID="{55AF091B-3C7A-41E3-B477-F2FDAA23CFDA}"/>
                                  <w:text/>
                                </w:sdtPr>
                                <w:sdtContent>
                                  <w:p w14:paraId="262F6920" w14:textId="62A7F8CC" w:rsidR="00DA5E3A" w:rsidRPr="00474A81" w:rsidRDefault="00DA5E3A" w:rsidP="00DA5E3A">
                                    <w:pPr>
                                      <w:spacing w:before="240"/>
                                      <w:ind w:left="1008"/>
                                      <w:jc w:val="center"/>
                                      <w:rPr>
                                        <w:b/>
                                        <w:bCs/>
                                        <w:color w:val="FFFFFF" w:themeColor="background1"/>
                                        <w:sz w:val="40"/>
                                        <w:szCs w:val="40"/>
                                      </w:rPr>
                                    </w:pPr>
                                    <w:r>
                                      <w:rPr>
                                        <w:rFonts w:ascii="Arial" w:hAnsi="Arial" w:cs="Arial"/>
                                        <w:b/>
                                        <w:bCs/>
                                        <w:color w:val="FFFFFF" w:themeColor="background1"/>
                                        <w:sz w:val="40"/>
                                        <w:szCs w:val="40"/>
                                      </w:rPr>
                                      <w:t>Component 2 - Written Report (Nazreen Akhtar – 2128933)</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6E3233BA"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" fillcolor="#156082 [3204]" stroked="f">
                    <v:textbox inset="21.6pt,1in,21.6pt">
                      <w:txbxContent>
                        <w:sdt>
                          <w:sdtPr>
                            <w:rPr>
                              <w:rFonts w:cs="Arial"/>
                              <w:b w:val="0"/>
                              <w:bCs/>
                              <w:caps/>
                              <w:color w:val="FFFFFF" w:themeColor="background1"/>
                              <w:sz w:val="56"/>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661A8324" w14:textId="4122D77D" w:rsidR="00DA5E3A" w:rsidRDefault="00DA5E3A" w:rsidP="00DA5E3A">
                              <w:pPr>
                                <w:pStyle w:val="Title"/>
                                <w:jc w:val="center"/>
                                <w:rPr>
                                  <w:caps/>
                                  <w:color w:val="FFFFFF" w:themeColor="background1"/>
                                  <w:sz w:val="80"/>
                                  <w:szCs w:val="80"/>
                                </w:rPr>
                              </w:pPr>
                              <w:r>
                                <w:rPr>
                                  <w:rFonts w:cs="Arial"/>
                                  <w:b w:val="0"/>
                                  <w:bCs/>
                                  <w:caps/>
                                  <w:color w:val="FFFFFF" w:themeColor="background1"/>
                                  <w:sz w:val="56"/>
                                </w:rPr>
                                <w:t>Mental Disorders and pSYCHOPATHOLOGY (BMHP6006)</w:t>
                              </w:r>
                            </w:p>
                          </w:sdtContent>
                        </w:sdt>
                        <w:p w14:paraId="2225FB89" w14:textId="77777777" w:rsidR="00DA5E3A" w:rsidRDefault="00DA5E3A" w:rsidP="00DA5E3A">
                          <w:pPr>
                            <w:spacing w:before="240"/>
                            <w:ind w:left="720"/>
                            <w:jc w:val="right"/>
                            <w:rPr>
                              <w:color w:val="FFFFFF" w:themeColor="background1"/>
                            </w:rPr>
                          </w:pPr>
                        </w:p>
                        <w:sdt>
                          <w:sdtPr>
                            <w:rPr>
                              <w:rFonts w:ascii="Arial" w:hAnsi="Arial" w:cs="Arial"/>
                              <w:b/>
                              <w:bCs/>
                              <w:color w:val="FFFFFF" w:themeColor="background1"/>
                              <w:sz w:val="40"/>
                              <w:szCs w:val="40"/>
                            </w:rPr>
                            <w:alias w:val="Abstract"/>
                            <w:id w:val="-1812170092"/>
                            <w:dataBinding w:prefixMappings="xmlns:ns0='http://schemas.microsoft.com/office/2006/coverPageProps'" w:xpath="/ns0:CoverPageProperties[1]/ns0:Abstract[1]" w:storeItemID="{55AF091B-3C7A-41E3-B477-F2FDAA23CFDA}"/>
                            <w:text/>
                          </w:sdtPr>
                          <w:sdtEndPr/>
                          <w:sdtContent>
                            <w:p w14:paraId="262F6920" w14:textId="62A7F8CC" w:rsidR="00DA5E3A" w:rsidRPr="00474A81" w:rsidRDefault="00DA5E3A" w:rsidP="00DA5E3A">
                              <w:pPr>
                                <w:spacing w:before="240"/>
                                <w:ind w:left="1008"/>
                                <w:jc w:val="center"/>
                                <w:rPr>
                                  <w:b/>
                                  <w:bCs/>
                                  <w:color w:val="FFFFFF" w:themeColor="background1"/>
                                  <w:sz w:val="40"/>
                                  <w:szCs w:val="40"/>
                                </w:rPr>
                              </w:pPr>
                              <w:r>
                                <w:rPr>
                                  <w:rFonts w:ascii="Arial" w:hAnsi="Arial" w:cs="Arial"/>
                                  <w:b/>
                                  <w:bCs/>
                                  <w:color w:val="FFFFFF" w:themeColor="background1"/>
                                  <w:sz w:val="40"/>
                                  <w:szCs w:val="40"/>
                                </w:rPr>
                                <w:t>Component 2 - Written Report (Nazreen Akhtar – 2128933)</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2927DE7E" wp14:editId="798F62BC">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5C6046FA" w14:textId="56755737" w:rsidR="00DA5E3A" w:rsidRDefault="00DA5E3A" w:rsidP="00DA5E3A">
                                    <w:pPr>
                                      <w:pStyle w:val="Subtitle"/>
                                      <w:rPr>
                                        <w:rFonts w:cstheme="minorBidi"/>
                                        <w:color w:val="FFFFFF" w:themeColor="background1"/>
                                      </w:rPr>
                                    </w:pPr>
                                    <w:r>
                                      <w:rPr>
                                        <w:rFonts w:cstheme="minorBidi"/>
                                        <w:color w:val="FFFFFF" w:themeColor="background1"/>
                                      </w:rPr>
                                      <w:t>Dr Josephine Chen-Wilson</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2927DE7E"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" fillcolor="#0e2841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5C6046FA" w14:textId="56755737" w:rsidR="00DA5E3A" w:rsidRDefault="00DA5E3A" w:rsidP="00DA5E3A">
                              <w:pPr>
                                <w:pStyle w:val="Subtitle"/>
                                <w:rPr>
                                  <w:rFonts w:cstheme="minorBidi"/>
                                  <w:color w:val="FFFFFF" w:themeColor="background1"/>
                                </w:rPr>
                              </w:pPr>
                              <w:r>
                                <w:rPr>
                                  <w:rFonts w:cstheme="minorBidi"/>
                                  <w:color w:val="FFFFFF" w:themeColor="background1"/>
                                </w:rPr>
                                <w:t>Dr Josephine Chen-Wilson</w:t>
                              </w:r>
                            </w:p>
                          </w:sdtContent>
                        </w:sdt>
                      </w:txbxContent>
                    </v:textbox>
                    <w10:wrap anchorx="page" anchory="page"/>
                  </v:rect>
                </w:pict>
              </mc:Fallback>
            </mc:AlternateContent>
          </w:r>
        </w:p>
        <w:p w14:paraId="011BA9BD" w14:textId="77777777" w:rsidR="00DA5E3A" w:rsidRDefault="00DA5E3A" w:rsidP="00DA5E3A"/>
        <w:p w14:paraId="1D4B5615" w14:textId="77777777" w:rsidR="00DA5E3A" w:rsidRDefault="00DA5E3A" w:rsidP="00DA5E3A">
          <w:r>
            <w:br w:type="page"/>
          </w:r>
        </w:p>
      </w:sdtContent>
    </w:sdt>
    <w:p w14:paraId="4D8CBF16" w14:textId="19A2960E" w:rsidR="00EB2773" w:rsidRPr="000C7AE4" w:rsidRDefault="00EB2773" w:rsidP="000C7AE4">
      <w:pPr>
        <w:pStyle w:val="Heading3"/>
        <w:spacing w:line="360" w:lineRule="auto"/>
        <w:jc w:val="both"/>
        <w:rPr>
          <w:rFonts w:ascii="Arial" w:hAnsi="Arial" w:cs="Arial"/>
          <w:b/>
          <w:bCs/>
          <w:color w:val="000000" w:themeColor="text1"/>
          <w:sz w:val="24"/>
          <w:szCs w:val="24"/>
          <w:u w:val="single"/>
        </w:rPr>
      </w:pPr>
      <w:r w:rsidRPr="000C7AE4">
        <w:rPr>
          <w:rFonts w:ascii="Arial" w:hAnsi="Arial" w:cs="Arial"/>
          <w:b/>
          <w:bCs/>
          <w:color w:val="000000" w:themeColor="text1"/>
          <w:sz w:val="24"/>
          <w:szCs w:val="24"/>
          <w:u w:val="single"/>
        </w:rPr>
        <w:lastRenderedPageBreak/>
        <w:t>Introduction</w:t>
      </w:r>
    </w:p>
    <w:p w14:paraId="2B8B9785" w14:textId="59858333"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This report critically examines obsessive-compulsive disorder (OCD) and </w:t>
      </w:r>
      <w:r w:rsidR="000C7AE4" w:rsidRPr="000C7AE4">
        <w:rPr>
          <w:rFonts w:ascii="Arial" w:hAnsi="Arial" w:cs="Arial"/>
          <w:sz w:val="22"/>
          <w:szCs w:val="22"/>
        </w:rPr>
        <w:t>generalised</w:t>
      </w:r>
      <w:r w:rsidRPr="000C7AE4">
        <w:rPr>
          <w:rFonts w:ascii="Arial" w:hAnsi="Arial" w:cs="Arial"/>
          <w:sz w:val="22"/>
          <w:szCs w:val="22"/>
        </w:rPr>
        <w:t xml:space="preserve"> anxiety disorder (GAD) using the </w:t>
      </w:r>
      <w:r w:rsidR="000C7AE4" w:rsidRPr="000C7AE4">
        <w:rPr>
          <w:rFonts w:ascii="Arial" w:hAnsi="Arial" w:cs="Arial"/>
          <w:sz w:val="22"/>
          <w:szCs w:val="22"/>
        </w:rPr>
        <w:t>ICD–10</w:t>
      </w:r>
      <w:r w:rsidRPr="000C7AE4">
        <w:rPr>
          <w:rFonts w:ascii="Arial" w:hAnsi="Arial" w:cs="Arial"/>
          <w:sz w:val="22"/>
          <w:szCs w:val="22"/>
        </w:rPr>
        <w:t xml:space="preserve"> Chapter 5 frameworks. OCD involves obsessions and compulsions, </w:t>
      </w:r>
      <w:r w:rsidR="000C7AE4" w:rsidRPr="000C7AE4">
        <w:rPr>
          <w:rFonts w:ascii="Arial" w:hAnsi="Arial" w:cs="Arial"/>
          <w:sz w:val="22"/>
          <w:szCs w:val="22"/>
        </w:rPr>
        <w:t>characterised</w:t>
      </w:r>
      <w:r w:rsidRPr="000C7AE4">
        <w:rPr>
          <w:rFonts w:ascii="Arial" w:hAnsi="Arial" w:cs="Arial"/>
          <w:sz w:val="22"/>
          <w:szCs w:val="22"/>
        </w:rPr>
        <w:t xml:space="preserve"> by intrusive thoughts and repetitive </w:t>
      </w:r>
      <w:r w:rsidR="000C7AE4" w:rsidRPr="000C7AE4">
        <w:rPr>
          <w:rFonts w:ascii="Arial" w:hAnsi="Arial" w:cs="Arial"/>
          <w:sz w:val="22"/>
          <w:szCs w:val="22"/>
        </w:rPr>
        <w:t>behaviours</w:t>
      </w:r>
      <w:r w:rsidRPr="000C7AE4">
        <w:rPr>
          <w:rFonts w:ascii="Arial" w:hAnsi="Arial" w:cs="Arial"/>
          <w:sz w:val="22"/>
          <w:szCs w:val="22"/>
        </w:rPr>
        <w:t xml:space="preserve"> that significantly impact daily functioning (NHS, 2024). Anxiety disorders, including GAD, are marked by pervasive fear and worry, manifesting through physical symptoms such as sweating and increased heart rate (NHS, 2024). Discussing these conditions together is beneficial because they share common treatment approaches and diagnostic challenges, significantly impacting mental health. Furthermore, understanding their interplay can lead to more comprehensive treatment strategies and improve patient outcomes. This report will explore their classification, diagnostic criteria, treatment options, and rehabilitation measures, concluding with recommendations for improving care practices, supporting services, and aiding care providers.</w:t>
      </w:r>
    </w:p>
    <w:p w14:paraId="25408BB4" w14:textId="77777777" w:rsidR="00EB2773" w:rsidRPr="000C7AE4" w:rsidRDefault="00EB2773" w:rsidP="000C7AE4">
      <w:pPr>
        <w:pStyle w:val="Heading3"/>
        <w:spacing w:line="360" w:lineRule="auto"/>
        <w:jc w:val="both"/>
        <w:rPr>
          <w:rFonts w:ascii="Arial" w:hAnsi="Arial" w:cs="Arial"/>
          <w:b/>
          <w:bCs/>
          <w:color w:val="000000" w:themeColor="text1"/>
          <w:sz w:val="24"/>
          <w:szCs w:val="24"/>
          <w:u w:val="single"/>
        </w:rPr>
      </w:pPr>
      <w:r w:rsidRPr="000C7AE4">
        <w:rPr>
          <w:rFonts w:ascii="Arial" w:hAnsi="Arial" w:cs="Arial"/>
          <w:b/>
          <w:bCs/>
          <w:color w:val="000000" w:themeColor="text1"/>
          <w:sz w:val="24"/>
          <w:szCs w:val="24"/>
          <w:u w:val="single"/>
        </w:rPr>
        <w:t>Classification</w:t>
      </w:r>
    </w:p>
    <w:p w14:paraId="383C4FAF" w14:textId="77777777" w:rsidR="00EB2773" w:rsidRPr="000C7AE4" w:rsidRDefault="00EB2773" w:rsidP="000C7AE4">
      <w:pPr>
        <w:pStyle w:val="Heading4"/>
        <w:spacing w:line="360" w:lineRule="auto"/>
        <w:jc w:val="both"/>
        <w:rPr>
          <w:rFonts w:ascii="Arial" w:hAnsi="Arial" w:cs="Arial"/>
          <w:b/>
          <w:bCs/>
          <w:color w:val="000000" w:themeColor="text1"/>
          <w:sz w:val="22"/>
          <w:szCs w:val="22"/>
          <w:u w:val="single"/>
        </w:rPr>
      </w:pPr>
      <w:r w:rsidRPr="000C7AE4">
        <w:rPr>
          <w:rFonts w:ascii="Arial" w:hAnsi="Arial" w:cs="Arial"/>
          <w:b/>
          <w:bCs/>
          <w:color w:val="000000" w:themeColor="text1"/>
          <w:sz w:val="22"/>
          <w:szCs w:val="22"/>
          <w:u w:val="single"/>
        </w:rPr>
        <w:t>Obsessive-Compulsive Disorder (OCD)</w:t>
      </w:r>
    </w:p>
    <w:p w14:paraId="2C5D4293" w14:textId="1C49995E" w:rsidR="000D297F" w:rsidRPr="000C7AE4" w:rsidRDefault="000D297F"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Obsessive-Compulsive Disorder (OCD) is classified under the category of neurotic, stress-related, and somatoform disorders in Chapter 5 of the International Classification of Diseases, 10th Revision (ICD-10), specifically under code F42 (World Health Organisation, 1992). The disorder is </w:t>
      </w:r>
      <w:r w:rsidR="000C7AE4" w:rsidRPr="000C7AE4">
        <w:rPr>
          <w:rFonts w:ascii="Arial" w:hAnsi="Arial" w:cs="Arial"/>
          <w:sz w:val="22"/>
          <w:szCs w:val="22"/>
        </w:rPr>
        <w:t>characterised</w:t>
      </w:r>
      <w:r w:rsidRPr="000C7AE4">
        <w:rPr>
          <w:rFonts w:ascii="Arial" w:hAnsi="Arial" w:cs="Arial"/>
          <w:sz w:val="22"/>
          <w:szCs w:val="22"/>
        </w:rPr>
        <w:t xml:space="preserve"> by obsessions, which are persistent, intrusive thoughts, images, or urges that cause significant anxiety or distress. Compulsions are repetitive </w:t>
      </w:r>
      <w:r w:rsidR="000C7AE4" w:rsidRPr="000C7AE4">
        <w:rPr>
          <w:rFonts w:ascii="Arial" w:hAnsi="Arial" w:cs="Arial"/>
          <w:sz w:val="22"/>
          <w:szCs w:val="22"/>
        </w:rPr>
        <w:t>behaviours</w:t>
      </w:r>
      <w:r w:rsidRPr="000C7AE4">
        <w:rPr>
          <w:rFonts w:ascii="Arial" w:hAnsi="Arial" w:cs="Arial"/>
          <w:sz w:val="22"/>
          <w:szCs w:val="22"/>
        </w:rPr>
        <w:t xml:space="preserve"> or mental acts performed in response to these obsessions, aimed at preventing or reducing distress or preventing some dreaded event or situation. These compulsive </w:t>
      </w:r>
      <w:r w:rsidR="000C7AE4" w:rsidRPr="000C7AE4">
        <w:rPr>
          <w:rFonts w:ascii="Arial" w:hAnsi="Arial" w:cs="Arial"/>
          <w:sz w:val="22"/>
          <w:szCs w:val="22"/>
        </w:rPr>
        <w:t>behaviours</w:t>
      </w:r>
      <w:r w:rsidRPr="000C7AE4">
        <w:rPr>
          <w:rFonts w:ascii="Arial" w:hAnsi="Arial" w:cs="Arial"/>
          <w:sz w:val="22"/>
          <w:szCs w:val="22"/>
        </w:rPr>
        <w:t xml:space="preserve"> are often recognized by the individual as excessive or unreasonable, yet they feel driven to perform them to alleviate their distress.</w:t>
      </w:r>
    </w:p>
    <w:p w14:paraId="10CFD4CD" w14:textId="77777777" w:rsidR="000D297F" w:rsidRPr="000C7AE4" w:rsidRDefault="000D297F" w:rsidP="000C7AE4">
      <w:pPr>
        <w:pStyle w:val="NormalWeb"/>
        <w:spacing w:line="360" w:lineRule="auto"/>
        <w:jc w:val="both"/>
        <w:rPr>
          <w:rFonts w:ascii="Arial" w:hAnsi="Arial" w:cs="Arial"/>
          <w:sz w:val="22"/>
          <w:szCs w:val="22"/>
        </w:rPr>
      </w:pPr>
      <w:r w:rsidRPr="000C7AE4">
        <w:rPr>
          <w:rFonts w:ascii="Arial" w:hAnsi="Arial" w:cs="Arial"/>
          <w:sz w:val="22"/>
          <w:szCs w:val="22"/>
        </w:rPr>
        <w:t>The classification of OCD in the ICD-10 is crucial as it provides a structured approach for healthcare professionals to identify and diagnose the disorder accurately. This structured classification aids in distinguishing OCD from other mental health conditions with overlapping symptoms, ensuring that patients receive appropriate interventions and assistance tailored to their specific needs (American Psychiatric Association, 2013). By understanding the exact classification of OCD, healthcare providers can develop targeted treatment plans that address the unique manifestations of the disorder in each individual, thereby improving the overall quality of care.</w:t>
      </w:r>
    </w:p>
    <w:p w14:paraId="10237652" w14:textId="77777777" w:rsidR="000D297F" w:rsidRPr="000C7AE4" w:rsidRDefault="000D297F" w:rsidP="000C7AE4">
      <w:pPr>
        <w:pStyle w:val="NormalWeb"/>
        <w:spacing w:line="360" w:lineRule="auto"/>
        <w:jc w:val="both"/>
        <w:rPr>
          <w:rFonts w:ascii="Arial" w:hAnsi="Arial" w:cs="Arial"/>
          <w:sz w:val="22"/>
          <w:szCs w:val="22"/>
        </w:rPr>
      </w:pPr>
      <w:r w:rsidRPr="000C7AE4">
        <w:rPr>
          <w:rFonts w:ascii="Arial" w:hAnsi="Arial" w:cs="Arial"/>
          <w:sz w:val="22"/>
          <w:szCs w:val="22"/>
        </w:rPr>
        <w:lastRenderedPageBreak/>
        <w:t>Moreover, the classification under F42 allows for a standardized diagnostic criterion that can be used globally, facilitating international research collaborations and comparisons. This standardization is vital for advancing our understanding of OCD and developing evidence-based treatments. It also helps in the collection of epidemiological data, which is essential for public health planning and resource allocation.</w:t>
      </w:r>
    </w:p>
    <w:p w14:paraId="3B7EE3F5" w14:textId="4D5E1C79" w:rsidR="000D297F" w:rsidRPr="000C7AE4" w:rsidRDefault="000D297F"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The classification further encompasses various subtypes of OCD, such as contamination and cleaning, symmetry and </w:t>
      </w:r>
      <w:r w:rsidR="000C7AE4" w:rsidRPr="000C7AE4">
        <w:rPr>
          <w:rFonts w:ascii="Arial" w:hAnsi="Arial" w:cs="Arial"/>
          <w:sz w:val="22"/>
          <w:szCs w:val="22"/>
        </w:rPr>
        <w:t>order</w:t>
      </w:r>
      <w:r w:rsidRPr="000C7AE4">
        <w:rPr>
          <w:rFonts w:ascii="Arial" w:hAnsi="Arial" w:cs="Arial"/>
          <w:sz w:val="22"/>
          <w:szCs w:val="22"/>
        </w:rPr>
        <w:t>, and intrusive thoughts. Each subtype has specific characteristics and may require different therapeutic approaches. For example, contamination-related OCD might respond well to Exposure and Response Prevention (ERP) therapy, where patients are gradually exposed to feared contaminants and prevented from performing their usual cleaning rituals. Understanding these subtypes is crucial for tailoring interventions to individual patients' needs.</w:t>
      </w:r>
    </w:p>
    <w:p w14:paraId="0DFC0260" w14:textId="77777777" w:rsidR="000D297F" w:rsidRPr="000C7AE4" w:rsidRDefault="000D297F" w:rsidP="000C7AE4">
      <w:pPr>
        <w:pStyle w:val="Heading4"/>
        <w:spacing w:line="360" w:lineRule="auto"/>
        <w:jc w:val="both"/>
        <w:rPr>
          <w:rFonts w:ascii="Arial" w:hAnsi="Arial" w:cs="Arial"/>
          <w:b/>
          <w:bCs/>
          <w:color w:val="000000" w:themeColor="text1"/>
          <w:sz w:val="22"/>
          <w:szCs w:val="22"/>
          <w:u w:val="single"/>
        </w:rPr>
      </w:pPr>
      <w:r w:rsidRPr="000C7AE4">
        <w:rPr>
          <w:rFonts w:ascii="Arial" w:hAnsi="Arial" w:cs="Arial"/>
          <w:b/>
          <w:bCs/>
          <w:color w:val="000000" w:themeColor="text1"/>
          <w:sz w:val="22"/>
          <w:szCs w:val="22"/>
          <w:u w:val="single"/>
        </w:rPr>
        <w:t>Anxiety Disorders</w:t>
      </w:r>
    </w:p>
    <w:p w14:paraId="17F3E496" w14:textId="6778557D" w:rsidR="000D297F" w:rsidRPr="000C7AE4" w:rsidRDefault="000D297F"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Anxiety disorders are classified under the category of mental and </w:t>
      </w:r>
      <w:r w:rsidR="000C7AE4" w:rsidRPr="000C7AE4">
        <w:rPr>
          <w:rFonts w:ascii="Arial" w:hAnsi="Arial" w:cs="Arial"/>
          <w:sz w:val="22"/>
          <w:szCs w:val="22"/>
        </w:rPr>
        <w:t>behavioural</w:t>
      </w:r>
      <w:r w:rsidRPr="000C7AE4">
        <w:rPr>
          <w:rFonts w:ascii="Arial" w:hAnsi="Arial" w:cs="Arial"/>
          <w:sz w:val="22"/>
          <w:szCs w:val="22"/>
        </w:rPr>
        <w:t xml:space="preserve"> disorders in the ICD-10 (World Health Organisation, 1992). They fall under Chapter 5 and are categorized under several codes depending on the specific type of anxiety disorder. For instance, generalized anxiety disorder (GAD) is listed under code F41.1. The Diagnostic and Statistical Manual of Mental Disorders, 5th Edition (DSM-5), also classifies anxiety disorders into various distinct categories, including GAD, social anxiety disorder, and panic disorder (American Psychiatric Association, 2013).</w:t>
      </w:r>
    </w:p>
    <w:p w14:paraId="0294FB74" w14:textId="6555EAF6" w:rsidR="000D297F" w:rsidRPr="000C7AE4" w:rsidRDefault="000D297F"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This classification framework helps identify the specific type of anxiety an individual has, which is critical for determining the most effective treatment. For example, GAD is characterized by excessive, uncontrollable worry about various aspects of daily life, accompanied by symptoms such as restlessness, fatigue, difficulty concentrating, irritability, muscle tension, and sleep disturbances. By accurately classifying the disorder, healthcare providers can implement targeted treatments such as </w:t>
      </w:r>
      <w:r w:rsidR="000C7AE4" w:rsidRPr="000C7AE4">
        <w:rPr>
          <w:rFonts w:ascii="Arial" w:hAnsi="Arial" w:cs="Arial"/>
          <w:sz w:val="22"/>
          <w:szCs w:val="22"/>
        </w:rPr>
        <w:t>cognitive-behavioural</w:t>
      </w:r>
      <w:r w:rsidRPr="000C7AE4">
        <w:rPr>
          <w:rFonts w:ascii="Arial" w:hAnsi="Arial" w:cs="Arial"/>
          <w:sz w:val="22"/>
          <w:szCs w:val="22"/>
        </w:rPr>
        <w:t xml:space="preserve"> therapy (CBT) and pharmacotherapy with selective serotonin reuptake inhibitors (SSRIs), which </w:t>
      </w:r>
      <w:r w:rsidR="000C7AE4" w:rsidRPr="000C7AE4">
        <w:rPr>
          <w:rFonts w:ascii="Arial" w:hAnsi="Arial" w:cs="Arial"/>
          <w:sz w:val="22"/>
          <w:szCs w:val="22"/>
        </w:rPr>
        <w:t>are</w:t>
      </w:r>
      <w:r w:rsidRPr="000C7AE4">
        <w:rPr>
          <w:rFonts w:ascii="Arial" w:hAnsi="Arial" w:cs="Arial"/>
          <w:sz w:val="22"/>
          <w:szCs w:val="22"/>
        </w:rPr>
        <w:t xml:space="preserve"> effective for GAD.</w:t>
      </w:r>
    </w:p>
    <w:p w14:paraId="287F4405" w14:textId="77777777" w:rsidR="000D297F" w:rsidRPr="000C7AE4" w:rsidRDefault="000D297F" w:rsidP="000C7AE4">
      <w:pPr>
        <w:pStyle w:val="NormalWeb"/>
        <w:spacing w:line="360" w:lineRule="auto"/>
        <w:jc w:val="both"/>
        <w:rPr>
          <w:rFonts w:ascii="Arial" w:hAnsi="Arial" w:cs="Arial"/>
          <w:sz w:val="22"/>
          <w:szCs w:val="22"/>
        </w:rPr>
      </w:pPr>
      <w:r w:rsidRPr="000C7AE4">
        <w:rPr>
          <w:rFonts w:ascii="Arial" w:hAnsi="Arial" w:cs="Arial"/>
          <w:sz w:val="22"/>
          <w:szCs w:val="22"/>
        </w:rPr>
        <w:t>Differentiating between various anxiety disorders is vital as it ensures that patients receive treatments tailored to their specific symptoms and severity. For instance, panic disorder, classified under code F41.0 in the ICD-10, involves recurrent, unexpected panic attacks and persistent concern about having more attacks. Treatment for panic disorder often includes CBT focused on panic control treatment, which helps patients understand and control their panic attacks.</w:t>
      </w:r>
    </w:p>
    <w:p w14:paraId="3561341C" w14:textId="77777777" w:rsidR="000D297F" w:rsidRPr="000C7AE4" w:rsidRDefault="000D297F" w:rsidP="000C7AE4">
      <w:pPr>
        <w:pStyle w:val="NormalWeb"/>
        <w:spacing w:line="360" w:lineRule="auto"/>
        <w:jc w:val="both"/>
        <w:rPr>
          <w:rFonts w:ascii="Arial" w:hAnsi="Arial" w:cs="Arial"/>
          <w:sz w:val="22"/>
          <w:szCs w:val="22"/>
        </w:rPr>
      </w:pPr>
      <w:r w:rsidRPr="000C7AE4">
        <w:rPr>
          <w:rFonts w:ascii="Arial" w:hAnsi="Arial" w:cs="Arial"/>
          <w:sz w:val="22"/>
          <w:szCs w:val="22"/>
        </w:rPr>
        <w:lastRenderedPageBreak/>
        <w:t>The classification framework is also essential for clinical and research settings, allowing for standardized diagnosis and comparison across studies. This standardization helps in the development of evidence-based guidelines and protocols for the treatment of anxiety disorders. It also facilitates the training of healthcare professionals, ensuring that they have a consistent understanding of these disorders and their management.</w:t>
      </w:r>
    </w:p>
    <w:p w14:paraId="6D18DACE" w14:textId="4926E701" w:rsidR="000D297F" w:rsidRPr="000C7AE4" w:rsidRDefault="000D297F"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Furthermore, the ICD-10 classification of anxiety disorders includes specific phobias (F40.2) and social anxiety </w:t>
      </w:r>
      <w:r w:rsidR="000C7AE4" w:rsidRPr="000C7AE4">
        <w:rPr>
          <w:rFonts w:ascii="Arial" w:hAnsi="Arial" w:cs="Arial"/>
          <w:sz w:val="22"/>
          <w:szCs w:val="22"/>
        </w:rPr>
        <w:t>disorders</w:t>
      </w:r>
      <w:r w:rsidRPr="000C7AE4">
        <w:rPr>
          <w:rFonts w:ascii="Arial" w:hAnsi="Arial" w:cs="Arial"/>
          <w:sz w:val="22"/>
          <w:szCs w:val="22"/>
        </w:rPr>
        <w:t xml:space="preserve"> (F40.1), each with unique diagnostic criteria. Specific phobias involve intense, irrational fear of specific objects or situations, leading to avoidance </w:t>
      </w:r>
      <w:r w:rsidR="000C7AE4" w:rsidRPr="000C7AE4">
        <w:rPr>
          <w:rFonts w:ascii="Arial" w:hAnsi="Arial" w:cs="Arial"/>
          <w:sz w:val="22"/>
          <w:szCs w:val="22"/>
        </w:rPr>
        <w:t>behaviour</w:t>
      </w:r>
      <w:r w:rsidRPr="000C7AE4">
        <w:rPr>
          <w:rFonts w:ascii="Arial" w:hAnsi="Arial" w:cs="Arial"/>
          <w:sz w:val="22"/>
          <w:szCs w:val="22"/>
        </w:rPr>
        <w:t>. Social anxiety disorder involves a significant fear of social situations where the individual is exposed to possible scrutiny by others, leading to avoidance of social interactions.</w:t>
      </w:r>
    </w:p>
    <w:p w14:paraId="6D8EF95C" w14:textId="77777777" w:rsidR="000D297F" w:rsidRPr="000C7AE4" w:rsidRDefault="000D297F" w:rsidP="000C7AE4">
      <w:pPr>
        <w:pStyle w:val="NormalWeb"/>
        <w:spacing w:line="360" w:lineRule="auto"/>
        <w:jc w:val="both"/>
        <w:rPr>
          <w:rFonts w:ascii="Arial" w:hAnsi="Arial" w:cs="Arial"/>
          <w:sz w:val="22"/>
          <w:szCs w:val="22"/>
        </w:rPr>
      </w:pPr>
      <w:r w:rsidRPr="000C7AE4">
        <w:rPr>
          <w:rFonts w:ascii="Arial" w:hAnsi="Arial" w:cs="Arial"/>
          <w:sz w:val="22"/>
          <w:szCs w:val="22"/>
        </w:rPr>
        <w:t>Overall, the classification of anxiety disorders in the ICD-10 and DSM-5 provides a comprehensive framework that aids in the accurate diagnosis and effective treatment of these conditions. It underscores the importance of a detailed and systematic approach to understanding the complexities of anxiety disorders, ultimately leading to better patient outcomes.</w:t>
      </w:r>
    </w:p>
    <w:p w14:paraId="21012740" w14:textId="77777777" w:rsidR="000D297F" w:rsidRPr="000C7AE4" w:rsidRDefault="000D297F" w:rsidP="000C7AE4">
      <w:pPr>
        <w:pStyle w:val="NormalWeb"/>
        <w:spacing w:line="360" w:lineRule="auto"/>
        <w:jc w:val="both"/>
        <w:rPr>
          <w:rFonts w:ascii="Arial" w:hAnsi="Arial" w:cs="Arial"/>
          <w:sz w:val="22"/>
          <w:szCs w:val="22"/>
        </w:rPr>
      </w:pPr>
      <w:r w:rsidRPr="000C7AE4">
        <w:rPr>
          <w:rFonts w:ascii="Arial" w:hAnsi="Arial" w:cs="Arial"/>
          <w:sz w:val="22"/>
          <w:szCs w:val="22"/>
        </w:rPr>
        <w:t>By utilizing these classification systems, healthcare providers can ensure that their diagnostic and treatment approaches are grounded in the latest scientific evidence, thereby improving the quality of care provided to individuals with anxiety disorders. This approach not only benefits the patients but also contributes to the broader field of mental health by supporting ongoing research and development of new therapies.</w:t>
      </w:r>
    </w:p>
    <w:p w14:paraId="5A2F7330" w14:textId="77777777" w:rsidR="00EB2773" w:rsidRPr="000C7AE4" w:rsidRDefault="00EB2773" w:rsidP="000C7AE4">
      <w:pPr>
        <w:pStyle w:val="Heading3"/>
        <w:spacing w:line="360" w:lineRule="auto"/>
        <w:jc w:val="both"/>
        <w:rPr>
          <w:rFonts w:ascii="Arial" w:hAnsi="Arial" w:cs="Arial"/>
          <w:b/>
          <w:bCs/>
          <w:color w:val="000000" w:themeColor="text1"/>
          <w:sz w:val="24"/>
          <w:szCs w:val="24"/>
          <w:u w:val="single"/>
        </w:rPr>
      </w:pPr>
      <w:r w:rsidRPr="000C7AE4">
        <w:rPr>
          <w:rFonts w:ascii="Arial" w:hAnsi="Arial" w:cs="Arial"/>
          <w:b/>
          <w:bCs/>
          <w:color w:val="000000" w:themeColor="text1"/>
          <w:sz w:val="24"/>
          <w:szCs w:val="24"/>
          <w:u w:val="single"/>
        </w:rPr>
        <w:t>Diagnosis</w:t>
      </w:r>
    </w:p>
    <w:p w14:paraId="6962F0B2" w14:textId="77777777" w:rsidR="00EB2773" w:rsidRPr="000C7AE4" w:rsidRDefault="00EB2773" w:rsidP="000C7AE4">
      <w:pPr>
        <w:pStyle w:val="Heading4"/>
        <w:spacing w:line="360" w:lineRule="auto"/>
        <w:jc w:val="both"/>
        <w:rPr>
          <w:rFonts w:ascii="Arial" w:hAnsi="Arial" w:cs="Arial"/>
          <w:b/>
          <w:bCs/>
          <w:color w:val="000000" w:themeColor="text1"/>
          <w:sz w:val="22"/>
          <w:szCs w:val="22"/>
          <w:u w:val="single"/>
        </w:rPr>
      </w:pPr>
      <w:r w:rsidRPr="000C7AE4">
        <w:rPr>
          <w:rFonts w:ascii="Arial" w:hAnsi="Arial" w:cs="Arial"/>
          <w:b/>
          <w:bCs/>
          <w:color w:val="000000" w:themeColor="text1"/>
          <w:sz w:val="22"/>
          <w:szCs w:val="22"/>
          <w:u w:val="single"/>
        </w:rPr>
        <w:t>Obsessive-Compulsive Disorder (OCD)</w:t>
      </w:r>
    </w:p>
    <w:p w14:paraId="13B8CAF6" w14:textId="6A394FA8" w:rsidR="00EB2773"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OCD can affect individuals of all ages and genders. Symptoms often appear around puberty and early adulthood, although they can manifest as early as age six. Factors such as family history, brain differences, life events, and personality can contribute to the development of OCD. There are various types of OCD, including contamination and cleaning, checking, symmetry and arranging intrusive thoughts and rumination, and hoarding (OCDUK, 2023).</w:t>
      </w:r>
    </w:p>
    <w:p w14:paraId="35227020" w14:textId="3ECC77C7" w:rsidR="00C06118" w:rsidRDefault="00C06118" w:rsidP="000C7AE4">
      <w:pPr>
        <w:pStyle w:val="NormalWeb"/>
        <w:spacing w:line="360" w:lineRule="auto"/>
        <w:jc w:val="both"/>
        <w:rPr>
          <w:rFonts w:ascii="Arial" w:hAnsi="Arial" w:cs="Arial"/>
          <w:sz w:val="22"/>
          <w:szCs w:val="22"/>
        </w:rPr>
      </w:pPr>
    </w:p>
    <w:p w14:paraId="41E25D5F" w14:textId="1678E6FB" w:rsidR="00C06118" w:rsidRPr="000C7AE4" w:rsidRDefault="00C06118" w:rsidP="000C7AE4">
      <w:pPr>
        <w:pStyle w:val="NormalWeb"/>
        <w:spacing w:line="360" w:lineRule="auto"/>
        <w:jc w:val="both"/>
        <w:rPr>
          <w:rFonts w:ascii="Arial" w:hAnsi="Arial" w:cs="Arial"/>
          <w:sz w:val="22"/>
          <w:szCs w:val="22"/>
        </w:rPr>
      </w:pPr>
      <w:r w:rsidRPr="00C06118">
        <w:rPr>
          <w:rFonts w:ascii="Arial" w:hAnsi="Arial" w:cs="Arial"/>
          <w:noProof/>
          <w:sz w:val="22"/>
          <w:szCs w:val="22"/>
        </w:rPr>
        <w:lastRenderedPageBreak/>
        <mc:AlternateContent>
          <mc:Choice Requires="wps">
            <w:drawing>
              <wp:anchor distT="45720" distB="45720" distL="114300" distR="114300" simplePos="0" relativeHeight="251662336" behindDoc="0" locked="0" layoutInCell="1" allowOverlap="1" wp14:anchorId="50715DCC" wp14:editId="7EC060B4">
                <wp:simplePos x="0" y="0"/>
                <wp:positionH relativeFrom="column">
                  <wp:posOffset>4785360</wp:posOffset>
                </wp:positionH>
                <wp:positionV relativeFrom="page">
                  <wp:posOffset>3581400</wp:posOffset>
                </wp:positionV>
                <wp:extent cx="975360" cy="320040"/>
                <wp:effectExtent l="0" t="0" r="1524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320040"/>
                        </a:xfrm>
                        <a:prstGeom prst="rect">
                          <a:avLst/>
                        </a:prstGeom>
                        <a:ln>
                          <a:solidFill>
                            <a:schemeClr val="accent1">
                              <a:lumMod val="40000"/>
                              <a:lumOff val="60000"/>
                            </a:schemeClr>
                          </a:solidFill>
                          <a:headEnd/>
                          <a:tailEnd/>
                        </a:ln>
                      </wps:spPr>
                      <wps:style>
                        <a:lnRef idx="2">
                          <a:schemeClr val="accent1"/>
                        </a:lnRef>
                        <a:fillRef idx="1">
                          <a:schemeClr val="lt1"/>
                        </a:fillRef>
                        <a:effectRef idx="0">
                          <a:schemeClr val="accent1"/>
                        </a:effectRef>
                        <a:fontRef idx="minor">
                          <a:schemeClr val="dk1"/>
                        </a:fontRef>
                      </wps:style>
                      <wps:txbx>
                        <w:txbxContent>
                          <w:p w14:paraId="2699A796" w14:textId="0961D530" w:rsidR="00C06118" w:rsidRPr="00C06118" w:rsidRDefault="00C06118">
                            <w:pPr>
                              <w:rPr>
                                <w:i/>
                                <w:iCs/>
                                <w:sz w:val="22"/>
                                <w:szCs w:val="22"/>
                              </w:rPr>
                            </w:pPr>
                            <w:r w:rsidRPr="00C06118">
                              <w:rPr>
                                <w:i/>
                                <w:iCs/>
                                <w:sz w:val="22"/>
                                <w:szCs w:val="22"/>
                              </w:rPr>
                              <w:t>(NHS,</w:t>
                            </w:r>
                            <w:r>
                              <w:rPr>
                                <w:i/>
                                <w:iCs/>
                                <w:sz w:val="22"/>
                                <w:szCs w:val="22"/>
                              </w:rPr>
                              <w:t xml:space="preserve"> </w:t>
                            </w:r>
                            <w:r w:rsidRPr="00C06118">
                              <w:rPr>
                                <w:i/>
                                <w:iCs/>
                                <w:sz w:val="22"/>
                                <w:szCs w:val="22"/>
                              </w:rPr>
                              <w:t>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715DCC" id="_x0000_t202" coordsize="21600,21600" o:spt="202" path="m,l,21600r21600,l21600,xe">
                <v:stroke joinstyle="miter"/>
                <v:path gradientshapeok="t" o:connecttype="rect"/>
              </v:shapetype>
              <v:shape id="Text Box 2" o:spid="_x0000_s1028" type="#_x0000_t202" style="position:absolute;left:0;text-align:left;margin-left:376.8pt;margin-top:282pt;width:76.8pt;height:25.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" fillcolor="white [3201]" strokecolor="#83caeb [1300]" strokeweight="1pt">
                <v:textbox>
                  <w:txbxContent>
                    <w:p w14:paraId="2699A796" w14:textId="0961D530" w:rsidR="00C06118" w:rsidRPr="00C06118" w:rsidRDefault="00C06118">
                      <w:pPr>
                        <w:rPr>
                          <w:i/>
                          <w:iCs/>
                          <w:sz w:val="22"/>
                          <w:szCs w:val="22"/>
                        </w:rPr>
                      </w:pPr>
                      <w:r w:rsidRPr="00C06118">
                        <w:rPr>
                          <w:i/>
                          <w:iCs/>
                          <w:sz w:val="22"/>
                          <w:szCs w:val="22"/>
                        </w:rPr>
                        <w:t>(NHS,</w:t>
                      </w:r>
                      <w:r>
                        <w:rPr>
                          <w:i/>
                          <w:iCs/>
                          <w:sz w:val="22"/>
                          <w:szCs w:val="22"/>
                        </w:rPr>
                        <w:t xml:space="preserve"> </w:t>
                      </w:r>
                      <w:r w:rsidRPr="00C06118">
                        <w:rPr>
                          <w:i/>
                          <w:iCs/>
                          <w:sz w:val="22"/>
                          <w:szCs w:val="22"/>
                        </w:rPr>
                        <w:t>2024)</w:t>
                      </w:r>
                    </w:p>
                  </w:txbxContent>
                </v:textbox>
                <w10:wrap type="square" anchory="page"/>
              </v:shape>
            </w:pict>
          </mc:Fallback>
        </mc:AlternateContent>
      </w:r>
      <w:r>
        <w:rPr>
          <w:noProof/>
        </w:rPr>
        <w:drawing>
          <wp:inline distT="0" distB="0" distL="0" distR="0" wp14:anchorId="13E2E6D5" wp14:editId="79DB7712">
            <wp:extent cx="5731510" cy="2430780"/>
            <wp:effectExtent l="38100" t="38100" r="40640" b="45720"/>
            <wp:docPr id="80643230" name="Picture 3" descr="How Does OCD Affect Pati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Does OCD Affect Patients?"/>
                    <pic:cNvPicPr>
                      <a:picLocks noChangeAspect="1" noChangeArrowheads="1"/>
                    </pic:cNvPicPr>
                  </pic:nvPicPr>
                  <pic:blipFill rotWithShape="1">
                    <a:blip r:embed="rId11">
                      <a:extLst>
                        <a:ext uri="{28A0092B-C50C-407E-A947-70E740481C1C}">
                          <a14:useLocalDpi xmlns:a14="http://schemas.microsoft.com/office/drawing/2010/main" val="0"/>
                        </a:ext>
                      </a:extLst>
                    </a:blip>
                    <a:srcRect b="15178"/>
                    <a:stretch/>
                  </pic:blipFill>
                  <pic:spPr bwMode="auto">
                    <a:xfrm>
                      <a:off x="0" y="0"/>
                      <a:ext cx="5731510" cy="2430780"/>
                    </a:xfrm>
                    <a:prstGeom prst="rect">
                      <a:avLst/>
                    </a:prstGeom>
                    <a:noFill/>
                    <a:ln w="28575">
                      <a:solidFill>
                        <a:schemeClr val="accent4">
                          <a:lumMod val="60000"/>
                          <a:lumOff val="40000"/>
                        </a:schemeClr>
                      </a:solidFill>
                    </a:ln>
                    <a:extLst>
                      <a:ext uri="{53640926-AAD7-44D8-BBD7-CCE9431645EC}">
                        <a14:shadowObscured xmlns:a14="http://schemas.microsoft.com/office/drawing/2010/main"/>
                      </a:ext>
                    </a:extLst>
                  </pic:spPr>
                </pic:pic>
              </a:graphicData>
            </a:graphic>
          </wp:inline>
        </w:drawing>
      </w:r>
    </w:p>
    <w:p w14:paraId="77A7A842" w14:textId="77777777" w:rsidR="00C06118" w:rsidRDefault="00C06118" w:rsidP="000C7AE4">
      <w:pPr>
        <w:pStyle w:val="NormalWeb"/>
        <w:spacing w:line="360" w:lineRule="auto"/>
        <w:jc w:val="both"/>
        <w:rPr>
          <w:rFonts w:ascii="Arial" w:hAnsi="Arial" w:cs="Arial"/>
          <w:sz w:val="22"/>
          <w:szCs w:val="22"/>
        </w:rPr>
      </w:pPr>
    </w:p>
    <w:p w14:paraId="0C937D0F" w14:textId="77777777" w:rsidR="00C06118" w:rsidRDefault="00C06118" w:rsidP="000C7AE4">
      <w:pPr>
        <w:pStyle w:val="NormalWeb"/>
        <w:spacing w:line="360" w:lineRule="auto"/>
        <w:jc w:val="both"/>
        <w:rPr>
          <w:rFonts w:ascii="Arial" w:hAnsi="Arial" w:cs="Arial"/>
          <w:sz w:val="22"/>
          <w:szCs w:val="22"/>
        </w:rPr>
      </w:pPr>
    </w:p>
    <w:p w14:paraId="334F013B" w14:textId="46431491"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Diagnosis is based on the ICD-10 criteria, which involve a detailed clinical assessment to evaluate the individual’s obsessions and compulsions. According to the ICD-10, the individual must have obsessive thoughts and compulsive </w:t>
      </w:r>
      <w:r w:rsidR="000C7AE4" w:rsidRPr="000C7AE4">
        <w:rPr>
          <w:rFonts w:ascii="Arial" w:hAnsi="Arial" w:cs="Arial"/>
          <w:sz w:val="22"/>
          <w:szCs w:val="22"/>
        </w:rPr>
        <w:t>behaviours</w:t>
      </w:r>
      <w:r w:rsidRPr="000C7AE4">
        <w:rPr>
          <w:rFonts w:ascii="Arial" w:hAnsi="Arial" w:cs="Arial"/>
          <w:sz w:val="22"/>
          <w:szCs w:val="22"/>
        </w:rPr>
        <w:t xml:space="preserve"> that are seen as unreasonable. Healthcare providers must rule out other conditions with similar symptoms to ensure an accurate diagnosis. Cultural factors are also considered, as different cultures have unique beliefs and practices that can shape obsessions and compulsions (World Health Organisation, 1992). The diagnostic process also involves structured interviews and questionnaires, such as the Yale-Brown Obsessive Compulsive Scale (Y-BOCS), to quantify symptom severity and track changes over time.</w:t>
      </w:r>
    </w:p>
    <w:p w14:paraId="78EF014F" w14:textId="29A3163C"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The diagnostic criteria for OCD in the ICD-10 emphasize the importance of the presence of both obsessions and compulsions. Obsessions are defined as recurrent and persistent thoughts, impulses, or images that are experienced as intrusive and inappropriate and cause marked anxiety or distress. Compulsions are repetitive </w:t>
      </w:r>
      <w:r w:rsidR="000C7AE4" w:rsidRPr="000C7AE4">
        <w:rPr>
          <w:rFonts w:ascii="Arial" w:hAnsi="Arial" w:cs="Arial"/>
          <w:sz w:val="22"/>
          <w:szCs w:val="22"/>
        </w:rPr>
        <w:t>behaviours</w:t>
      </w:r>
      <w:r w:rsidRPr="000C7AE4">
        <w:rPr>
          <w:rFonts w:ascii="Arial" w:hAnsi="Arial" w:cs="Arial"/>
          <w:sz w:val="22"/>
          <w:szCs w:val="22"/>
        </w:rPr>
        <w:t xml:space="preserve"> (e.g., hand washing, ordering) or mental acts (e.g., praying, counting) that the individual feels driven to perform in response to an obsession or according to rules that must be applied rigidly. The diagnostic process must also account for the significant impairment or distress caused by these symptoms, impacting social, occupational, or other important areas of functioning.</w:t>
      </w:r>
    </w:p>
    <w:p w14:paraId="04121B7B" w14:textId="3E5119A3" w:rsidR="00EB2773" w:rsidRPr="000C7AE4" w:rsidRDefault="00EB2773" w:rsidP="000C7AE4">
      <w:pPr>
        <w:pStyle w:val="Heading4"/>
        <w:spacing w:line="360" w:lineRule="auto"/>
        <w:jc w:val="both"/>
        <w:rPr>
          <w:rFonts w:ascii="Arial" w:hAnsi="Arial" w:cs="Arial"/>
          <w:b/>
          <w:bCs/>
          <w:color w:val="000000" w:themeColor="text1"/>
          <w:sz w:val="22"/>
          <w:szCs w:val="22"/>
          <w:u w:val="single"/>
        </w:rPr>
      </w:pPr>
      <w:r w:rsidRPr="000C7AE4">
        <w:rPr>
          <w:rFonts w:ascii="Arial" w:hAnsi="Arial" w:cs="Arial"/>
          <w:b/>
          <w:bCs/>
          <w:color w:val="000000" w:themeColor="text1"/>
          <w:sz w:val="22"/>
          <w:szCs w:val="22"/>
          <w:u w:val="single"/>
        </w:rPr>
        <w:lastRenderedPageBreak/>
        <w:t>Anxiety Disorders</w:t>
      </w:r>
    </w:p>
    <w:p w14:paraId="45B4E0D3" w14:textId="06F8F319" w:rsidR="00EB2773" w:rsidRDefault="00711C5C" w:rsidP="000C7AE4">
      <w:pPr>
        <w:pStyle w:val="NormalWeb"/>
        <w:spacing w:line="360" w:lineRule="auto"/>
        <w:jc w:val="both"/>
        <w:rPr>
          <w:rFonts w:ascii="Arial" w:hAnsi="Arial" w:cs="Arial"/>
          <w:sz w:val="22"/>
          <w:szCs w:val="22"/>
        </w:rPr>
      </w:pPr>
      <w:r w:rsidRPr="00C06118">
        <w:rPr>
          <w:rFonts w:ascii="Arial" w:hAnsi="Arial" w:cs="Arial"/>
          <w:noProof/>
          <w:sz w:val="22"/>
          <w:szCs w:val="22"/>
        </w:rPr>
        <mc:AlternateContent>
          <mc:Choice Requires="wps">
            <w:drawing>
              <wp:anchor distT="45720" distB="45720" distL="114300" distR="114300" simplePos="0" relativeHeight="251665408" behindDoc="0" locked="0" layoutInCell="1" allowOverlap="1" wp14:anchorId="1792B630" wp14:editId="1BA5BA20">
                <wp:simplePos x="0" y="0"/>
                <wp:positionH relativeFrom="column">
                  <wp:posOffset>4853940</wp:posOffset>
                </wp:positionH>
                <wp:positionV relativeFrom="page">
                  <wp:posOffset>3695700</wp:posOffset>
                </wp:positionV>
                <wp:extent cx="1432560" cy="320040"/>
                <wp:effectExtent l="0" t="0" r="15240" b="22860"/>
                <wp:wrapSquare wrapText="bothSides"/>
                <wp:docPr id="16969009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320040"/>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2CE6B946" w14:textId="0F9D6883" w:rsidR="00711C5C" w:rsidRPr="00C06118" w:rsidRDefault="00711C5C" w:rsidP="00711C5C">
                            <w:pPr>
                              <w:rPr>
                                <w:i/>
                                <w:iCs/>
                                <w:sz w:val="22"/>
                                <w:szCs w:val="22"/>
                              </w:rPr>
                            </w:pPr>
                            <w:r w:rsidRPr="00C06118">
                              <w:rPr>
                                <w:i/>
                                <w:iCs/>
                                <w:sz w:val="22"/>
                                <w:szCs w:val="22"/>
                              </w:rPr>
                              <w:t>(</w:t>
                            </w:r>
                            <w:r>
                              <w:rPr>
                                <w:i/>
                                <w:iCs/>
                                <w:sz w:val="22"/>
                                <w:szCs w:val="22"/>
                              </w:rPr>
                              <w:t>Mind Journal</w:t>
                            </w:r>
                            <w:r w:rsidRPr="00C06118">
                              <w:rPr>
                                <w:i/>
                                <w:iCs/>
                                <w:sz w:val="22"/>
                                <w:szCs w:val="22"/>
                              </w:rPr>
                              <w:t>,</w:t>
                            </w:r>
                            <w:r>
                              <w:rPr>
                                <w:i/>
                                <w:iCs/>
                                <w:sz w:val="22"/>
                                <w:szCs w:val="22"/>
                              </w:rPr>
                              <w:t xml:space="preserve"> </w:t>
                            </w:r>
                            <w:r w:rsidRPr="00C06118">
                              <w:rPr>
                                <w:i/>
                                <w:iCs/>
                                <w:sz w:val="22"/>
                                <w:szCs w:val="22"/>
                              </w:rPr>
                              <w:t>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92B630" id="_x0000_s1029" type="#_x0000_t202" style="position:absolute;left:0;text-align:left;margin-left:382.2pt;margin-top:291pt;width:112.8pt;height:25.2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" fillcolor="white [3201]" strokecolor="#e97132 [3205]" strokeweight="1pt">
                <v:textbox>
                  <w:txbxContent>
                    <w:p w14:paraId="2CE6B946" w14:textId="0F9D6883" w:rsidR="00711C5C" w:rsidRPr="00C06118" w:rsidRDefault="00711C5C" w:rsidP="00711C5C">
                      <w:pPr>
                        <w:rPr>
                          <w:i/>
                          <w:iCs/>
                          <w:sz w:val="22"/>
                          <w:szCs w:val="22"/>
                        </w:rPr>
                      </w:pPr>
                      <w:r w:rsidRPr="00C06118">
                        <w:rPr>
                          <w:i/>
                          <w:iCs/>
                          <w:sz w:val="22"/>
                          <w:szCs w:val="22"/>
                        </w:rPr>
                        <w:t>(</w:t>
                      </w:r>
                      <w:r>
                        <w:rPr>
                          <w:i/>
                          <w:iCs/>
                          <w:sz w:val="22"/>
                          <w:szCs w:val="22"/>
                        </w:rPr>
                        <w:t>Mind Journal</w:t>
                      </w:r>
                      <w:r w:rsidRPr="00C06118">
                        <w:rPr>
                          <w:i/>
                          <w:iCs/>
                          <w:sz w:val="22"/>
                          <w:szCs w:val="22"/>
                        </w:rPr>
                        <w:t>,</w:t>
                      </w:r>
                      <w:r>
                        <w:rPr>
                          <w:i/>
                          <w:iCs/>
                          <w:sz w:val="22"/>
                          <w:szCs w:val="22"/>
                        </w:rPr>
                        <w:t xml:space="preserve"> </w:t>
                      </w:r>
                      <w:r w:rsidRPr="00C06118">
                        <w:rPr>
                          <w:i/>
                          <w:iCs/>
                          <w:sz w:val="22"/>
                          <w:szCs w:val="22"/>
                        </w:rPr>
                        <w:t>2024)</w:t>
                      </w:r>
                    </w:p>
                  </w:txbxContent>
                </v:textbox>
                <w10:wrap type="square" anchory="page"/>
              </v:shape>
            </w:pict>
          </mc:Fallback>
        </mc:AlternateContent>
      </w:r>
      <w:r>
        <w:rPr>
          <w:rFonts w:ascii="Arial" w:hAnsi="Arial" w:cs="Arial"/>
          <w:noProof/>
          <w:sz w:val="22"/>
          <w:szCs w:val="22"/>
        </w:rPr>
        <w:drawing>
          <wp:anchor distT="0" distB="0" distL="114300" distR="114300" simplePos="0" relativeHeight="251663360" behindDoc="0" locked="0" layoutInCell="1" allowOverlap="1" wp14:anchorId="7ABD4767" wp14:editId="4F4E5221">
            <wp:simplePos x="0" y="0"/>
            <wp:positionH relativeFrom="column">
              <wp:posOffset>4091940</wp:posOffset>
            </wp:positionH>
            <wp:positionV relativeFrom="paragraph">
              <wp:posOffset>137795</wp:posOffset>
            </wp:positionV>
            <wp:extent cx="2194560" cy="2194560"/>
            <wp:effectExtent l="38100" t="38100" r="34290" b="34290"/>
            <wp:wrapSquare wrapText="bothSides"/>
            <wp:docPr id="16903078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94560" cy="2194560"/>
                    </a:xfrm>
                    <a:prstGeom prst="rect">
                      <a:avLst/>
                    </a:prstGeom>
                    <a:noFill/>
                    <a:ln w="28575">
                      <a:solidFill>
                        <a:srgbClr val="FFC000"/>
                      </a:solidFill>
                    </a:ln>
                  </pic:spPr>
                </pic:pic>
              </a:graphicData>
            </a:graphic>
            <wp14:sizeRelH relativeFrom="margin">
              <wp14:pctWidth>0</wp14:pctWidth>
            </wp14:sizeRelH>
            <wp14:sizeRelV relativeFrom="margin">
              <wp14:pctHeight>0</wp14:pctHeight>
            </wp14:sizeRelV>
          </wp:anchor>
        </w:drawing>
      </w:r>
      <w:r w:rsidR="00EB2773" w:rsidRPr="000C7AE4">
        <w:rPr>
          <w:rFonts w:ascii="Arial" w:hAnsi="Arial" w:cs="Arial"/>
          <w:sz w:val="22"/>
          <w:szCs w:val="22"/>
        </w:rPr>
        <w:t>Diagnosing anxiety disorders requires adherence to the specific criteria outlined in the ICD-10 (World Health Organisation, 1992). Anxiety disorders are categorized under F40-F48, with each type having its set criteria. For instance, diagnosing GAD requires the presence of excessive anxiety and worry about various events or activities for more days than not for at least six months. Symptoms must include difficulty controlling worry and at least three other symptoms such as restlessness, fatigue, irritability, muscle tension, difficulty concentrating, and sleep disturbances (NHS Choices, 2024).</w:t>
      </w:r>
      <w:r>
        <w:rPr>
          <w:rFonts w:ascii="Arial" w:hAnsi="Arial" w:cs="Arial"/>
          <w:sz w:val="22"/>
          <w:szCs w:val="22"/>
        </w:rPr>
        <w:t xml:space="preserve"> </w:t>
      </w:r>
    </w:p>
    <w:p w14:paraId="6345519D" w14:textId="1524DBCE" w:rsidR="00711C5C" w:rsidRPr="000C7AE4" w:rsidRDefault="00711C5C" w:rsidP="000C7AE4">
      <w:pPr>
        <w:pStyle w:val="NormalWeb"/>
        <w:spacing w:line="360" w:lineRule="auto"/>
        <w:jc w:val="both"/>
        <w:rPr>
          <w:rFonts w:ascii="Arial" w:hAnsi="Arial" w:cs="Arial"/>
          <w:sz w:val="22"/>
          <w:szCs w:val="22"/>
        </w:rPr>
      </w:pPr>
    </w:p>
    <w:p w14:paraId="4721DFC2" w14:textId="7777777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Diagnosis involves a comprehensive clinical review to assess the nature, duration, and severity of symptoms. Mental health professionals also evaluate the impact of anxiety on daily life, which is essential for determining the correct disorder and treatment. Cultural factors are considered in the diagnosis, as cultural beliefs and practices can influence how anxiety is experienced and expressed (NICE, 2024). The use of standardized diagnostic tools, such as the Generalized Anxiety Disorder 7 (GAD-7) scale, helps in the accurate assessment and differentiation of anxiety disorders, ensuring that the chosen treatment plan is appropriate for the patient's specific needs.</w:t>
      </w:r>
    </w:p>
    <w:p w14:paraId="7991FEE6" w14:textId="3866B653"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The ICD-10 criteria for GAD emphasize the presence of persistent, excessive anxiety and worry occurring more days than not for at least six months, about </w:t>
      </w:r>
      <w:r w:rsidR="000C7AE4" w:rsidRPr="000C7AE4">
        <w:rPr>
          <w:rFonts w:ascii="Arial" w:hAnsi="Arial" w:cs="Arial"/>
          <w:sz w:val="22"/>
          <w:szCs w:val="22"/>
        </w:rPr>
        <w:t>several</w:t>
      </w:r>
      <w:r w:rsidRPr="000C7AE4">
        <w:rPr>
          <w:rFonts w:ascii="Arial" w:hAnsi="Arial" w:cs="Arial"/>
          <w:sz w:val="22"/>
          <w:szCs w:val="22"/>
        </w:rPr>
        <w:t xml:space="preserve"> events or activities. The individual finds it difficult to control the worry, and the anxiety and worry are associated with three or more of the following six symptoms: restlessness or feeling keyed up or on edge, being easily fatigued, difficulty concentrating or mind going blank, irritability, muscle tension, and sleep disturbance. These symptoms must cause clinically significant distress or impairment in social, occupational, or other important areas of functioning, and the disturbance is not attributable to the physiological effects of a substance or another medical condition.</w:t>
      </w:r>
    </w:p>
    <w:p w14:paraId="70ECAD32" w14:textId="77777777" w:rsidR="00EB2773" w:rsidRPr="000C7AE4" w:rsidRDefault="00EB2773" w:rsidP="000C7AE4">
      <w:pPr>
        <w:pStyle w:val="Heading3"/>
        <w:spacing w:line="360" w:lineRule="auto"/>
        <w:jc w:val="both"/>
        <w:rPr>
          <w:rFonts w:ascii="Arial" w:hAnsi="Arial" w:cs="Arial"/>
          <w:b/>
          <w:bCs/>
          <w:color w:val="000000" w:themeColor="text1"/>
          <w:sz w:val="24"/>
          <w:szCs w:val="24"/>
          <w:u w:val="single"/>
        </w:rPr>
      </w:pPr>
      <w:r w:rsidRPr="000C7AE4">
        <w:rPr>
          <w:rFonts w:ascii="Arial" w:hAnsi="Arial" w:cs="Arial"/>
          <w:b/>
          <w:bCs/>
          <w:color w:val="000000" w:themeColor="text1"/>
          <w:sz w:val="24"/>
          <w:szCs w:val="24"/>
          <w:u w:val="single"/>
        </w:rPr>
        <w:t>Treatment</w:t>
      </w:r>
    </w:p>
    <w:p w14:paraId="42BD49E1" w14:textId="77777777" w:rsidR="00EB2773" w:rsidRPr="000C7AE4" w:rsidRDefault="00EB2773" w:rsidP="000C7AE4">
      <w:pPr>
        <w:pStyle w:val="Heading4"/>
        <w:spacing w:line="360" w:lineRule="auto"/>
        <w:jc w:val="both"/>
        <w:rPr>
          <w:rFonts w:ascii="Arial" w:hAnsi="Arial" w:cs="Arial"/>
          <w:b/>
          <w:bCs/>
          <w:color w:val="000000" w:themeColor="text1"/>
          <w:sz w:val="22"/>
          <w:szCs w:val="22"/>
          <w:u w:val="single"/>
        </w:rPr>
      </w:pPr>
      <w:r w:rsidRPr="000C7AE4">
        <w:rPr>
          <w:rFonts w:ascii="Arial" w:hAnsi="Arial" w:cs="Arial"/>
          <w:b/>
          <w:bCs/>
          <w:color w:val="000000" w:themeColor="text1"/>
          <w:sz w:val="22"/>
          <w:szCs w:val="22"/>
          <w:u w:val="single"/>
        </w:rPr>
        <w:t>Obsessive-Compulsive Disorder (OCD)</w:t>
      </w:r>
    </w:p>
    <w:p w14:paraId="72C81A2C" w14:textId="6413EFE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Treatment for OCD under the ICD-10 involves a multifaceted approach that includes pharmacological and psychotherapeutic methods. Selective serotonin reuptake inhibitors </w:t>
      </w:r>
      <w:r w:rsidRPr="000C7AE4">
        <w:rPr>
          <w:rFonts w:ascii="Arial" w:hAnsi="Arial" w:cs="Arial"/>
          <w:sz w:val="22"/>
          <w:szCs w:val="22"/>
        </w:rPr>
        <w:lastRenderedPageBreak/>
        <w:t xml:space="preserve">(SSRIs) such as sertraline, fluoxetine, and fluvoxamine are commonly used due to their effectiveness and </w:t>
      </w:r>
      <w:r w:rsidR="000C7AE4" w:rsidRPr="000C7AE4">
        <w:rPr>
          <w:rFonts w:ascii="Arial" w:hAnsi="Arial" w:cs="Arial"/>
          <w:sz w:val="22"/>
          <w:szCs w:val="22"/>
        </w:rPr>
        <w:t>favourable</w:t>
      </w:r>
      <w:r w:rsidRPr="000C7AE4">
        <w:rPr>
          <w:rFonts w:ascii="Arial" w:hAnsi="Arial" w:cs="Arial"/>
          <w:sz w:val="22"/>
          <w:szCs w:val="22"/>
        </w:rPr>
        <w:t xml:space="preserve"> side effect profiles. Clomipramine, a tricyclic antidepressant, is another option, especially when SSRIs are less effective (Koran et al., 2007).</w:t>
      </w:r>
    </w:p>
    <w:p w14:paraId="01A0F73C" w14:textId="7777777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Cognitive </w:t>
      </w:r>
      <w:proofErr w:type="spellStart"/>
      <w:r w:rsidRPr="000C7AE4">
        <w:rPr>
          <w:rFonts w:ascii="Arial" w:hAnsi="Arial" w:cs="Arial"/>
          <w:sz w:val="22"/>
          <w:szCs w:val="22"/>
        </w:rPr>
        <w:t>Behavioral</w:t>
      </w:r>
      <w:proofErr w:type="spellEnd"/>
      <w:r w:rsidRPr="000C7AE4">
        <w:rPr>
          <w:rFonts w:ascii="Arial" w:hAnsi="Arial" w:cs="Arial"/>
          <w:sz w:val="22"/>
          <w:szCs w:val="22"/>
        </w:rPr>
        <w:t xml:space="preserve"> Therapy (CBT), particularly Exposure and Response Prevention (ERP), is a cornerstone of psychotherapeutic treatment. ERP involves exposing patients to anxiety-provoking stimuli and preventing the compulsive response, thereby reducing obsessive-compulsive symptoms over time (</w:t>
      </w:r>
      <w:proofErr w:type="spellStart"/>
      <w:r w:rsidRPr="000C7AE4">
        <w:rPr>
          <w:rFonts w:ascii="Arial" w:hAnsi="Arial" w:cs="Arial"/>
          <w:sz w:val="22"/>
          <w:szCs w:val="22"/>
        </w:rPr>
        <w:t>Foa</w:t>
      </w:r>
      <w:proofErr w:type="spellEnd"/>
      <w:r w:rsidRPr="000C7AE4">
        <w:rPr>
          <w:rFonts w:ascii="Arial" w:hAnsi="Arial" w:cs="Arial"/>
          <w:sz w:val="22"/>
          <w:szCs w:val="22"/>
        </w:rPr>
        <w:t xml:space="preserve"> et al., 2005). Combining pharmacotherapy and CBT is often recommended for optimal results, especially for patients who do not respond adequately to either treatment alone (Koran et al., 2007). Additional treatment options may include newer therapeutic modalities like Acceptance and Commitment Therapy (ACT) and mindfulness-based approaches, which have shown promise in treating refractory cases of OCD.</w:t>
      </w:r>
    </w:p>
    <w:p w14:paraId="173965FB" w14:textId="77777777" w:rsidR="00EB2773" w:rsidRPr="000C7AE4" w:rsidRDefault="00EB2773" w:rsidP="000C7AE4">
      <w:pPr>
        <w:pStyle w:val="Heading4"/>
        <w:spacing w:line="360" w:lineRule="auto"/>
        <w:jc w:val="both"/>
        <w:rPr>
          <w:rFonts w:ascii="Arial" w:hAnsi="Arial" w:cs="Arial"/>
          <w:b/>
          <w:bCs/>
          <w:color w:val="000000" w:themeColor="text1"/>
          <w:sz w:val="22"/>
          <w:szCs w:val="22"/>
          <w:u w:val="single"/>
        </w:rPr>
      </w:pPr>
      <w:r w:rsidRPr="000C7AE4">
        <w:rPr>
          <w:rFonts w:ascii="Arial" w:hAnsi="Arial" w:cs="Arial"/>
          <w:b/>
          <w:bCs/>
          <w:color w:val="000000" w:themeColor="text1"/>
          <w:sz w:val="22"/>
          <w:szCs w:val="22"/>
          <w:u w:val="single"/>
        </w:rPr>
        <w:t>Anxiety Disorders</w:t>
      </w:r>
    </w:p>
    <w:p w14:paraId="100A15F8" w14:textId="7777777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The treatment of anxiety disorders also involves pharmacological and psychotherapeutic interventions. SSRIs like sertraline and fluoxetine are commonly recommended, along with benzodiazepines such as diazepam for short-term relief due to the risk of dependency (Baldwin et al., 2014).</w:t>
      </w:r>
    </w:p>
    <w:p w14:paraId="6DF98A85" w14:textId="4AAF855A"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CBT is a primary psychotherapeutic treatment for anxiety disorders, focusing on challenging and changing maladaptive thoughts and </w:t>
      </w:r>
      <w:r w:rsidR="000C7AE4" w:rsidRPr="000C7AE4">
        <w:rPr>
          <w:rFonts w:ascii="Arial" w:hAnsi="Arial" w:cs="Arial"/>
          <w:sz w:val="22"/>
          <w:szCs w:val="22"/>
        </w:rPr>
        <w:t>behaviours</w:t>
      </w:r>
      <w:r w:rsidRPr="000C7AE4">
        <w:rPr>
          <w:rFonts w:ascii="Arial" w:hAnsi="Arial" w:cs="Arial"/>
          <w:sz w:val="22"/>
          <w:szCs w:val="22"/>
        </w:rPr>
        <w:t xml:space="preserve"> to reduce anxiety symptoms (Hofmann et al., 2012). Regular exercise, stress management techniques, and adequate sleep are supplementary treatments that can significantly impact overall mental health and anxiety levels (Stubbs et al., 2017). The ICD-10 emphasizes individualized treatment plans that cater to each patient's unique requirements and circumstances, as anxiety disorders vary widely and individuals respond differently to treatments (Tyrer et al., 2011). Innovations in treatment, such as the use of virtual reality exposure therapy (VRET) for specific phobias and social anxiety </w:t>
      </w:r>
      <w:r w:rsidR="000C7AE4" w:rsidRPr="000C7AE4">
        <w:rPr>
          <w:rFonts w:ascii="Arial" w:hAnsi="Arial" w:cs="Arial"/>
          <w:sz w:val="22"/>
          <w:szCs w:val="22"/>
        </w:rPr>
        <w:t>disorders</w:t>
      </w:r>
      <w:r w:rsidRPr="000C7AE4">
        <w:rPr>
          <w:rFonts w:ascii="Arial" w:hAnsi="Arial" w:cs="Arial"/>
          <w:sz w:val="22"/>
          <w:szCs w:val="22"/>
        </w:rPr>
        <w:t>, are also being explored to enhance therapeutic outcomes.</w:t>
      </w:r>
    </w:p>
    <w:p w14:paraId="1943F416" w14:textId="7777777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Pharmacological treatments for anxiety disorders often include SSRIs as the first-line treatment due to their efficacy and safety profile. Benzodiazepines, such as diazepam, are effective for short-term relief of acute anxiety symptoms but are generally not recommended for long-term use due to the risk of dependence. Other pharmacological options include serotonin-norepinephrine reuptake inhibitors (SNRIs) like venlafaxine and duloxetine, which are also effective for treating anxiety disorders.</w:t>
      </w:r>
    </w:p>
    <w:p w14:paraId="5EF7B11A" w14:textId="4E678B55"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lastRenderedPageBreak/>
        <w:t xml:space="preserve">CBT for anxiety disorders typically involves techniques such as cognitive restructuring, exposure therapy, and relaxation training. Cognitive restructuring helps patients identify and challenge maladaptive thoughts and beliefs that contribute to anxiety, while exposure therapy involves gradually exposing patients to feared situations or objects to reduce avoidance </w:t>
      </w:r>
      <w:r w:rsidR="000C7AE4" w:rsidRPr="000C7AE4">
        <w:rPr>
          <w:rFonts w:ascii="Arial" w:hAnsi="Arial" w:cs="Arial"/>
          <w:sz w:val="22"/>
          <w:szCs w:val="22"/>
        </w:rPr>
        <w:t>behaviours</w:t>
      </w:r>
      <w:r w:rsidRPr="000C7AE4">
        <w:rPr>
          <w:rFonts w:ascii="Arial" w:hAnsi="Arial" w:cs="Arial"/>
          <w:sz w:val="22"/>
          <w:szCs w:val="22"/>
        </w:rPr>
        <w:t xml:space="preserve"> and anxiety. Relaxation training, including techniques such as deep breathing and progressive muscle relaxation, helps patients manage physiological symptoms of anxiety.</w:t>
      </w:r>
    </w:p>
    <w:p w14:paraId="5F522CBA" w14:textId="77777777" w:rsidR="00EB2773" w:rsidRPr="000C7AE4" w:rsidRDefault="00EB2773" w:rsidP="000C7AE4">
      <w:pPr>
        <w:pStyle w:val="Heading3"/>
        <w:spacing w:line="360" w:lineRule="auto"/>
        <w:jc w:val="both"/>
        <w:rPr>
          <w:rFonts w:ascii="Arial" w:hAnsi="Arial" w:cs="Arial"/>
          <w:b/>
          <w:bCs/>
          <w:color w:val="000000" w:themeColor="text1"/>
          <w:sz w:val="24"/>
          <w:szCs w:val="24"/>
          <w:u w:val="single"/>
        </w:rPr>
      </w:pPr>
      <w:r w:rsidRPr="000C7AE4">
        <w:rPr>
          <w:rFonts w:ascii="Arial" w:hAnsi="Arial" w:cs="Arial"/>
          <w:b/>
          <w:bCs/>
          <w:color w:val="000000" w:themeColor="text1"/>
          <w:sz w:val="24"/>
          <w:szCs w:val="24"/>
          <w:u w:val="single"/>
        </w:rPr>
        <w:t>Measurement of Rehabilitation</w:t>
      </w:r>
    </w:p>
    <w:p w14:paraId="6E8AC631" w14:textId="77777777" w:rsidR="00EB2773" w:rsidRPr="000C7AE4" w:rsidRDefault="00EB2773" w:rsidP="000C7AE4">
      <w:pPr>
        <w:pStyle w:val="Heading4"/>
        <w:spacing w:line="360" w:lineRule="auto"/>
        <w:jc w:val="both"/>
        <w:rPr>
          <w:rFonts w:ascii="Arial" w:hAnsi="Arial" w:cs="Arial"/>
          <w:b/>
          <w:bCs/>
          <w:color w:val="000000" w:themeColor="text1"/>
          <w:sz w:val="22"/>
          <w:szCs w:val="22"/>
          <w:u w:val="single"/>
        </w:rPr>
      </w:pPr>
      <w:r w:rsidRPr="000C7AE4">
        <w:rPr>
          <w:rFonts w:ascii="Arial" w:hAnsi="Arial" w:cs="Arial"/>
          <w:b/>
          <w:bCs/>
          <w:color w:val="000000" w:themeColor="text1"/>
          <w:sz w:val="22"/>
          <w:szCs w:val="22"/>
          <w:u w:val="single"/>
        </w:rPr>
        <w:t>Obsessive-Compulsive Disorder (OCD)</w:t>
      </w:r>
    </w:p>
    <w:p w14:paraId="5CE231D9" w14:textId="7777777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Measuring rehabilitation outcomes for OCD involves standardized approaches like symptom severity scales and functional outcome measures. The Yale-Brown Obsessive-Compulsive Scale (Y-BOCS) is a widely used tool for assessing OCD severity, providing a thorough assessment of obsessions and compulsions, and enabling clinicians to track changes over time (Jones et al., 1995).</w:t>
      </w:r>
    </w:p>
    <w:p w14:paraId="6C9F28F9" w14:textId="7777777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Functional outcomes are evaluated using tools like the Global Assessment of Functioning (GAF) scale, which gauges overall psychological, social, and occupational functioning. Higher GAF scores indicate fewer OCD symptoms and better daily activity management. Long-term management and follow-up are crucial, involving regular monitoring of symptom severity and functional outcomes to prevent relapse and maintain treatment gains (Fineberg et al., 2013). Additionally, patient-reported outcome measures (PROMs) can provide valuable insights into the patient's perspective on their progress and quality of life, further informing treatment adjustments.</w:t>
      </w:r>
    </w:p>
    <w:p w14:paraId="30F3BBD0" w14:textId="7777777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The use of the Y-BOCS in measuring OCD severity involves assessing the time spent on obsessions and compulsions, the interference caused by these symptoms, the distress they cause, the resistance against obsessions and compulsions, and the degree of control over them. This comprehensive assessment allows clinicians to track changes in symptom severity over time and evaluate the effectiveness of treatment interventions.</w:t>
      </w:r>
    </w:p>
    <w:p w14:paraId="1178EF03" w14:textId="77777777" w:rsidR="00EB2773" w:rsidRPr="000C7AE4" w:rsidRDefault="00EB2773" w:rsidP="000C7AE4">
      <w:pPr>
        <w:pStyle w:val="Heading4"/>
        <w:spacing w:line="360" w:lineRule="auto"/>
        <w:jc w:val="both"/>
        <w:rPr>
          <w:rFonts w:ascii="Arial" w:hAnsi="Arial" w:cs="Arial"/>
          <w:b/>
          <w:bCs/>
          <w:color w:val="000000" w:themeColor="text1"/>
          <w:sz w:val="22"/>
          <w:szCs w:val="22"/>
          <w:u w:val="single"/>
        </w:rPr>
      </w:pPr>
      <w:r w:rsidRPr="000C7AE4">
        <w:rPr>
          <w:rFonts w:ascii="Arial" w:hAnsi="Arial" w:cs="Arial"/>
          <w:b/>
          <w:bCs/>
          <w:color w:val="000000" w:themeColor="text1"/>
          <w:sz w:val="22"/>
          <w:szCs w:val="22"/>
          <w:u w:val="single"/>
        </w:rPr>
        <w:t>Anxiety Disorders</w:t>
      </w:r>
    </w:p>
    <w:p w14:paraId="6775EE66" w14:textId="7777777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The Hamilton Anxiety Rating Scale (HAM-A) is a well-known tool for assessing anxiety rehabilitation, measuring the severity of anxiety symptoms across physical and psychological dimensions (Hamilton, 1959). The Generalized Anxiety Disorder 7 (GAD-7) scale is also valuable, particularly for GAD, and is used to monitor treatment progress (Spitzer et al., 2006).</w:t>
      </w:r>
    </w:p>
    <w:p w14:paraId="3247B49E" w14:textId="7777777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lastRenderedPageBreak/>
        <w:t>CBT efficacy is measured using pre- and post-treatment scores on scales like HAM-A and GAD-7, showing significant symptom reduction after treatment (Hofmann et al., 2012). Pharmacotherapy effectiveness is evaluated through clinical trials and patient follow-ups, using symptom severity scales. SSRIs, for instance, significantly reduce anxiety symptoms, as evidenced by improved HAM-A scores (Bandelow et al., 2017).</w:t>
      </w:r>
    </w:p>
    <w:p w14:paraId="03E8EB04" w14:textId="7777777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Long-term management and relapse prevention are essential in rehabilitation, involving regular monitoring to ensure sustained improvement and early intervention if symptoms re-emerge. Relapse rates and sustained symptom reduction are crucial metrics for evaluating long-term success (Baldwin et al., 2014). Incorporating technology, such as mobile apps for symptom tracking and telehealth consultations, can enhance continuous monitoring and support for patients, ensuring timely interventions when needed.</w:t>
      </w:r>
    </w:p>
    <w:p w14:paraId="198CB539" w14:textId="52F518BE"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 xml:space="preserve">The use of the HAM-A involves assessing symptoms such as anxious mood, tension, fears, insomnia, intellectual difficulties, depressed mood, somatic symptoms, sensory symptoms, cardiovascular symptoms, respiratory symptoms, gastrointestinal symptoms, genitourinary symptoms, autonomic symptoms, and </w:t>
      </w:r>
      <w:r w:rsidR="000C7AE4" w:rsidRPr="000C7AE4">
        <w:rPr>
          <w:rFonts w:ascii="Arial" w:hAnsi="Arial" w:cs="Arial"/>
          <w:sz w:val="22"/>
          <w:szCs w:val="22"/>
        </w:rPr>
        <w:t>behaviour</w:t>
      </w:r>
      <w:r w:rsidRPr="000C7AE4">
        <w:rPr>
          <w:rFonts w:ascii="Arial" w:hAnsi="Arial" w:cs="Arial"/>
          <w:sz w:val="22"/>
          <w:szCs w:val="22"/>
        </w:rPr>
        <w:t xml:space="preserve"> at the interview. This detailed assessment allows clinicians to monitor changes in anxiety severity over time and evaluate the effectiveness of treatment interventions.</w:t>
      </w:r>
    </w:p>
    <w:p w14:paraId="46110B19" w14:textId="77777777" w:rsidR="00EB2773" w:rsidRPr="000C7AE4" w:rsidRDefault="00EB2773" w:rsidP="000C7AE4">
      <w:pPr>
        <w:pStyle w:val="Heading3"/>
        <w:spacing w:line="360" w:lineRule="auto"/>
        <w:jc w:val="both"/>
        <w:rPr>
          <w:rFonts w:ascii="Arial" w:hAnsi="Arial" w:cs="Arial"/>
          <w:b/>
          <w:bCs/>
          <w:color w:val="000000" w:themeColor="text1"/>
          <w:sz w:val="24"/>
          <w:szCs w:val="24"/>
          <w:u w:val="single"/>
        </w:rPr>
      </w:pPr>
      <w:r w:rsidRPr="000C7AE4">
        <w:rPr>
          <w:rFonts w:ascii="Arial" w:hAnsi="Arial" w:cs="Arial"/>
          <w:b/>
          <w:bCs/>
          <w:color w:val="000000" w:themeColor="text1"/>
          <w:sz w:val="24"/>
          <w:szCs w:val="24"/>
          <w:u w:val="single"/>
        </w:rPr>
        <w:t>Conclusion and Recommendations</w:t>
      </w:r>
    </w:p>
    <w:p w14:paraId="16E38B30" w14:textId="7777777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In conclusion, the rehabilitation of OCD and anxiety disorders using ICD-10 criteria involves comprehensive assessment and treatment strategies, integrating symptom severity scales, functional outcome measures, and continuous monitoring. Current approaches, including Y-BOCS, GAD-7, CBT, and pharmacotherapy with SSRIs, are effective but can be enhanced.</w:t>
      </w:r>
    </w:p>
    <w:p w14:paraId="325F6065" w14:textId="77777777" w:rsidR="00EB2773" w:rsidRPr="000C7AE4" w:rsidRDefault="00EB2773" w:rsidP="000C7AE4">
      <w:pPr>
        <w:pStyle w:val="Heading4"/>
        <w:spacing w:line="360" w:lineRule="auto"/>
        <w:jc w:val="both"/>
        <w:rPr>
          <w:rFonts w:ascii="Arial" w:hAnsi="Arial" w:cs="Arial"/>
          <w:b/>
          <w:bCs/>
          <w:color w:val="000000" w:themeColor="text1"/>
          <w:sz w:val="22"/>
          <w:szCs w:val="22"/>
          <w:u w:val="single"/>
        </w:rPr>
      </w:pPr>
      <w:r w:rsidRPr="000C7AE4">
        <w:rPr>
          <w:rFonts w:ascii="Arial" w:hAnsi="Arial" w:cs="Arial"/>
          <w:b/>
          <w:bCs/>
          <w:color w:val="000000" w:themeColor="text1"/>
          <w:sz w:val="22"/>
          <w:szCs w:val="22"/>
          <w:u w:val="single"/>
        </w:rPr>
        <w:t>Recommendations for Improvement</w:t>
      </w:r>
    </w:p>
    <w:p w14:paraId="1001BFC3" w14:textId="77777777" w:rsidR="00EB2773" w:rsidRPr="000C7AE4" w:rsidRDefault="00EB2773" w:rsidP="000C7AE4">
      <w:pPr>
        <w:pStyle w:val="NormalWeb"/>
        <w:numPr>
          <w:ilvl w:val="0"/>
          <w:numId w:val="7"/>
        </w:numPr>
        <w:spacing w:line="360" w:lineRule="auto"/>
        <w:jc w:val="both"/>
        <w:rPr>
          <w:rFonts w:ascii="Arial" w:hAnsi="Arial" w:cs="Arial"/>
          <w:sz w:val="22"/>
          <w:szCs w:val="22"/>
        </w:rPr>
      </w:pPr>
      <w:r w:rsidRPr="000C7AE4">
        <w:rPr>
          <w:rStyle w:val="Strong"/>
          <w:rFonts w:ascii="Arial" w:eastAsiaTheme="majorEastAsia" w:hAnsi="Arial" w:cs="Arial"/>
          <w:sz w:val="22"/>
          <w:szCs w:val="22"/>
        </w:rPr>
        <w:t>Enhancing Diagnostic Precision and Early Detection:</w:t>
      </w:r>
      <w:r w:rsidRPr="000C7AE4">
        <w:rPr>
          <w:rFonts w:ascii="Arial" w:hAnsi="Arial" w:cs="Arial"/>
          <w:sz w:val="22"/>
          <w:szCs w:val="22"/>
        </w:rPr>
        <w:t xml:space="preserve"> Complement standard scales with neuroimaging and genetic testing to gain insights into the neurobiological underpinnings of OCD. This involves training professionals in these tools and integrating them into diagnostic protocols, leading to more tailored and effective treatment plans.</w:t>
      </w:r>
    </w:p>
    <w:p w14:paraId="2E2650BE" w14:textId="77777777" w:rsidR="00EB2773" w:rsidRPr="000C7AE4" w:rsidRDefault="00EB2773" w:rsidP="000C7AE4">
      <w:pPr>
        <w:pStyle w:val="NormalWeb"/>
        <w:numPr>
          <w:ilvl w:val="0"/>
          <w:numId w:val="7"/>
        </w:numPr>
        <w:spacing w:line="360" w:lineRule="auto"/>
        <w:jc w:val="both"/>
        <w:rPr>
          <w:rFonts w:ascii="Arial" w:hAnsi="Arial" w:cs="Arial"/>
          <w:sz w:val="22"/>
          <w:szCs w:val="22"/>
        </w:rPr>
      </w:pPr>
      <w:r w:rsidRPr="000C7AE4">
        <w:rPr>
          <w:rStyle w:val="Strong"/>
          <w:rFonts w:ascii="Arial" w:eastAsiaTheme="majorEastAsia" w:hAnsi="Arial" w:cs="Arial"/>
          <w:sz w:val="22"/>
          <w:szCs w:val="22"/>
        </w:rPr>
        <w:t>Improving Patient Education and Support:</w:t>
      </w:r>
      <w:r w:rsidRPr="000C7AE4">
        <w:rPr>
          <w:rFonts w:ascii="Arial" w:hAnsi="Arial" w:cs="Arial"/>
          <w:sz w:val="22"/>
          <w:szCs w:val="22"/>
        </w:rPr>
        <w:t xml:space="preserve"> Provide comprehensive educational resources about OCD and anxiety disorders, treatment options, and self-management strategies to empower patients and their families. Develop online platforms or support groups for sharing experiences and strategies, fostering greater engagement and </w:t>
      </w:r>
      <w:r w:rsidRPr="000C7AE4">
        <w:rPr>
          <w:rFonts w:ascii="Arial" w:hAnsi="Arial" w:cs="Arial"/>
          <w:sz w:val="22"/>
          <w:szCs w:val="22"/>
        </w:rPr>
        <w:lastRenderedPageBreak/>
        <w:t>adherence to treatment. Enhancing education can also involve creating interactive, multimedia resources that explain complex medical concepts in an accessible way.</w:t>
      </w:r>
    </w:p>
    <w:p w14:paraId="0EF445A5" w14:textId="77777777" w:rsidR="00EB2773" w:rsidRPr="000C7AE4" w:rsidRDefault="00EB2773" w:rsidP="000C7AE4">
      <w:pPr>
        <w:pStyle w:val="NormalWeb"/>
        <w:numPr>
          <w:ilvl w:val="0"/>
          <w:numId w:val="7"/>
        </w:numPr>
        <w:spacing w:line="360" w:lineRule="auto"/>
        <w:jc w:val="both"/>
        <w:rPr>
          <w:rFonts w:ascii="Arial" w:hAnsi="Arial" w:cs="Arial"/>
          <w:sz w:val="22"/>
          <w:szCs w:val="22"/>
        </w:rPr>
      </w:pPr>
      <w:r w:rsidRPr="000C7AE4">
        <w:rPr>
          <w:rStyle w:val="Strong"/>
          <w:rFonts w:ascii="Arial" w:eastAsiaTheme="majorEastAsia" w:hAnsi="Arial" w:cs="Arial"/>
          <w:sz w:val="22"/>
          <w:szCs w:val="22"/>
        </w:rPr>
        <w:t>Adopting Digital Health Technologies:</w:t>
      </w:r>
      <w:r w:rsidRPr="000C7AE4">
        <w:rPr>
          <w:rFonts w:ascii="Arial" w:hAnsi="Arial" w:cs="Arial"/>
          <w:sz w:val="22"/>
          <w:szCs w:val="22"/>
        </w:rPr>
        <w:t xml:space="preserve"> Use mobile applications and wearable devices for real-time monitoring of symptoms and functioning, providing continuous data on daily experiences and treatment adherence. Develop evidence-based, user-friendly tools while protecting data privacy and security, and train healthcare personnel and patients in their use. Telehealth platforms can also facilitate remote therapy sessions and provide ongoing support, making treatment more accessible.</w:t>
      </w:r>
    </w:p>
    <w:p w14:paraId="4C207C65" w14:textId="77777777" w:rsidR="00EB2773" w:rsidRPr="000C7AE4" w:rsidRDefault="00EB2773" w:rsidP="000C7AE4">
      <w:pPr>
        <w:pStyle w:val="NormalWeb"/>
        <w:numPr>
          <w:ilvl w:val="0"/>
          <w:numId w:val="7"/>
        </w:numPr>
        <w:spacing w:line="360" w:lineRule="auto"/>
        <w:jc w:val="both"/>
        <w:rPr>
          <w:rFonts w:ascii="Arial" w:hAnsi="Arial" w:cs="Arial"/>
          <w:sz w:val="22"/>
          <w:szCs w:val="22"/>
        </w:rPr>
      </w:pPr>
      <w:r w:rsidRPr="000C7AE4">
        <w:rPr>
          <w:rStyle w:val="Strong"/>
          <w:rFonts w:ascii="Arial" w:eastAsiaTheme="majorEastAsia" w:hAnsi="Arial" w:cs="Arial"/>
          <w:sz w:val="22"/>
          <w:szCs w:val="22"/>
        </w:rPr>
        <w:t>Research and Development:</w:t>
      </w:r>
      <w:r w:rsidRPr="000C7AE4">
        <w:rPr>
          <w:rFonts w:ascii="Arial" w:hAnsi="Arial" w:cs="Arial"/>
          <w:sz w:val="22"/>
          <w:szCs w:val="22"/>
        </w:rPr>
        <w:t xml:space="preserve"> Invest in research to explore new treatment modalities and improve existing ones. This includes studying the long-term effects of current treatments, understanding the genetic and environmental factors contributing to these disorders, and developing personalized medicine approaches.</w:t>
      </w:r>
    </w:p>
    <w:p w14:paraId="1551040A" w14:textId="77777777" w:rsidR="00EB2773" w:rsidRPr="000C7AE4" w:rsidRDefault="00EB2773" w:rsidP="000C7AE4">
      <w:pPr>
        <w:pStyle w:val="NormalWeb"/>
        <w:numPr>
          <w:ilvl w:val="0"/>
          <w:numId w:val="7"/>
        </w:numPr>
        <w:spacing w:line="360" w:lineRule="auto"/>
        <w:jc w:val="both"/>
        <w:rPr>
          <w:rFonts w:ascii="Arial" w:hAnsi="Arial" w:cs="Arial"/>
          <w:sz w:val="22"/>
          <w:szCs w:val="22"/>
        </w:rPr>
      </w:pPr>
      <w:r w:rsidRPr="000C7AE4">
        <w:rPr>
          <w:rStyle w:val="Strong"/>
          <w:rFonts w:ascii="Arial" w:eastAsiaTheme="majorEastAsia" w:hAnsi="Arial" w:cs="Arial"/>
          <w:sz w:val="22"/>
          <w:szCs w:val="22"/>
        </w:rPr>
        <w:t>Policy and Funding:</w:t>
      </w:r>
      <w:r w:rsidRPr="000C7AE4">
        <w:rPr>
          <w:rFonts w:ascii="Arial" w:hAnsi="Arial" w:cs="Arial"/>
          <w:sz w:val="22"/>
          <w:szCs w:val="22"/>
        </w:rPr>
        <w:t xml:space="preserve"> Advocate for policies that increase funding for mental health services and research. Ensure that mental health care is accessible and affordable for all individuals, regardless of socioeconomic status. Policies should also support ongoing training for healthcare providers to keep up with advancements in mental health care.</w:t>
      </w:r>
    </w:p>
    <w:p w14:paraId="6014A2D6" w14:textId="77777777" w:rsidR="00EB2773" w:rsidRPr="000C7AE4" w:rsidRDefault="00EB2773" w:rsidP="000C7AE4">
      <w:pPr>
        <w:pStyle w:val="NormalWeb"/>
        <w:spacing w:line="360" w:lineRule="auto"/>
        <w:jc w:val="both"/>
        <w:rPr>
          <w:rFonts w:ascii="Arial" w:hAnsi="Arial" w:cs="Arial"/>
          <w:sz w:val="22"/>
          <w:szCs w:val="22"/>
        </w:rPr>
      </w:pPr>
      <w:r w:rsidRPr="000C7AE4">
        <w:rPr>
          <w:rFonts w:ascii="Arial" w:hAnsi="Arial" w:cs="Arial"/>
          <w:sz w:val="22"/>
          <w:szCs w:val="22"/>
        </w:rPr>
        <w:t>Implementing these recommendations requires a collaborative effort among healthcare providers, researchers, technology developers, and policymakers. By focusing on early diagnosis, leveraging digital health technologies, and enhancing patient education and support, the rehabilitation of OCD and anxiety disorders can be significantly improved, resulting in better outcomes for service users and their care providers.</w:t>
      </w:r>
    </w:p>
    <w:p w14:paraId="4C9B503A" w14:textId="5213E878" w:rsidR="003903B0" w:rsidRPr="000C7AE4" w:rsidRDefault="003903B0" w:rsidP="000C7AE4">
      <w:pPr>
        <w:pStyle w:val="ListParagraph"/>
        <w:spacing w:line="360" w:lineRule="auto"/>
        <w:jc w:val="both"/>
        <w:rPr>
          <w:rFonts w:ascii="Arial" w:hAnsi="Arial" w:cs="Arial"/>
          <w:b/>
          <w:bCs/>
          <w:sz w:val="22"/>
          <w:szCs w:val="22"/>
        </w:rPr>
      </w:pPr>
    </w:p>
    <w:p w14:paraId="07A98536" w14:textId="77777777" w:rsidR="00DA5E3A" w:rsidRPr="000C7AE4" w:rsidRDefault="00DA5E3A" w:rsidP="000C7AE4">
      <w:pPr>
        <w:pStyle w:val="Heading3"/>
        <w:spacing w:line="360" w:lineRule="auto"/>
        <w:rPr>
          <w:rFonts w:ascii="Arial" w:hAnsi="Arial" w:cs="Arial"/>
          <w:b/>
          <w:bCs/>
          <w:color w:val="auto"/>
          <w:sz w:val="24"/>
          <w:szCs w:val="24"/>
          <w:u w:val="single"/>
        </w:rPr>
      </w:pPr>
      <w:r w:rsidRPr="000C7AE4">
        <w:rPr>
          <w:rFonts w:ascii="Arial" w:hAnsi="Arial" w:cs="Arial"/>
          <w:b/>
          <w:bCs/>
          <w:color w:val="auto"/>
          <w:sz w:val="24"/>
          <w:szCs w:val="24"/>
          <w:u w:val="single"/>
        </w:rPr>
        <w:t>References</w:t>
      </w:r>
    </w:p>
    <w:p w14:paraId="0D682A2F"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Abramowitz, J.S., Taylor, S., &amp; McKay, D. (2009). The psychological treatment of obsessive-compulsive disorder. </w:t>
      </w:r>
      <w:r w:rsidRPr="000C7AE4">
        <w:rPr>
          <w:rStyle w:val="Emphasis"/>
          <w:rFonts w:ascii="Arial" w:hAnsi="Arial" w:cs="Arial"/>
          <w:sz w:val="22"/>
          <w:szCs w:val="22"/>
        </w:rPr>
        <w:t>Canadian Journal of Psychiatry, 54</w:t>
      </w:r>
      <w:r w:rsidRPr="000C7AE4">
        <w:rPr>
          <w:rFonts w:ascii="Arial" w:hAnsi="Arial" w:cs="Arial"/>
          <w:sz w:val="22"/>
          <w:szCs w:val="22"/>
        </w:rPr>
        <w:t>(6), 348-361.</w:t>
      </w:r>
    </w:p>
    <w:p w14:paraId="7026FE13"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American Psychiatric Association. (2013). </w:t>
      </w:r>
      <w:r w:rsidRPr="000C7AE4">
        <w:rPr>
          <w:rStyle w:val="Emphasis"/>
          <w:rFonts w:ascii="Arial" w:hAnsi="Arial" w:cs="Arial"/>
          <w:sz w:val="22"/>
          <w:szCs w:val="22"/>
        </w:rPr>
        <w:t>Diagnostic and Statistical Manual of Mental Disorders (5th ed.).</w:t>
      </w:r>
      <w:r w:rsidRPr="000C7AE4">
        <w:rPr>
          <w:rFonts w:ascii="Arial" w:hAnsi="Arial" w:cs="Arial"/>
          <w:sz w:val="22"/>
          <w:szCs w:val="22"/>
        </w:rPr>
        <w:t xml:space="preserve"> Arlington, VA: American Psychiatric Publishing.</w:t>
      </w:r>
    </w:p>
    <w:p w14:paraId="22EE172A"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Baldwin, D.S., Waldman, S., &amp; </w:t>
      </w:r>
      <w:proofErr w:type="spellStart"/>
      <w:r w:rsidRPr="000C7AE4">
        <w:rPr>
          <w:rFonts w:ascii="Arial" w:hAnsi="Arial" w:cs="Arial"/>
          <w:sz w:val="22"/>
          <w:szCs w:val="22"/>
        </w:rPr>
        <w:t>Allgulander</w:t>
      </w:r>
      <w:proofErr w:type="spellEnd"/>
      <w:r w:rsidRPr="000C7AE4">
        <w:rPr>
          <w:rFonts w:ascii="Arial" w:hAnsi="Arial" w:cs="Arial"/>
          <w:sz w:val="22"/>
          <w:szCs w:val="22"/>
        </w:rPr>
        <w:t xml:space="preserve">, C. (2014). Evidence-based pharmacological treatment of generalized anxiety disorder. </w:t>
      </w:r>
      <w:r w:rsidRPr="000C7AE4">
        <w:rPr>
          <w:rStyle w:val="Emphasis"/>
          <w:rFonts w:ascii="Arial" w:hAnsi="Arial" w:cs="Arial"/>
          <w:sz w:val="22"/>
          <w:szCs w:val="22"/>
        </w:rPr>
        <w:t>International Journal of Neuropsychopharmacology, 14</w:t>
      </w:r>
      <w:r w:rsidRPr="000C7AE4">
        <w:rPr>
          <w:rFonts w:ascii="Arial" w:hAnsi="Arial" w:cs="Arial"/>
          <w:sz w:val="22"/>
          <w:szCs w:val="22"/>
        </w:rPr>
        <w:t>(5), 697-710.</w:t>
      </w:r>
    </w:p>
    <w:p w14:paraId="22FB6E44"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Fineberg, N.A., Brown, A., </w:t>
      </w:r>
      <w:proofErr w:type="spellStart"/>
      <w:r w:rsidRPr="000C7AE4">
        <w:rPr>
          <w:rFonts w:ascii="Arial" w:hAnsi="Arial" w:cs="Arial"/>
          <w:sz w:val="22"/>
          <w:szCs w:val="22"/>
        </w:rPr>
        <w:t>Reghunandanan</w:t>
      </w:r>
      <w:proofErr w:type="spellEnd"/>
      <w:r w:rsidRPr="000C7AE4">
        <w:rPr>
          <w:rFonts w:ascii="Arial" w:hAnsi="Arial" w:cs="Arial"/>
          <w:sz w:val="22"/>
          <w:szCs w:val="22"/>
        </w:rPr>
        <w:t xml:space="preserve">, S., &amp; </w:t>
      </w:r>
      <w:proofErr w:type="spellStart"/>
      <w:r w:rsidRPr="000C7AE4">
        <w:rPr>
          <w:rFonts w:ascii="Arial" w:hAnsi="Arial" w:cs="Arial"/>
          <w:sz w:val="22"/>
          <w:szCs w:val="22"/>
        </w:rPr>
        <w:t>Pampaloni</w:t>
      </w:r>
      <w:proofErr w:type="spellEnd"/>
      <w:r w:rsidRPr="000C7AE4">
        <w:rPr>
          <w:rFonts w:ascii="Arial" w:hAnsi="Arial" w:cs="Arial"/>
          <w:sz w:val="22"/>
          <w:szCs w:val="22"/>
        </w:rPr>
        <w:t xml:space="preserve">, I. (2013). Obsessive-compulsive disorder (OCD): Practical strategies for pharmacological and somatic treatment in adults. </w:t>
      </w:r>
      <w:r w:rsidRPr="000C7AE4">
        <w:rPr>
          <w:rStyle w:val="Emphasis"/>
          <w:rFonts w:ascii="Arial" w:hAnsi="Arial" w:cs="Arial"/>
          <w:sz w:val="22"/>
          <w:szCs w:val="22"/>
        </w:rPr>
        <w:t>Psychiatry Research, 227</w:t>
      </w:r>
      <w:r w:rsidRPr="000C7AE4">
        <w:rPr>
          <w:rFonts w:ascii="Arial" w:hAnsi="Arial" w:cs="Arial"/>
          <w:sz w:val="22"/>
          <w:szCs w:val="22"/>
        </w:rPr>
        <w:t>(1), 114-125.</w:t>
      </w:r>
    </w:p>
    <w:p w14:paraId="22C1EF89"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proofErr w:type="spellStart"/>
      <w:r w:rsidRPr="000C7AE4">
        <w:rPr>
          <w:rFonts w:ascii="Arial" w:hAnsi="Arial" w:cs="Arial"/>
          <w:sz w:val="22"/>
          <w:szCs w:val="22"/>
        </w:rPr>
        <w:lastRenderedPageBreak/>
        <w:t>Foa</w:t>
      </w:r>
      <w:proofErr w:type="spellEnd"/>
      <w:r w:rsidRPr="000C7AE4">
        <w:rPr>
          <w:rFonts w:ascii="Arial" w:hAnsi="Arial" w:cs="Arial"/>
          <w:sz w:val="22"/>
          <w:szCs w:val="22"/>
        </w:rPr>
        <w:t xml:space="preserve">, E.B., Liebowitz, M.R., Kozak, M.J., Davies, S., </w:t>
      </w:r>
      <w:proofErr w:type="spellStart"/>
      <w:r w:rsidRPr="000C7AE4">
        <w:rPr>
          <w:rFonts w:ascii="Arial" w:hAnsi="Arial" w:cs="Arial"/>
          <w:sz w:val="22"/>
          <w:szCs w:val="22"/>
        </w:rPr>
        <w:t>Campeas</w:t>
      </w:r>
      <w:proofErr w:type="spellEnd"/>
      <w:r w:rsidRPr="000C7AE4">
        <w:rPr>
          <w:rFonts w:ascii="Arial" w:hAnsi="Arial" w:cs="Arial"/>
          <w:sz w:val="22"/>
          <w:szCs w:val="22"/>
        </w:rPr>
        <w:t xml:space="preserve">, R., Franklin, M.E., &amp; Tu, X. (2005). Randomized, placebo-controlled trial of exposure and ritual prevention, clomipramine, and their combination in the treatment of obsessive-compulsive disorder. </w:t>
      </w:r>
      <w:r w:rsidRPr="000C7AE4">
        <w:rPr>
          <w:rStyle w:val="Emphasis"/>
          <w:rFonts w:ascii="Arial" w:hAnsi="Arial" w:cs="Arial"/>
          <w:sz w:val="22"/>
          <w:szCs w:val="22"/>
        </w:rPr>
        <w:t>American Journal of Psychiatry, 162</w:t>
      </w:r>
      <w:r w:rsidRPr="000C7AE4">
        <w:rPr>
          <w:rFonts w:ascii="Arial" w:hAnsi="Arial" w:cs="Arial"/>
          <w:sz w:val="22"/>
          <w:szCs w:val="22"/>
        </w:rPr>
        <w:t>(1), 151-161.</w:t>
      </w:r>
    </w:p>
    <w:p w14:paraId="050F2387"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Hamilton, M. (1959). The assessment of anxiety states by rating. </w:t>
      </w:r>
      <w:r w:rsidRPr="000C7AE4">
        <w:rPr>
          <w:rStyle w:val="Emphasis"/>
          <w:rFonts w:ascii="Arial" w:hAnsi="Arial" w:cs="Arial"/>
          <w:sz w:val="22"/>
          <w:szCs w:val="22"/>
        </w:rPr>
        <w:t>British Journal of Medical Psychology, 32</w:t>
      </w:r>
      <w:r w:rsidRPr="000C7AE4">
        <w:rPr>
          <w:rFonts w:ascii="Arial" w:hAnsi="Arial" w:cs="Arial"/>
          <w:sz w:val="22"/>
          <w:szCs w:val="22"/>
        </w:rPr>
        <w:t>(1), 50-55.</w:t>
      </w:r>
    </w:p>
    <w:p w14:paraId="30D2B3D5" w14:textId="1A1DDD73"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Hofmann, S.G., </w:t>
      </w:r>
      <w:proofErr w:type="spellStart"/>
      <w:r w:rsidRPr="000C7AE4">
        <w:rPr>
          <w:rFonts w:ascii="Arial" w:hAnsi="Arial" w:cs="Arial"/>
          <w:sz w:val="22"/>
          <w:szCs w:val="22"/>
        </w:rPr>
        <w:t>Asnaani</w:t>
      </w:r>
      <w:proofErr w:type="spellEnd"/>
      <w:r w:rsidRPr="000C7AE4">
        <w:rPr>
          <w:rFonts w:ascii="Arial" w:hAnsi="Arial" w:cs="Arial"/>
          <w:sz w:val="22"/>
          <w:szCs w:val="22"/>
        </w:rPr>
        <w:t xml:space="preserve">, A., Vonk, I.J., Sawyer, A.T., &amp; Fang, A. (2012). The efficacy of cognitive </w:t>
      </w:r>
      <w:r w:rsidR="000C7AE4" w:rsidRPr="000C7AE4">
        <w:rPr>
          <w:rFonts w:ascii="Arial" w:hAnsi="Arial" w:cs="Arial"/>
          <w:sz w:val="22"/>
          <w:szCs w:val="22"/>
        </w:rPr>
        <w:t>behavioural</w:t>
      </w:r>
      <w:r w:rsidRPr="000C7AE4">
        <w:rPr>
          <w:rFonts w:ascii="Arial" w:hAnsi="Arial" w:cs="Arial"/>
          <w:sz w:val="22"/>
          <w:szCs w:val="22"/>
        </w:rPr>
        <w:t xml:space="preserve"> therapy: A review of meta-analyses. </w:t>
      </w:r>
      <w:r w:rsidRPr="000C7AE4">
        <w:rPr>
          <w:rStyle w:val="Emphasis"/>
          <w:rFonts w:ascii="Arial" w:hAnsi="Arial" w:cs="Arial"/>
          <w:sz w:val="22"/>
          <w:szCs w:val="22"/>
        </w:rPr>
        <w:t>Cognitive Therapy and Research, 36</w:t>
      </w:r>
      <w:r w:rsidRPr="000C7AE4">
        <w:rPr>
          <w:rFonts w:ascii="Arial" w:hAnsi="Arial" w:cs="Arial"/>
          <w:sz w:val="22"/>
          <w:szCs w:val="22"/>
        </w:rPr>
        <w:t>(5), 427-440.</w:t>
      </w:r>
    </w:p>
    <w:p w14:paraId="1E49B84A"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Jones, S.H., Thornicroft, G., Coffey, M., &amp; Dunn, G. (1995). A brief mental health outcome scale: Reliability and validity of the Global Assessment of Functioning (GAF). </w:t>
      </w:r>
      <w:r w:rsidRPr="000C7AE4">
        <w:rPr>
          <w:rStyle w:val="Emphasis"/>
          <w:rFonts w:ascii="Arial" w:hAnsi="Arial" w:cs="Arial"/>
          <w:sz w:val="22"/>
          <w:szCs w:val="22"/>
        </w:rPr>
        <w:t>The British Journal of Psychiatry, 166</w:t>
      </w:r>
      <w:r w:rsidRPr="000C7AE4">
        <w:rPr>
          <w:rFonts w:ascii="Arial" w:hAnsi="Arial" w:cs="Arial"/>
          <w:sz w:val="22"/>
          <w:szCs w:val="22"/>
        </w:rPr>
        <w:t>(5), 654-659.</w:t>
      </w:r>
    </w:p>
    <w:p w14:paraId="0D2FB46B"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Koran, L.M., Hanna, G.L., Hollander, E., </w:t>
      </w:r>
      <w:proofErr w:type="spellStart"/>
      <w:r w:rsidRPr="000C7AE4">
        <w:rPr>
          <w:rFonts w:ascii="Arial" w:hAnsi="Arial" w:cs="Arial"/>
          <w:sz w:val="22"/>
          <w:szCs w:val="22"/>
        </w:rPr>
        <w:t>Nestadt</w:t>
      </w:r>
      <w:proofErr w:type="spellEnd"/>
      <w:r w:rsidRPr="000C7AE4">
        <w:rPr>
          <w:rFonts w:ascii="Arial" w:hAnsi="Arial" w:cs="Arial"/>
          <w:sz w:val="22"/>
          <w:szCs w:val="22"/>
        </w:rPr>
        <w:t xml:space="preserve">, G., &amp; Simpson, H.B. (2007). Practice guidelines for the treatment of patients with obsessive-compulsive disorder. </w:t>
      </w:r>
      <w:r w:rsidRPr="000C7AE4">
        <w:rPr>
          <w:rStyle w:val="Emphasis"/>
          <w:rFonts w:ascii="Arial" w:hAnsi="Arial" w:cs="Arial"/>
          <w:sz w:val="22"/>
          <w:szCs w:val="22"/>
        </w:rPr>
        <w:t>American Journal of Psychiatry, 164</w:t>
      </w:r>
      <w:r w:rsidRPr="000C7AE4">
        <w:rPr>
          <w:rFonts w:ascii="Arial" w:hAnsi="Arial" w:cs="Arial"/>
          <w:sz w:val="22"/>
          <w:szCs w:val="22"/>
        </w:rPr>
        <w:t>(7), 5-53.</w:t>
      </w:r>
    </w:p>
    <w:p w14:paraId="7A2935EC"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NHS Choices. (2024). Available at: </w:t>
      </w:r>
      <w:hyperlink r:id="rId13" w:tgtFrame="_new" w:history="1">
        <w:r w:rsidRPr="000C7AE4">
          <w:rPr>
            <w:rStyle w:val="Hyperlink"/>
            <w:rFonts w:ascii="Arial" w:hAnsi="Arial" w:cs="Arial"/>
            <w:sz w:val="22"/>
            <w:szCs w:val="22"/>
          </w:rPr>
          <w:t>https://www.nhs.uk/mental-health/conditions/obsessive-compulsive-disorder-ocd/overview/</w:t>
        </w:r>
      </w:hyperlink>
      <w:r w:rsidRPr="000C7AE4">
        <w:rPr>
          <w:rFonts w:ascii="Arial" w:hAnsi="Arial" w:cs="Arial"/>
          <w:sz w:val="22"/>
          <w:szCs w:val="22"/>
        </w:rPr>
        <w:t xml:space="preserve"> (Accessed: 19 July 2024).</w:t>
      </w:r>
    </w:p>
    <w:p w14:paraId="1A06A2C3"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NHS Choices. (2024). Available at: </w:t>
      </w:r>
      <w:hyperlink r:id="rId14" w:tgtFrame="_new" w:history="1">
        <w:r w:rsidRPr="000C7AE4">
          <w:rPr>
            <w:rStyle w:val="Hyperlink"/>
            <w:rFonts w:ascii="Arial" w:hAnsi="Arial" w:cs="Arial"/>
            <w:sz w:val="22"/>
            <w:szCs w:val="22"/>
          </w:rPr>
          <w:t>https://www.nhs.uk/every-mind-matters/mental-health-issues/anxiety/</w:t>
        </w:r>
      </w:hyperlink>
      <w:r w:rsidRPr="000C7AE4">
        <w:rPr>
          <w:rFonts w:ascii="Arial" w:hAnsi="Arial" w:cs="Arial"/>
          <w:sz w:val="22"/>
          <w:szCs w:val="22"/>
        </w:rPr>
        <w:t xml:space="preserve"> (Accessed: 19 July 2024).</w:t>
      </w:r>
    </w:p>
    <w:p w14:paraId="0B9EC86B"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NHS Choices. (2024). Available at: </w:t>
      </w:r>
      <w:hyperlink r:id="rId15" w:tgtFrame="_new" w:history="1">
        <w:r w:rsidRPr="000C7AE4">
          <w:rPr>
            <w:rStyle w:val="Hyperlink"/>
            <w:rFonts w:ascii="Arial" w:hAnsi="Arial" w:cs="Arial"/>
            <w:sz w:val="22"/>
            <w:szCs w:val="22"/>
          </w:rPr>
          <w:t>https://www.nhs.uk/mental-health/conditions/generalised-anxiety-disorder/symptoms/</w:t>
        </w:r>
      </w:hyperlink>
      <w:r w:rsidRPr="000C7AE4">
        <w:rPr>
          <w:rFonts w:ascii="Arial" w:hAnsi="Arial" w:cs="Arial"/>
          <w:sz w:val="22"/>
          <w:szCs w:val="22"/>
        </w:rPr>
        <w:t xml:space="preserve"> (Accessed: 20 July 2024).</w:t>
      </w:r>
    </w:p>
    <w:p w14:paraId="657B5F79"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NICE. (no date). Overview: Obsessive-compulsive disorder and body dysmorphic disorder: Treatment: Guidance. Available at: </w:t>
      </w:r>
      <w:hyperlink r:id="rId16" w:tgtFrame="_new" w:history="1">
        <w:r w:rsidRPr="000C7AE4">
          <w:rPr>
            <w:rStyle w:val="Hyperlink"/>
            <w:rFonts w:ascii="Arial" w:hAnsi="Arial" w:cs="Arial"/>
            <w:sz w:val="22"/>
            <w:szCs w:val="22"/>
          </w:rPr>
          <w:t>https://www.nice.org.uk/guidance/cg31</w:t>
        </w:r>
      </w:hyperlink>
      <w:r w:rsidRPr="000C7AE4">
        <w:rPr>
          <w:rFonts w:ascii="Arial" w:hAnsi="Arial" w:cs="Arial"/>
          <w:sz w:val="22"/>
          <w:szCs w:val="22"/>
        </w:rPr>
        <w:t xml:space="preserve"> (Accessed: 19 July 2024).</w:t>
      </w:r>
    </w:p>
    <w:p w14:paraId="490AA469"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NICE. (no date). Recommendations for research: Obsessive-compulsive disorder and body dysmorphic disorder: Treatment: Guidance. Available at: </w:t>
      </w:r>
      <w:hyperlink r:id="rId17" w:tgtFrame="_new" w:history="1">
        <w:r w:rsidRPr="000C7AE4">
          <w:rPr>
            <w:rStyle w:val="Hyperlink"/>
            <w:rFonts w:ascii="Arial" w:hAnsi="Arial" w:cs="Arial"/>
            <w:sz w:val="22"/>
            <w:szCs w:val="22"/>
          </w:rPr>
          <w:t>https://www.nice.org.uk/guidance/cg31/chapter/Recommendations-for-research</w:t>
        </w:r>
      </w:hyperlink>
      <w:r w:rsidRPr="000C7AE4">
        <w:rPr>
          <w:rFonts w:ascii="Arial" w:hAnsi="Arial" w:cs="Arial"/>
          <w:sz w:val="22"/>
          <w:szCs w:val="22"/>
        </w:rPr>
        <w:t xml:space="preserve"> (Accessed: 20 July 2024).</w:t>
      </w:r>
    </w:p>
    <w:p w14:paraId="385228DC"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OCDUK. (2023). Types of OCD. Available at: </w:t>
      </w:r>
      <w:hyperlink r:id="rId18" w:tgtFrame="_new" w:history="1">
        <w:r w:rsidRPr="000C7AE4">
          <w:rPr>
            <w:rStyle w:val="Hyperlink"/>
            <w:rFonts w:ascii="Arial" w:hAnsi="Arial" w:cs="Arial"/>
            <w:sz w:val="22"/>
            <w:szCs w:val="22"/>
          </w:rPr>
          <w:t>https://www.ocduk.org/ocd/types/</w:t>
        </w:r>
      </w:hyperlink>
      <w:r w:rsidRPr="000C7AE4">
        <w:rPr>
          <w:rFonts w:ascii="Arial" w:hAnsi="Arial" w:cs="Arial"/>
          <w:sz w:val="22"/>
          <w:szCs w:val="22"/>
        </w:rPr>
        <w:t xml:space="preserve"> (Accessed: 19 July 2024).</w:t>
      </w:r>
    </w:p>
    <w:p w14:paraId="42F65C29"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Spitzer, R.L., Kroenke, K., Williams, J.B.W., &amp; Löwe, B. (2006). A brief measure for assessing generalized anxiety disorder: The GAD-7. </w:t>
      </w:r>
      <w:r w:rsidRPr="000C7AE4">
        <w:rPr>
          <w:rStyle w:val="Emphasis"/>
          <w:rFonts w:ascii="Arial" w:hAnsi="Arial" w:cs="Arial"/>
          <w:sz w:val="22"/>
          <w:szCs w:val="22"/>
        </w:rPr>
        <w:t>Archives of Internal Medicine, 166</w:t>
      </w:r>
      <w:r w:rsidRPr="000C7AE4">
        <w:rPr>
          <w:rFonts w:ascii="Arial" w:hAnsi="Arial" w:cs="Arial"/>
          <w:sz w:val="22"/>
          <w:szCs w:val="22"/>
        </w:rPr>
        <w:t>(10), 1092-1097.</w:t>
      </w:r>
    </w:p>
    <w:p w14:paraId="003A5B61"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Stein, D.J., &amp; Fineberg, N.A. (2007). Obsessive-compulsive disorder. In Gelder, M., Andreasen, N., Lopez-</w:t>
      </w:r>
      <w:proofErr w:type="spellStart"/>
      <w:r w:rsidRPr="000C7AE4">
        <w:rPr>
          <w:rFonts w:ascii="Arial" w:hAnsi="Arial" w:cs="Arial"/>
          <w:sz w:val="22"/>
          <w:szCs w:val="22"/>
        </w:rPr>
        <w:t>Ibor</w:t>
      </w:r>
      <w:proofErr w:type="spellEnd"/>
      <w:r w:rsidRPr="000C7AE4">
        <w:rPr>
          <w:rFonts w:ascii="Arial" w:hAnsi="Arial" w:cs="Arial"/>
          <w:sz w:val="22"/>
          <w:szCs w:val="22"/>
        </w:rPr>
        <w:t xml:space="preserve">, J., &amp; Geddes, J. (Eds.), </w:t>
      </w:r>
      <w:r w:rsidRPr="000C7AE4">
        <w:rPr>
          <w:rStyle w:val="Emphasis"/>
          <w:rFonts w:ascii="Arial" w:hAnsi="Arial" w:cs="Arial"/>
          <w:sz w:val="22"/>
          <w:szCs w:val="22"/>
        </w:rPr>
        <w:t>New Oxford Textbook of Psychiatry</w:t>
      </w:r>
      <w:r w:rsidRPr="000C7AE4">
        <w:rPr>
          <w:rFonts w:ascii="Arial" w:hAnsi="Arial" w:cs="Arial"/>
          <w:sz w:val="22"/>
          <w:szCs w:val="22"/>
        </w:rPr>
        <w:t xml:space="preserve"> (2nd ed., pp. 800-809). Oxford: Oxford University Press.</w:t>
      </w:r>
    </w:p>
    <w:p w14:paraId="59D03A7B"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lastRenderedPageBreak/>
        <w:t xml:space="preserve">Stubbs, B., </w:t>
      </w:r>
      <w:proofErr w:type="spellStart"/>
      <w:r w:rsidRPr="000C7AE4">
        <w:rPr>
          <w:rFonts w:ascii="Arial" w:hAnsi="Arial" w:cs="Arial"/>
          <w:sz w:val="22"/>
          <w:szCs w:val="22"/>
        </w:rPr>
        <w:t>Vancampfort</w:t>
      </w:r>
      <w:proofErr w:type="spellEnd"/>
      <w:r w:rsidRPr="000C7AE4">
        <w:rPr>
          <w:rFonts w:ascii="Arial" w:hAnsi="Arial" w:cs="Arial"/>
          <w:sz w:val="22"/>
          <w:szCs w:val="22"/>
        </w:rPr>
        <w:t xml:space="preserve">, D., Rosenbaum, S., Firth, J., Cosco, T., Veronese, N., &amp; Schuch, F.B. (2017). An examination of the anxiolytic effects of exercise for people with anxiety and stress-related disorders: A meta-analysis. </w:t>
      </w:r>
      <w:r w:rsidRPr="000C7AE4">
        <w:rPr>
          <w:rStyle w:val="Emphasis"/>
          <w:rFonts w:ascii="Arial" w:hAnsi="Arial" w:cs="Arial"/>
          <w:sz w:val="22"/>
          <w:szCs w:val="22"/>
        </w:rPr>
        <w:t>Psychiatry Research, 249</w:t>
      </w:r>
      <w:r w:rsidRPr="000C7AE4">
        <w:rPr>
          <w:rFonts w:ascii="Arial" w:hAnsi="Arial" w:cs="Arial"/>
          <w:sz w:val="22"/>
          <w:szCs w:val="22"/>
        </w:rPr>
        <w:t>, 102-108.</w:t>
      </w:r>
    </w:p>
    <w:p w14:paraId="24605AE7"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Tyrer, P., Baldwin, D., &amp; Generalised Anxiety Disorder Study Group. (2011). Generalized Anxiety Disorder. </w:t>
      </w:r>
      <w:r w:rsidRPr="000C7AE4">
        <w:rPr>
          <w:rStyle w:val="Emphasis"/>
          <w:rFonts w:ascii="Arial" w:hAnsi="Arial" w:cs="Arial"/>
          <w:sz w:val="22"/>
          <w:szCs w:val="22"/>
        </w:rPr>
        <w:t>The Lancet, 368</w:t>
      </w:r>
      <w:r w:rsidRPr="000C7AE4">
        <w:rPr>
          <w:rFonts w:ascii="Arial" w:hAnsi="Arial" w:cs="Arial"/>
          <w:sz w:val="22"/>
          <w:szCs w:val="22"/>
        </w:rPr>
        <w:t>(9553), 2156-2166.</w:t>
      </w:r>
    </w:p>
    <w:p w14:paraId="1F8C0618"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World Health Organisation. (1992). The ICD-10 Classification of Mental and Behavioural Disorder: Clinical descriptions and diagnostic guidelines. Geneva: World Health Organization.</w:t>
      </w:r>
    </w:p>
    <w:p w14:paraId="59D286B5" w14:textId="77777777" w:rsidR="00DA5E3A" w:rsidRPr="000C7AE4" w:rsidRDefault="00DA5E3A" w:rsidP="000C7AE4">
      <w:pPr>
        <w:numPr>
          <w:ilvl w:val="0"/>
          <w:numId w:val="9"/>
        </w:numPr>
        <w:spacing w:before="100" w:beforeAutospacing="1" w:after="100" w:afterAutospacing="1" w:line="360" w:lineRule="auto"/>
        <w:jc w:val="both"/>
        <w:rPr>
          <w:rFonts w:ascii="Arial" w:hAnsi="Arial" w:cs="Arial"/>
          <w:sz w:val="22"/>
          <w:szCs w:val="22"/>
        </w:rPr>
      </w:pPr>
      <w:r w:rsidRPr="000C7AE4">
        <w:rPr>
          <w:rFonts w:ascii="Arial" w:hAnsi="Arial" w:cs="Arial"/>
          <w:sz w:val="22"/>
          <w:szCs w:val="22"/>
        </w:rPr>
        <w:t xml:space="preserve">World Health Organization. (2010). Available at: </w:t>
      </w:r>
      <w:hyperlink r:id="rId19" w:anchor="/F42.8" w:tgtFrame="_new" w:history="1">
        <w:r w:rsidRPr="000C7AE4">
          <w:rPr>
            <w:rStyle w:val="Hyperlink"/>
            <w:rFonts w:ascii="Arial" w:hAnsi="Arial" w:cs="Arial"/>
            <w:sz w:val="22"/>
            <w:szCs w:val="22"/>
          </w:rPr>
          <w:t>https://icd.who.int/browse10/2010/en#/F42.8</w:t>
        </w:r>
      </w:hyperlink>
      <w:r w:rsidRPr="000C7AE4">
        <w:rPr>
          <w:rFonts w:ascii="Arial" w:hAnsi="Arial" w:cs="Arial"/>
          <w:sz w:val="22"/>
          <w:szCs w:val="22"/>
        </w:rPr>
        <w:t xml:space="preserve"> (Accessed: 19 July 2024).</w:t>
      </w:r>
    </w:p>
    <w:p w14:paraId="370BC4B4" w14:textId="77777777" w:rsidR="000D297F" w:rsidRPr="00DA5E3A" w:rsidRDefault="000D297F" w:rsidP="00DA5E3A">
      <w:pPr>
        <w:pStyle w:val="ListParagraph"/>
        <w:spacing w:line="360" w:lineRule="auto"/>
        <w:jc w:val="both"/>
        <w:rPr>
          <w:rFonts w:ascii="Arial" w:hAnsi="Arial" w:cs="Arial"/>
        </w:rPr>
      </w:pPr>
    </w:p>
    <w:sectPr w:rsidR="000D297F" w:rsidRPr="00DA5E3A" w:rsidSect="00474A81">
      <w:headerReference w:type="default"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9C9A0B" w14:textId="77777777" w:rsidR="00FB3466" w:rsidRDefault="00FB3466" w:rsidP="00032870">
      <w:pPr>
        <w:spacing w:after="0" w:line="240" w:lineRule="auto"/>
      </w:pPr>
      <w:r>
        <w:separator/>
      </w:r>
    </w:p>
  </w:endnote>
  <w:endnote w:type="continuationSeparator" w:id="0">
    <w:p w14:paraId="3F36C1CD" w14:textId="77777777" w:rsidR="00FB3466" w:rsidRDefault="00FB3466" w:rsidP="000328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6367919"/>
      <w:docPartObj>
        <w:docPartGallery w:val="Page Numbers (Bottom of Page)"/>
        <w:docPartUnique/>
      </w:docPartObj>
    </w:sdtPr>
    <w:sdtEndPr>
      <w:rPr>
        <w:noProof/>
      </w:rPr>
    </w:sdtEndPr>
    <w:sdtContent>
      <w:p w14:paraId="1293C8DA" w14:textId="1F45C629" w:rsidR="0040273C" w:rsidRDefault="004027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62BA8E" w14:textId="77777777" w:rsidR="0040273C" w:rsidRDefault="004027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4C3219" w14:textId="77777777" w:rsidR="00FB3466" w:rsidRDefault="00FB3466" w:rsidP="00032870">
      <w:pPr>
        <w:spacing w:after="0" w:line="240" w:lineRule="auto"/>
      </w:pPr>
      <w:r>
        <w:separator/>
      </w:r>
    </w:p>
  </w:footnote>
  <w:footnote w:type="continuationSeparator" w:id="0">
    <w:p w14:paraId="4947F51A" w14:textId="77777777" w:rsidR="00FB3466" w:rsidRDefault="00FB3466" w:rsidP="000328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31D6E5" w14:textId="08A72DC4" w:rsidR="00032870" w:rsidRPr="0040273C" w:rsidRDefault="00032870">
    <w:pPr>
      <w:pStyle w:val="Header"/>
      <w:rPr>
        <w:rFonts w:ascii="Arial" w:hAnsi="Arial" w:cs="Arial"/>
        <w:sz w:val="22"/>
        <w:szCs w:val="22"/>
      </w:rPr>
    </w:pPr>
    <w:r w:rsidRPr="0040273C">
      <w:rPr>
        <w:rFonts w:ascii="Arial" w:hAnsi="Arial" w:cs="Arial"/>
        <w:sz w:val="22"/>
        <w:szCs w:val="22"/>
      </w:rPr>
      <w:t>Nazreen Akhtar</w:t>
    </w:r>
  </w:p>
  <w:p w14:paraId="1DA75098" w14:textId="0A91C3BC" w:rsidR="0040273C" w:rsidRPr="0040273C" w:rsidRDefault="0040273C">
    <w:pPr>
      <w:pStyle w:val="Header"/>
      <w:rPr>
        <w:rFonts w:ascii="Arial" w:hAnsi="Arial" w:cs="Arial"/>
        <w:sz w:val="22"/>
        <w:szCs w:val="22"/>
      </w:rPr>
    </w:pPr>
    <w:r w:rsidRPr="0040273C">
      <w:rPr>
        <w:rFonts w:ascii="Arial" w:hAnsi="Arial" w:cs="Arial"/>
        <w:sz w:val="22"/>
        <w:szCs w:val="22"/>
      </w:rPr>
      <w:t>(2128933)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56B9C"/>
    <w:multiLevelType w:val="multilevel"/>
    <w:tmpl w:val="7E26F254"/>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87944"/>
    <w:multiLevelType w:val="multilevel"/>
    <w:tmpl w:val="0262CA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F47FA5"/>
    <w:multiLevelType w:val="multilevel"/>
    <w:tmpl w:val="4BF0B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542219"/>
    <w:multiLevelType w:val="multilevel"/>
    <w:tmpl w:val="A7620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B4394"/>
    <w:multiLevelType w:val="multilevel"/>
    <w:tmpl w:val="7F123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746907"/>
    <w:multiLevelType w:val="multilevel"/>
    <w:tmpl w:val="0672B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4F454F4"/>
    <w:multiLevelType w:val="multilevel"/>
    <w:tmpl w:val="9534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C944D4"/>
    <w:multiLevelType w:val="hybridMultilevel"/>
    <w:tmpl w:val="D46CB8E2"/>
    <w:lvl w:ilvl="0" w:tplc="3620BA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1C093B"/>
    <w:multiLevelType w:val="multilevel"/>
    <w:tmpl w:val="78609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8896673">
    <w:abstractNumId w:val="7"/>
  </w:num>
  <w:num w:numId="2" w16cid:durableId="789401740">
    <w:abstractNumId w:val="4"/>
  </w:num>
  <w:num w:numId="3" w16cid:durableId="2135901627">
    <w:abstractNumId w:val="3"/>
  </w:num>
  <w:num w:numId="4" w16cid:durableId="1563519263">
    <w:abstractNumId w:val="8"/>
  </w:num>
  <w:num w:numId="5" w16cid:durableId="1144080257">
    <w:abstractNumId w:val="1"/>
  </w:num>
  <w:num w:numId="6" w16cid:durableId="798379154">
    <w:abstractNumId w:val="6"/>
  </w:num>
  <w:num w:numId="7" w16cid:durableId="2013874678">
    <w:abstractNumId w:val="5"/>
  </w:num>
  <w:num w:numId="8" w16cid:durableId="479074777">
    <w:abstractNumId w:val="2"/>
  </w:num>
  <w:num w:numId="9" w16cid:durableId="1238942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A81"/>
    <w:rsid w:val="000139A2"/>
    <w:rsid w:val="00013FF5"/>
    <w:rsid w:val="00015102"/>
    <w:rsid w:val="00016CD5"/>
    <w:rsid w:val="00017713"/>
    <w:rsid w:val="000220BC"/>
    <w:rsid w:val="00030EC9"/>
    <w:rsid w:val="00032870"/>
    <w:rsid w:val="00034621"/>
    <w:rsid w:val="0004257D"/>
    <w:rsid w:val="00050407"/>
    <w:rsid w:val="00050B31"/>
    <w:rsid w:val="00057082"/>
    <w:rsid w:val="00060CB2"/>
    <w:rsid w:val="0007536D"/>
    <w:rsid w:val="00096BF3"/>
    <w:rsid w:val="00096D74"/>
    <w:rsid w:val="000A3124"/>
    <w:rsid w:val="000A4206"/>
    <w:rsid w:val="000A4448"/>
    <w:rsid w:val="000A5C3D"/>
    <w:rsid w:val="000A62A5"/>
    <w:rsid w:val="000A77F8"/>
    <w:rsid w:val="000B2645"/>
    <w:rsid w:val="000B2848"/>
    <w:rsid w:val="000B755B"/>
    <w:rsid w:val="000C6329"/>
    <w:rsid w:val="000C7AE4"/>
    <w:rsid w:val="000D297F"/>
    <w:rsid w:val="000D45D6"/>
    <w:rsid w:val="000D6FF4"/>
    <w:rsid w:val="000E1177"/>
    <w:rsid w:val="000E3A95"/>
    <w:rsid w:val="000F3769"/>
    <w:rsid w:val="000F3F31"/>
    <w:rsid w:val="001040B4"/>
    <w:rsid w:val="001103C9"/>
    <w:rsid w:val="00112737"/>
    <w:rsid w:val="00112B4E"/>
    <w:rsid w:val="00114E09"/>
    <w:rsid w:val="001202A4"/>
    <w:rsid w:val="0012102D"/>
    <w:rsid w:val="00125F92"/>
    <w:rsid w:val="001267DB"/>
    <w:rsid w:val="001279DF"/>
    <w:rsid w:val="001305DB"/>
    <w:rsid w:val="00133B85"/>
    <w:rsid w:val="00133FB5"/>
    <w:rsid w:val="00143DA3"/>
    <w:rsid w:val="00144034"/>
    <w:rsid w:val="00145B0E"/>
    <w:rsid w:val="00151BE8"/>
    <w:rsid w:val="00160D8A"/>
    <w:rsid w:val="00164C57"/>
    <w:rsid w:val="00171C31"/>
    <w:rsid w:val="001726C4"/>
    <w:rsid w:val="0017414A"/>
    <w:rsid w:val="001822E1"/>
    <w:rsid w:val="00193DDE"/>
    <w:rsid w:val="00195C61"/>
    <w:rsid w:val="001A2AD7"/>
    <w:rsid w:val="001A2EC2"/>
    <w:rsid w:val="001A6734"/>
    <w:rsid w:val="001B3931"/>
    <w:rsid w:val="001B3F14"/>
    <w:rsid w:val="001B4547"/>
    <w:rsid w:val="001B4DCA"/>
    <w:rsid w:val="001B6306"/>
    <w:rsid w:val="001B6EA1"/>
    <w:rsid w:val="001C4EE0"/>
    <w:rsid w:val="001E785C"/>
    <w:rsid w:val="001E7F80"/>
    <w:rsid w:val="00213EFF"/>
    <w:rsid w:val="00217DB8"/>
    <w:rsid w:val="002222A9"/>
    <w:rsid w:val="00225F80"/>
    <w:rsid w:val="002341E2"/>
    <w:rsid w:val="0023617C"/>
    <w:rsid w:val="00240430"/>
    <w:rsid w:val="0026548E"/>
    <w:rsid w:val="002655F0"/>
    <w:rsid w:val="002720F6"/>
    <w:rsid w:val="0027297D"/>
    <w:rsid w:val="00280636"/>
    <w:rsid w:val="00282B59"/>
    <w:rsid w:val="00283032"/>
    <w:rsid w:val="00284176"/>
    <w:rsid w:val="00286EE8"/>
    <w:rsid w:val="00292489"/>
    <w:rsid w:val="002932E4"/>
    <w:rsid w:val="002A1034"/>
    <w:rsid w:val="002A13C1"/>
    <w:rsid w:val="002A4FC8"/>
    <w:rsid w:val="002B047A"/>
    <w:rsid w:val="002B059E"/>
    <w:rsid w:val="002B7862"/>
    <w:rsid w:val="002D0831"/>
    <w:rsid w:val="002D48E9"/>
    <w:rsid w:val="002D6CB6"/>
    <w:rsid w:val="002D7880"/>
    <w:rsid w:val="002E1D5F"/>
    <w:rsid w:val="002F60BC"/>
    <w:rsid w:val="00315DAD"/>
    <w:rsid w:val="00333777"/>
    <w:rsid w:val="003439AA"/>
    <w:rsid w:val="0034416B"/>
    <w:rsid w:val="0034582B"/>
    <w:rsid w:val="00345D7C"/>
    <w:rsid w:val="00346711"/>
    <w:rsid w:val="0035362A"/>
    <w:rsid w:val="00354181"/>
    <w:rsid w:val="00357BDF"/>
    <w:rsid w:val="00360CA7"/>
    <w:rsid w:val="00364912"/>
    <w:rsid w:val="0038202F"/>
    <w:rsid w:val="0038216B"/>
    <w:rsid w:val="00383420"/>
    <w:rsid w:val="0038741A"/>
    <w:rsid w:val="003903B0"/>
    <w:rsid w:val="00391AC1"/>
    <w:rsid w:val="003969B3"/>
    <w:rsid w:val="003A4AA8"/>
    <w:rsid w:val="003B01A4"/>
    <w:rsid w:val="003B5BF6"/>
    <w:rsid w:val="003B7934"/>
    <w:rsid w:val="003C2361"/>
    <w:rsid w:val="003C3371"/>
    <w:rsid w:val="003C5C1A"/>
    <w:rsid w:val="003D1E48"/>
    <w:rsid w:val="003D52CE"/>
    <w:rsid w:val="003D5541"/>
    <w:rsid w:val="003E5051"/>
    <w:rsid w:val="003E5FA8"/>
    <w:rsid w:val="003F0653"/>
    <w:rsid w:val="003F301C"/>
    <w:rsid w:val="003F3873"/>
    <w:rsid w:val="003F54F4"/>
    <w:rsid w:val="003F791E"/>
    <w:rsid w:val="0040273C"/>
    <w:rsid w:val="00405B17"/>
    <w:rsid w:val="0041418C"/>
    <w:rsid w:val="004204D0"/>
    <w:rsid w:val="00421386"/>
    <w:rsid w:val="00436E75"/>
    <w:rsid w:val="0043779A"/>
    <w:rsid w:val="00443C73"/>
    <w:rsid w:val="004450D1"/>
    <w:rsid w:val="00446503"/>
    <w:rsid w:val="00450C72"/>
    <w:rsid w:val="00460778"/>
    <w:rsid w:val="0046210D"/>
    <w:rsid w:val="0046775A"/>
    <w:rsid w:val="0047441C"/>
    <w:rsid w:val="00474A81"/>
    <w:rsid w:val="00481664"/>
    <w:rsid w:val="00482946"/>
    <w:rsid w:val="004876B7"/>
    <w:rsid w:val="004918DD"/>
    <w:rsid w:val="00491951"/>
    <w:rsid w:val="004A5078"/>
    <w:rsid w:val="004A68FE"/>
    <w:rsid w:val="004B0332"/>
    <w:rsid w:val="004B1E00"/>
    <w:rsid w:val="004C3552"/>
    <w:rsid w:val="004E0FE5"/>
    <w:rsid w:val="004E4CD0"/>
    <w:rsid w:val="004E514E"/>
    <w:rsid w:val="004F2BAD"/>
    <w:rsid w:val="004F2EB2"/>
    <w:rsid w:val="004F3065"/>
    <w:rsid w:val="004F585A"/>
    <w:rsid w:val="00503A29"/>
    <w:rsid w:val="00503FBB"/>
    <w:rsid w:val="00504528"/>
    <w:rsid w:val="00512216"/>
    <w:rsid w:val="005132AE"/>
    <w:rsid w:val="00517010"/>
    <w:rsid w:val="005201F4"/>
    <w:rsid w:val="00525353"/>
    <w:rsid w:val="00536803"/>
    <w:rsid w:val="0054271B"/>
    <w:rsid w:val="00543D31"/>
    <w:rsid w:val="0054478C"/>
    <w:rsid w:val="005568AA"/>
    <w:rsid w:val="00563C69"/>
    <w:rsid w:val="00564516"/>
    <w:rsid w:val="00566B71"/>
    <w:rsid w:val="00567CE6"/>
    <w:rsid w:val="00575FF4"/>
    <w:rsid w:val="0058370A"/>
    <w:rsid w:val="00584770"/>
    <w:rsid w:val="0058669F"/>
    <w:rsid w:val="005873BF"/>
    <w:rsid w:val="005902DB"/>
    <w:rsid w:val="0059064E"/>
    <w:rsid w:val="005A0E51"/>
    <w:rsid w:val="005B42C3"/>
    <w:rsid w:val="005B6141"/>
    <w:rsid w:val="005C5DBE"/>
    <w:rsid w:val="005E0577"/>
    <w:rsid w:val="005E0639"/>
    <w:rsid w:val="005E62C9"/>
    <w:rsid w:val="005F0F11"/>
    <w:rsid w:val="005F5D3D"/>
    <w:rsid w:val="005F7490"/>
    <w:rsid w:val="006022BB"/>
    <w:rsid w:val="00610978"/>
    <w:rsid w:val="0061215E"/>
    <w:rsid w:val="006206E8"/>
    <w:rsid w:val="00620E01"/>
    <w:rsid w:val="00622026"/>
    <w:rsid w:val="00623900"/>
    <w:rsid w:val="00624E14"/>
    <w:rsid w:val="00626290"/>
    <w:rsid w:val="0062780C"/>
    <w:rsid w:val="00627937"/>
    <w:rsid w:val="00627E3C"/>
    <w:rsid w:val="0063456D"/>
    <w:rsid w:val="00641D7C"/>
    <w:rsid w:val="00650483"/>
    <w:rsid w:val="00651DD6"/>
    <w:rsid w:val="00655854"/>
    <w:rsid w:val="00665FA8"/>
    <w:rsid w:val="0066777F"/>
    <w:rsid w:val="00682623"/>
    <w:rsid w:val="00687C34"/>
    <w:rsid w:val="00692FBB"/>
    <w:rsid w:val="00694AE9"/>
    <w:rsid w:val="006963A6"/>
    <w:rsid w:val="006A0609"/>
    <w:rsid w:val="006A28AC"/>
    <w:rsid w:val="006B0E3C"/>
    <w:rsid w:val="006B4DFA"/>
    <w:rsid w:val="006B69D0"/>
    <w:rsid w:val="006C005D"/>
    <w:rsid w:val="006C23B4"/>
    <w:rsid w:val="006C250E"/>
    <w:rsid w:val="006D0D8D"/>
    <w:rsid w:val="006D3250"/>
    <w:rsid w:val="006D45A8"/>
    <w:rsid w:val="006E0D1B"/>
    <w:rsid w:val="006E38F0"/>
    <w:rsid w:val="006E7034"/>
    <w:rsid w:val="006F6ACC"/>
    <w:rsid w:val="00700E19"/>
    <w:rsid w:val="00703F28"/>
    <w:rsid w:val="0070737F"/>
    <w:rsid w:val="00711C5C"/>
    <w:rsid w:val="00711CC4"/>
    <w:rsid w:val="00717BB7"/>
    <w:rsid w:val="007206A3"/>
    <w:rsid w:val="00721F35"/>
    <w:rsid w:val="0072242C"/>
    <w:rsid w:val="007236CC"/>
    <w:rsid w:val="0072454C"/>
    <w:rsid w:val="0073322D"/>
    <w:rsid w:val="0074042F"/>
    <w:rsid w:val="007417FA"/>
    <w:rsid w:val="007418A1"/>
    <w:rsid w:val="007453D0"/>
    <w:rsid w:val="007454E1"/>
    <w:rsid w:val="00745EE4"/>
    <w:rsid w:val="00747E82"/>
    <w:rsid w:val="0075415C"/>
    <w:rsid w:val="00757D9D"/>
    <w:rsid w:val="0077171D"/>
    <w:rsid w:val="00773C1E"/>
    <w:rsid w:val="00776530"/>
    <w:rsid w:val="00786F19"/>
    <w:rsid w:val="00791388"/>
    <w:rsid w:val="00794FE3"/>
    <w:rsid w:val="0079792B"/>
    <w:rsid w:val="007A0427"/>
    <w:rsid w:val="007A7374"/>
    <w:rsid w:val="007A7BA3"/>
    <w:rsid w:val="007B267A"/>
    <w:rsid w:val="007B4EA2"/>
    <w:rsid w:val="007B60E8"/>
    <w:rsid w:val="007B66BB"/>
    <w:rsid w:val="007C78CD"/>
    <w:rsid w:val="007D1EAC"/>
    <w:rsid w:val="007D456E"/>
    <w:rsid w:val="007D4BF9"/>
    <w:rsid w:val="007D62D1"/>
    <w:rsid w:val="007D66D1"/>
    <w:rsid w:val="007F6460"/>
    <w:rsid w:val="007F7055"/>
    <w:rsid w:val="00807A38"/>
    <w:rsid w:val="00817DB1"/>
    <w:rsid w:val="008211D6"/>
    <w:rsid w:val="0083033F"/>
    <w:rsid w:val="00834453"/>
    <w:rsid w:val="00836143"/>
    <w:rsid w:val="008414D0"/>
    <w:rsid w:val="00843F85"/>
    <w:rsid w:val="00845624"/>
    <w:rsid w:val="00845C82"/>
    <w:rsid w:val="00846495"/>
    <w:rsid w:val="00871090"/>
    <w:rsid w:val="008715EF"/>
    <w:rsid w:val="00873FE2"/>
    <w:rsid w:val="00883876"/>
    <w:rsid w:val="008B302E"/>
    <w:rsid w:val="008B4BAF"/>
    <w:rsid w:val="008C71C3"/>
    <w:rsid w:val="008D0930"/>
    <w:rsid w:val="008D1AC7"/>
    <w:rsid w:val="008D206D"/>
    <w:rsid w:val="008D5395"/>
    <w:rsid w:val="008E1E55"/>
    <w:rsid w:val="008E59BA"/>
    <w:rsid w:val="008F3FBD"/>
    <w:rsid w:val="008F47BD"/>
    <w:rsid w:val="008F78B4"/>
    <w:rsid w:val="00900CED"/>
    <w:rsid w:val="00900EED"/>
    <w:rsid w:val="00907407"/>
    <w:rsid w:val="009103D8"/>
    <w:rsid w:val="009104C8"/>
    <w:rsid w:val="00912F46"/>
    <w:rsid w:val="0091729C"/>
    <w:rsid w:val="00934E7E"/>
    <w:rsid w:val="00943149"/>
    <w:rsid w:val="0094700E"/>
    <w:rsid w:val="00947751"/>
    <w:rsid w:val="00950615"/>
    <w:rsid w:val="009525F1"/>
    <w:rsid w:val="0095288D"/>
    <w:rsid w:val="009562EB"/>
    <w:rsid w:val="00957B33"/>
    <w:rsid w:val="00961B88"/>
    <w:rsid w:val="00973AF2"/>
    <w:rsid w:val="00974B75"/>
    <w:rsid w:val="00975D5D"/>
    <w:rsid w:val="00977C11"/>
    <w:rsid w:val="00981DAE"/>
    <w:rsid w:val="0098222D"/>
    <w:rsid w:val="00982415"/>
    <w:rsid w:val="00986E82"/>
    <w:rsid w:val="00990D43"/>
    <w:rsid w:val="009A0429"/>
    <w:rsid w:val="009A469C"/>
    <w:rsid w:val="009A547E"/>
    <w:rsid w:val="009B0022"/>
    <w:rsid w:val="009C1471"/>
    <w:rsid w:val="009C327C"/>
    <w:rsid w:val="009D5862"/>
    <w:rsid w:val="009D5F85"/>
    <w:rsid w:val="009D73F7"/>
    <w:rsid w:val="009E0B9D"/>
    <w:rsid w:val="009E7756"/>
    <w:rsid w:val="009F6B40"/>
    <w:rsid w:val="009F7A6B"/>
    <w:rsid w:val="00A1164D"/>
    <w:rsid w:val="00A22FA2"/>
    <w:rsid w:val="00A3689F"/>
    <w:rsid w:val="00A40F38"/>
    <w:rsid w:val="00A43848"/>
    <w:rsid w:val="00A51B41"/>
    <w:rsid w:val="00A54ACB"/>
    <w:rsid w:val="00A57ADA"/>
    <w:rsid w:val="00A72AE3"/>
    <w:rsid w:val="00A77ED4"/>
    <w:rsid w:val="00A82646"/>
    <w:rsid w:val="00A85BD2"/>
    <w:rsid w:val="00A91757"/>
    <w:rsid w:val="00A95AF5"/>
    <w:rsid w:val="00A97BB4"/>
    <w:rsid w:val="00AB6D96"/>
    <w:rsid w:val="00AC38ED"/>
    <w:rsid w:val="00AC57C1"/>
    <w:rsid w:val="00AD0674"/>
    <w:rsid w:val="00AD24D7"/>
    <w:rsid w:val="00AD69E4"/>
    <w:rsid w:val="00AF1AB7"/>
    <w:rsid w:val="00B00E0F"/>
    <w:rsid w:val="00B02105"/>
    <w:rsid w:val="00B112A8"/>
    <w:rsid w:val="00B123A7"/>
    <w:rsid w:val="00B1357C"/>
    <w:rsid w:val="00B17211"/>
    <w:rsid w:val="00B2796C"/>
    <w:rsid w:val="00B3011B"/>
    <w:rsid w:val="00B321F1"/>
    <w:rsid w:val="00B35DA0"/>
    <w:rsid w:val="00B4044A"/>
    <w:rsid w:val="00B407D1"/>
    <w:rsid w:val="00B4457F"/>
    <w:rsid w:val="00B44AFC"/>
    <w:rsid w:val="00B508EA"/>
    <w:rsid w:val="00B53D11"/>
    <w:rsid w:val="00B558E3"/>
    <w:rsid w:val="00B56067"/>
    <w:rsid w:val="00B57B9F"/>
    <w:rsid w:val="00B603D9"/>
    <w:rsid w:val="00B62975"/>
    <w:rsid w:val="00B7085F"/>
    <w:rsid w:val="00B84791"/>
    <w:rsid w:val="00B97DBD"/>
    <w:rsid w:val="00BA0811"/>
    <w:rsid w:val="00BA11E2"/>
    <w:rsid w:val="00BA15E6"/>
    <w:rsid w:val="00BA68C5"/>
    <w:rsid w:val="00BA6F94"/>
    <w:rsid w:val="00BB3F3B"/>
    <w:rsid w:val="00BB5396"/>
    <w:rsid w:val="00BC064E"/>
    <w:rsid w:val="00BC4401"/>
    <w:rsid w:val="00BC527E"/>
    <w:rsid w:val="00BD15D7"/>
    <w:rsid w:val="00BE022E"/>
    <w:rsid w:val="00BE17CC"/>
    <w:rsid w:val="00BE1DB1"/>
    <w:rsid w:val="00BE37B5"/>
    <w:rsid w:val="00BF47DF"/>
    <w:rsid w:val="00C06118"/>
    <w:rsid w:val="00C20DFB"/>
    <w:rsid w:val="00C242A6"/>
    <w:rsid w:val="00C279E3"/>
    <w:rsid w:val="00C3073C"/>
    <w:rsid w:val="00C32848"/>
    <w:rsid w:val="00C32EF6"/>
    <w:rsid w:val="00C34A39"/>
    <w:rsid w:val="00C35B55"/>
    <w:rsid w:val="00C45304"/>
    <w:rsid w:val="00C45E21"/>
    <w:rsid w:val="00C52E6A"/>
    <w:rsid w:val="00C749F4"/>
    <w:rsid w:val="00C81B68"/>
    <w:rsid w:val="00C82D81"/>
    <w:rsid w:val="00C87007"/>
    <w:rsid w:val="00C8796D"/>
    <w:rsid w:val="00C95F92"/>
    <w:rsid w:val="00C97376"/>
    <w:rsid w:val="00CA6062"/>
    <w:rsid w:val="00CB129D"/>
    <w:rsid w:val="00CB2447"/>
    <w:rsid w:val="00CB352E"/>
    <w:rsid w:val="00CB6F22"/>
    <w:rsid w:val="00CC0EF5"/>
    <w:rsid w:val="00CC1D80"/>
    <w:rsid w:val="00CC272C"/>
    <w:rsid w:val="00CC2B9B"/>
    <w:rsid w:val="00CC77F0"/>
    <w:rsid w:val="00CD5E0F"/>
    <w:rsid w:val="00CD6C8C"/>
    <w:rsid w:val="00CD6E9C"/>
    <w:rsid w:val="00CE031C"/>
    <w:rsid w:val="00CE6C23"/>
    <w:rsid w:val="00CE7C9F"/>
    <w:rsid w:val="00CF1535"/>
    <w:rsid w:val="00CF5393"/>
    <w:rsid w:val="00D0253B"/>
    <w:rsid w:val="00D05E91"/>
    <w:rsid w:val="00D12F75"/>
    <w:rsid w:val="00D144C8"/>
    <w:rsid w:val="00D17915"/>
    <w:rsid w:val="00D239B7"/>
    <w:rsid w:val="00D271BD"/>
    <w:rsid w:val="00D30BE8"/>
    <w:rsid w:val="00D3126F"/>
    <w:rsid w:val="00D31608"/>
    <w:rsid w:val="00D355CE"/>
    <w:rsid w:val="00D372EF"/>
    <w:rsid w:val="00D41E86"/>
    <w:rsid w:val="00D47315"/>
    <w:rsid w:val="00D50B05"/>
    <w:rsid w:val="00D51835"/>
    <w:rsid w:val="00D61B7A"/>
    <w:rsid w:val="00D63B92"/>
    <w:rsid w:val="00D77D18"/>
    <w:rsid w:val="00D929BF"/>
    <w:rsid w:val="00DA15FC"/>
    <w:rsid w:val="00DA1A25"/>
    <w:rsid w:val="00DA418D"/>
    <w:rsid w:val="00DA5E3A"/>
    <w:rsid w:val="00DB1D47"/>
    <w:rsid w:val="00DB36AB"/>
    <w:rsid w:val="00DC2FFA"/>
    <w:rsid w:val="00DD2DC6"/>
    <w:rsid w:val="00DD61BB"/>
    <w:rsid w:val="00DE0D1A"/>
    <w:rsid w:val="00DE7626"/>
    <w:rsid w:val="00DE765F"/>
    <w:rsid w:val="00DE796F"/>
    <w:rsid w:val="00E02C8F"/>
    <w:rsid w:val="00E03754"/>
    <w:rsid w:val="00E03B8B"/>
    <w:rsid w:val="00E04378"/>
    <w:rsid w:val="00E0542E"/>
    <w:rsid w:val="00E14A12"/>
    <w:rsid w:val="00E16FE5"/>
    <w:rsid w:val="00E20122"/>
    <w:rsid w:val="00E31A74"/>
    <w:rsid w:val="00E336B8"/>
    <w:rsid w:val="00E34196"/>
    <w:rsid w:val="00E3727C"/>
    <w:rsid w:val="00E44631"/>
    <w:rsid w:val="00E45C84"/>
    <w:rsid w:val="00E543D4"/>
    <w:rsid w:val="00E57759"/>
    <w:rsid w:val="00E63BC0"/>
    <w:rsid w:val="00E73613"/>
    <w:rsid w:val="00E862B7"/>
    <w:rsid w:val="00E870D2"/>
    <w:rsid w:val="00E905F2"/>
    <w:rsid w:val="00E935AC"/>
    <w:rsid w:val="00E97B47"/>
    <w:rsid w:val="00EA6CEC"/>
    <w:rsid w:val="00EA71DF"/>
    <w:rsid w:val="00EB0C16"/>
    <w:rsid w:val="00EB26FC"/>
    <w:rsid w:val="00EB2773"/>
    <w:rsid w:val="00EB7826"/>
    <w:rsid w:val="00EC766E"/>
    <w:rsid w:val="00ED387E"/>
    <w:rsid w:val="00ED58D1"/>
    <w:rsid w:val="00ED64D1"/>
    <w:rsid w:val="00ED6CB7"/>
    <w:rsid w:val="00ED724A"/>
    <w:rsid w:val="00EE23C5"/>
    <w:rsid w:val="00EE2B41"/>
    <w:rsid w:val="00EE6FD1"/>
    <w:rsid w:val="00EF2610"/>
    <w:rsid w:val="00EF331E"/>
    <w:rsid w:val="00EF4480"/>
    <w:rsid w:val="00EF453B"/>
    <w:rsid w:val="00F067D1"/>
    <w:rsid w:val="00F077DA"/>
    <w:rsid w:val="00F14B68"/>
    <w:rsid w:val="00F1601B"/>
    <w:rsid w:val="00F25BFB"/>
    <w:rsid w:val="00F30C79"/>
    <w:rsid w:val="00F35B52"/>
    <w:rsid w:val="00F431A6"/>
    <w:rsid w:val="00F50AB5"/>
    <w:rsid w:val="00F575BB"/>
    <w:rsid w:val="00F6364D"/>
    <w:rsid w:val="00F64F8C"/>
    <w:rsid w:val="00F66BE0"/>
    <w:rsid w:val="00F723C3"/>
    <w:rsid w:val="00F76463"/>
    <w:rsid w:val="00F76A85"/>
    <w:rsid w:val="00F80EEA"/>
    <w:rsid w:val="00F82734"/>
    <w:rsid w:val="00F86051"/>
    <w:rsid w:val="00F90B9D"/>
    <w:rsid w:val="00F93F67"/>
    <w:rsid w:val="00FA1A66"/>
    <w:rsid w:val="00FB24CE"/>
    <w:rsid w:val="00FB3466"/>
    <w:rsid w:val="00FB4969"/>
    <w:rsid w:val="00FB70F6"/>
    <w:rsid w:val="00FC1ACF"/>
    <w:rsid w:val="00FC2C09"/>
    <w:rsid w:val="00FC57E6"/>
    <w:rsid w:val="00FD3405"/>
    <w:rsid w:val="00FE1993"/>
    <w:rsid w:val="00FF2FF8"/>
    <w:rsid w:val="00FF447C"/>
    <w:rsid w:val="00FF51BB"/>
    <w:rsid w:val="00FF7D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4D006C"/>
  <w15:chartTrackingRefBased/>
  <w15:docId w15:val="{974D21BA-AEFA-4933-85BE-136BC5B26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54E1"/>
    <w:pPr>
      <w:keepNext/>
      <w:keepLines/>
      <w:spacing w:before="360" w:after="80"/>
      <w:outlineLvl w:val="0"/>
    </w:pPr>
    <w:rPr>
      <w:rFonts w:ascii="Arial" w:eastAsiaTheme="majorEastAsia" w:hAnsi="Arial" w:cstheme="majorBidi"/>
      <w:b/>
      <w:szCs w:val="40"/>
      <w:u w:val="single"/>
    </w:rPr>
  </w:style>
  <w:style w:type="paragraph" w:styleId="Heading2">
    <w:name w:val="heading 2"/>
    <w:basedOn w:val="Normal"/>
    <w:next w:val="Normal"/>
    <w:link w:val="Heading2Char"/>
    <w:uiPriority w:val="9"/>
    <w:unhideWhenUsed/>
    <w:qFormat/>
    <w:rsid w:val="00B56067"/>
    <w:pPr>
      <w:keepNext/>
      <w:keepLines/>
      <w:spacing w:before="160" w:after="80"/>
      <w:outlineLvl w:val="1"/>
    </w:pPr>
    <w:rPr>
      <w:rFonts w:ascii="Arial" w:eastAsiaTheme="majorEastAsia" w:hAnsi="Arial" w:cstheme="majorBidi"/>
      <w:b/>
      <w:sz w:val="22"/>
      <w:szCs w:val="32"/>
      <w:u w:val="single"/>
    </w:rPr>
  </w:style>
  <w:style w:type="paragraph" w:styleId="Heading3">
    <w:name w:val="heading 3"/>
    <w:basedOn w:val="Normal"/>
    <w:next w:val="Normal"/>
    <w:link w:val="Heading3Char"/>
    <w:uiPriority w:val="9"/>
    <w:semiHidden/>
    <w:unhideWhenUsed/>
    <w:qFormat/>
    <w:rsid w:val="00474A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4A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A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A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A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A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A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4E1"/>
    <w:rPr>
      <w:rFonts w:ascii="Arial" w:eastAsiaTheme="majorEastAsia" w:hAnsi="Arial" w:cstheme="majorBidi"/>
      <w:b/>
      <w:szCs w:val="40"/>
      <w:u w:val="single"/>
    </w:rPr>
  </w:style>
  <w:style w:type="character" w:customStyle="1" w:styleId="Heading2Char">
    <w:name w:val="Heading 2 Char"/>
    <w:basedOn w:val="DefaultParagraphFont"/>
    <w:link w:val="Heading2"/>
    <w:uiPriority w:val="9"/>
    <w:rsid w:val="00B56067"/>
    <w:rPr>
      <w:rFonts w:ascii="Arial" w:eastAsiaTheme="majorEastAsia" w:hAnsi="Arial" w:cstheme="majorBidi"/>
      <w:b/>
      <w:sz w:val="22"/>
      <w:szCs w:val="32"/>
      <w:u w:val="single"/>
    </w:rPr>
  </w:style>
  <w:style w:type="character" w:customStyle="1" w:styleId="Heading3Char">
    <w:name w:val="Heading 3 Char"/>
    <w:basedOn w:val="DefaultParagraphFont"/>
    <w:link w:val="Heading3"/>
    <w:uiPriority w:val="9"/>
    <w:semiHidden/>
    <w:rsid w:val="00474A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4A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A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A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A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A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A81"/>
    <w:rPr>
      <w:rFonts w:eastAsiaTheme="majorEastAsia" w:cstheme="majorBidi"/>
      <w:color w:val="272727" w:themeColor="text1" w:themeTint="D8"/>
    </w:rPr>
  </w:style>
  <w:style w:type="paragraph" w:styleId="Title">
    <w:name w:val="Title"/>
    <w:basedOn w:val="Normal"/>
    <w:next w:val="Normal"/>
    <w:link w:val="TitleChar"/>
    <w:uiPriority w:val="10"/>
    <w:qFormat/>
    <w:rsid w:val="003F0653"/>
    <w:pPr>
      <w:spacing w:after="80" w:line="240" w:lineRule="auto"/>
      <w:contextualSpacing/>
    </w:pPr>
    <w:rPr>
      <w:rFonts w:ascii="Arial" w:eastAsiaTheme="majorEastAsia" w:hAnsi="Arial" w:cstheme="majorBidi"/>
      <w:b/>
      <w:spacing w:val="-10"/>
      <w:kern w:val="28"/>
      <w:sz w:val="28"/>
      <w:szCs w:val="56"/>
      <w:u w:val="single"/>
    </w:rPr>
  </w:style>
  <w:style w:type="character" w:customStyle="1" w:styleId="TitleChar">
    <w:name w:val="Title Char"/>
    <w:basedOn w:val="DefaultParagraphFont"/>
    <w:link w:val="Title"/>
    <w:uiPriority w:val="10"/>
    <w:rsid w:val="003F0653"/>
    <w:rPr>
      <w:rFonts w:ascii="Arial" w:eastAsiaTheme="majorEastAsia" w:hAnsi="Arial" w:cstheme="majorBidi"/>
      <w:b/>
      <w:spacing w:val="-10"/>
      <w:kern w:val="28"/>
      <w:sz w:val="28"/>
      <w:szCs w:val="56"/>
      <w:u w:val="single"/>
    </w:rPr>
  </w:style>
  <w:style w:type="paragraph" w:styleId="Subtitle">
    <w:name w:val="Subtitle"/>
    <w:basedOn w:val="Normal"/>
    <w:next w:val="Normal"/>
    <w:link w:val="SubtitleChar"/>
    <w:uiPriority w:val="11"/>
    <w:qFormat/>
    <w:rsid w:val="00474A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A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A81"/>
    <w:pPr>
      <w:spacing w:before="160"/>
      <w:jc w:val="center"/>
    </w:pPr>
    <w:rPr>
      <w:i/>
      <w:iCs/>
      <w:color w:val="404040" w:themeColor="text1" w:themeTint="BF"/>
    </w:rPr>
  </w:style>
  <w:style w:type="character" w:customStyle="1" w:styleId="QuoteChar">
    <w:name w:val="Quote Char"/>
    <w:basedOn w:val="DefaultParagraphFont"/>
    <w:link w:val="Quote"/>
    <w:uiPriority w:val="29"/>
    <w:rsid w:val="00474A81"/>
    <w:rPr>
      <w:i/>
      <w:iCs/>
      <w:color w:val="404040" w:themeColor="text1" w:themeTint="BF"/>
    </w:rPr>
  </w:style>
  <w:style w:type="paragraph" w:styleId="ListParagraph">
    <w:name w:val="List Paragraph"/>
    <w:basedOn w:val="Normal"/>
    <w:uiPriority w:val="34"/>
    <w:qFormat/>
    <w:rsid w:val="00474A81"/>
    <w:pPr>
      <w:ind w:left="720"/>
      <w:contextualSpacing/>
    </w:pPr>
  </w:style>
  <w:style w:type="character" w:styleId="IntenseEmphasis">
    <w:name w:val="Intense Emphasis"/>
    <w:basedOn w:val="DefaultParagraphFont"/>
    <w:uiPriority w:val="21"/>
    <w:qFormat/>
    <w:rsid w:val="00474A81"/>
    <w:rPr>
      <w:i/>
      <w:iCs/>
      <w:color w:val="0F4761" w:themeColor="accent1" w:themeShade="BF"/>
    </w:rPr>
  </w:style>
  <w:style w:type="paragraph" w:styleId="IntenseQuote">
    <w:name w:val="Intense Quote"/>
    <w:basedOn w:val="Normal"/>
    <w:next w:val="Normal"/>
    <w:link w:val="IntenseQuoteChar"/>
    <w:uiPriority w:val="30"/>
    <w:qFormat/>
    <w:rsid w:val="00474A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A81"/>
    <w:rPr>
      <w:i/>
      <w:iCs/>
      <w:color w:val="0F4761" w:themeColor="accent1" w:themeShade="BF"/>
    </w:rPr>
  </w:style>
  <w:style w:type="character" w:styleId="IntenseReference">
    <w:name w:val="Intense Reference"/>
    <w:basedOn w:val="DefaultParagraphFont"/>
    <w:uiPriority w:val="32"/>
    <w:qFormat/>
    <w:rsid w:val="00474A81"/>
    <w:rPr>
      <w:b/>
      <w:bCs/>
      <w:smallCaps/>
      <w:color w:val="0F4761" w:themeColor="accent1" w:themeShade="BF"/>
      <w:spacing w:val="5"/>
    </w:rPr>
  </w:style>
  <w:style w:type="paragraph" w:styleId="Header">
    <w:name w:val="header"/>
    <w:basedOn w:val="Normal"/>
    <w:link w:val="HeaderChar"/>
    <w:uiPriority w:val="99"/>
    <w:unhideWhenUsed/>
    <w:rsid w:val="000328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2870"/>
  </w:style>
  <w:style w:type="paragraph" w:styleId="Footer">
    <w:name w:val="footer"/>
    <w:basedOn w:val="Normal"/>
    <w:link w:val="FooterChar"/>
    <w:uiPriority w:val="99"/>
    <w:unhideWhenUsed/>
    <w:rsid w:val="000328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2870"/>
  </w:style>
  <w:style w:type="paragraph" w:styleId="NormalWeb">
    <w:name w:val="Normal (Web)"/>
    <w:basedOn w:val="Normal"/>
    <w:uiPriority w:val="99"/>
    <w:semiHidden/>
    <w:unhideWhenUsed/>
    <w:rsid w:val="003903B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C45304"/>
    <w:rPr>
      <w:b/>
      <w:bCs/>
    </w:rPr>
  </w:style>
  <w:style w:type="character" w:styleId="Hyperlink">
    <w:name w:val="Hyperlink"/>
    <w:basedOn w:val="DefaultParagraphFont"/>
    <w:uiPriority w:val="99"/>
    <w:semiHidden/>
    <w:unhideWhenUsed/>
    <w:rsid w:val="00C45304"/>
    <w:rPr>
      <w:color w:val="0000FF"/>
      <w:u w:val="single"/>
    </w:rPr>
  </w:style>
  <w:style w:type="character" w:styleId="Emphasis">
    <w:name w:val="Emphasis"/>
    <w:basedOn w:val="DefaultParagraphFont"/>
    <w:uiPriority w:val="20"/>
    <w:qFormat/>
    <w:rsid w:val="00C4530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173835">
      <w:bodyDiv w:val="1"/>
      <w:marLeft w:val="0"/>
      <w:marRight w:val="0"/>
      <w:marTop w:val="0"/>
      <w:marBottom w:val="0"/>
      <w:divBdr>
        <w:top w:val="none" w:sz="0" w:space="0" w:color="auto"/>
        <w:left w:val="none" w:sz="0" w:space="0" w:color="auto"/>
        <w:bottom w:val="none" w:sz="0" w:space="0" w:color="auto"/>
        <w:right w:val="none" w:sz="0" w:space="0" w:color="auto"/>
      </w:divBdr>
    </w:div>
    <w:div w:id="264701793">
      <w:bodyDiv w:val="1"/>
      <w:marLeft w:val="0"/>
      <w:marRight w:val="0"/>
      <w:marTop w:val="0"/>
      <w:marBottom w:val="0"/>
      <w:divBdr>
        <w:top w:val="none" w:sz="0" w:space="0" w:color="auto"/>
        <w:left w:val="none" w:sz="0" w:space="0" w:color="auto"/>
        <w:bottom w:val="none" w:sz="0" w:space="0" w:color="auto"/>
        <w:right w:val="none" w:sz="0" w:space="0" w:color="auto"/>
      </w:divBdr>
    </w:div>
    <w:div w:id="380401011">
      <w:bodyDiv w:val="1"/>
      <w:marLeft w:val="0"/>
      <w:marRight w:val="0"/>
      <w:marTop w:val="0"/>
      <w:marBottom w:val="0"/>
      <w:divBdr>
        <w:top w:val="none" w:sz="0" w:space="0" w:color="auto"/>
        <w:left w:val="none" w:sz="0" w:space="0" w:color="auto"/>
        <w:bottom w:val="none" w:sz="0" w:space="0" w:color="auto"/>
        <w:right w:val="none" w:sz="0" w:space="0" w:color="auto"/>
      </w:divBdr>
    </w:div>
    <w:div w:id="382140903">
      <w:bodyDiv w:val="1"/>
      <w:marLeft w:val="0"/>
      <w:marRight w:val="0"/>
      <w:marTop w:val="0"/>
      <w:marBottom w:val="0"/>
      <w:divBdr>
        <w:top w:val="none" w:sz="0" w:space="0" w:color="auto"/>
        <w:left w:val="none" w:sz="0" w:space="0" w:color="auto"/>
        <w:bottom w:val="none" w:sz="0" w:space="0" w:color="auto"/>
        <w:right w:val="none" w:sz="0" w:space="0" w:color="auto"/>
      </w:divBdr>
    </w:div>
    <w:div w:id="400718225">
      <w:bodyDiv w:val="1"/>
      <w:marLeft w:val="0"/>
      <w:marRight w:val="0"/>
      <w:marTop w:val="0"/>
      <w:marBottom w:val="0"/>
      <w:divBdr>
        <w:top w:val="none" w:sz="0" w:space="0" w:color="auto"/>
        <w:left w:val="none" w:sz="0" w:space="0" w:color="auto"/>
        <w:bottom w:val="none" w:sz="0" w:space="0" w:color="auto"/>
        <w:right w:val="none" w:sz="0" w:space="0" w:color="auto"/>
      </w:divBdr>
    </w:div>
    <w:div w:id="411046051">
      <w:bodyDiv w:val="1"/>
      <w:marLeft w:val="0"/>
      <w:marRight w:val="0"/>
      <w:marTop w:val="0"/>
      <w:marBottom w:val="0"/>
      <w:divBdr>
        <w:top w:val="none" w:sz="0" w:space="0" w:color="auto"/>
        <w:left w:val="none" w:sz="0" w:space="0" w:color="auto"/>
        <w:bottom w:val="none" w:sz="0" w:space="0" w:color="auto"/>
        <w:right w:val="none" w:sz="0" w:space="0" w:color="auto"/>
      </w:divBdr>
    </w:div>
    <w:div w:id="419058711">
      <w:bodyDiv w:val="1"/>
      <w:marLeft w:val="0"/>
      <w:marRight w:val="0"/>
      <w:marTop w:val="0"/>
      <w:marBottom w:val="0"/>
      <w:divBdr>
        <w:top w:val="none" w:sz="0" w:space="0" w:color="auto"/>
        <w:left w:val="none" w:sz="0" w:space="0" w:color="auto"/>
        <w:bottom w:val="none" w:sz="0" w:space="0" w:color="auto"/>
        <w:right w:val="none" w:sz="0" w:space="0" w:color="auto"/>
      </w:divBdr>
    </w:div>
    <w:div w:id="463739020">
      <w:bodyDiv w:val="1"/>
      <w:marLeft w:val="0"/>
      <w:marRight w:val="0"/>
      <w:marTop w:val="0"/>
      <w:marBottom w:val="0"/>
      <w:divBdr>
        <w:top w:val="none" w:sz="0" w:space="0" w:color="auto"/>
        <w:left w:val="none" w:sz="0" w:space="0" w:color="auto"/>
        <w:bottom w:val="none" w:sz="0" w:space="0" w:color="auto"/>
        <w:right w:val="none" w:sz="0" w:space="0" w:color="auto"/>
      </w:divBdr>
    </w:div>
    <w:div w:id="476996868">
      <w:bodyDiv w:val="1"/>
      <w:marLeft w:val="0"/>
      <w:marRight w:val="0"/>
      <w:marTop w:val="0"/>
      <w:marBottom w:val="0"/>
      <w:divBdr>
        <w:top w:val="none" w:sz="0" w:space="0" w:color="auto"/>
        <w:left w:val="none" w:sz="0" w:space="0" w:color="auto"/>
        <w:bottom w:val="none" w:sz="0" w:space="0" w:color="auto"/>
        <w:right w:val="none" w:sz="0" w:space="0" w:color="auto"/>
      </w:divBdr>
    </w:div>
    <w:div w:id="554775533">
      <w:bodyDiv w:val="1"/>
      <w:marLeft w:val="0"/>
      <w:marRight w:val="0"/>
      <w:marTop w:val="0"/>
      <w:marBottom w:val="0"/>
      <w:divBdr>
        <w:top w:val="none" w:sz="0" w:space="0" w:color="auto"/>
        <w:left w:val="none" w:sz="0" w:space="0" w:color="auto"/>
        <w:bottom w:val="none" w:sz="0" w:space="0" w:color="auto"/>
        <w:right w:val="none" w:sz="0" w:space="0" w:color="auto"/>
      </w:divBdr>
    </w:div>
    <w:div w:id="685058402">
      <w:bodyDiv w:val="1"/>
      <w:marLeft w:val="0"/>
      <w:marRight w:val="0"/>
      <w:marTop w:val="0"/>
      <w:marBottom w:val="0"/>
      <w:divBdr>
        <w:top w:val="none" w:sz="0" w:space="0" w:color="auto"/>
        <w:left w:val="none" w:sz="0" w:space="0" w:color="auto"/>
        <w:bottom w:val="none" w:sz="0" w:space="0" w:color="auto"/>
        <w:right w:val="none" w:sz="0" w:space="0" w:color="auto"/>
      </w:divBdr>
    </w:div>
    <w:div w:id="768045825">
      <w:bodyDiv w:val="1"/>
      <w:marLeft w:val="0"/>
      <w:marRight w:val="0"/>
      <w:marTop w:val="0"/>
      <w:marBottom w:val="0"/>
      <w:divBdr>
        <w:top w:val="none" w:sz="0" w:space="0" w:color="auto"/>
        <w:left w:val="none" w:sz="0" w:space="0" w:color="auto"/>
        <w:bottom w:val="none" w:sz="0" w:space="0" w:color="auto"/>
        <w:right w:val="none" w:sz="0" w:space="0" w:color="auto"/>
      </w:divBdr>
    </w:div>
    <w:div w:id="802357289">
      <w:bodyDiv w:val="1"/>
      <w:marLeft w:val="0"/>
      <w:marRight w:val="0"/>
      <w:marTop w:val="0"/>
      <w:marBottom w:val="0"/>
      <w:divBdr>
        <w:top w:val="none" w:sz="0" w:space="0" w:color="auto"/>
        <w:left w:val="none" w:sz="0" w:space="0" w:color="auto"/>
        <w:bottom w:val="none" w:sz="0" w:space="0" w:color="auto"/>
        <w:right w:val="none" w:sz="0" w:space="0" w:color="auto"/>
      </w:divBdr>
    </w:div>
    <w:div w:id="856389073">
      <w:bodyDiv w:val="1"/>
      <w:marLeft w:val="0"/>
      <w:marRight w:val="0"/>
      <w:marTop w:val="0"/>
      <w:marBottom w:val="0"/>
      <w:divBdr>
        <w:top w:val="none" w:sz="0" w:space="0" w:color="auto"/>
        <w:left w:val="none" w:sz="0" w:space="0" w:color="auto"/>
        <w:bottom w:val="none" w:sz="0" w:space="0" w:color="auto"/>
        <w:right w:val="none" w:sz="0" w:space="0" w:color="auto"/>
      </w:divBdr>
    </w:div>
    <w:div w:id="1129737733">
      <w:bodyDiv w:val="1"/>
      <w:marLeft w:val="0"/>
      <w:marRight w:val="0"/>
      <w:marTop w:val="0"/>
      <w:marBottom w:val="0"/>
      <w:divBdr>
        <w:top w:val="none" w:sz="0" w:space="0" w:color="auto"/>
        <w:left w:val="none" w:sz="0" w:space="0" w:color="auto"/>
        <w:bottom w:val="none" w:sz="0" w:space="0" w:color="auto"/>
        <w:right w:val="none" w:sz="0" w:space="0" w:color="auto"/>
      </w:divBdr>
    </w:div>
    <w:div w:id="1166436992">
      <w:bodyDiv w:val="1"/>
      <w:marLeft w:val="0"/>
      <w:marRight w:val="0"/>
      <w:marTop w:val="0"/>
      <w:marBottom w:val="0"/>
      <w:divBdr>
        <w:top w:val="none" w:sz="0" w:space="0" w:color="auto"/>
        <w:left w:val="none" w:sz="0" w:space="0" w:color="auto"/>
        <w:bottom w:val="none" w:sz="0" w:space="0" w:color="auto"/>
        <w:right w:val="none" w:sz="0" w:space="0" w:color="auto"/>
      </w:divBdr>
    </w:div>
    <w:div w:id="1171943160">
      <w:bodyDiv w:val="1"/>
      <w:marLeft w:val="0"/>
      <w:marRight w:val="0"/>
      <w:marTop w:val="0"/>
      <w:marBottom w:val="0"/>
      <w:divBdr>
        <w:top w:val="none" w:sz="0" w:space="0" w:color="auto"/>
        <w:left w:val="none" w:sz="0" w:space="0" w:color="auto"/>
        <w:bottom w:val="none" w:sz="0" w:space="0" w:color="auto"/>
        <w:right w:val="none" w:sz="0" w:space="0" w:color="auto"/>
      </w:divBdr>
    </w:div>
    <w:div w:id="1319577847">
      <w:bodyDiv w:val="1"/>
      <w:marLeft w:val="0"/>
      <w:marRight w:val="0"/>
      <w:marTop w:val="0"/>
      <w:marBottom w:val="0"/>
      <w:divBdr>
        <w:top w:val="none" w:sz="0" w:space="0" w:color="auto"/>
        <w:left w:val="none" w:sz="0" w:space="0" w:color="auto"/>
        <w:bottom w:val="none" w:sz="0" w:space="0" w:color="auto"/>
        <w:right w:val="none" w:sz="0" w:space="0" w:color="auto"/>
      </w:divBdr>
    </w:div>
    <w:div w:id="1321420598">
      <w:bodyDiv w:val="1"/>
      <w:marLeft w:val="0"/>
      <w:marRight w:val="0"/>
      <w:marTop w:val="0"/>
      <w:marBottom w:val="0"/>
      <w:divBdr>
        <w:top w:val="none" w:sz="0" w:space="0" w:color="auto"/>
        <w:left w:val="none" w:sz="0" w:space="0" w:color="auto"/>
        <w:bottom w:val="none" w:sz="0" w:space="0" w:color="auto"/>
        <w:right w:val="none" w:sz="0" w:space="0" w:color="auto"/>
      </w:divBdr>
    </w:div>
    <w:div w:id="1334450014">
      <w:bodyDiv w:val="1"/>
      <w:marLeft w:val="0"/>
      <w:marRight w:val="0"/>
      <w:marTop w:val="0"/>
      <w:marBottom w:val="0"/>
      <w:divBdr>
        <w:top w:val="none" w:sz="0" w:space="0" w:color="auto"/>
        <w:left w:val="none" w:sz="0" w:space="0" w:color="auto"/>
        <w:bottom w:val="none" w:sz="0" w:space="0" w:color="auto"/>
        <w:right w:val="none" w:sz="0" w:space="0" w:color="auto"/>
      </w:divBdr>
    </w:div>
    <w:div w:id="1340084304">
      <w:bodyDiv w:val="1"/>
      <w:marLeft w:val="0"/>
      <w:marRight w:val="0"/>
      <w:marTop w:val="0"/>
      <w:marBottom w:val="0"/>
      <w:divBdr>
        <w:top w:val="none" w:sz="0" w:space="0" w:color="auto"/>
        <w:left w:val="none" w:sz="0" w:space="0" w:color="auto"/>
        <w:bottom w:val="none" w:sz="0" w:space="0" w:color="auto"/>
        <w:right w:val="none" w:sz="0" w:space="0" w:color="auto"/>
      </w:divBdr>
    </w:div>
    <w:div w:id="1484732790">
      <w:bodyDiv w:val="1"/>
      <w:marLeft w:val="0"/>
      <w:marRight w:val="0"/>
      <w:marTop w:val="0"/>
      <w:marBottom w:val="0"/>
      <w:divBdr>
        <w:top w:val="none" w:sz="0" w:space="0" w:color="auto"/>
        <w:left w:val="none" w:sz="0" w:space="0" w:color="auto"/>
        <w:bottom w:val="none" w:sz="0" w:space="0" w:color="auto"/>
        <w:right w:val="none" w:sz="0" w:space="0" w:color="auto"/>
      </w:divBdr>
    </w:div>
    <w:div w:id="1704402512">
      <w:bodyDiv w:val="1"/>
      <w:marLeft w:val="0"/>
      <w:marRight w:val="0"/>
      <w:marTop w:val="0"/>
      <w:marBottom w:val="0"/>
      <w:divBdr>
        <w:top w:val="none" w:sz="0" w:space="0" w:color="auto"/>
        <w:left w:val="none" w:sz="0" w:space="0" w:color="auto"/>
        <w:bottom w:val="none" w:sz="0" w:space="0" w:color="auto"/>
        <w:right w:val="none" w:sz="0" w:space="0" w:color="auto"/>
      </w:divBdr>
    </w:div>
    <w:div w:id="1729258578">
      <w:bodyDiv w:val="1"/>
      <w:marLeft w:val="0"/>
      <w:marRight w:val="0"/>
      <w:marTop w:val="0"/>
      <w:marBottom w:val="0"/>
      <w:divBdr>
        <w:top w:val="none" w:sz="0" w:space="0" w:color="auto"/>
        <w:left w:val="none" w:sz="0" w:space="0" w:color="auto"/>
        <w:bottom w:val="none" w:sz="0" w:space="0" w:color="auto"/>
        <w:right w:val="none" w:sz="0" w:space="0" w:color="auto"/>
      </w:divBdr>
    </w:div>
    <w:div w:id="1834757786">
      <w:bodyDiv w:val="1"/>
      <w:marLeft w:val="0"/>
      <w:marRight w:val="0"/>
      <w:marTop w:val="0"/>
      <w:marBottom w:val="0"/>
      <w:divBdr>
        <w:top w:val="none" w:sz="0" w:space="0" w:color="auto"/>
        <w:left w:val="none" w:sz="0" w:space="0" w:color="auto"/>
        <w:bottom w:val="none" w:sz="0" w:space="0" w:color="auto"/>
        <w:right w:val="none" w:sz="0" w:space="0" w:color="auto"/>
      </w:divBdr>
    </w:div>
    <w:div w:id="1872759609">
      <w:bodyDiv w:val="1"/>
      <w:marLeft w:val="0"/>
      <w:marRight w:val="0"/>
      <w:marTop w:val="0"/>
      <w:marBottom w:val="0"/>
      <w:divBdr>
        <w:top w:val="none" w:sz="0" w:space="0" w:color="auto"/>
        <w:left w:val="none" w:sz="0" w:space="0" w:color="auto"/>
        <w:bottom w:val="none" w:sz="0" w:space="0" w:color="auto"/>
        <w:right w:val="none" w:sz="0" w:space="0" w:color="auto"/>
      </w:divBdr>
    </w:div>
    <w:div w:id="1893349334">
      <w:bodyDiv w:val="1"/>
      <w:marLeft w:val="0"/>
      <w:marRight w:val="0"/>
      <w:marTop w:val="0"/>
      <w:marBottom w:val="0"/>
      <w:divBdr>
        <w:top w:val="none" w:sz="0" w:space="0" w:color="auto"/>
        <w:left w:val="none" w:sz="0" w:space="0" w:color="auto"/>
        <w:bottom w:val="none" w:sz="0" w:space="0" w:color="auto"/>
        <w:right w:val="none" w:sz="0" w:space="0" w:color="auto"/>
      </w:divBdr>
    </w:div>
    <w:div w:id="1895458030">
      <w:bodyDiv w:val="1"/>
      <w:marLeft w:val="0"/>
      <w:marRight w:val="0"/>
      <w:marTop w:val="0"/>
      <w:marBottom w:val="0"/>
      <w:divBdr>
        <w:top w:val="none" w:sz="0" w:space="0" w:color="auto"/>
        <w:left w:val="none" w:sz="0" w:space="0" w:color="auto"/>
        <w:bottom w:val="none" w:sz="0" w:space="0" w:color="auto"/>
        <w:right w:val="none" w:sz="0" w:space="0" w:color="auto"/>
      </w:divBdr>
      <w:divsChild>
        <w:div w:id="888103122">
          <w:marLeft w:val="0"/>
          <w:marRight w:val="0"/>
          <w:marTop w:val="0"/>
          <w:marBottom w:val="0"/>
          <w:divBdr>
            <w:top w:val="none" w:sz="0" w:space="0" w:color="auto"/>
            <w:left w:val="none" w:sz="0" w:space="0" w:color="auto"/>
            <w:bottom w:val="none" w:sz="0" w:space="0" w:color="auto"/>
            <w:right w:val="none" w:sz="0" w:space="0" w:color="auto"/>
          </w:divBdr>
          <w:divsChild>
            <w:div w:id="783231894">
              <w:marLeft w:val="0"/>
              <w:marRight w:val="0"/>
              <w:marTop w:val="0"/>
              <w:marBottom w:val="0"/>
              <w:divBdr>
                <w:top w:val="none" w:sz="0" w:space="0" w:color="auto"/>
                <w:left w:val="none" w:sz="0" w:space="0" w:color="auto"/>
                <w:bottom w:val="none" w:sz="0" w:space="0" w:color="auto"/>
                <w:right w:val="none" w:sz="0" w:space="0" w:color="auto"/>
              </w:divBdr>
              <w:divsChild>
                <w:div w:id="609091882">
                  <w:marLeft w:val="0"/>
                  <w:marRight w:val="0"/>
                  <w:marTop w:val="0"/>
                  <w:marBottom w:val="0"/>
                  <w:divBdr>
                    <w:top w:val="none" w:sz="0" w:space="0" w:color="auto"/>
                    <w:left w:val="none" w:sz="0" w:space="0" w:color="auto"/>
                    <w:bottom w:val="none" w:sz="0" w:space="0" w:color="auto"/>
                    <w:right w:val="none" w:sz="0" w:space="0" w:color="auto"/>
                  </w:divBdr>
                  <w:divsChild>
                    <w:div w:id="104159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4044351">
      <w:bodyDiv w:val="1"/>
      <w:marLeft w:val="0"/>
      <w:marRight w:val="0"/>
      <w:marTop w:val="0"/>
      <w:marBottom w:val="0"/>
      <w:divBdr>
        <w:top w:val="none" w:sz="0" w:space="0" w:color="auto"/>
        <w:left w:val="none" w:sz="0" w:space="0" w:color="auto"/>
        <w:bottom w:val="none" w:sz="0" w:space="0" w:color="auto"/>
        <w:right w:val="none" w:sz="0" w:space="0" w:color="auto"/>
      </w:divBdr>
    </w:div>
    <w:div w:id="1990285023">
      <w:bodyDiv w:val="1"/>
      <w:marLeft w:val="0"/>
      <w:marRight w:val="0"/>
      <w:marTop w:val="0"/>
      <w:marBottom w:val="0"/>
      <w:divBdr>
        <w:top w:val="none" w:sz="0" w:space="0" w:color="auto"/>
        <w:left w:val="none" w:sz="0" w:space="0" w:color="auto"/>
        <w:bottom w:val="none" w:sz="0" w:space="0" w:color="auto"/>
        <w:right w:val="none" w:sz="0" w:space="0" w:color="auto"/>
      </w:divBdr>
    </w:div>
    <w:div w:id="2021273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mental-health/conditions/obsessive-compulsive-disorder-ocd/overview/" TargetMode="External"/><Relationship Id="rId18" Type="http://schemas.openxmlformats.org/officeDocument/2006/relationships/hyperlink" Target="https://www.ocduk.org/ocd/type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ice.org.uk/guidance/cg31/chapter/Recommendations-for-research" TargetMode="External"/><Relationship Id="rId2" Type="http://schemas.openxmlformats.org/officeDocument/2006/relationships/customXml" Target="../customXml/item2.xml"/><Relationship Id="rId16" Type="http://schemas.openxmlformats.org/officeDocument/2006/relationships/hyperlink" Target="https://www.nice.org.uk/guidance/cg3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nhs.uk/mental-health/conditions/generalised-anxiety-disorder/symptom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icd.who.int/browse10/2010/e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hs.uk/every-mind-matters/mental-health-issues/anxiet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Component 2 - Written Report (Nazreen Akhtar – 2128933)</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48A7A53ED0F6C4BAC9BB320F40B3DEF" ma:contentTypeVersion="11" ma:contentTypeDescription="Create a new document." ma:contentTypeScope="" ma:versionID="5b0988bead62f9a7504ec8c9d37c2ffd">
  <xsd:schema xmlns:xsd="http://www.w3.org/2001/XMLSchema" xmlns:xs="http://www.w3.org/2001/XMLSchema" xmlns:p="http://schemas.microsoft.com/office/2006/metadata/properties" xmlns:ns3="5c225c8a-d58b-4f92-9659-fc93657787ef" xmlns:ns4="01059ada-d055-41df-ae87-635bd8b92658" targetNamespace="http://schemas.microsoft.com/office/2006/metadata/properties" ma:root="true" ma:fieldsID="33a5228660e6f56343c62150e7fe315c" ns3:_="" ns4:_="">
    <xsd:import namespace="5c225c8a-d58b-4f92-9659-fc93657787ef"/>
    <xsd:import namespace="01059ada-d055-41df-ae87-635bd8b926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25c8a-d58b-4f92-9659-fc93657787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1059ada-d055-41df-ae87-635bd8b926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5c225c8a-d58b-4f92-9659-fc93657787ef"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6A2272-3719-47ED-BAB3-EEFD95019F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25c8a-d58b-4f92-9659-fc93657787ef"/>
    <ds:schemaRef ds:uri="01059ada-d055-41df-ae87-635bd8b92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989EA42-FB3E-4382-AA7E-8AA4776CD3A3}">
  <ds:schemaRefs>
    <ds:schemaRef ds:uri="http://schemas.microsoft.com/sharepoint/v3/contenttype/forms"/>
  </ds:schemaRefs>
</ds:datastoreItem>
</file>

<file path=customXml/itemProps4.xml><?xml version="1.0" encoding="utf-8"?>
<ds:datastoreItem xmlns:ds="http://schemas.openxmlformats.org/officeDocument/2006/customXml" ds:itemID="{CE594C26-F4D4-4C0B-B231-44B11AB55A19}">
  <ds:schemaRefs>
    <ds:schemaRef ds:uri="http://schemas.microsoft.com/office/2006/metadata/properties"/>
    <ds:schemaRef ds:uri="http://schemas.microsoft.com/office/infopath/2007/PartnerControls"/>
    <ds:schemaRef ds:uri="5c225c8a-d58b-4f92-9659-fc93657787ef"/>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3181</Words>
  <Characters>21057</Characters>
  <Application>Microsoft Office Word</Application>
  <DocSecurity>0</DocSecurity>
  <Lines>321</Lines>
  <Paragraphs>75</Paragraphs>
  <ScaleCrop>false</ScaleCrop>
  <HeadingPairs>
    <vt:vector size="2" baseType="variant">
      <vt:variant>
        <vt:lpstr>Title</vt:lpstr>
      </vt:variant>
      <vt:variant>
        <vt:i4>1</vt:i4>
      </vt:variant>
    </vt:vector>
  </HeadingPairs>
  <TitlesOfParts>
    <vt:vector size="1" baseType="lpstr">
      <vt:lpstr>Mental Disorders and pSYCHOPATHOLOGY (BMHP6006)</vt:lpstr>
    </vt:vector>
  </TitlesOfParts>
  <Company/>
  <LinksUpToDate>false</LinksUpToDate>
  <CharactersWithSpaces>24163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 (BMHP6006)</dc:title>
  <dc:subject>Dr Josephine Chen-Wilson</dc:subject>
  <dc:creator>Nazreen Akhtar (2128933)</dc:creator>
  <cp:keywords/>
  <dc:description/>
  <cp:lastModifiedBy>Nazreen Akhtar (2128933)</cp:lastModifiedBy>
  <cp:revision>3</cp:revision>
  <dcterms:created xsi:type="dcterms:W3CDTF">2024-08-02T08:41:00Z</dcterms:created>
  <dcterms:modified xsi:type="dcterms:W3CDTF">2024-08-02T08:41:00Z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0x010100448A7A53ED0F6C4BAC9BB320F40B3DEF</vt:lpwstr>
  </property>
  <property fmtid="{D5CDD505-2E9C-101B-9397-08002B2CF9AE}" pid="3" name="GrammarlyDocumentId">
    <vt:lpwstr>b39395b385d2e7d80e1b4c78ae3f662e0216dca183abe28d4d25d3e4e50ec776</vt:lpwstr>
  </property>
</Properties>
</file>