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F5E5771" w:rsidR="00E611D9" w:rsidRDefault="002229F0" w:rsidP="00E611D9">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2BE3BFDD" w:rsidR="00AD4EBD" w:rsidRDefault="00A753BF" w:rsidP="00AE1A4C">
            <w:pPr>
              <w:pStyle w:val="AssignBody"/>
            </w:pPr>
            <w:r>
              <w:t>Check that some sections of the Lit review have explicit critical comments sign posted.</w:t>
            </w:r>
          </w:p>
        </w:tc>
        <w:tc>
          <w:tcPr>
            <w:tcW w:w="3647" w:type="dxa"/>
          </w:tcPr>
          <w:p w14:paraId="5F7F611A" w14:textId="21900DB3" w:rsidR="00AD4EBD" w:rsidRDefault="00A753BF" w:rsidP="00AE1A4C">
            <w:pPr>
              <w:pStyle w:val="AssignBody"/>
            </w:pPr>
            <w:r>
              <w:t xml:space="preserve">I have actively tried to make sure I am explicit in critical comments after a point has been made, using connectives such as however/moreover.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6D09E739" w:rsidR="00AD4EBD" w:rsidRDefault="00A753BF" w:rsidP="00AE1A4C">
            <w:pPr>
              <w:pStyle w:val="AssignBody"/>
            </w:pPr>
            <w:r>
              <w:t>The reflections linked to relevant reading are the most desirable</w:t>
            </w:r>
          </w:p>
        </w:tc>
        <w:tc>
          <w:tcPr>
            <w:tcW w:w="3647" w:type="dxa"/>
          </w:tcPr>
          <w:p w14:paraId="54F0029C" w14:textId="32C21631" w:rsidR="00AD4EBD" w:rsidRDefault="00A37EDA" w:rsidP="00AE1A4C">
            <w:pPr>
              <w:pStyle w:val="AssignBody"/>
            </w:pPr>
            <w:r>
              <w:t xml:space="preserve">I have actively tried to reference the literature throughout my assignment in all sections. </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53E6BD4C" w:rsidR="00AD4EBD" w:rsidRPr="00A753BF" w:rsidRDefault="00A753BF" w:rsidP="00AE1A4C">
            <w:pPr>
              <w:pStyle w:val="AssignBody"/>
              <w:rPr>
                <w:b/>
                <w:bCs/>
              </w:rPr>
            </w:pPr>
            <w:r w:rsidRPr="00A753BF">
              <w:rPr>
                <w:b/>
                <w:bCs/>
              </w:rPr>
              <w:t>*Personal Target*</w:t>
            </w:r>
            <w:r>
              <w:rPr>
                <w:b/>
                <w:bCs/>
              </w:rPr>
              <w:br/>
              <w:t xml:space="preserve">To actively try and be more critical in my thinking and writing, drawing up relevant and insightful thoughts </w:t>
            </w:r>
            <w:r w:rsidR="00A37EDA">
              <w:rPr>
                <w:b/>
                <w:bCs/>
              </w:rPr>
              <w:t xml:space="preserve">gained from /inspired by the literature.  </w:t>
            </w:r>
          </w:p>
        </w:tc>
        <w:tc>
          <w:tcPr>
            <w:tcW w:w="3647" w:type="dxa"/>
          </w:tcPr>
          <w:p w14:paraId="3697C55C" w14:textId="5882DA43" w:rsidR="00AD4EBD" w:rsidRDefault="00A37EDA" w:rsidP="00AE1A4C">
            <w:pPr>
              <w:pStyle w:val="AssignBody"/>
            </w:pPr>
            <w:r>
              <w:t xml:space="preserve">I have reflected and thought critically about what the points being made in the literature mean to me, drawing from my own experiences, and how I could approach situations/ideas if it were me. </w:t>
            </w:r>
          </w:p>
        </w:tc>
      </w:tr>
    </w:tbl>
    <w:p w14:paraId="45E34BBD" w14:textId="77777777" w:rsidR="002229F0" w:rsidRDefault="002229F0" w:rsidP="00E611D9">
      <w:pPr>
        <w:pStyle w:val="AssignBody"/>
      </w:pPr>
    </w:p>
    <w:p w14:paraId="73B6C9B5" w14:textId="77777777" w:rsidR="00B676D5" w:rsidRPr="00B676D5" w:rsidRDefault="00B676D5" w:rsidP="00B676D5">
      <w:pPr>
        <w:pStyle w:val="AssignHeader"/>
      </w:pPr>
      <w:r>
        <w:t xml:space="preserve">Component 2: </w:t>
      </w:r>
      <w:r w:rsidRPr="00B676D5">
        <w:t xml:space="preserve">How a school develops one aspect of its SDP: a report that critically reflects on the actions, impact and evidence base. </w:t>
      </w:r>
    </w:p>
    <w:p w14:paraId="54A7D54D" w14:textId="77777777" w:rsidR="00264F8F" w:rsidRDefault="00264F8F" w:rsidP="00B676D5">
      <w:pPr>
        <w:pStyle w:val="AssignBody"/>
      </w:pPr>
    </w:p>
    <w:p w14:paraId="10C284DC" w14:textId="1E528C00" w:rsidR="00A753BF" w:rsidRDefault="00A753BF" w:rsidP="00B676D5">
      <w:pPr>
        <w:pStyle w:val="AssignBody"/>
      </w:pPr>
      <w:r w:rsidRPr="00A753BF">
        <w:rPr>
          <w:b/>
          <w:bCs/>
        </w:rPr>
        <w:t>Word count-</w:t>
      </w:r>
      <w:r>
        <w:t xml:space="preserve"> </w:t>
      </w:r>
      <w:r w:rsidRPr="00A753BF">
        <w:rPr>
          <w:sz w:val="24"/>
          <w:szCs w:val="24"/>
        </w:rPr>
        <w:t>2729</w:t>
      </w:r>
    </w:p>
    <w:p w14:paraId="057618DF" w14:textId="77777777" w:rsidR="00A753BF" w:rsidRDefault="00A753BF" w:rsidP="00B676D5">
      <w:pPr>
        <w:pStyle w:val="AssignBody"/>
      </w:pPr>
    </w:p>
    <w:p w14:paraId="611970F6" w14:textId="77777777" w:rsidR="00B56C33" w:rsidRPr="004B60E3" w:rsidRDefault="00B56C33" w:rsidP="00B676D5">
      <w:pPr>
        <w:pStyle w:val="AssignBody"/>
        <w:rPr>
          <w:rFonts w:cs="Arial"/>
          <w:b/>
          <w:bCs/>
          <w:sz w:val="24"/>
          <w:szCs w:val="24"/>
        </w:rPr>
      </w:pPr>
      <w:r w:rsidRPr="004B60E3">
        <w:rPr>
          <w:rFonts w:cs="Arial"/>
          <w:b/>
          <w:bCs/>
          <w:sz w:val="28"/>
          <w:szCs w:val="28"/>
        </w:rPr>
        <w:t>Introduction</w:t>
      </w:r>
      <w:r w:rsidRPr="004B60E3">
        <w:rPr>
          <w:rFonts w:cs="Arial"/>
          <w:sz w:val="24"/>
          <w:szCs w:val="24"/>
        </w:rPr>
        <w:br/>
      </w:r>
      <w:r w:rsidRPr="004B60E3">
        <w:rPr>
          <w:rFonts w:cs="Arial"/>
        </w:rPr>
        <w:t>In light of the rapidly evolving field of education, school improvement processes are fundamental in ensuring educational quality and equity for all learners</w:t>
      </w:r>
      <w:r w:rsidRPr="004B60E3">
        <w:rPr>
          <w:rFonts w:asciiTheme="minorHAnsi" w:hAnsiTheme="minorHAnsi"/>
          <w:kern w:val="2"/>
          <w14:ligatures w14:val="standardContextual"/>
        </w:rPr>
        <w:t xml:space="preserve"> </w:t>
      </w:r>
      <w:r w:rsidRPr="004B60E3">
        <w:rPr>
          <w:rFonts w:cs="Arial"/>
        </w:rPr>
        <w:t xml:space="preserve">(Sampaio and Leite, 2017). Consequently, a critical analysis of a local School Development Plan (SDP) will form the basis of this report. Specifically, the identified target of facilitating plentiful opportunities for independent practice. The school based in South Wales, is a maintained English medium School for learners aged 11-16.  Of the 1140 mixed-gender learners, a notable 35.4% receive free school meals (My Local School, 2023), indicating a significant proportion may be from disadvantaged households. Following BERA's (2018) ethical </w:t>
      </w:r>
      <w:r w:rsidRPr="004B60E3">
        <w:rPr>
          <w:rFonts w:cs="Arial"/>
        </w:rPr>
        <w:lastRenderedPageBreak/>
        <w:t xml:space="preserve">guidelines, the school will be referred to as School X to maintain anonymity. The purpose of this report is to examine the intricacies of school improvement (SI), aiming to gain an enhanced understanding that will inform future practice. Furthermore, the report aims to illuminate critical considerations of implementing evidence-based strategies to enhance the overall educational experience for </w:t>
      </w:r>
      <w:r w:rsidRPr="004B60E3">
        <w:rPr>
          <w:rFonts w:cs="Arial"/>
          <w:b/>
          <w:bCs/>
        </w:rPr>
        <w:t>all</w:t>
      </w:r>
      <w:r w:rsidRPr="004B60E3">
        <w:rPr>
          <w:rFonts w:cs="Arial"/>
        </w:rPr>
        <w:t xml:space="preserve"> learners (Welsh Government, 2020b) aligning with the values and aims of Curriculum for Wales (CfW) in the face of educational reform. </w:t>
      </w:r>
      <w:r w:rsidRPr="004B60E3">
        <w:rPr>
          <w:rFonts w:cs="Arial"/>
          <w:sz w:val="24"/>
          <w:szCs w:val="24"/>
        </w:rPr>
        <w:br/>
      </w:r>
      <w:r w:rsidRPr="004B60E3">
        <w:rPr>
          <w:rFonts w:cs="Arial"/>
          <w:sz w:val="24"/>
          <w:szCs w:val="24"/>
        </w:rPr>
        <w:br/>
      </w:r>
      <w:r w:rsidRPr="004B60E3">
        <w:rPr>
          <w:rFonts w:cs="Arial"/>
          <w:b/>
          <w:bCs/>
          <w:sz w:val="28"/>
          <w:szCs w:val="28"/>
        </w:rPr>
        <w:t>Literature Review</w:t>
      </w:r>
    </w:p>
    <w:p w14:paraId="280F7418" w14:textId="77777777" w:rsidR="00B56C33" w:rsidRPr="004B60E3" w:rsidRDefault="00B56C33" w:rsidP="00B676D5">
      <w:pPr>
        <w:pStyle w:val="AssignBody"/>
        <w:rPr>
          <w:rFonts w:cs="Arial"/>
        </w:rPr>
      </w:pPr>
      <w:r w:rsidRPr="004B60E3">
        <w:rPr>
          <w:rFonts w:cs="Arial"/>
          <w:b/>
          <w:bCs/>
          <w:i/>
          <w:iCs/>
          <w:sz w:val="24"/>
          <w:szCs w:val="24"/>
        </w:rPr>
        <w:t>SI</w:t>
      </w:r>
      <w:r w:rsidRPr="004B60E3">
        <w:rPr>
          <w:rFonts w:cs="Arial"/>
          <w:sz w:val="24"/>
          <w:szCs w:val="24"/>
        </w:rPr>
        <w:br/>
      </w:r>
      <w:r w:rsidRPr="004B60E3">
        <w:rPr>
          <w:rFonts w:cs="Arial"/>
        </w:rPr>
        <w:t xml:space="preserve">Improving learner outcomes and well-being are considered ageless, and crucial aspects of driving SI (Dewey, 1910; Fullan, 2016). While SI is recognised as a complex process with various definitions and contributing factors (Hallinger and Heck, 2011), the emphasis on school effectiveness is clear. Botha (2010) defines school effectiveness as the school's ability to achieve objectives and facilitate learner attainment. However, the age-old pressure surrounding academic outcomes is challenged. The call for a holistic approach, considering individual progress, creativity, behaviour, and emotional intelligence is championed (Day, Gu, and Sammons, 2016). This approach gains significance in light of research suggesting that learners from a lower socio-economic background have less favourable academic outcomes than more affluent learners (Ainscow </w:t>
      </w:r>
      <w:r w:rsidRPr="004B60E3">
        <w:rPr>
          <w:rFonts w:cs="Arial"/>
          <w:i/>
          <w:iCs/>
        </w:rPr>
        <w:t>et al.,</w:t>
      </w:r>
      <w:r w:rsidRPr="004B60E3">
        <w:rPr>
          <w:rFonts w:cs="Arial"/>
        </w:rPr>
        <w:t xml:space="preserve"> 2012). Ensuring a comprehensive approach to SI aims to provide equity for</w:t>
      </w:r>
      <w:r w:rsidRPr="004B60E3">
        <w:rPr>
          <w:rFonts w:cs="Arial"/>
          <w:b/>
          <w:bCs/>
        </w:rPr>
        <w:t xml:space="preserve"> all</w:t>
      </w:r>
      <w:r w:rsidRPr="004B60E3">
        <w:rPr>
          <w:rFonts w:cs="Arial"/>
        </w:rPr>
        <w:t xml:space="preserve"> learners to achieve their full potential.</w:t>
      </w:r>
    </w:p>
    <w:p w14:paraId="73E597AE" w14:textId="77777777" w:rsidR="00B56C33" w:rsidRPr="004B60E3" w:rsidRDefault="00B56C33" w:rsidP="00B676D5">
      <w:pPr>
        <w:pStyle w:val="AssignBody"/>
        <w:rPr>
          <w:rFonts w:cs="Arial"/>
        </w:rPr>
      </w:pPr>
    </w:p>
    <w:p w14:paraId="49F8DBAE" w14:textId="77777777" w:rsidR="00B56C33" w:rsidRPr="004B60E3" w:rsidRDefault="00B56C33" w:rsidP="00B676D5">
      <w:pPr>
        <w:pStyle w:val="AssignBody"/>
        <w:rPr>
          <w:rFonts w:cs="Arial"/>
        </w:rPr>
      </w:pPr>
      <w:r w:rsidRPr="004B60E3">
        <w:rPr>
          <w:rFonts w:cs="Arial"/>
        </w:rPr>
        <w:t xml:space="preserve">As Creemers and Kyriakidēs (2012) state, measuring school effectiveness and employing improvement initiatives is a cyclical process. Although stakeholder collaboration is deemed fundamental (Brighouse and Woods, 1999), it could be argued that the variation of power dynamics is questionable. As the investment of teachers, parents, governors, and the community’s impact on the decision-making processes is positively acknowledged (Education Scotland, 2018), varying factors such as experience, potentially influence inequality and underrepresentation. Therefore, this could pose a critical question to the dynamics and influence of involvement within planning design. </w:t>
      </w:r>
    </w:p>
    <w:p w14:paraId="6B108A95" w14:textId="77777777" w:rsidR="00B56C33" w:rsidRPr="004B60E3" w:rsidRDefault="00B56C33" w:rsidP="00B676D5">
      <w:pPr>
        <w:pStyle w:val="AssignBody"/>
        <w:rPr>
          <w:rFonts w:cs="Arial"/>
        </w:rPr>
      </w:pPr>
    </w:p>
    <w:p w14:paraId="74A1774D" w14:textId="77777777" w:rsidR="00B56C33" w:rsidRPr="004B60E3" w:rsidRDefault="00B56C33" w:rsidP="00B676D5">
      <w:pPr>
        <w:pStyle w:val="AssignBody"/>
        <w:rPr>
          <w:rFonts w:cs="Arial"/>
        </w:rPr>
      </w:pPr>
      <w:r w:rsidRPr="004B60E3">
        <w:rPr>
          <w:rFonts w:cs="Arial"/>
        </w:rPr>
        <w:t xml:space="preserve">Effective SI requires a solid theoretical foundation to understand the dynamics of the school's activity, thus, avoiding less effective trial-and-error approaches (Lancer, 2014). Yet, Jarl, Andersson, and Blossing (2021), argue that beyond educational theories, sociological considerations are crucial for a holistic understanding of factors promoting or hindering school success. They criticise the literature's emphasis on positive examples, suggesting an absence of critical viewpoints and lack a holistic understanding of school effectiveness. Although the ‘Dynamic Approach to School Improvement’ model (Creemers and Kyriakidēs, 2012) tailors’ strategies unique to school needs. However, it is essential to critically assess whether such models authentically address socio-economic differences, or whether it is a superficial notion. Although Kyriakidēs </w:t>
      </w:r>
      <w:r w:rsidRPr="004B60E3">
        <w:rPr>
          <w:rFonts w:cs="Arial"/>
          <w:i/>
          <w:iCs/>
        </w:rPr>
        <w:t>et al.</w:t>
      </w:r>
      <w:r w:rsidRPr="004B60E3">
        <w:rPr>
          <w:rFonts w:cs="Arial"/>
        </w:rPr>
        <w:t xml:space="preserve"> (2018) emphasise inclusivity, their study prompts an </w:t>
      </w:r>
      <w:r w:rsidRPr="004B60E3">
        <w:rPr>
          <w:rFonts w:cs="Arial"/>
        </w:rPr>
        <w:lastRenderedPageBreak/>
        <w:t>examination of the practical support provided for disadvantaged student groups, questioning the reduction of inequalities in learning outcomes and social experiences.</w:t>
      </w:r>
    </w:p>
    <w:p w14:paraId="716ACADE" w14:textId="77777777" w:rsidR="00B56C33" w:rsidRPr="004B60E3" w:rsidRDefault="00B56C33" w:rsidP="00B676D5">
      <w:pPr>
        <w:pStyle w:val="AssignBody"/>
        <w:rPr>
          <w:rFonts w:cs="Arial"/>
        </w:rPr>
      </w:pPr>
    </w:p>
    <w:p w14:paraId="28F59744" w14:textId="77777777" w:rsidR="00B56C33" w:rsidRPr="004B60E3" w:rsidRDefault="00B56C33" w:rsidP="00B676D5">
      <w:pPr>
        <w:pStyle w:val="AssignBody"/>
        <w:rPr>
          <w:rFonts w:cs="Arial"/>
        </w:rPr>
      </w:pPr>
      <w:r w:rsidRPr="004B60E3">
        <w:rPr>
          <w:rFonts w:cs="Arial"/>
        </w:rPr>
        <w:t>A vital, globally acknowledged tool utilised for continuing SI is an SDP (Education Bureau, 2014). The cyclical nature of the SDP as outlined by Creemers and Kyriakidēs (2012) incorporates planning, implementation, reviewing, and refinement to adapt to evolving educational standards and learner needs.</w:t>
      </w:r>
    </w:p>
    <w:p w14:paraId="70B8E5D7" w14:textId="77777777" w:rsidR="00B56C33" w:rsidRPr="004B60E3" w:rsidRDefault="00B56C33" w:rsidP="00B676D5">
      <w:pPr>
        <w:pStyle w:val="AssignBody"/>
        <w:rPr>
          <w:rFonts w:cs="Arial"/>
        </w:rPr>
      </w:pPr>
    </w:p>
    <w:p w14:paraId="005656A8" w14:textId="77777777" w:rsidR="00B56C33" w:rsidRPr="004B60E3" w:rsidRDefault="00B56C33" w:rsidP="00B676D5">
      <w:pPr>
        <w:pStyle w:val="AssignBody"/>
        <w:rPr>
          <w:rFonts w:cs="Arial"/>
        </w:rPr>
      </w:pPr>
      <w:bookmarkStart w:id="1" w:name="OLE_LINK9"/>
      <w:bookmarkStart w:id="2" w:name="OLE_LINK10"/>
      <w:r w:rsidRPr="004B60E3">
        <w:rPr>
          <w:rFonts w:cs="Arial"/>
        </w:rPr>
        <w:t xml:space="preserve">In Wales, the ‘Schools as a Learning Organisation’ (SLO) model serves as a holistic framework encouraging collective and individual growth within schools, facilitating the development of SDP’s (OECD, 2018; Welsh Government, 2022). Whilst it appears promising, it is essential to consider its adaptability to diverse educational settings and potential challenges in its implementation. Strategic planning of the SDP, informed by the SLO model, is necessary to achieve the National Mission and CfW goals (Welsh Government, 2023). However, a critical perspective should consider the adaptability of the shared vision against the diverse needs and aspirations of </w:t>
      </w:r>
      <w:r w:rsidRPr="004B60E3">
        <w:rPr>
          <w:rFonts w:cs="Arial"/>
          <w:b/>
          <w:bCs/>
        </w:rPr>
        <w:t>all</w:t>
      </w:r>
      <w:r w:rsidRPr="004B60E3">
        <w:rPr>
          <w:rFonts w:cs="Arial"/>
        </w:rPr>
        <w:t xml:space="preserve"> learners, ensuring equitable access to progress. </w:t>
      </w:r>
      <w:r w:rsidRPr="004B60E3">
        <w:rPr>
          <w:rFonts w:cs="Arial"/>
        </w:rPr>
        <w:br/>
      </w:r>
      <w:bookmarkEnd w:id="1"/>
      <w:bookmarkEnd w:id="2"/>
    </w:p>
    <w:p w14:paraId="0B470D94" w14:textId="77777777" w:rsidR="00B56C33" w:rsidRPr="004B60E3" w:rsidRDefault="00B56C33" w:rsidP="00B676D5">
      <w:pPr>
        <w:pStyle w:val="AssignBody"/>
        <w:rPr>
          <w:rFonts w:cs="Arial"/>
        </w:rPr>
      </w:pPr>
      <w:r w:rsidRPr="004B60E3">
        <w:rPr>
          <w:rFonts w:cs="Arial"/>
        </w:rPr>
        <w:t>Hallinger and Heck (2011) promote the process of self-evaluation (SE) to identify areas for improvement and implement tailored changes in practices and curriculum, to enhance pupil progress. Engaging in SE enables schools to reflect on their practices, monitor progress, and adapt strategies to achieve identified priorities (Sampaio and Leite, 2017). Despite this, a transparent approach to maintain the accuracy and validity of the SE data is necessary. Data's pivotal role in SI as noted by Schildkamp (2019) is reliant upon quality, stakeholder data literacy, and alignment with clear goals. Yet caution should be applied as the potential for data-driven approaches to oversimplify complex, educational contexts could neglect qualitative dimensions that influence SI.</w:t>
      </w:r>
    </w:p>
    <w:p w14:paraId="3FE09021" w14:textId="77777777" w:rsidR="00B56C33" w:rsidRPr="004B60E3" w:rsidRDefault="00B56C33" w:rsidP="00B676D5">
      <w:pPr>
        <w:pStyle w:val="AssignBody"/>
        <w:rPr>
          <w:rFonts w:cs="Arial"/>
          <w:sz w:val="24"/>
          <w:szCs w:val="24"/>
        </w:rPr>
      </w:pPr>
    </w:p>
    <w:p w14:paraId="25060E08" w14:textId="77777777" w:rsidR="00B56C33" w:rsidRPr="004B60E3" w:rsidRDefault="00B56C33" w:rsidP="00B676D5">
      <w:pPr>
        <w:pStyle w:val="AssignBody"/>
        <w:rPr>
          <w:rFonts w:cs="Arial"/>
        </w:rPr>
      </w:pPr>
      <w:r w:rsidRPr="004B60E3">
        <w:rPr>
          <w:rFonts w:cs="Arial"/>
          <w:b/>
          <w:bCs/>
          <w:sz w:val="24"/>
          <w:szCs w:val="24"/>
        </w:rPr>
        <w:t>Independent Practice</w:t>
      </w:r>
      <w:r w:rsidRPr="004B60E3">
        <w:rPr>
          <w:rFonts w:cs="Arial"/>
          <w:sz w:val="24"/>
          <w:szCs w:val="24"/>
        </w:rPr>
        <w:br/>
      </w:r>
      <w:r w:rsidRPr="004B60E3">
        <w:rPr>
          <w:rFonts w:cs="Arial"/>
        </w:rPr>
        <w:t>Educators hold a direct influence in facilitating an environment of curiosity and resilience, crucial for engaging experiences and learner development (Donaldson, 2015). Embracing a learner-centred approach, CfW aims to prepare pupils for 21st-century challenges. Nurturing a love for lifelong learning aligns with Dewey's views on active participation in authentic contexts (Welsh Government, 2020a; Dewey, 1968). Furthermore, the curriculum's overarching philosophy, of promoting independent practice is a key strategy in developing a learning environment that encourages autonomy, creativity, reflection, and engagement (Welsh Government, 2022).</w:t>
      </w:r>
    </w:p>
    <w:p w14:paraId="74552178" w14:textId="77777777" w:rsidR="00B56C33" w:rsidRPr="004B60E3" w:rsidRDefault="00B56C33" w:rsidP="00B676D5">
      <w:pPr>
        <w:pStyle w:val="AssignBody"/>
        <w:rPr>
          <w:rFonts w:cs="Arial"/>
        </w:rPr>
      </w:pPr>
    </w:p>
    <w:p w14:paraId="00F1ED43" w14:textId="77777777" w:rsidR="00B56C33" w:rsidRPr="004B60E3" w:rsidRDefault="00B56C33" w:rsidP="00B676D5">
      <w:pPr>
        <w:pStyle w:val="AssignBody"/>
        <w:rPr>
          <w:rFonts w:cs="Arial"/>
        </w:rPr>
      </w:pPr>
      <w:r w:rsidRPr="004B60E3">
        <w:rPr>
          <w:rFonts w:cs="Arial"/>
        </w:rPr>
        <w:t xml:space="preserve">Independent practice as defined by Flower (2014), is characterised by minimal to no teacher involvement, emphasising the importance of self-directed learning activities. While this approach may </w:t>
      </w:r>
      <w:r w:rsidRPr="004B60E3">
        <w:rPr>
          <w:rFonts w:cs="Arial"/>
        </w:rPr>
        <w:lastRenderedPageBreak/>
        <w:t xml:space="preserve">initially raise concerns about minimal collaborative learning structures (Veenman, Denessen, and Naafs, 2003), George, Luwingu, and Audo (2019) state that appropriate educator intervention, can ensure meaningful comprehension and engagement during independent practice. This highlights the delicate balance between autonomy and guidance. </w:t>
      </w:r>
    </w:p>
    <w:p w14:paraId="5C27CFC5" w14:textId="77777777" w:rsidR="00B56C33" w:rsidRPr="004B60E3" w:rsidRDefault="00B56C33" w:rsidP="00B676D5">
      <w:pPr>
        <w:pStyle w:val="AssignBody"/>
        <w:rPr>
          <w:rFonts w:cs="Arial"/>
        </w:rPr>
      </w:pPr>
    </w:p>
    <w:p w14:paraId="7E5AADC0" w14:textId="77777777" w:rsidR="00B56C33" w:rsidRPr="004B60E3" w:rsidRDefault="00B56C33" w:rsidP="00B676D5">
      <w:pPr>
        <w:pStyle w:val="AssignBody"/>
        <w:rPr>
          <w:rFonts w:cs="Arial"/>
        </w:rPr>
      </w:pPr>
      <w:bookmarkStart w:id="3" w:name="OLE_LINK11"/>
      <w:bookmarkStart w:id="4" w:name="OLE_LINK12"/>
      <w:r w:rsidRPr="004B60E3">
        <w:rPr>
          <w:rFonts w:cs="Arial"/>
        </w:rPr>
        <w:t>Aligning with Rosenshine's ‘Principles of Effective instruction’ (2012), the necessity for teacher involvement in the form of guidance, feedback, and occasional reteaching becomes evident. Scaffolded learning, stemming from Vygotsky's Zone of Proximal Development (1978), employs temporary and adaptive support to enable learners to complete tasks beyond their current reach. This approach contributes to enhancing learners' abilities, providing a structured pathway to navigate toward independent practice.</w:t>
      </w:r>
    </w:p>
    <w:bookmarkEnd w:id="3"/>
    <w:bookmarkEnd w:id="4"/>
    <w:p w14:paraId="77C8ADB6" w14:textId="77777777" w:rsidR="00B56C33" w:rsidRPr="004B60E3" w:rsidRDefault="00B56C33" w:rsidP="00B676D5">
      <w:pPr>
        <w:pStyle w:val="AssignBody"/>
        <w:rPr>
          <w:rFonts w:cs="Arial"/>
        </w:rPr>
      </w:pPr>
    </w:p>
    <w:p w14:paraId="68BD0ED5" w14:textId="77777777" w:rsidR="00B56C33" w:rsidRPr="004B60E3" w:rsidRDefault="00B56C33" w:rsidP="00B676D5">
      <w:pPr>
        <w:pStyle w:val="AssignBody"/>
        <w:rPr>
          <w:rFonts w:cs="Arial"/>
        </w:rPr>
      </w:pPr>
      <w:r w:rsidRPr="004B60E3">
        <w:rPr>
          <w:rFonts w:cs="Arial"/>
        </w:rPr>
        <w:t xml:space="preserve">Whilst Colter and Ulatowski (2017) challenge that overly guided scaffolding may hinder independence and critical thinking skills, Lawson </w:t>
      </w:r>
      <w:r w:rsidRPr="004B60E3">
        <w:rPr>
          <w:rFonts w:cs="Arial"/>
          <w:i/>
          <w:iCs/>
        </w:rPr>
        <w:t>et al.</w:t>
      </w:r>
      <w:r w:rsidRPr="004B60E3">
        <w:rPr>
          <w:rFonts w:cs="Arial"/>
        </w:rPr>
        <w:t xml:space="preserve"> (2023) emphasise the need for purposeful adjustment of scaffolding and task design to nurture learner autonomy, versus dependence. This critical reconsideration of educational practices ensures that the structure of tasks and the provision of support optimally align to promote independent learning capabilities.</w:t>
      </w:r>
    </w:p>
    <w:p w14:paraId="37EEFAFD" w14:textId="77777777" w:rsidR="00B56C33" w:rsidRPr="004B60E3" w:rsidRDefault="00B56C33" w:rsidP="00B676D5">
      <w:pPr>
        <w:spacing w:line="360" w:lineRule="auto"/>
        <w:rPr>
          <w:rFonts w:ascii="Arial" w:hAnsi="Arial" w:cs="Arial"/>
        </w:rPr>
      </w:pPr>
      <w:r w:rsidRPr="004B60E3">
        <w:rPr>
          <w:rFonts w:ascii="Arial" w:hAnsi="Arial" w:cs="Arial"/>
        </w:rPr>
        <w:br/>
      </w:r>
      <w:r w:rsidRPr="004B60E3">
        <w:rPr>
          <w:rFonts w:ascii="Arial" w:hAnsi="Arial" w:cs="Arial"/>
          <w:b/>
          <w:bCs/>
          <w:sz w:val="28"/>
          <w:szCs w:val="28"/>
        </w:rPr>
        <w:t>Developing an action point</w:t>
      </w:r>
      <w:r w:rsidRPr="004B60E3">
        <w:rPr>
          <w:rFonts w:ascii="Arial" w:hAnsi="Arial" w:cs="Arial"/>
        </w:rPr>
        <w:br/>
      </w:r>
    </w:p>
    <w:p w14:paraId="21ED83DF" w14:textId="22DF8E28" w:rsidR="00B56C33" w:rsidRPr="004B60E3" w:rsidRDefault="00B56C33" w:rsidP="00B676D5">
      <w:pPr>
        <w:spacing w:line="360" w:lineRule="auto"/>
        <w:rPr>
          <w:rFonts w:ascii="Arial" w:hAnsi="Arial" w:cs="Arial"/>
          <w:color w:val="000000" w:themeColor="text1"/>
        </w:rPr>
      </w:pPr>
      <w:r w:rsidRPr="004B60E3">
        <w:rPr>
          <w:rFonts w:ascii="Arial" w:hAnsi="Arial" w:cs="Arial"/>
          <w:color w:val="000000" w:themeColor="text1"/>
        </w:rPr>
        <w:t>School X is committed to fostering a culture of continuous improvement, emphasising collaboration among its staff within and beyond school boundaries (Estyn, 2020). This collaborative approach highlights the school's mission to ensure a high-quality educational experience for all (School X, 2022).</w:t>
      </w:r>
      <w:r w:rsidR="00B676D5">
        <w:rPr>
          <w:rFonts w:ascii="Arial" w:hAnsi="Arial" w:cs="Arial"/>
          <w:color w:val="000000" w:themeColor="text1"/>
        </w:rPr>
        <w:t xml:space="preserve"> </w:t>
      </w:r>
      <w:r w:rsidRPr="004B60E3">
        <w:rPr>
          <w:rFonts w:ascii="Arial" w:hAnsi="Arial" w:cs="Arial"/>
          <w:color w:val="000000" w:themeColor="text1"/>
        </w:rPr>
        <w:t>While the school boasts a comprehensive improvement framework, Estyn (2020) identified challenges in precisely defining targets for enhancing learners' independence, organisation, and social skills. Therefore, School X strategically integrated these insights into their teaching policy based on 'Principles of Effective Teaching and Learning' (PETAL) (School X, 2022). Utilising a practical approach, the school aligns overarching PETAL principles with specific, manageable focal points each academic year at a granular level under the teaching strand of their SDP (School X, 2022). Forming a focal point of this report, the school aims to focus on providing plentiful opportunities for independent practice for all learners. This action point reflects a purposeful response to identified challenges, acknowledging the critical role of experiential evidence in decision-making (Ylimaki &amp; Brunderman, 2022). While this approach undoubtedly has its advantages, it prompts an intriguing debate that the use of existing evidence and theories may hinder future innovation in teaching methodologies.</w:t>
      </w:r>
    </w:p>
    <w:p w14:paraId="0C24D866" w14:textId="41C3ECBA" w:rsidR="00B56C33" w:rsidRPr="004B60E3" w:rsidRDefault="00B56C33" w:rsidP="00B676D5">
      <w:pPr>
        <w:spacing w:line="360" w:lineRule="auto"/>
        <w:rPr>
          <w:rFonts w:ascii="Arial" w:hAnsi="Arial" w:cs="Arial"/>
          <w:color w:val="000000" w:themeColor="text1"/>
        </w:rPr>
      </w:pPr>
      <w:r w:rsidRPr="004B60E3">
        <w:rPr>
          <w:rFonts w:ascii="Arial" w:hAnsi="Arial" w:cs="Arial"/>
          <w:color w:val="000000" w:themeColor="text1"/>
        </w:rPr>
        <w:t>Upon exploration of their SI initiative, it is discovered that School X's strategic efforts are grounded in a substantial SE framework designed to ensure continuous pupil progress.</w:t>
      </w:r>
      <w:r w:rsidRPr="004B60E3">
        <w:rPr>
          <w:rFonts w:ascii="Arial" w:hAnsi="Arial" w:cs="Arial"/>
          <w:vanish/>
          <w:color w:val="000000" w:themeColor="text1"/>
        </w:rPr>
        <w:t>Top of FormBottom of Form</w:t>
      </w:r>
      <w:r w:rsidRPr="004B60E3">
        <w:rPr>
          <w:rFonts w:ascii="Arial" w:hAnsi="Arial" w:cs="Arial"/>
          <w:color w:val="000000" w:themeColor="text1"/>
        </w:rPr>
        <w:t xml:space="preserve"> Supporting the evidence-based </w:t>
      </w:r>
      <w:r w:rsidRPr="004B60E3">
        <w:rPr>
          <w:rFonts w:ascii="Arial" w:hAnsi="Arial" w:cs="Arial"/>
          <w:color w:val="000000" w:themeColor="text1"/>
        </w:rPr>
        <w:lastRenderedPageBreak/>
        <w:t xml:space="preserve">approach advocated by Ylimaki and Brunderman (2022), the school relies on a diverse range of data sources, moving beyond solely qualification and summative assessment data (School X, 2022; Day, Gu, and Sammons, 2016). Their comprehensive evaluation includes but is not limited to; the Summer Standards Review, contextual statements, and a triangulated data collection </w:t>
      </w:r>
      <w:proofErr w:type="spellStart"/>
      <w:proofErr w:type="gramStart"/>
      <w:r w:rsidRPr="004B60E3">
        <w:rPr>
          <w:rFonts w:ascii="Arial" w:hAnsi="Arial" w:cs="Arial"/>
          <w:color w:val="000000" w:themeColor="text1"/>
        </w:rPr>
        <w:t>mechanism.The</w:t>
      </w:r>
      <w:proofErr w:type="spellEnd"/>
      <w:proofErr w:type="gramEnd"/>
      <w:r w:rsidRPr="004B60E3">
        <w:rPr>
          <w:rFonts w:ascii="Arial" w:hAnsi="Arial" w:cs="Arial"/>
          <w:color w:val="000000" w:themeColor="text1"/>
        </w:rPr>
        <w:t xml:space="preserve"> establishment’s commitment to collaboration and SE is demonstrated through regular Developmental Drop-Ins (DDIs) conducted school-wide. These DDIs facilitate collaborative observations, enabling peers to identify strengths and developmental areas to engage in meaningful discussions regarding actionable strategies for improvement (School X, 2022). </w:t>
      </w:r>
      <w:bookmarkStart w:id="5" w:name="OLE_LINK13"/>
      <w:bookmarkStart w:id="6" w:name="OLE_LINK14"/>
    </w:p>
    <w:p w14:paraId="7C8E7CEB" w14:textId="77777777" w:rsidR="00B56C33" w:rsidRPr="004B60E3" w:rsidRDefault="00B56C33" w:rsidP="00B676D5">
      <w:pPr>
        <w:spacing w:line="360" w:lineRule="auto"/>
        <w:rPr>
          <w:rFonts w:ascii="Arial" w:hAnsi="Arial" w:cs="Arial"/>
          <w:color w:val="000000" w:themeColor="text1"/>
        </w:rPr>
      </w:pPr>
      <w:r w:rsidRPr="004B60E3">
        <w:rPr>
          <w:rFonts w:ascii="Arial" w:hAnsi="Arial" w:cs="Arial"/>
          <w:color w:val="000000" w:themeColor="text1"/>
        </w:rPr>
        <w:br/>
      </w:r>
      <w:r w:rsidRPr="004B60E3">
        <w:rPr>
          <w:rFonts w:ascii="Arial" w:hAnsi="Arial" w:cs="Arial"/>
          <w:color w:val="000000" w:themeColor="text1"/>
          <w:shd w:val="clear" w:color="auto" w:fill="FFFFFF"/>
        </w:rPr>
        <w:t xml:space="preserve">Engaging all stakeholders is integral to School X's effectiveness, aligning with Brighouse and Woods' (1999) emphasis. This approach extends beyond the school, linking with other schools and the community to create an 'ecology of equity' (Ainscow </w:t>
      </w:r>
      <w:r w:rsidRPr="004B60E3">
        <w:rPr>
          <w:rFonts w:ascii="Arial" w:hAnsi="Arial" w:cs="Arial"/>
          <w:i/>
          <w:iCs/>
          <w:color w:val="000000" w:themeColor="text1"/>
          <w:shd w:val="clear" w:color="auto" w:fill="FFFFFF"/>
        </w:rPr>
        <w:t>et al.,</w:t>
      </w:r>
      <w:r w:rsidRPr="004B60E3">
        <w:rPr>
          <w:rFonts w:ascii="Arial" w:hAnsi="Arial" w:cs="Arial"/>
          <w:color w:val="000000" w:themeColor="text1"/>
          <w:shd w:val="clear" w:color="auto" w:fill="FFFFFF"/>
        </w:rPr>
        <w:t xml:space="preserve"> 2012). Teachers, middle leaders, and learners actively contribute to SE enabling transparency and collaboration. However, challenging the power dynamics within such collaborative efforts is essential. Considerations of biases in decision-making, equity in influence, and the impact of pupil voice (Donaldson, 2015), in genuinely impacting the SI agenda arise.  Additionally, considering deprivation in the community, there's a demand to address complex barriers (Donaldson, 2015). Although specific action points in the SDP address community and parental needs, it prompts reflection on whether certain SDP elements should be addressed in tandem rather than isolation.</w:t>
      </w:r>
    </w:p>
    <w:bookmarkEnd w:id="5"/>
    <w:bookmarkEnd w:id="6"/>
    <w:p w14:paraId="015B4899" w14:textId="77777777" w:rsidR="00B56C33" w:rsidRPr="004B60E3" w:rsidRDefault="00B56C33" w:rsidP="00B676D5">
      <w:pPr>
        <w:spacing w:line="360" w:lineRule="auto"/>
        <w:rPr>
          <w:rFonts w:ascii="Arial" w:hAnsi="Arial" w:cs="Arial"/>
          <w:color w:val="000000" w:themeColor="text1"/>
        </w:rPr>
      </w:pPr>
      <w:r w:rsidRPr="004B60E3">
        <w:rPr>
          <w:rFonts w:ascii="Arial" w:hAnsi="Arial" w:cs="Arial"/>
          <w:color w:val="000000" w:themeColor="text1"/>
        </w:rPr>
        <w:t>While class teachers are responsible for executing and refining the outlined strategies and actions in the SDP, the senior leadership team adopt specific roles in overseeing designated areas of focus. This division of responsibilities provides a central point of contact for accountability and quality assurance purposes, as highlighted in Day, Gu and Sammons (2016) study, emphasising the pivotal role of leadership in shaping SI processes.</w:t>
      </w:r>
    </w:p>
    <w:p w14:paraId="25FCC769" w14:textId="77777777" w:rsidR="00B56C33" w:rsidRPr="004B60E3" w:rsidRDefault="00B56C33" w:rsidP="00B676D5">
      <w:pPr>
        <w:spacing w:line="360" w:lineRule="auto"/>
        <w:rPr>
          <w:rFonts w:ascii="Arial" w:hAnsi="Arial" w:cs="Arial"/>
          <w:color w:val="000000" w:themeColor="text1"/>
        </w:rPr>
      </w:pPr>
      <w:r w:rsidRPr="004B60E3">
        <w:rPr>
          <w:rFonts w:ascii="Arial" w:hAnsi="Arial" w:cs="Arial"/>
          <w:color w:val="000000" w:themeColor="text1"/>
        </w:rPr>
        <w:t>Strategic planning takes centre stage in School X's initiatives, exemplified by targeted training sessions aligned with Rosenshine’s (2012) principles. These sessions focus on effective task design and scaffolding to facilitate independent practice. The collaborative ethos emphasises the idea that each member of the school community has a vital role in promoting quality teaching and learning, ensuring a consistent approach. Day, Gu and Sammons (2016) highlight importance of collaborative organisational learning, structures, and cultures that foster effective teaching and learning. Moreover, all targets stemming from the DDIs and unseen observations, which the school uses as a coaching model among peers, are intricately linked to the PETAL foci. An example of this relationship involves incorporating success criteria to support independent practice, as recommended in 'Successful Futures' to guide learners in understanding their learning objectives and achievements (Donaldson, 2015).</w:t>
      </w:r>
    </w:p>
    <w:p w14:paraId="6D7AD8F7" w14:textId="77777777" w:rsidR="00B56C33" w:rsidRPr="004B60E3" w:rsidRDefault="00B56C33" w:rsidP="00B676D5">
      <w:pPr>
        <w:spacing w:line="360" w:lineRule="auto"/>
        <w:rPr>
          <w:rFonts w:ascii="Arial" w:hAnsi="Arial" w:cs="Arial"/>
          <w:color w:val="000000" w:themeColor="text1"/>
        </w:rPr>
      </w:pPr>
    </w:p>
    <w:p w14:paraId="102E731D" w14:textId="77777777" w:rsidR="00B676D5" w:rsidRDefault="00B56C33" w:rsidP="00B676D5">
      <w:pPr>
        <w:pStyle w:val="AssignBody"/>
        <w:rPr>
          <w:rFonts w:cs="Arial"/>
          <w:color w:val="000000" w:themeColor="text1"/>
        </w:rPr>
      </w:pPr>
      <w:r w:rsidRPr="004B60E3">
        <w:rPr>
          <w:rFonts w:cs="Arial"/>
          <w:color w:val="000000" w:themeColor="text1"/>
        </w:rPr>
        <w:lastRenderedPageBreak/>
        <w:t xml:space="preserve">A systematic approach to reviewing and tracking progress is evident, reflecting the emphasis by Robinson </w:t>
      </w:r>
      <w:r w:rsidRPr="004B60E3">
        <w:rPr>
          <w:rFonts w:cs="Arial"/>
          <w:i/>
          <w:iCs/>
          <w:color w:val="000000" w:themeColor="text1"/>
        </w:rPr>
        <w:t>et al.</w:t>
      </w:r>
      <w:r w:rsidRPr="004B60E3">
        <w:rPr>
          <w:rFonts w:cs="Arial"/>
          <w:color w:val="000000" w:themeColor="text1"/>
        </w:rPr>
        <w:t xml:space="preserve"> (2017) on a theoretical framework for SI. Regular check-ins backed by a comprehensive data tracking system and SE updates, signify a commitment to continuous reflection. This approach involves all stakeholders including the governing body who review it termly, aligning with the SLO model (Welsh Government, 2022). </w:t>
      </w:r>
      <w:r w:rsidRPr="004B60E3">
        <w:rPr>
          <w:rFonts w:cs="Arial"/>
          <w:color w:val="000000" w:themeColor="text1"/>
          <w:shd w:val="clear" w:color="auto" w:fill="FFFFFF"/>
        </w:rPr>
        <w:t>However, questions could be raised about some of the governing body's unique perspective on pedagogy, given their role outside the teaching profession. Furthermore, teachers follow a consistent process of reporting to their AoLE lead, and data is reviewed by the SLT link for monitoring. Notably, the ‘Dynamic Progress Reporting’ (DPR) system, unique to School X, ensures real-time clarity of progress for all stakeholders. Despite some considerations, the school's dedication to the development of quality teaching and preparing learners for the challenges of the future, remains prominent.</w:t>
      </w:r>
    </w:p>
    <w:p w14:paraId="62A54609" w14:textId="77777777" w:rsidR="00B676D5" w:rsidRDefault="00B56C33" w:rsidP="00B676D5">
      <w:pPr>
        <w:pStyle w:val="AssignBody"/>
        <w:rPr>
          <w:rFonts w:cs="Arial"/>
          <w:sz w:val="24"/>
          <w:szCs w:val="24"/>
        </w:rPr>
      </w:pPr>
      <w:r w:rsidRPr="004B60E3">
        <w:rPr>
          <w:rFonts w:cs="Arial"/>
          <w:sz w:val="24"/>
          <w:szCs w:val="24"/>
        </w:rPr>
        <w:br/>
      </w:r>
      <w:r w:rsidRPr="004B60E3">
        <w:rPr>
          <w:rFonts w:cs="Arial"/>
          <w:b/>
          <w:bCs/>
          <w:sz w:val="28"/>
          <w:szCs w:val="28"/>
        </w:rPr>
        <w:t>Reflection and evaluation</w:t>
      </w:r>
    </w:p>
    <w:p w14:paraId="1CE26E8F" w14:textId="3C1A93CF" w:rsidR="00B56C33" w:rsidRPr="004B60E3" w:rsidRDefault="00B56C33" w:rsidP="00B676D5">
      <w:pPr>
        <w:pStyle w:val="AssignBody"/>
        <w:rPr>
          <w:rFonts w:cs="Arial"/>
          <w:sz w:val="24"/>
          <w:szCs w:val="24"/>
        </w:rPr>
      </w:pPr>
      <w:r w:rsidRPr="004B60E3">
        <w:rPr>
          <w:rFonts w:cs="Arial"/>
          <w:sz w:val="24"/>
          <w:szCs w:val="24"/>
        </w:rPr>
        <w:br/>
      </w:r>
      <w:r w:rsidRPr="004B60E3">
        <w:rPr>
          <w:rFonts w:cs="Arial"/>
          <w:b/>
          <w:bCs/>
          <w:sz w:val="24"/>
          <w:szCs w:val="24"/>
        </w:rPr>
        <w:t>What?</w:t>
      </w:r>
      <w:r w:rsidRPr="004B60E3">
        <w:rPr>
          <w:rFonts w:cs="Arial"/>
          <w:b/>
          <w:bCs/>
          <w:sz w:val="24"/>
          <w:szCs w:val="24"/>
        </w:rPr>
        <w:br/>
      </w:r>
      <w:r w:rsidRPr="004B60E3">
        <w:rPr>
          <w:rFonts w:cs="Arial"/>
        </w:rPr>
        <w:t xml:space="preserve">School X's dedication to continuous improvement is evident in its response to challenges identified by Estyn (2020). The incorporation of evidence-based strategies (Lancer, 2014; Rosenshine, 2012) into the PETAL framework reflects a deliberate effort to promote independent practice. As does employing a well-formed SE approach, utilising diverse data sources, collaboration, and inclusive stakeholder engagement, both within and beyond the school. The overarching goal of the SDP is to enhance the overall educational experience, and nurture ambition for </w:t>
      </w:r>
      <w:r w:rsidRPr="004B60E3">
        <w:rPr>
          <w:rFonts w:cs="Arial"/>
          <w:b/>
          <w:bCs/>
        </w:rPr>
        <w:t xml:space="preserve">all </w:t>
      </w:r>
      <w:r w:rsidRPr="004B60E3">
        <w:rPr>
          <w:rFonts w:cs="Arial"/>
        </w:rPr>
        <w:t xml:space="preserve">learners in line with the National Mission (Welsh Government, 2023).  </w:t>
      </w:r>
      <w:r w:rsidRPr="004B60E3">
        <w:rPr>
          <w:rFonts w:cs="Arial"/>
        </w:rPr>
        <w:br/>
      </w:r>
    </w:p>
    <w:p w14:paraId="35B8388B" w14:textId="77777777" w:rsidR="00B56C33" w:rsidRPr="004B60E3" w:rsidRDefault="00B56C33" w:rsidP="00B676D5">
      <w:pPr>
        <w:pStyle w:val="AssignBody"/>
        <w:rPr>
          <w:rFonts w:cs="Arial"/>
        </w:rPr>
      </w:pPr>
      <w:proofErr w:type="gramStart"/>
      <w:r w:rsidRPr="004B60E3">
        <w:rPr>
          <w:rFonts w:cs="Arial"/>
          <w:b/>
          <w:bCs/>
          <w:sz w:val="24"/>
          <w:szCs w:val="24"/>
        </w:rPr>
        <w:t>So</w:t>
      </w:r>
      <w:proofErr w:type="gramEnd"/>
      <w:r w:rsidRPr="004B60E3">
        <w:rPr>
          <w:rFonts w:cs="Arial"/>
          <w:b/>
          <w:bCs/>
          <w:sz w:val="24"/>
          <w:szCs w:val="24"/>
        </w:rPr>
        <w:t xml:space="preserve"> What:</w:t>
      </w:r>
      <w:r w:rsidRPr="004B60E3">
        <w:rPr>
          <w:rFonts w:cs="Arial"/>
          <w:sz w:val="24"/>
          <w:szCs w:val="24"/>
        </w:rPr>
        <w:br/>
      </w:r>
      <w:r w:rsidRPr="004B60E3">
        <w:rPr>
          <w:rFonts w:cs="Arial"/>
        </w:rPr>
        <w:t>While School X's commitment to continuous improvement and collaboration is clear, a thorough assessment highlights various considerations of improvement methodologies. The reliance on established evidence and theories, championed by Ylimaki and Brunderman (2022), may unintentionally compromise the innovative and inquiry-rich ethos promoted by the SLO model (OECD, 2018; Welsh Government, 2020b), potentially shifting the focus from the learners needs to a teacher-centred perspective. However, it is important to recognise the school's proactive stance in incorporating evidence-based strategies, reflecting a dedication to enhancing independent practice opportunities for learners.</w:t>
      </w:r>
    </w:p>
    <w:p w14:paraId="775E091B" w14:textId="77777777" w:rsidR="00B56C33" w:rsidRPr="004B60E3" w:rsidRDefault="00B56C33" w:rsidP="00B676D5">
      <w:pPr>
        <w:pStyle w:val="AssignBody"/>
        <w:rPr>
          <w:rFonts w:cs="Arial"/>
        </w:rPr>
      </w:pPr>
    </w:p>
    <w:p w14:paraId="6D903E20" w14:textId="77777777" w:rsidR="00B56C33" w:rsidRPr="004B60E3" w:rsidRDefault="00B56C33" w:rsidP="00B676D5">
      <w:pPr>
        <w:pStyle w:val="AssignBody"/>
        <w:rPr>
          <w:rFonts w:cs="Arial"/>
        </w:rPr>
      </w:pPr>
      <w:bookmarkStart w:id="7" w:name="OLE_LINK3"/>
      <w:bookmarkStart w:id="8" w:name="OLE_LINK4"/>
      <w:r w:rsidRPr="004B60E3">
        <w:rPr>
          <w:rFonts w:cs="Arial"/>
        </w:rPr>
        <w:t xml:space="preserve">Collaborative initiatives, notably DDIs, although beneficial warrant cautious navigation due to potential biases and competing interests, as outlined by Brighouse and Woods (1999). </w:t>
      </w:r>
      <w:bookmarkEnd w:id="7"/>
      <w:bookmarkEnd w:id="8"/>
      <w:r w:rsidRPr="004B60E3">
        <w:rPr>
          <w:rFonts w:cs="Arial"/>
        </w:rPr>
        <w:t xml:space="preserve">This prompts reflection on the delicate balance within such initiatives and the need to explore power dynamics comprehensively. </w:t>
      </w:r>
      <w:r w:rsidRPr="004B60E3">
        <w:rPr>
          <w:rFonts w:cs="Arial"/>
        </w:rPr>
        <w:lastRenderedPageBreak/>
        <w:t xml:space="preserve">Moreover, incorporating authentic pupil voice is pivotal for the meaningful impact of the SDP (Donaldson, 2015; Education Scotland, 2018). This requires moving beyond symbolic gestures and ensuring alignment with students' tangible needs and experiences. </w:t>
      </w:r>
    </w:p>
    <w:p w14:paraId="51AC526D" w14:textId="77777777" w:rsidR="00B56C33" w:rsidRPr="004B60E3" w:rsidRDefault="00B56C33" w:rsidP="00B676D5">
      <w:pPr>
        <w:pStyle w:val="AssignBody"/>
        <w:rPr>
          <w:rFonts w:cs="Arial"/>
        </w:rPr>
      </w:pPr>
    </w:p>
    <w:p w14:paraId="5AE302BA" w14:textId="279C8AA9" w:rsidR="00B56C33" w:rsidRPr="004B60E3" w:rsidRDefault="00B56C33" w:rsidP="00B676D5">
      <w:pPr>
        <w:pStyle w:val="AssignBody"/>
        <w:rPr>
          <w:rFonts w:cs="Arial"/>
        </w:rPr>
      </w:pPr>
      <w:r w:rsidRPr="004B60E3">
        <w:rPr>
          <w:rFonts w:cs="Arial"/>
        </w:rPr>
        <w:t>The alignment of targets with PETAL principles and success criteria, while theoretically underpinned, raises concerns about the transferability of subject-specific skills to broader contexts (Welsh Government, 2022; Flower, 2014). A targeted yet flexible approach could be considered to develop a comprehensive skill set adaptable to diverse life situations (Welsh Government, 2022), acknowledging individual needs and prior exposure.</w:t>
      </w:r>
      <w:r w:rsidR="00B676D5">
        <w:rPr>
          <w:rFonts w:cs="Arial"/>
        </w:rPr>
        <w:t xml:space="preserve"> </w:t>
      </w:r>
      <w:r w:rsidRPr="004B60E3">
        <w:rPr>
          <w:rFonts w:cs="Arial"/>
        </w:rPr>
        <w:t xml:space="preserve">Additionally, the importance of the adaptability of strategies reflecting the context and area of the school and pupils is vital for an inclusive culture of improvement. This requires adaptability in involving all potential stakeholders, regardless of socio-economic barriers or circumstances, supporting Ainscow </w:t>
      </w:r>
      <w:r w:rsidRPr="004B60E3">
        <w:rPr>
          <w:rFonts w:cs="Arial"/>
          <w:i/>
          <w:iCs/>
        </w:rPr>
        <w:t>et al’s</w:t>
      </w:r>
      <w:r w:rsidRPr="004B60E3">
        <w:rPr>
          <w:rFonts w:cs="Arial"/>
        </w:rPr>
        <w:t xml:space="preserve"> ‘Ecology of Equity’ (2012).</w:t>
      </w:r>
    </w:p>
    <w:p w14:paraId="51EC7F52" w14:textId="77777777" w:rsidR="00B56C33" w:rsidRPr="004B60E3" w:rsidRDefault="00B56C33" w:rsidP="00B676D5">
      <w:pPr>
        <w:pStyle w:val="AssignBody"/>
        <w:rPr>
          <w:rFonts w:cs="Arial"/>
          <w:sz w:val="24"/>
          <w:szCs w:val="24"/>
        </w:rPr>
      </w:pPr>
    </w:p>
    <w:p w14:paraId="78DD6040" w14:textId="77777777" w:rsidR="00B56C33" w:rsidRPr="004B60E3" w:rsidRDefault="00B56C33" w:rsidP="00B676D5">
      <w:pPr>
        <w:pStyle w:val="AssignBody"/>
        <w:rPr>
          <w:rFonts w:cs="Arial"/>
          <w:b/>
          <w:bCs/>
          <w:sz w:val="24"/>
          <w:szCs w:val="24"/>
        </w:rPr>
      </w:pPr>
      <w:r w:rsidRPr="004B60E3">
        <w:rPr>
          <w:rFonts w:cs="Arial"/>
          <w:b/>
          <w:bCs/>
          <w:sz w:val="24"/>
          <w:szCs w:val="24"/>
        </w:rPr>
        <w:t>Now What:</w:t>
      </w:r>
    </w:p>
    <w:p w14:paraId="5FC273EE" w14:textId="77777777" w:rsidR="00B56C33" w:rsidRPr="004B60E3" w:rsidRDefault="00B56C33" w:rsidP="00B676D5">
      <w:pPr>
        <w:pStyle w:val="AssignBody"/>
        <w:rPr>
          <w:rFonts w:cs="Arial"/>
        </w:rPr>
      </w:pPr>
      <w:r w:rsidRPr="004B60E3">
        <w:rPr>
          <w:rFonts w:cs="Arial"/>
        </w:rPr>
        <w:t>Exploring the balance between evidence-based practices and promoting innovative inquiry is essential for future practice (Lancer, 2014). To enhance effective teaching and learning, a continuous exploration of emerging pedagogical trends through professional development opportunities is key. Examples such as forums or professional communities for educators to share practices including action research, will contribute to a dynamic and responsive learning environment (Schildkamp, 2019; Creemers and Kyriakidēs, 2012).</w:t>
      </w:r>
    </w:p>
    <w:p w14:paraId="41E654E4" w14:textId="77777777" w:rsidR="00B56C33" w:rsidRPr="004B60E3" w:rsidRDefault="00B56C33" w:rsidP="00B676D5">
      <w:pPr>
        <w:pStyle w:val="AssignBody"/>
        <w:rPr>
          <w:rFonts w:cs="Arial"/>
        </w:rPr>
      </w:pPr>
    </w:p>
    <w:p w14:paraId="3C538A17" w14:textId="77777777" w:rsidR="00B56C33" w:rsidRPr="004B60E3" w:rsidRDefault="00B56C33" w:rsidP="00B676D5">
      <w:pPr>
        <w:pStyle w:val="AssignBody"/>
        <w:rPr>
          <w:rFonts w:cs="Arial"/>
        </w:rPr>
      </w:pPr>
      <w:r w:rsidRPr="004B60E3">
        <w:rPr>
          <w:rFonts w:cs="Arial"/>
        </w:rPr>
        <w:t xml:space="preserve">In light of multiple considerations on the potential biases and influence in collaboration among stakeholders (Brighouse and Woods, 1999; Creemers and Kyriakidēs, 2012), further exploration into the effects and practicalities of this aspect is suggested. Exploring innovative strategies such as a teacher-swap program, which emphasises diverse perspectives and feedback (Jarl, Andersson, and Blossing, 2021), resonates with the call for a holistic understanding of factors contributing to school success. Additionally, prioritising transparency in decision-making, particularly including diverse voices is essential for an equitable, comprehensive SI approach (Education Scotland, 2018; Day, Gu, and Sammons, 2016). </w:t>
      </w:r>
    </w:p>
    <w:p w14:paraId="6BE57755" w14:textId="77777777" w:rsidR="00B56C33" w:rsidRPr="004B60E3" w:rsidRDefault="00B56C33" w:rsidP="00B676D5">
      <w:pPr>
        <w:pStyle w:val="AssignBody"/>
        <w:rPr>
          <w:rFonts w:cs="Arial"/>
        </w:rPr>
      </w:pPr>
    </w:p>
    <w:p w14:paraId="39999FDA" w14:textId="5596499B" w:rsidR="00B676D5" w:rsidRDefault="00B56C33" w:rsidP="00B676D5">
      <w:pPr>
        <w:pStyle w:val="AssignBody"/>
        <w:rPr>
          <w:rFonts w:cs="Arial"/>
        </w:rPr>
      </w:pPr>
      <w:r w:rsidRPr="004B60E3">
        <w:rPr>
          <w:rFonts w:cs="Arial"/>
        </w:rPr>
        <w:t>Developing SE strategies to become more cyclical and spontaneous rather than descriptive and linear, ensures data's pivotal role in SI (Schildkamp, 2019; Creemers and Kyriakidēs, 2012). Experimenting to adapt the fundamentals of DDI’s into other processes, like spreadsheets. may allow a greater knowledge of outcomes and alternative perspectives. This dynamic approach aligns with the commitment to quality teaching while adapting to evolving educational requirements (Education Scotland, 2018; Creemers and Kyriakidēs, 2012).</w:t>
      </w:r>
      <w:r w:rsidRPr="004B60E3">
        <w:rPr>
          <w:rFonts w:cs="Arial"/>
        </w:rPr>
        <w:br/>
      </w:r>
      <w:r w:rsidRPr="004B60E3">
        <w:rPr>
          <w:rFonts w:cs="Arial"/>
        </w:rPr>
        <w:br/>
      </w:r>
      <w:r w:rsidRPr="004B60E3">
        <w:rPr>
          <w:rFonts w:cs="Arial"/>
        </w:rPr>
        <w:lastRenderedPageBreak/>
        <w:t xml:space="preserve">Embracing Ainscow </w:t>
      </w:r>
      <w:r w:rsidRPr="004B60E3">
        <w:rPr>
          <w:rFonts w:cs="Arial"/>
          <w:i/>
          <w:iCs/>
        </w:rPr>
        <w:t>et al.'s</w:t>
      </w:r>
      <w:r w:rsidRPr="004B60E3">
        <w:rPr>
          <w:rFonts w:cs="Arial"/>
        </w:rPr>
        <w:t xml:space="preserve"> 'ecology of equity' concept (2012) highlights the importance of understanding and addressing community context in developing equitable strategies. It's crucial to interweave various action points at a detailed level to support mutual development. For a strategy to be effective, it must consider all elements, particularly socio-economic factors, which are highlighted to impact student progress and potential, as noted by Hallinger and Heck (2011). Therefore, further exploration and interventions should be explored to overcome this challenge. </w:t>
      </w:r>
    </w:p>
    <w:p w14:paraId="737F70A4" w14:textId="77777777" w:rsidR="00B676D5" w:rsidRPr="00B676D5" w:rsidRDefault="00B676D5" w:rsidP="00B676D5">
      <w:pPr>
        <w:pStyle w:val="AssignBody"/>
        <w:rPr>
          <w:rFonts w:cs="Arial"/>
        </w:rPr>
      </w:pPr>
    </w:p>
    <w:p w14:paraId="2E2F72CB" w14:textId="77777777" w:rsidR="00B56C33" w:rsidRPr="004B60E3" w:rsidRDefault="00B56C33" w:rsidP="00B676D5">
      <w:pPr>
        <w:pStyle w:val="AssignBody"/>
        <w:rPr>
          <w:rFonts w:cs="Arial"/>
        </w:rPr>
      </w:pPr>
      <w:r w:rsidRPr="004B60E3">
        <w:rPr>
          <w:rFonts w:cs="Arial"/>
          <w:b/>
          <w:bCs/>
          <w:sz w:val="28"/>
          <w:szCs w:val="28"/>
        </w:rPr>
        <w:t>Conclusion</w:t>
      </w:r>
      <w:r w:rsidRPr="004B60E3">
        <w:rPr>
          <w:rFonts w:cs="Arial"/>
          <w:sz w:val="24"/>
          <w:szCs w:val="24"/>
        </w:rPr>
        <w:br/>
      </w:r>
      <w:r w:rsidRPr="004B60E3">
        <w:rPr>
          <w:rFonts w:cs="Arial"/>
        </w:rPr>
        <w:t xml:space="preserve">In conclusion, this assignment has provided a comprehensive examination of School X's improvement initiatives, emphasising the intricate dynamics of evidence-based practices, stakeholder collaboration, and fostering independent practice opportunities </w:t>
      </w:r>
      <w:r w:rsidRPr="004B60E3">
        <w:rPr>
          <w:rFonts w:cs="Arial"/>
          <w:color w:val="0D0D0D"/>
          <w:shd w:val="clear" w:color="auto" w:fill="FFFFFF"/>
        </w:rPr>
        <w:t xml:space="preserve">(Day, Gu, and Sammons, 2016; Creemers and Kyriakidēs, 2012). The critical assessment highlighted the need for strategic adjustments, balancing teacher guidance and learner autonomy, and emphasising inclusive stakeholder engagement (Lancer, 2014; Ainscow </w:t>
      </w:r>
      <w:r w:rsidRPr="004B60E3">
        <w:rPr>
          <w:rFonts w:cs="Arial"/>
          <w:i/>
          <w:iCs/>
          <w:color w:val="0D0D0D"/>
          <w:shd w:val="clear" w:color="auto" w:fill="FFFFFF"/>
        </w:rPr>
        <w:t>et al</w:t>
      </w:r>
      <w:r w:rsidRPr="004B60E3">
        <w:rPr>
          <w:rFonts w:cs="Arial"/>
          <w:color w:val="0D0D0D"/>
          <w:shd w:val="clear" w:color="auto" w:fill="FFFFFF"/>
        </w:rPr>
        <w:t>., 2012). The exploration has enabled a</w:t>
      </w:r>
      <w:r w:rsidRPr="004B60E3">
        <w:rPr>
          <w:rFonts w:cs="Arial"/>
        </w:rPr>
        <w:t xml:space="preserve"> greater understanding of continuous improvement, innovation, and the importance of adapting evidence-based strategies to diverse contexts, providing a holistic approach to improvement (Jarl, Andersson, and Blossing, 2021). This learning experience underscores the significance of meaningful processes in planning, evaluating, and refining SDP’S (Creemers and Kyriakidēs 2012; Welsh Government, 2023).</w:t>
      </w:r>
    </w:p>
    <w:p w14:paraId="6D53AB50" w14:textId="77777777" w:rsidR="00B56C33" w:rsidRPr="004B60E3" w:rsidRDefault="00B56C33" w:rsidP="00B676D5">
      <w:pPr>
        <w:pStyle w:val="AssignBody"/>
        <w:rPr>
          <w:rFonts w:cs="Arial"/>
        </w:rPr>
      </w:pPr>
    </w:p>
    <w:p w14:paraId="3DE00689" w14:textId="77777777" w:rsidR="00B56C33" w:rsidRPr="004B60E3" w:rsidRDefault="00B56C33" w:rsidP="00B676D5">
      <w:pPr>
        <w:pStyle w:val="AssignBody"/>
        <w:rPr>
          <w:rFonts w:cs="Arial"/>
        </w:rPr>
      </w:pPr>
      <w:r w:rsidRPr="004B60E3">
        <w:rPr>
          <w:rFonts w:cs="Arial"/>
        </w:rPr>
        <w:t xml:space="preserve">Moving forward, the researcher is dedicated to refining teaching practices by cultivating opportunities for independent practice that empower pupils as confident and capable individuals, aligning with the four purposes and professional standards. </w:t>
      </w:r>
      <w:r w:rsidRPr="004B60E3">
        <w:rPr>
          <w:rFonts w:cs="Arial"/>
          <w:color w:val="0D0D0D"/>
          <w:shd w:val="clear" w:color="auto" w:fill="FFFFFF"/>
        </w:rPr>
        <w:t>Aligned with the National Mission (Welsh Government, 2023), this commitment strives for all pupils to thrive and succeed in our ever-changing world.</w:t>
      </w:r>
    </w:p>
    <w:p w14:paraId="5B42E26F" w14:textId="77777777" w:rsidR="00264F8F" w:rsidRDefault="00264F8F" w:rsidP="00B676D5">
      <w:pPr>
        <w:pStyle w:val="AssignBody"/>
      </w:pPr>
    </w:p>
    <w:p w14:paraId="7D23E8B1" w14:textId="77777777" w:rsidR="00264F8F" w:rsidRDefault="00264F8F" w:rsidP="00B676D5">
      <w:pPr>
        <w:pStyle w:val="AssignBody"/>
      </w:pPr>
    </w:p>
    <w:p w14:paraId="38DDABB2" w14:textId="77777777" w:rsidR="00264F8F" w:rsidRDefault="00264F8F" w:rsidP="00B676D5">
      <w:pPr>
        <w:pStyle w:val="AssignBody"/>
      </w:pPr>
    </w:p>
    <w:p w14:paraId="390EB302" w14:textId="77777777" w:rsidR="00264F8F" w:rsidRDefault="00264F8F" w:rsidP="00B676D5">
      <w:pPr>
        <w:pStyle w:val="AssignBody"/>
      </w:pPr>
    </w:p>
    <w:p w14:paraId="178F3638" w14:textId="77777777" w:rsidR="00264F8F" w:rsidRDefault="00264F8F" w:rsidP="00B676D5">
      <w:pPr>
        <w:pStyle w:val="AssignBody"/>
      </w:pPr>
    </w:p>
    <w:p w14:paraId="0ABF124D" w14:textId="77777777" w:rsidR="00264F8F" w:rsidRDefault="00264F8F" w:rsidP="00B676D5">
      <w:pPr>
        <w:pStyle w:val="AssignBody"/>
      </w:pPr>
    </w:p>
    <w:p w14:paraId="7D93928E" w14:textId="77777777" w:rsidR="00264F8F" w:rsidRDefault="00264F8F" w:rsidP="00B676D5">
      <w:pPr>
        <w:pStyle w:val="AssignBody"/>
      </w:pPr>
    </w:p>
    <w:p w14:paraId="0404C443" w14:textId="77777777" w:rsidR="00264F8F" w:rsidRDefault="00264F8F" w:rsidP="00B676D5">
      <w:pPr>
        <w:pStyle w:val="AssignBody"/>
      </w:pPr>
    </w:p>
    <w:p w14:paraId="396AA20F" w14:textId="77777777" w:rsidR="00264F8F" w:rsidRDefault="00264F8F" w:rsidP="00B676D5">
      <w:pPr>
        <w:pStyle w:val="AssignBody"/>
      </w:pPr>
    </w:p>
    <w:p w14:paraId="56AEF14F" w14:textId="77777777" w:rsidR="00264F8F" w:rsidRDefault="00264F8F" w:rsidP="00B676D5">
      <w:pPr>
        <w:pStyle w:val="AssignBody"/>
      </w:pPr>
    </w:p>
    <w:p w14:paraId="23A70720" w14:textId="77777777" w:rsidR="00264F8F" w:rsidRDefault="00264F8F" w:rsidP="00B676D5">
      <w:pPr>
        <w:pStyle w:val="AssignBody"/>
      </w:pPr>
    </w:p>
    <w:p w14:paraId="13FC51EF" w14:textId="77777777" w:rsidR="00264F8F" w:rsidRDefault="00264F8F" w:rsidP="00B676D5">
      <w:pPr>
        <w:pStyle w:val="AssignBody"/>
      </w:pPr>
    </w:p>
    <w:p w14:paraId="19BFAB8D" w14:textId="77777777" w:rsidR="00264F8F" w:rsidRDefault="00264F8F" w:rsidP="00B676D5">
      <w:pPr>
        <w:pStyle w:val="AssignBody"/>
      </w:pPr>
    </w:p>
    <w:p w14:paraId="489A97BA" w14:textId="77777777" w:rsidR="00264F8F" w:rsidRDefault="00264F8F" w:rsidP="00B676D5">
      <w:pPr>
        <w:pStyle w:val="AssignBody"/>
      </w:pPr>
    </w:p>
    <w:p w14:paraId="5019B33D" w14:textId="77777777" w:rsidR="00264F8F" w:rsidRDefault="00264F8F" w:rsidP="00B676D5">
      <w:pPr>
        <w:pStyle w:val="AssignBody"/>
      </w:pPr>
    </w:p>
    <w:p w14:paraId="0AFE7CD7" w14:textId="77777777" w:rsidR="00195F75" w:rsidRDefault="00195F75" w:rsidP="00B676D5">
      <w:pPr>
        <w:pStyle w:val="AssignBody"/>
      </w:pPr>
    </w:p>
    <w:p w14:paraId="2E8C2B77" w14:textId="77777777" w:rsidR="00195F75" w:rsidRDefault="00195F75" w:rsidP="00B676D5">
      <w:pPr>
        <w:pStyle w:val="AssignBody"/>
      </w:pPr>
    </w:p>
    <w:p w14:paraId="1BC02AF8" w14:textId="77777777" w:rsidR="00195F75" w:rsidRDefault="00195F75" w:rsidP="00B676D5">
      <w:pPr>
        <w:pStyle w:val="AssignBody"/>
      </w:pPr>
    </w:p>
    <w:p w14:paraId="64BCB582" w14:textId="77777777" w:rsidR="00195F75" w:rsidRDefault="00195F75" w:rsidP="00B676D5">
      <w:pPr>
        <w:pStyle w:val="AssignBody"/>
      </w:pPr>
    </w:p>
    <w:p w14:paraId="3898EBF1" w14:textId="77777777" w:rsidR="00195F75" w:rsidRDefault="00195F75" w:rsidP="00B676D5">
      <w:pPr>
        <w:pStyle w:val="AssignBody"/>
      </w:pPr>
    </w:p>
    <w:p w14:paraId="69D47ADF" w14:textId="77777777" w:rsidR="00195F75" w:rsidRDefault="00195F75" w:rsidP="00B676D5">
      <w:pPr>
        <w:pStyle w:val="AssignBody"/>
      </w:pPr>
    </w:p>
    <w:p w14:paraId="6A159827" w14:textId="77777777" w:rsidR="00195F75" w:rsidRDefault="00195F75" w:rsidP="00B676D5">
      <w:pPr>
        <w:pStyle w:val="AssignBody"/>
      </w:pPr>
    </w:p>
    <w:p w14:paraId="400CEFE5" w14:textId="77777777" w:rsidR="00195F75" w:rsidRDefault="00195F75" w:rsidP="00B676D5">
      <w:pPr>
        <w:pStyle w:val="AssignBody"/>
      </w:pPr>
    </w:p>
    <w:p w14:paraId="07E49789" w14:textId="68BA77E7" w:rsidR="00264F8F" w:rsidRPr="00111375" w:rsidRDefault="00195F75" w:rsidP="00111375">
      <w:pPr>
        <w:pStyle w:val="AssignBody"/>
        <w:rPr>
          <w:rFonts w:cs="Arial"/>
          <w:b/>
          <w:bCs/>
          <w:color w:val="000000" w:themeColor="text1"/>
          <w:u w:val="single"/>
        </w:rPr>
      </w:pPr>
      <w:r w:rsidRPr="00111375">
        <w:rPr>
          <w:rFonts w:cs="Arial"/>
          <w:color w:val="000000" w:themeColor="text1"/>
        </w:rPr>
        <w:t xml:space="preserve">                                                                </w:t>
      </w:r>
      <w:r w:rsidR="00264F8F" w:rsidRPr="00111375">
        <w:rPr>
          <w:rFonts w:cs="Arial"/>
          <w:b/>
          <w:bCs/>
          <w:color w:val="000000" w:themeColor="text1"/>
          <w:sz w:val="28"/>
          <w:szCs w:val="28"/>
          <w:u w:val="single"/>
        </w:rPr>
        <w:t>Reference List</w:t>
      </w:r>
    </w:p>
    <w:p w14:paraId="44BEA2F6" w14:textId="77777777" w:rsidR="00212468" w:rsidRPr="00111375" w:rsidRDefault="00212468" w:rsidP="00111375">
      <w:pPr>
        <w:pStyle w:val="AssignBody"/>
        <w:ind w:left="2880"/>
        <w:rPr>
          <w:rFonts w:cs="Arial"/>
          <w:color w:val="000000" w:themeColor="text1"/>
        </w:rPr>
      </w:pPr>
    </w:p>
    <w:p w14:paraId="0261F1C3" w14:textId="77777777" w:rsidR="00264F8F" w:rsidRPr="00111375" w:rsidRDefault="00264F8F" w:rsidP="00111375">
      <w:pPr>
        <w:pStyle w:val="AssignBody"/>
        <w:rPr>
          <w:rFonts w:cs="Arial"/>
          <w:color w:val="000000" w:themeColor="text1"/>
        </w:rPr>
      </w:pPr>
    </w:p>
    <w:p w14:paraId="0C111D74" w14:textId="40469B67"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Ainscow, M., Dyson, A., </w:t>
      </w:r>
      <w:proofErr w:type="spellStart"/>
      <w:r w:rsidRPr="00111375">
        <w:rPr>
          <w:rFonts w:ascii="Arial" w:hAnsi="Arial" w:cs="Arial"/>
          <w:color w:val="000000" w:themeColor="text1"/>
          <w:sz w:val="22"/>
          <w:szCs w:val="22"/>
        </w:rPr>
        <w:t>Goldrick</w:t>
      </w:r>
      <w:proofErr w:type="spellEnd"/>
      <w:r w:rsidRPr="00111375">
        <w:rPr>
          <w:rFonts w:ascii="Arial" w:hAnsi="Arial" w:cs="Arial"/>
          <w:color w:val="000000" w:themeColor="text1"/>
          <w:sz w:val="22"/>
          <w:szCs w:val="22"/>
        </w:rPr>
        <w:t xml:space="preserve">, S. and West, M. </w:t>
      </w:r>
      <w:r w:rsidRPr="00111375">
        <w:rPr>
          <w:rFonts w:ascii="Arial" w:hAnsi="Arial" w:cs="Arial"/>
          <w:b/>
          <w:bCs/>
          <w:color w:val="000000" w:themeColor="text1"/>
          <w:sz w:val="22"/>
          <w:szCs w:val="22"/>
        </w:rPr>
        <w:t>(2012)</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Making schools effective for all: rethinking the task’</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School Leadership &amp; Management</w:t>
      </w:r>
      <w:r w:rsidRPr="00111375">
        <w:rPr>
          <w:rFonts w:ascii="Arial" w:hAnsi="Arial" w:cs="Arial"/>
          <w:color w:val="000000" w:themeColor="text1"/>
          <w:sz w:val="22"/>
          <w:szCs w:val="22"/>
        </w:rPr>
        <w:t xml:space="preserve">, 32(3), pp. 197–213. Available at: </w:t>
      </w:r>
      <w:hyperlink r:id="rId9" w:history="1">
        <w:r w:rsidR="00195F75" w:rsidRPr="00111375">
          <w:rPr>
            <w:rStyle w:val="Hyperlink"/>
            <w:rFonts w:ascii="Arial" w:hAnsi="Arial" w:cs="Arial"/>
            <w:color w:val="000000" w:themeColor="text1"/>
            <w:sz w:val="22"/>
            <w:szCs w:val="22"/>
          </w:rPr>
          <w:t>https://doi.org/10.1080/13632434.2012.669648</w:t>
        </w:r>
      </w:hyperlink>
      <w:r w:rsidRPr="00111375">
        <w:rPr>
          <w:rFonts w:ascii="Arial" w:hAnsi="Arial" w:cs="Arial"/>
          <w:color w:val="000000" w:themeColor="text1"/>
          <w:sz w:val="22"/>
          <w:szCs w:val="22"/>
        </w:rPr>
        <w:t>.</w:t>
      </w:r>
      <w:r w:rsidR="00195F75" w:rsidRPr="00111375">
        <w:rPr>
          <w:rFonts w:ascii="Arial" w:hAnsi="Arial" w:cs="Arial"/>
          <w:color w:val="000000" w:themeColor="text1"/>
          <w:sz w:val="22"/>
          <w:szCs w:val="22"/>
        </w:rPr>
        <w:t xml:space="preserve"> {accessed online 02/02/24}</w:t>
      </w:r>
    </w:p>
    <w:p w14:paraId="07A39554" w14:textId="02A35B4E"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BERA</w:t>
      </w:r>
      <w:r w:rsidR="00751C53" w:rsidRPr="00111375">
        <w:rPr>
          <w:rFonts w:ascii="Arial" w:hAnsi="Arial" w:cs="Arial"/>
          <w:color w:val="000000" w:themeColor="text1"/>
          <w:sz w:val="22"/>
          <w:szCs w:val="22"/>
        </w:rPr>
        <w:t xml:space="preserve">. </w:t>
      </w:r>
      <w:r w:rsidRPr="00111375">
        <w:rPr>
          <w:rFonts w:ascii="Arial" w:hAnsi="Arial" w:cs="Arial"/>
          <w:b/>
          <w:bCs/>
          <w:color w:val="000000" w:themeColor="text1"/>
          <w:sz w:val="22"/>
          <w:szCs w:val="22"/>
        </w:rPr>
        <w:t>(2018)</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Ethical Guidelines for Educational Research</w:t>
      </w:r>
      <w:r w:rsidR="00751C53" w:rsidRPr="00111375">
        <w:rPr>
          <w:rFonts w:ascii="Arial" w:hAnsi="Arial" w:cs="Arial"/>
          <w:i/>
          <w:iCs/>
          <w:color w:val="000000" w:themeColor="text1"/>
          <w:sz w:val="22"/>
          <w:szCs w:val="22"/>
        </w:rPr>
        <w:t>.</w:t>
      </w:r>
      <w:r w:rsidRPr="00111375">
        <w:rPr>
          <w:rFonts w:ascii="Arial" w:hAnsi="Arial" w:cs="Arial"/>
          <w:i/>
          <w:iCs/>
          <w:color w:val="000000" w:themeColor="text1"/>
          <w:sz w:val="22"/>
          <w:szCs w:val="22"/>
        </w:rPr>
        <w:t xml:space="preserve"> </w:t>
      </w:r>
      <w:r w:rsidRPr="00111375">
        <w:rPr>
          <w:rFonts w:ascii="Arial" w:hAnsi="Arial" w:cs="Arial"/>
          <w:color w:val="000000" w:themeColor="text1"/>
          <w:sz w:val="22"/>
          <w:szCs w:val="22"/>
        </w:rPr>
        <w:t>fourth edition</w:t>
      </w:r>
      <w:r w:rsidR="00751C53" w:rsidRPr="00111375">
        <w:rPr>
          <w:rFonts w:ascii="Arial" w:hAnsi="Arial" w:cs="Arial"/>
          <w:i/>
          <w:iCs/>
          <w:color w:val="000000" w:themeColor="text1"/>
          <w:sz w:val="22"/>
          <w:szCs w:val="22"/>
        </w:rPr>
        <w:t xml:space="preserve">. </w:t>
      </w:r>
      <w:r w:rsidRPr="00111375">
        <w:rPr>
          <w:rFonts w:ascii="Arial" w:hAnsi="Arial" w:cs="Arial"/>
          <w:color w:val="000000" w:themeColor="text1"/>
          <w:sz w:val="22"/>
          <w:szCs w:val="22"/>
        </w:rPr>
        <w:t xml:space="preserve">British Educational Research Association. Available at: </w:t>
      </w:r>
      <w:hyperlink r:id="rId10" w:history="1">
        <w:r w:rsidR="00195F75" w:rsidRPr="00111375">
          <w:rPr>
            <w:rStyle w:val="Hyperlink"/>
            <w:rFonts w:ascii="Arial" w:hAnsi="Arial" w:cs="Arial"/>
            <w:color w:val="000000" w:themeColor="text1"/>
            <w:sz w:val="22"/>
            <w:szCs w:val="22"/>
          </w:rPr>
          <w:t>https://www.bera.ac.uk/publication/ethical-guidelines-for-educational-research-2018</w:t>
        </w:r>
      </w:hyperlink>
      <w:r w:rsidRPr="00111375">
        <w:rPr>
          <w:rFonts w:ascii="Arial" w:hAnsi="Arial" w:cs="Arial"/>
          <w:color w:val="000000" w:themeColor="text1"/>
          <w:sz w:val="22"/>
          <w:szCs w:val="22"/>
        </w:rPr>
        <w:t>.</w:t>
      </w:r>
      <w:r w:rsidR="00195F75" w:rsidRPr="00111375">
        <w:rPr>
          <w:rFonts w:ascii="Arial" w:hAnsi="Arial" w:cs="Arial"/>
          <w:color w:val="000000" w:themeColor="text1"/>
          <w:sz w:val="22"/>
          <w:szCs w:val="22"/>
        </w:rPr>
        <w:t xml:space="preserve"> </w:t>
      </w:r>
      <w:r w:rsidR="00195F75" w:rsidRPr="00111375">
        <w:rPr>
          <w:rFonts w:ascii="Arial" w:hAnsi="Arial" w:cs="Arial"/>
          <w:color w:val="000000" w:themeColor="text1"/>
          <w:sz w:val="22"/>
          <w:szCs w:val="22"/>
        </w:rPr>
        <w:t xml:space="preserve">{accessed online </w:t>
      </w:r>
      <w:r w:rsidR="0002284D" w:rsidRPr="00111375">
        <w:rPr>
          <w:rFonts w:ascii="Arial" w:hAnsi="Arial" w:cs="Arial"/>
          <w:color w:val="000000" w:themeColor="text1"/>
          <w:sz w:val="22"/>
          <w:szCs w:val="22"/>
        </w:rPr>
        <w:t>26/01/24</w:t>
      </w:r>
      <w:r w:rsidR="00195F75" w:rsidRPr="00111375">
        <w:rPr>
          <w:rFonts w:ascii="Arial" w:hAnsi="Arial" w:cs="Arial"/>
          <w:color w:val="000000" w:themeColor="text1"/>
          <w:sz w:val="22"/>
          <w:szCs w:val="22"/>
        </w:rPr>
        <w:t>}</w:t>
      </w:r>
    </w:p>
    <w:p w14:paraId="29A4751C" w14:textId="7BC1AEAA"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Botha, R. </w:t>
      </w:r>
      <w:r w:rsidRPr="00111375">
        <w:rPr>
          <w:rFonts w:ascii="Arial" w:hAnsi="Arial" w:cs="Arial"/>
          <w:b/>
          <w:bCs/>
          <w:color w:val="000000" w:themeColor="text1"/>
          <w:sz w:val="22"/>
          <w:szCs w:val="22"/>
        </w:rPr>
        <w:t>(2010)</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School effectiveness: conceptualising divergent assessment approaches’</w:t>
      </w:r>
      <w:r w:rsidRPr="00111375">
        <w:rPr>
          <w:rFonts w:ascii="Arial" w:hAnsi="Arial" w:cs="Arial"/>
          <w:color w:val="000000" w:themeColor="text1"/>
          <w:sz w:val="22"/>
          <w:szCs w:val="22"/>
        </w:rPr>
        <w:t xml:space="preserve">, South African Journal of Education, 30(4), pp. 605–620. Available at: </w:t>
      </w:r>
      <w:hyperlink r:id="rId11" w:history="1">
        <w:r w:rsidR="00195F75" w:rsidRPr="00111375">
          <w:rPr>
            <w:rStyle w:val="Hyperlink"/>
            <w:rFonts w:ascii="Arial" w:hAnsi="Arial" w:cs="Arial"/>
            <w:color w:val="000000" w:themeColor="text1"/>
            <w:sz w:val="22"/>
            <w:szCs w:val="22"/>
          </w:rPr>
          <w:t>https://doi.org/10.15700/saje.v30n4a391</w:t>
        </w:r>
      </w:hyperlink>
      <w:r w:rsidRPr="00111375">
        <w:rPr>
          <w:rFonts w:ascii="Arial" w:hAnsi="Arial" w:cs="Arial"/>
          <w:color w:val="000000" w:themeColor="text1"/>
          <w:sz w:val="22"/>
          <w:szCs w:val="22"/>
        </w:rPr>
        <w:t>.</w:t>
      </w:r>
      <w:r w:rsidR="00195F75" w:rsidRPr="00111375">
        <w:rPr>
          <w:rFonts w:ascii="Arial" w:hAnsi="Arial" w:cs="Arial"/>
          <w:color w:val="000000" w:themeColor="text1"/>
          <w:sz w:val="22"/>
          <w:szCs w:val="22"/>
        </w:rPr>
        <w:t xml:space="preserve"> </w:t>
      </w:r>
      <w:r w:rsidR="00195F75" w:rsidRPr="00111375">
        <w:rPr>
          <w:rFonts w:ascii="Arial" w:hAnsi="Arial" w:cs="Arial"/>
          <w:color w:val="000000" w:themeColor="text1"/>
          <w:sz w:val="22"/>
          <w:szCs w:val="22"/>
        </w:rPr>
        <w:t>{accessed online 02/02/24}</w:t>
      </w:r>
    </w:p>
    <w:p w14:paraId="252D727D" w14:textId="77777777"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Brighouse, T. and Woods, D. </w:t>
      </w:r>
      <w:r w:rsidRPr="00111375">
        <w:rPr>
          <w:rFonts w:ascii="Arial" w:hAnsi="Arial" w:cs="Arial"/>
          <w:b/>
          <w:bCs/>
          <w:color w:val="000000" w:themeColor="text1"/>
          <w:sz w:val="22"/>
          <w:szCs w:val="22"/>
        </w:rPr>
        <w:t>(1999)</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How to Improve Your School</w:t>
      </w:r>
      <w:r w:rsidRPr="00111375">
        <w:rPr>
          <w:rFonts w:ascii="Arial" w:hAnsi="Arial" w:cs="Arial"/>
          <w:color w:val="000000" w:themeColor="text1"/>
          <w:sz w:val="22"/>
          <w:szCs w:val="22"/>
        </w:rPr>
        <w:t xml:space="preserve">. 1st </w:t>
      </w:r>
      <w:proofErr w:type="spellStart"/>
      <w:r w:rsidRPr="00111375">
        <w:rPr>
          <w:rFonts w:ascii="Arial" w:hAnsi="Arial" w:cs="Arial"/>
          <w:color w:val="000000" w:themeColor="text1"/>
          <w:sz w:val="22"/>
          <w:szCs w:val="22"/>
        </w:rPr>
        <w:t>edn</w:t>
      </w:r>
      <w:proofErr w:type="spellEnd"/>
      <w:r w:rsidRPr="00111375">
        <w:rPr>
          <w:rFonts w:ascii="Arial" w:hAnsi="Arial" w:cs="Arial"/>
          <w:color w:val="000000" w:themeColor="text1"/>
          <w:sz w:val="22"/>
          <w:szCs w:val="22"/>
        </w:rPr>
        <w:t>. Routledge.</w:t>
      </w:r>
    </w:p>
    <w:p w14:paraId="6E920DEF" w14:textId="517DAE4A"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Colter, R. and Ulatowski, J. </w:t>
      </w:r>
      <w:r w:rsidRPr="00111375">
        <w:rPr>
          <w:rFonts w:ascii="Arial" w:hAnsi="Arial" w:cs="Arial"/>
          <w:b/>
          <w:bCs/>
          <w:color w:val="000000" w:themeColor="text1"/>
          <w:sz w:val="22"/>
          <w:szCs w:val="22"/>
        </w:rPr>
        <w:t>(2017)</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‘The unexamined student is not worth teaching: preparation, the zone of proximal development, and the Socratic Model of Scaffolded Learning’</w:t>
      </w:r>
      <w:r w:rsidRPr="00111375">
        <w:rPr>
          <w:rFonts w:ascii="Arial" w:hAnsi="Arial" w:cs="Arial"/>
          <w:color w:val="000000" w:themeColor="text1"/>
          <w:sz w:val="22"/>
          <w:szCs w:val="22"/>
        </w:rPr>
        <w:t xml:space="preserve">, Educational Philosophy and Theory, 49(14), pp. 1367–1380. Available at: </w:t>
      </w:r>
      <w:hyperlink r:id="rId12" w:history="1">
        <w:r w:rsidR="00195F75" w:rsidRPr="00111375">
          <w:rPr>
            <w:rStyle w:val="Hyperlink"/>
            <w:rFonts w:ascii="Arial" w:hAnsi="Arial" w:cs="Arial"/>
            <w:color w:val="000000" w:themeColor="text1"/>
            <w:sz w:val="22"/>
            <w:szCs w:val="22"/>
          </w:rPr>
          <w:t>https://doi.org/10.1080/00131857.2017.1282340</w:t>
        </w:r>
      </w:hyperlink>
      <w:r w:rsidRPr="00111375">
        <w:rPr>
          <w:rFonts w:ascii="Arial" w:hAnsi="Arial" w:cs="Arial"/>
          <w:color w:val="000000" w:themeColor="text1"/>
          <w:sz w:val="22"/>
          <w:szCs w:val="22"/>
        </w:rPr>
        <w:t>.</w:t>
      </w:r>
      <w:r w:rsidR="00195F75" w:rsidRPr="00111375">
        <w:rPr>
          <w:rFonts w:ascii="Arial" w:hAnsi="Arial" w:cs="Arial"/>
          <w:color w:val="000000" w:themeColor="text1"/>
          <w:sz w:val="22"/>
          <w:szCs w:val="22"/>
        </w:rPr>
        <w:t xml:space="preserve"> </w:t>
      </w:r>
      <w:r w:rsidR="00195F75" w:rsidRPr="00111375">
        <w:rPr>
          <w:rFonts w:ascii="Arial" w:hAnsi="Arial" w:cs="Arial"/>
          <w:color w:val="000000" w:themeColor="text1"/>
          <w:sz w:val="22"/>
          <w:szCs w:val="22"/>
        </w:rPr>
        <w:t>{accessed online 0</w:t>
      </w:r>
      <w:r w:rsidR="00195F75" w:rsidRPr="00111375">
        <w:rPr>
          <w:rFonts w:ascii="Arial" w:hAnsi="Arial" w:cs="Arial"/>
          <w:color w:val="000000" w:themeColor="text1"/>
          <w:sz w:val="22"/>
          <w:szCs w:val="22"/>
        </w:rPr>
        <w:t>6</w:t>
      </w:r>
      <w:r w:rsidR="00195F75" w:rsidRPr="00111375">
        <w:rPr>
          <w:rFonts w:ascii="Arial" w:hAnsi="Arial" w:cs="Arial"/>
          <w:color w:val="000000" w:themeColor="text1"/>
          <w:sz w:val="22"/>
          <w:szCs w:val="22"/>
        </w:rPr>
        <w:t>/02/24}</w:t>
      </w:r>
    </w:p>
    <w:p w14:paraId="742D6CE0" w14:textId="4FF2761C"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Creemers, B.P.M. and </w:t>
      </w:r>
      <w:proofErr w:type="spellStart"/>
      <w:r w:rsidRPr="00111375">
        <w:rPr>
          <w:rFonts w:ascii="Arial" w:hAnsi="Arial" w:cs="Arial"/>
          <w:color w:val="000000" w:themeColor="text1"/>
          <w:sz w:val="22"/>
          <w:szCs w:val="22"/>
        </w:rPr>
        <w:t>Kyriakide</w:t>
      </w:r>
      <w:r w:rsidR="003F41A3" w:rsidRPr="00111375">
        <w:rPr>
          <w:rFonts w:ascii="Arial" w:hAnsi="Arial" w:cs="Arial"/>
          <w:color w:val="000000" w:themeColor="text1"/>
          <w:sz w:val="22"/>
          <w:szCs w:val="22"/>
        </w:rPr>
        <w:t>s</w:t>
      </w:r>
      <w:proofErr w:type="spellEnd"/>
      <w:r w:rsidR="003F41A3" w:rsidRPr="00111375">
        <w:rPr>
          <w:rFonts w:ascii="Arial" w:hAnsi="Arial" w:cs="Arial"/>
          <w:color w:val="000000" w:themeColor="text1"/>
          <w:sz w:val="22"/>
          <w:szCs w:val="22"/>
        </w:rPr>
        <w:t xml:space="preserve"> </w:t>
      </w:r>
      <w:r w:rsidRPr="00111375">
        <w:rPr>
          <w:rFonts w:ascii="Arial" w:hAnsi="Arial" w:cs="Arial"/>
          <w:color w:val="000000" w:themeColor="text1"/>
          <w:sz w:val="22"/>
          <w:szCs w:val="22"/>
        </w:rPr>
        <w:t xml:space="preserve">L. </w:t>
      </w:r>
      <w:r w:rsidRPr="00111375">
        <w:rPr>
          <w:rFonts w:ascii="Arial" w:hAnsi="Arial" w:cs="Arial"/>
          <w:b/>
          <w:bCs/>
          <w:color w:val="000000" w:themeColor="text1"/>
          <w:sz w:val="22"/>
          <w:szCs w:val="22"/>
        </w:rPr>
        <w:t>(2012)</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Improving quality in education: dynamic approaches to school improvement</w:t>
      </w:r>
      <w:r w:rsidRPr="00111375">
        <w:rPr>
          <w:rFonts w:ascii="Arial" w:hAnsi="Arial" w:cs="Arial"/>
          <w:color w:val="000000" w:themeColor="text1"/>
          <w:sz w:val="22"/>
          <w:szCs w:val="22"/>
        </w:rPr>
        <w:t xml:space="preserve">. Abingdon, </w:t>
      </w:r>
      <w:proofErr w:type="gramStart"/>
      <w:r w:rsidRPr="00111375">
        <w:rPr>
          <w:rFonts w:ascii="Arial" w:hAnsi="Arial" w:cs="Arial"/>
          <w:color w:val="000000" w:themeColor="text1"/>
          <w:sz w:val="22"/>
          <w:szCs w:val="22"/>
        </w:rPr>
        <w:t>Oxon ;</w:t>
      </w:r>
      <w:proofErr w:type="gramEnd"/>
      <w:r w:rsidRPr="00111375">
        <w:rPr>
          <w:rFonts w:ascii="Arial" w:hAnsi="Arial" w:cs="Arial"/>
          <w:color w:val="000000" w:themeColor="text1"/>
          <w:sz w:val="22"/>
          <w:szCs w:val="22"/>
        </w:rPr>
        <w:t xml:space="preserve"> New York: Routledge.</w:t>
      </w:r>
    </w:p>
    <w:p w14:paraId="0DB6D287" w14:textId="5D9439E7"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Day, C., Gu, Q. and Sammons, P. </w:t>
      </w:r>
      <w:r w:rsidRPr="00111375">
        <w:rPr>
          <w:rFonts w:ascii="Arial" w:hAnsi="Arial" w:cs="Arial"/>
          <w:b/>
          <w:bCs/>
          <w:color w:val="000000" w:themeColor="text1"/>
          <w:sz w:val="22"/>
          <w:szCs w:val="22"/>
        </w:rPr>
        <w:t>(2016)</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The Impact of Leadership on Student Outcomes’</w:t>
      </w:r>
      <w:r w:rsidRPr="00111375">
        <w:rPr>
          <w:rFonts w:ascii="Arial" w:hAnsi="Arial" w:cs="Arial"/>
          <w:color w:val="000000" w:themeColor="text1"/>
          <w:sz w:val="22"/>
          <w:szCs w:val="22"/>
        </w:rPr>
        <w:t>, Educational Administration Quarterly, 52(2), pp. 221–258.</w:t>
      </w:r>
      <w:r w:rsidR="00195F75"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 xml:space="preserve">Available at: </w:t>
      </w:r>
      <w:r w:rsidR="0002284D" w:rsidRPr="00111375">
        <w:rPr>
          <w:rFonts w:ascii="Arial" w:hAnsi="Arial" w:cs="Arial"/>
          <w:color w:val="000000" w:themeColor="text1"/>
          <w:sz w:val="22"/>
          <w:szCs w:val="22"/>
        </w:rPr>
        <w:t>DOI:</w:t>
      </w:r>
      <w:hyperlink r:id="rId13" w:tgtFrame="_blank" w:history="1">
        <w:r w:rsidR="0002284D" w:rsidRPr="00111375">
          <w:rPr>
            <w:rStyle w:val="Hyperlink"/>
            <w:rFonts w:ascii="Arial" w:hAnsi="Arial" w:cs="Arial"/>
            <w:color w:val="000000" w:themeColor="text1"/>
            <w:sz w:val="22"/>
            <w:szCs w:val="22"/>
          </w:rPr>
          <w:t>10.1177/0013161X15616863</w:t>
        </w:r>
      </w:hyperlink>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 xml:space="preserve">{accessed online </w:t>
      </w:r>
      <w:r w:rsidR="0002284D" w:rsidRPr="00111375">
        <w:rPr>
          <w:rFonts w:ascii="Arial" w:hAnsi="Arial" w:cs="Arial"/>
          <w:color w:val="000000" w:themeColor="text1"/>
          <w:sz w:val="22"/>
          <w:szCs w:val="22"/>
        </w:rPr>
        <w:t>11</w:t>
      </w:r>
      <w:r w:rsidR="0002284D" w:rsidRPr="00111375">
        <w:rPr>
          <w:rFonts w:ascii="Arial" w:hAnsi="Arial" w:cs="Arial"/>
          <w:color w:val="000000" w:themeColor="text1"/>
          <w:sz w:val="22"/>
          <w:szCs w:val="22"/>
        </w:rPr>
        <w:t>/02/24}</w:t>
      </w:r>
    </w:p>
    <w:p w14:paraId="43B866BB" w14:textId="77777777"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Dewey, J. </w:t>
      </w:r>
      <w:r w:rsidRPr="00111375">
        <w:rPr>
          <w:rFonts w:ascii="Arial" w:hAnsi="Arial" w:cs="Arial"/>
          <w:b/>
          <w:bCs/>
          <w:color w:val="000000" w:themeColor="text1"/>
          <w:sz w:val="22"/>
          <w:szCs w:val="22"/>
        </w:rPr>
        <w:t>(1910)</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How We Think</w:t>
      </w:r>
      <w:r w:rsidRPr="00111375">
        <w:rPr>
          <w:rFonts w:ascii="Arial" w:hAnsi="Arial" w:cs="Arial"/>
          <w:color w:val="000000" w:themeColor="text1"/>
          <w:sz w:val="22"/>
          <w:szCs w:val="22"/>
        </w:rPr>
        <w:t>. London: Heath.</w:t>
      </w:r>
    </w:p>
    <w:p w14:paraId="1449F6C4" w14:textId="32D6BF37"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lastRenderedPageBreak/>
        <w:t xml:space="preserve">Dewey, J. </w:t>
      </w:r>
      <w:r w:rsidRPr="00111375">
        <w:rPr>
          <w:rFonts w:ascii="Arial" w:hAnsi="Arial" w:cs="Arial"/>
          <w:b/>
          <w:bCs/>
          <w:color w:val="000000" w:themeColor="text1"/>
          <w:sz w:val="22"/>
          <w:szCs w:val="22"/>
        </w:rPr>
        <w:t xml:space="preserve">(1968) </w:t>
      </w:r>
      <w:r w:rsidRPr="00111375">
        <w:rPr>
          <w:rFonts w:ascii="Arial" w:hAnsi="Arial" w:cs="Arial"/>
          <w:i/>
          <w:iCs/>
          <w:color w:val="000000" w:themeColor="text1"/>
          <w:sz w:val="22"/>
          <w:szCs w:val="22"/>
        </w:rPr>
        <w:t>Democracy and education: an introduction to the philosophy of education.</w:t>
      </w:r>
      <w:r w:rsidRPr="00111375">
        <w:rPr>
          <w:rFonts w:ascii="Arial" w:hAnsi="Arial" w:cs="Arial"/>
          <w:color w:val="000000" w:themeColor="text1"/>
          <w:sz w:val="22"/>
          <w:szCs w:val="22"/>
        </w:rPr>
        <w:t xml:space="preserve"> New York: Free Pr.</w:t>
      </w:r>
    </w:p>
    <w:p w14:paraId="748C8714" w14:textId="774A4CCE"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Donaldson, G. </w:t>
      </w:r>
      <w:r w:rsidRPr="00111375">
        <w:rPr>
          <w:rFonts w:ascii="Arial" w:hAnsi="Arial" w:cs="Arial"/>
          <w:b/>
          <w:bCs/>
          <w:color w:val="000000" w:themeColor="text1"/>
          <w:sz w:val="22"/>
          <w:szCs w:val="22"/>
        </w:rPr>
        <w:t>(2015)</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Successful Futures Independent Review of Curriculum and Assessment Arrangements in Wales</w:t>
      </w:r>
      <w:r w:rsidRPr="00111375">
        <w:rPr>
          <w:rFonts w:ascii="Arial" w:hAnsi="Arial" w:cs="Arial"/>
          <w:color w:val="000000" w:themeColor="text1"/>
          <w:sz w:val="22"/>
          <w:szCs w:val="22"/>
        </w:rPr>
        <w:t xml:space="preserve">. Available at: </w:t>
      </w:r>
      <w:hyperlink r:id="rId14" w:history="1">
        <w:r w:rsidR="0002284D" w:rsidRPr="00111375">
          <w:rPr>
            <w:rStyle w:val="Hyperlink"/>
            <w:rFonts w:ascii="Arial" w:hAnsi="Arial" w:cs="Arial"/>
            <w:color w:val="000000" w:themeColor="text1"/>
            <w:sz w:val="22"/>
            <w:szCs w:val="22"/>
          </w:rPr>
          <w:t>https://www.gov.wales/sites/default/files/publications/2018-03/successful-futures.pdf</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 xml:space="preserve">{accessed online </w:t>
      </w:r>
      <w:r w:rsidR="0002284D" w:rsidRPr="00111375">
        <w:rPr>
          <w:rFonts w:ascii="Arial" w:hAnsi="Arial" w:cs="Arial"/>
          <w:color w:val="000000" w:themeColor="text1"/>
          <w:sz w:val="22"/>
          <w:szCs w:val="22"/>
        </w:rPr>
        <w:t>29</w:t>
      </w:r>
      <w:r w:rsidR="0002284D" w:rsidRPr="00111375">
        <w:rPr>
          <w:rFonts w:ascii="Arial" w:hAnsi="Arial" w:cs="Arial"/>
          <w:color w:val="000000" w:themeColor="text1"/>
          <w:sz w:val="22"/>
          <w:szCs w:val="22"/>
        </w:rPr>
        <w:t>/0</w:t>
      </w:r>
      <w:r w:rsidR="0002284D" w:rsidRPr="00111375">
        <w:rPr>
          <w:rFonts w:ascii="Arial" w:hAnsi="Arial" w:cs="Arial"/>
          <w:color w:val="000000" w:themeColor="text1"/>
          <w:sz w:val="22"/>
          <w:szCs w:val="22"/>
        </w:rPr>
        <w:t>1</w:t>
      </w:r>
      <w:r w:rsidR="0002284D" w:rsidRPr="00111375">
        <w:rPr>
          <w:rFonts w:ascii="Arial" w:hAnsi="Arial" w:cs="Arial"/>
          <w:color w:val="000000" w:themeColor="text1"/>
          <w:sz w:val="22"/>
          <w:szCs w:val="22"/>
        </w:rPr>
        <w:t>/24}</w:t>
      </w:r>
    </w:p>
    <w:p w14:paraId="4E270E37" w14:textId="473E8C61"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Education Bureau</w:t>
      </w:r>
      <w:r w:rsidR="00751C53" w:rsidRPr="00111375">
        <w:rPr>
          <w:rFonts w:ascii="Arial" w:hAnsi="Arial" w:cs="Arial"/>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b/>
          <w:bCs/>
          <w:color w:val="000000" w:themeColor="text1"/>
          <w:sz w:val="22"/>
          <w:szCs w:val="22"/>
        </w:rPr>
        <w:t>(2014)</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Guidelines on the Compilation of School Development Plan Annual School Plan School Report</w:t>
      </w:r>
      <w:r w:rsidRPr="00111375">
        <w:rPr>
          <w:rFonts w:ascii="Arial" w:hAnsi="Arial" w:cs="Arial"/>
          <w:color w:val="000000" w:themeColor="text1"/>
          <w:sz w:val="22"/>
          <w:szCs w:val="22"/>
        </w:rPr>
        <w:t xml:space="preserve">, Hong Kong: The Government Printer. Available at: </w:t>
      </w:r>
      <w:hyperlink r:id="rId15" w:history="1">
        <w:r w:rsidR="0002284D" w:rsidRPr="00111375">
          <w:rPr>
            <w:rStyle w:val="Hyperlink"/>
            <w:rFonts w:ascii="Arial" w:hAnsi="Arial" w:cs="Arial"/>
            <w:color w:val="000000" w:themeColor="text1"/>
            <w:sz w:val="22"/>
            <w:szCs w:val="22"/>
          </w:rPr>
          <w:t>https://www.edb.gov.hk/attachment/en/sch-admin/sch-quality-assurance/sse/Guidelines_on_the_Compilation_of_SDP_ASP_SR_en_2022.pdf</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{accessed online 0</w:t>
      </w:r>
      <w:r w:rsidR="0002284D" w:rsidRPr="00111375">
        <w:rPr>
          <w:rFonts w:ascii="Arial" w:hAnsi="Arial" w:cs="Arial"/>
          <w:color w:val="000000" w:themeColor="text1"/>
          <w:sz w:val="22"/>
          <w:szCs w:val="22"/>
        </w:rPr>
        <w:t>9</w:t>
      </w:r>
      <w:r w:rsidR="0002284D" w:rsidRPr="00111375">
        <w:rPr>
          <w:rFonts w:ascii="Arial" w:hAnsi="Arial" w:cs="Arial"/>
          <w:color w:val="000000" w:themeColor="text1"/>
          <w:sz w:val="22"/>
          <w:szCs w:val="22"/>
        </w:rPr>
        <w:t>/02/24}</w:t>
      </w:r>
    </w:p>
    <w:p w14:paraId="4B5928E0" w14:textId="459C3AE2"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Education Scotland</w:t>
      </w:r>
      <w:r w:rsidR="00751C53" w:rsidRPr="00111375">
        <w:rPr>
          <w:rFonts w:ascii="Arial" w:hAnsi="Arial" w:cs="Arial"/>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b/>
          <w:bCs/>
          <w:color w:val="000000" w:themeColor="text1"/>
          <w:sz w:val="22"/>
          <w:szCs w:val="22"/>
        </w:rPr>
        <w:t xml:space="preserve">(2018) </w:t>
      </w:r>
      <w:r w:rsidRPr="00111375">
        <w:rPr>
          <w:rFonts w:ascii="Arial" w:hAnsi="Arial" w:cs="Arial"/>
          <w:i/>
          <w:iCs/>
          <w:color w:val="000000" w:themeColor="text1"/>
          <w:sz w:val="22"/>
          <w:szCs w:val="22"/>
        </w:rPr>
        <w:t>How good is OUR school? A resource to support learner participation in self-evaluation and school improvement Part One</w:t>
      </w:r>
      <w:r w:rsidRPr="00111375">
        <w:rPr>
          <w:rFonts w:ascii="Arial" w:hAnsi="Arial" w:cs="Arial"/>
          <w:color w:val="000000" w:themeColor="text1"/>
          <w:sz w:val="22"/>
          <w:szCs w:val="22"/>
        </w:rPr>
        <w:t xml:space="preserve">. Available at: </w:t>
      </w:r>
      <w:hyperlink r:id="rId16" w:history="1">
        <w:r w:rsidR="0002284D" w:rsidRPr="00111375">
          <w:rPr>
            <w:rStyle w:val="Hyperlink"/>
            <w:rFonts w:ascii="Arial" w:hAnsi="Arial" w:cs="Arial"/>
            <w:color w:val="000000" w:themeColor="text1"/>
            <w:sz w:val="22"/>
            <w:szCs w:val="22"/>
          </w:rPr>
          <w:t>htt</w:t>
        </w:r>
        <w:r w:rsidR="0002284D" w:rsidRPr="00111375">
          <w:rPr>
            <w:rStyle w:val="Hyperlink"/>
            <w:rFonts w:ascii="Arial" w:hAnsi="Arial" w:cs="Arial"/>
            <w:color w:val="000000" w:themeColor="text1"/>
            <w:sz w:val="22"/>
            <w:szCs w:val="22"/>
          </w:rPr>
          <w:t>p</w:t>
        </w:r>
        <w:r w:rsidR="0002284D" w:rsidRPr="00111375">
          <w:rPr>
            <w:rStyle w:val="Hyperlink"/>
            <w:rFonts w:ascii="Arial" w:hAnsi="Arial" w:cs="Arial"/>
            <w:color w:val="000000" w:themeColor="text1"/>
            <w:sz w:val="22"/>
            <w:szCs w:val="22"/>
          </w:rPr>
          <w:t>s://edu</w:t>
        </w:r>
        <w:r w:rsidR="0002284D" w:rsidRPr="00111375">
          <w:rPr>
            <w:rStyle w:val="Hyperlink"/>
            <w:rFonts w:ascii="Arial" w:hAnsi="Arial" w:cs="Arial"/>
            <w:color w:val="000000" w:themeColor="text1"/>
            <w:sz w:val="22"/>
            <w:szCs w:val="22"/>
          </w:rPr>
          <w:t>c</w:t>
        </w:r>
        <w:r w:rsidR="0002284D" w:rsidRPr="00111375">
          <w:rPr>
            <w:rStyle w:val="Hyperlink"/>
            <w:rFonts w:ascii="Arial" w:hAnsi="Arial" w:cs="Arial"/>
            <w:color w:val="000000" w:themeColor="text1"/>
            <w:sz w:val="22"/>
            <w:szCs w:val="22"/>
          </w:rPr>
          <w:t>ation.gov.scot/media/x44kf045/hgiours-part1.pdf</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{accessed online 0</w:t>
      </w:r>
      <w:r w:rsidR="0002284D" w:rsidRPr="00111375">
        <w:rPr>
          <w:rFonts w:ascii="Arial" w:hAnsi="Arial" w:cs="Arial"/>
          <w:color w:val="000000" w:themeColor="text1"/>
          <w:sz w:val="22"/>
          <w:szCs w:val="22"/>
        </w:rPr>
        <w:t>7</w:t>
      </w:r>
      <w:r w:rsidR="0002284D" w:rsidRPr="00111375">
        <w:rPr>
          <w:rFonts w:ascii="Arial" w:hAnsi="Arial" w:cs="Arial"/>
          <w:color w:val="000000" w:themeColor="text1"/>
          <w:sz w:val="22"/>
          <w:szCs w:val="22"/>
        </w:rPr>
        <w:t>/02/24}</w:t>
      </w:r>
    </w:p>
    <w:p w14:paraId="3681EB7F" w14:textId="158BBB2F" w:rsidR="00212468" w:rsidRPr="00111375" w:rsidRDefault="0002284D"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E</w:t>
      </w:r>
      <w:r w:rsidR="001E0D7F" w:rsidRPr="00111375">
        <w:rPr>
          <w:rFonts w:ascii="Arial" w:hAnsi="Arial" w:cs="Arial"/>
          <w:color w:val="000000" w:themeColor="text1"/>
          <w:sz w:val="22"/>
          <w:szCs w:val="22"/>
        </w:rPr>
        <w:t>styn</w:t>
      </w:r>
      <w:r w:rsidR="00751C53" w:rsidRPr="00111375">
        <w:rPr>
          <w:rFonts w:ascii="Arial" w:hAnsi="Arial" w:cs="Arial"/>
          <w:color w:val="000000" w:themeColor="text1"/>
          <w:sz w:val="22"/>
          <w:szCs w:val="22"/>
        </w:rPr>
        <w:t>.</w:t>
      </w:r>
      <w:r w:rsidR="001E0D7F" w:rsidRPr="00111375">
        <w:rPr>
          <w:rFonts w:ascii="Arial" w:hAnsi="Arial" w:cs="Arial"/>
          <w:color w:val="000000" w:themeColor="text1"/>
          <w:sz w:val="22"/>
          <w:szCs w:val="22"/>
        </w:rPr>
        <w:t xml:space="preserve"> </w:t>
      </w:r>
      <w:r w:rsidR="001E0D7F" w:rsidRPr="00111375">
        <w:rPr>
          <w:rFonts w:ascii="Arial" w:hAnsi="Arial" w:cs="Arial"/>
          <w:b/>
          <w:bCs/>
          <w:color w:val="000000" w:themeColor="text1"/>
          <w:sz w:val="22"/>
          <w:szCs w:val="22"/>
        </w:rPr>
        <w:t>(2020)</w:t>
      </w:r>
      <w:r w:rsidR="001E0D7F" w:rsidRPr="00111375">
        <w:rPr>
          <w:rFonts w:ascii="Arial" w:hAnsi="Arial" w:cs="Arial"/>
          <w:color w:val="000000" w:themeColor="text1"/>
          <w:sz w:val="22"/>
          <w:szCs w:val="22"/>
        </w:rPr>
        <w:t xml:space="preserve"> </w:t>
      </w:r>
      <w:r w:rsidR="001E0D7F" w:rsidRPr="00111375">
        <w:rPr>
          <w:rFonts w:ascii="Arial" w:hAnsi="Arial" w:cs="Arial"/>
          <w:i/>
          <w:iCs/>
          <w:color w:val="000000" w:themeColor="text1"/>
          <w:sz w:val="22"/>
          <w:szCs w:val="22"/>
        </w:rPr>
        <w:t>A report on School X by Estyn, Her Majesty’s Inspectorate for Education and Training in Wales</w:t>
      </w:r>
      <w:r w:rsidR="001E0D7F" w:rsidRPr="00111375">
        <w:rPr>
          <w:rFonts w:ascii="Arial" w:hAnsi="Arial" w:cs="Arial"/>
          <w:color w:val="000000" w:themeColor="text1"/>
          <w:sz w:val="22"/>
          <w:szCs w:val="22"/>
        </w:rPr>
        <w:t xml:space="preserve">. Available at: </w:t>
      </w:r>
      <w:hyperlink r:id="rId17" w:history="1">
        <w:r w:rsidRPr="00111375">
          <w:rPr>
            <w:rStyle w:val="Hyperlink"/>
            <w:rFonts w:ascii="Arial" w:hAnsi="Arial" w:cs="Arial"/>
            <w:color w:val="000000" w:themeColor="text1"/>
            <w:sz w:val="22"/>
            <w:szCs w:val="22"/>
          </w:rPr>
          <w:t>https://www.estyn.gov.wales/system/files/2022-01</w:t>
        </w:r>
        <w:r w:rsidRPr="00111375">
          <w:rPr>
            <w:rStyle w:val="Hyperlink"/>
            <w:rFonts w:ascii="Arial" w:hAnsi="Arial" w:cs="Arial"/>
            <w:color w:val="000000" w:themeColor="text1"/>
            <w:sz w:val="22"/>
            <w:szCs w:val="22"/>
            <w:highlight w:val="black"/>
          </w:rPr>
          <w:t>/Pentrehafod%</w:t>
        </w:r>
        <w:r w:rsidRPr="00111375">
          <w:rPr>
            <w:rStyle w:val="Hyperlink"/>
            <w:rFonts w:ascii="Arial" w:hAnsi="Arial" w:cs="Arial"/>
            <w:color w:val="000000" w:themeColor="text1"/>
            <w:sz w:val="22"/>
            <w:szCs w:val="22"/>
          </w:rPr>
          <w:t>2520School_0.pdf</w:t>
        </w:r>
      </w:hyperlink>
      <w:r w:rsidR="001E0D7F" w:rsidRPr="00111375">
        <w:rPr>
          <w:rFonts w:ascii="Arial" w:hAnsi="Arial" w:cs="Arial"/>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color w:val="000000" w:themeColor="text1"/>
          <w:sz w:val="22"/>
          <w:szCs w:val="22"/>
        </w:rPr>
        <w:t>{accessed online</w:t>
      </w:r>
      <w:r w:rsidRPr="00111375">
        <w:rPr>
          <w:rFonts w:ascii="Arial" w:hAnsi="Arial" w:cs="Arial"/>
          <w:color w:val="000000" w:themeColor="text1"/>
          <w:sz w:val="22"/>
          <w:szCs w:val="22"/>
        </w:rPr>
        <w:t xml:space="preserve"> 17</w:t>
      </w:r>
      <w:r w:rsidRPr="00111375">
        <w:rPr>
          <w:rFonts w:ascii="Arial" w:hAnsi="Arial" w:cs="Arial"/>
          <w:color w:val="000000" w:themeColor="text1"/>
          <w:sz w:val="22"/>
          <w:szCs w:val="22"/>
        </w:rPr>
        <w:t>/0</w:t>
      </w:r>
      <w:r w:rsidRPr="00111375">
        <w:rPr>
          <w:rFonts w:ascii="Arial" w:hAnsi="Arial" w:cs="Arial"/>
          <w:color w:val="000000" w:themeColor="text1"/>
          <w:sz w:val="22"/>
          <w:szCs w:val="22"/>
        </w:rPr>
        <w:t>1</w:t>
      </w:r>
      <w:r w:rsidRPr="00111375">
        <w:rPr>
          <w:rFonts w:ascii="Arial" w:hAnsi="Arial" w:cs="Arial"/>
          <w:color w:val="000000" w:themeColor="text1"/>
          <w:sz w:val="22"/>
          <w:szCs w:val="22"/>
        </w:rPr>
        <w:t>/24}</w:t>
      </w:r>
    </w:p>
    <w:p w14:paraId="313443F9" w14:textId="68A6265E"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Flower, A. </w:t>
      </w:r>
      <w:r w:rsidRPr="00111375">
        <w:rPr>
          <w:rFonts w:ascii="Arial" w:hAnsi="Arial" w:cs="Arial"/>
          <w:b/>
          <w:bCs/>
          <w:color w:val="000000" w:themeColor="text1"/>
          <w:sz w:val="22"/>
          <w:szCs w:val="22"/>
        </w:rPr>
        <w:t xml:space="preserve">(2014) </w:t>
      </w:r>
      <w:r w:rsidRPr="00111375">
        <w:rPr>
          <w:rFonts w:ascii="Arial" w:hAnsi="Arial" w:cs="Arial"/>
          <w:color w:val="000000" w:themeColor="text1"/>
          <w:sz w:val="22"/>
          <w:szCs w:val="22"/>
        </w:rPr>
        <w:t>‘</w:t>
      </w:r>
      <w:r w:rsidRPr="00111375">
        <w:rPr>
          <w:rFonts w:ascii="Arial" w:hAnsi="Arial" w:cs="Arial"/>
          <w:i/>
          <w:iCs/>
          <w:color w:val="000000" w:themeColor="text1"/>
          <w:sz w:val="22"/>
          <w:szCs w:val="22"/>
        </w:rPr>
        <w:t xml:space="preserve">The Effect of iPad Use During Independent Practice for Students with Challenging </w:t>
      </w:r>
      <w:proofErr w:type="spellStart"/>
      <w:r w:rsidRPr="00111375">
        <w:rPr>
          <w:rFonts w:ascii="Arial" w:hAnsi="Arial" w:cs="Arial"/>
          <w:i/>
          <w:iCs/>
          <w:color w:val="000000" w:themeColor="text1"/>
          <w:sz w:val="22"/>
          <w:szCs w:val="22"/>
        </w:rPr>
        <w:t>Behavior</w:t>
      </w:r>
      <w:proofErr w:type="spellEnd"/>
      <w:r w:rsidRPr="00111375">
        <w:rPr>
          <w:rFonts w:ascii="Arial" w:hAnsi="Arial" w:cs="Arial"/>
          <w:i/>
          <w:iCs/>
          <w:color w:val="000000" w:themeColor="text1"/>
          <w:sz w:val="22"/>
          <w:szCs w:val="22"/>
        </w:rPr>
        <w:t>’</w:t>
      </w:r>
      <w:r w:rsidRPr="00111375">
        <w:rPr>
          <w:rFonts w:ascii="Arial" w:hAnsi="Arial" w:cs="Arial"/>
          <w:color w:val="000000" w:themeColor="text1"/>
          <w:sz w:val="22"/>
          <w:szCs w:val="22"/>
        </w:rPr>
        <w:t xml:space="preserve">, Journal of </w:t>
      </w:r>
      <w:proofErr w:type="spellStart"/>
      <w:r w:rsidRPr="00111375">
        <w:rPr>
          <w:rFonts w:ascii="Arial" w:hAnsi="Arial" w:cs="Arial"/>
          <w:color w:val="000000" w:themeColor="text1"/>
          <w:sz w:val="22"/>
          <w:szCs w:val="22"/>
        </w:rPr>
        <w:t>Behavioral</w:t>
      </w:r>
      <w:proofErr w:type="spellEnd"/>
      <w:r w:rsidRPr="00111375">
        <w:rPr>
          <w:rFonts w:ascii="Arial" w:hAnsi="Arial" w:cs="Arial"/>
          <w:color w:val="000000" w:themeColor="text1"/>
          <w:sz w:val="22"/>
          <w:szCs w:val="22"/>
        </w:rPr>
        <w:t xml:space="preserve"> Education, 23(4), pp. 435–448. Available at: </w:t>
      </w:r>
      <w:hyperlink r:id="rId18" w:history="1">
        <w:r w:rsidR="00751C53" w:rsidRPr="00111375">
          <w:rPr>
            <w:rStyle w:val="Hyperlink"/>
            <w:rFonts w:ascii="Arial" w:hAnsi="Arial" w:cs="Arial"/>
            <w:color w:val="000000" w:themeColor="text1"/>
            <w:sz w:val="22"/>
            <w:szCs w:val="22"/>
          </w:rPr>
          <w:t>https://doi.org/10.1007/s10864-014-9206-8</w:t>
        </w:r>
      </w:hyperlink>
      <w:r w:rsidRPr="00111375">
        <w:rPr>
          <w:rFonts w:ascii="Arial" w:hAnsi="Arial" w:cs="Arial"/>
          <w:color w:val="000000" w:themeColor="text1"/>
          <w:sz w:val="22"/>
          <w:szCs w:val="22"/>
        </w:rPr>
        <w:t>.</w:t>
      </w:r>
      <w:r w:rsidR="00751C53" w:rsidRPr="00111375">
        <w:rPr>
          <w:rFonts w:ascii="Arial" w:hAnsi="Arial" w:cs="Arial"/>
          <w:color w:val="000000" w:themeColor="text1"/>
          <w:sz w:val="22"/>
          <w:szCs w:val="22"/>
        </w:rPr>
        <w:t xml:space="preserve"> {</w:t>
      </w:r>
      <w:r w:rsidR="00751C53" w:rsidRPr="00111375">
        <w:rPr>
          <w:rFonts w:ascii="Arial" w:hAnsi="Arial" w:cs="Arial"/>
          <w:color w:val="000000" w:themeColor="text1"/>
          <w:sz w:val="22"/>
          <w:szCs w:val="22"/>
        </w:rPr>
        <w:t xml:space="preserve">accessed online </w:t>
      </w:r>
      <w:r w:rsidR="00751C53" w:rsidRPr="00111375">
        <w:rPr>
          <w:rFonts w:ascii="Arial" w:hAnsi="Arial" w:cs="Arial"/>
          <w:color w:val="000000" w:themeColor="text1"/>
          <w:sz w:val="22"/>
          <w:szCs w:val="22"/>
        </w:rPr>
        <w:t>22</w:t>
      </w:r>
      <w:r w:rsidR="00751C53" w:rsidRPr="00111375">
        <w:rPr>
          <w:rFonts w:ascii="Arial" w:hAnsi="Arial" w:cs="Arial"/>
          <w:color w:val="000000" w:themeColor="text1"/>
          <w:sz w:val="22"/>
          <w:szCs w:val="22"/>
        </w:rPr>
        <w:t>/02/24}</w:t>
      </w:r>
    </w:p>
    <w:p w14:paraId="3D208352" w14:textId="77777777"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Fullan, M. </w:t>
      </w:r>
      <w:r w:rsidRPr="00111375">
        <w:rPr>
          <w:rFonts w:ascii="Arial" w:hAnsi="Arial" w:cs="Arial"/>
          <w:b/>
          <w:bCs/>
          <w:color w:val="000000" w:themeColor="text1"/>
          <w:sz w:val="22"/>
          <w:szCs w:val="22"/>
        </w:rPr>
        <w:t xml:space="preserve">(2016) </w:t>
      </w:r>
      <w:r w:rsidRPr="00111375">
        <w:rPr>
          <w:rFonts w:ascii="Arial" w:hAnsi="Arial" w:cs="Arial"/>
          <w:i/>
          <w:iCs/>
          <w:color w:val="000000" w:themeColor="text1"/>
          <w:sz w:val="22"/>
          <w:szCs w:val="22"/>
        </w:rPr>
        <w:t>The NEW meaning of educational change</w:t>
      </w:r>
      <w:r w:rsidRPr="00111375">
        <w:rPr>
          <w:rFonts w:ascii="Arial" w:hAnsi="Arial" w:cs="Arial"/>
          <w:color w:val="000000" w:themeColor="text1"/>
          <w:sz w:val="22"/>
          <w:szCs w:val="22"/>
        </w:rPr>
        <w:t xml:space="preserve">. 5th </w:t>
      </w:r>
      <w:proofErr w:type="spellStart"/>
      <w:r w:rsidRPr="00111375">
        <w:rPr>
          <w:rFonts w:ascii="Arial" w:hAnsi="Arial" w:cs="Arial"/>
          <w:color w:val="000000" w:themeColor="text1"/>
          <w:sz w:val="22"/>
          <w:szCs w:val="22"/>
        </w:rPr>
        <w:t>edn</w:t>
      </w:r>
      <w:proofErr w:type="spellEnd"/>
      <w:r w:rsidRPr="00111375">
        <w:rPr>
          <w:rFonts w:ascii="Arial" w:hAnsi="Arial" w:cs="Arial"/>
          <w:color w:val="000000" w:themeColor="text1"/>
          <w:sz w:val="22"/>
          <w:szCs w:val="22"/>
        </w:rPr>
        <w:t>. New York, Ny: Teachers College Press.</w:t>
      </w:r>
    </w:p>
    <w:p w14:paraId="235AAECB" w14:textId="7D263FE1"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George, S., Luwingu, F. and Audo, J. </w:t>
      </w:r>
      <w:r w:rsidRPr="00111375">
        <w:rPr>
          <w:rFonts w:ascii="Arial" w:hAnsi="Arial" w:cs="Arial"/>
          <w:b/>
          <w:bCs/>
          <w:color w:val="000000" w:themeColor="text1"/>
          <w:sz w:val="22"/>
          <w:szCs w:val="22"/>
        </w:rPr>
        <w:t>(2019)</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‘Research-Based Instructional Strategies that Improve Educational Practices: A systematic Literature Review’</w:t>
      </w:r>
      <w:r w:rsidRPr="00111375">
        <w:rPr>
          <w:rFonts w:ascii="Arial" w:hAnsi="Arial" w:cs="Arial"/>
          <w:color w:val="000000" w:themeColor="text1"/>
          <w:sz w:val="22"/>
          <w:szCs w:val="22"/>
        </w:rPr>
        <w:t xml:space="preserve">, The Educational Review, USA, 3(12), pp. 194–199. Available at: </w:t>
      </w:r>
      <w:hyperlink r:id="rId19" w:history="1">
        <w:r w:rsidR="00751C53" w:rsidRPr="00111375">
          <w:rPr>
            <w:rStyle w:val="Hyperlink"/>
            <w:rFonts w:ascii="Arial" w:hAnsi="Arial" w:cs="Arial"/>
            <w:color w:val="000000" w:themeColor="text1"/>
            <w:sz w:val="22"/>
            <w:szCs w:val="22"/>
          </w:rPr>
          <w:t>https://doi.org/10.26855/er.2019.12.001</w:t>
        </w:r>
      </w:hyperlink>
      <w:r w:rsidRPr="00111375">
        <w:rPr>
          <w:rFonts w:ascii="Arial" w:hAnsi="Arial" w:cs="Arial"/>
          <w:color w:val="000000" w:themeColor="text1"/>
          <w:sz w:val="22"/>
          <w:szCs w:val="22"/>
        </w:rPr>
        <w:t>.</w:t>
      </w:r>
      <w:r w:rsidR="00751C53" w:rsidRPr="00111375">
        <w:rPr>
          <w:rFonts w:ascii="Arial" w:hAnsi="Arial" w:cs="Arial"/>
          <w:color w:val="000000" w:themeColor="text1"/>
          <w:sz w:val="22"/>
          <w:szCs w:val="22"/>
        </w:rPr>
        <w:t xml:space="preserve"> </w:t>
      </w:r>
      <w:r w:rsidR="00751C53" w:rsidRPr="00111375">
        <w:rPr>
          <w:rFonts w:ascii="Arial" w:hAnsi="Arial" w:cs="Arial"/>
          <w:color w:val="000000" w:themeColor="text1"/>
          <w:sz w:val="22"/>
          <w:szCs w:val="22"/>
        </w:rPr>
        <w:t>{accessed online 1</w:t>
      </w:r>
      <w:r w:rsidR="00751C53" w:rsidRPr="00111375">
        <w:rPr>
          <w:rFonts w:ascii="Arial" w:hAnsi="Arial" w:cs="Arial"/>
          <w:color w:val="000000" w:themeColor="text1"/>
          <w:sz w:val="22"/>
          <w:szCs w:val="22"/>
        </w:rPr>
        <w:t>3</w:t>
      </w:r>
      <w:r w:rsidR="00751C53" w:rsidRPr="00111375">
        <w:rPr>
          <w:rFonts w:ascii="Arial" w:hAnsi="Arial" w:cs="Arial"/>
          <w:color w:val="000000" w:themeColor="text1"/>
          <w:sz w:val="22"/>
          <w:szCs w:val="22"/>
        </w:rPr>
        <w:t>/02/24}</w:t>
      </w:r>
    </w:p>
    <w:p w14:paraId="68F05897" w14:textId="367A8323"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Hallinger, P. and Heck, R.H. </w:t>
      </w:r>
      <w:r w:rsidRPr="00111375">
        <w:rPr>
          <w:rFonts w:ascii="Arial" w:hAnsi="Arial" w:cs="Arial"/>
          <w:b/>
          <w:bCs/>
          <w:color w:val="000000" w:themeColor="text1"/>
          <w:sz w:val="22"/>
          <w:szCs w:val="22"/>
        </w:rPr>
        <w:t>(2011)</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 xml:space="preserve">Exploring the journey of school improvement: classifying and </w:t>
      </w:r>
      <w:proofErr w:type="spellStart"/>
      <w:r w:rsidRPr="00111375">
        <w:rPr>
          <w:rFonts w:ascii="Arial" w:hAnsi="Arial" w:cs="Arial"/>
          <w:i/>
          <w:iCs/>
          <w:color w:val="000000" w:themeColor="text1"/>
          <w:sz w:val="22"/>
          <w:szCs w:val="22"/>
        </w:rPr>
        <w:t>analyzing</w:t>
      </w:r>
      <w:proofErr w:type="spellEnd"/>
      <w:r w:rsidRPr="00111375">
        <w:rPr>
          <w:rFonts w:ascii="Arial" w:hAnsi="Arial" w:cs="Arial"/>
          <w:i/>
          <w:iCs/>
          <w:color w:val="000000" w:themeColor="text1"/>
          <w:sz w:val="22"/>
          <w:szCs w:val="22"/>
        </w:rPr>
        <w:t xml:space="preserve"> patterns of change in school improvement processes and learning outcomes’</w:t>
      </w:r>
      <w:r w:rsidRPr="00111375">
        <w:rPr>
          <w:rFonts w:ascii="Arial" w:hAnsi="Arial" w:cs="Arial"/>
          <w:color w:val="000000" w:themeColor="text1"/>
          <w:sz w:val="22"/>
          <w:szCs w:val="22"/>
        </w:rPr>
        <w:t xml:space="preserve">, School Effectiveness and School Improvement, 22(1), pp. 1–27. Available at: </w:t>
      </w:r>
      <w:hyperlink r:id="rId20" w:history="1">
        <w:r w:rsidR="00751C53" w:rsidRPr="00111375">
          <w:rPr>
            <w:rStyle w:val="Hyperlink"/>
            <w:rFonts w:ascii="Arial" w:hAnsi="Arial" w:cs="Arial"/>
            <w:color w:val="000000" w:themeColor="text1"/>
            <w:sz w:val="22"/>
            <w:szCs w:val="22"/>
          </w:rPr>
          <w:t>https://doi.org/10.1080/09243453.2010.536322</w:t>
        </w:r>
      </w:hyperlink>
      <w:r w:rsidRPr="00111375">
        <w:rPr>
          <w:rFonts w:ascii="Arial" w:hAnsi="Arial" w:cs="Arial"/>
          <w:color w:val="000000" w:themeColor="text1"/>
          <w:sz w:val="22"/>
          <w:szCs w:val="22"/>
        </w:rPr>
        <w:t>.</w:t>
      </w:r>
      <w:r w:rsidR="00751C53" w:rsidRPr="00111375">
        <w:rPr>
          <w:rFonts w:ascii="Arial" w:hAnsi="Arial" w:cs="Arial"/>
          <w:color w:val="000000" w:themeColor="text1"/>
          <w:sz w:val="22"/>
          <w:szCs w:val="22"/>
        </w:rPr>
        <w:t xml:space="preserve"> </w:t>
      </w:r>
      <w:r w:rsidR="00751C53" w:rsidRPr="00111375">
        <w:rPr>
          <w:rFonts w:ascii="Arial" w:hAnsi="Arial" w:cs="Arial"/>
          <w:color w:val="000000" w:themeColor="text1"/>
          <w:sz w:val="22"/>
          <w:szCs w:val="22"/>
        </w:rPr>
        <w:t xml:space="preserve">{accessed online </w:t>
      </w:r>
      <w:r w:rsidR="00751C53" w:rsidRPr="00111375">
        <w:rPr>
          <w:rFonts w:ascii="Arial" w:hAnsi="Arial" w:cs="Arial"/>
          <w:color w:val="000000" w:themeColor="text1"/>
          <w:sz w:val="22"/>
          <w:szCs w:val="22"/>
        </w:rPr>
        <w:t>0</w:t>
      </w:r>
      <w:r w:rsidR="00751C53" w:rsidRPr="00111375">
        <w:rPr>
          <w:rFonts w:ascii="Arial" w:hAnsi="Arial" w:cs="Arial"/>
          <w:color w:val="000000" w:themeColor="text1"/>
          <w:sz w:val="22"/>
          <w:szCs w:val="22"/>
        </w:rPr>
        <w:t>7/02/24}</w:t>
      </w:r>
    </w:p>
    <w:p w14:paraId="3E5A28B5" w14:textId="1A50480D"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Jarl, M., Andersson, K. and Blossing, U. </w:t>
      </w:r>
      <w:r w:rsidRPr="00111375">
        <w:rPr>
          <w:rFonts w:ascii="Arial" w:hAnsi="Arial" w:cs="Arial"/>
          <w:b/>
          <w:bCs/>
          <w:color w:val="000000" w:themeColor="text1"/>
          <w:sz w:val="22"/>
          <w:szCs w:val="22"/>
        </w:rPr>
        <w:t>(2021)</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‘Organizational characteristics of successful and failing schools: A theoretical framework for explaining variation in student achievement’,</w:t>
      </w:r>
      <w:r w:rsidRPr="00111375">
        <w:rPr>
          <w:rFonts w:ascii="Arial" w:hAnsi="Arial" w:cs="Arial"/>
          <w:color w:val="000000" w:themeColor="text1"/>
          <w:sz w:val="22"/>
          <w:szCs w:val="22"/>
        </w:rPr>
        <w:t xml:space="preserve"> School Effectiveness </w:t>
      </w:r>
      <w:r w:rsidRPr="00111375">
        <w:rPr>
          <w:rFonts w:ascii="Arial" w:hAnsi="Arial" w:cs="Arial"/>
          <w:color w:val="000000" w:themeColor="text1"/>
          <w:sz w:val="22"/>
          <w:szCs w:val="22"/>
        </w:rPr>
        <w:lastRenderedPageBreak/>
        <w:t xml:space="preserve">and School Improvement, 32(3), pp. 1–17. Available at: </w:t>
      </w:r>
      <w:hyperlink r:id="rId21" w:history="1">
        <w:r w:rsidR="00751C53" w:rsidRPr="00111375">
          <w:rPr>
            <w:rStyle w:val="Hyperlink"/>
            <w:rFonts w:ascii="Arial" w:hAnsi="Arial" w:cs="Arial"/>
            <w:color w:val="000000" w:themeColor="text1"/>
            <w:sz w:val="22"/>
            <w:szCs w:val="22"/>
          </w:rPr>
          <w:t>https://doi.org/10.1080/09243453.2021.1903941</w:t>
        </w:r>
      </w:hyperlink>
      <w:r w:rsidRPr="00111375">
        <w:rPr>
          <w:rFonts w:ascii="Arial" w:hAnsi="Arial" w:cs="Arial"/>
          <w:color w:val="000000" w:themeColor="text1"/>
          <w:sz w:val="22"/>
          <w:szCs w:val="22"/>
        </w:rPr>
        <w:t>.</w:t>
      </w:r>
      <w:r w:rsidR="00751C53" w:rsidRPr="00111375">
        <w:rPr>
          <w:rFonts w:ascii="Arial" w:hAnsi="Arial" w:cs="Arial"/>
          <w:color w:val="000000" w:themeColor="text1"/>
          <w:sz w:val="22"/>
          <w:szCs w:val="22"/>
        </w:rPr>
        <w:t xml:space="preserve"> </w:t>
      </w:r>
      <w:r w:rsidR="00751C53" w:rsidRPr="00111375">
        <w:rPr>
          <w:rFonts w:ascii="Arial" w:hAnsi="Arial" w:cs="Arial"/>
          <w:color w:val="000000" w:themeColor="text1"/>
          <w:sz w:val="22"/>
          <w:szCs w:val="22"/>
        </w:rPr>
        <w:t>{accessed online 1</w:t>
      </w:r>
      <w:r w:rsidR="00751C53" w:rsidRPr="00111375">
        <w:rPr>
          <w:rFonts w:ascii="Arial" w:hAnsi="Arial" w:cs="Arial"/>
          <w:color w:val="000000" w:themeColor="text1"/>
          <w:sz w:val="22"/>
          <w:szCs w:val="22"/>
        </w:rPr>
        <w:t>2</w:t>
      </w:r>
      <w:r w:rsidR="00751C53" w:rsidRPr="00111375">
        <w:rPr>
          <w:rFonts w:ascii="Arial" w:hAnsi="Arial" w:cs="Arial"/>
          <w:color w:val="000000" w:themeColor="text1"/>
          <w:sz w:val="22"/>
          <w:szCs w:val="22"/>
        </w:rPr>
        <w:t>/02/24}</w:t>
      </w:r>
    </w:p>
    <w:p w14:paraId="23D886D7" w14:textId="1D7E1321"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proofErr w:type="spellStart"/>
      <w:r w:rsidRPr="00111375">
        <w:rPr>
          <w:rFonts w:ascii="Arial" w:hAnsi="Arial" w:cs="Arial"/>
          <w:color w:val="000000" w:themeColor="text1"/>
          <w:sz w:val="22"/>
          <w:szCs w:val="22"/>
        </w:rPr>
        <w:t>Kyriakides</w:t>
      </w:r>
      <w:proofErr w:type="spellEnd"/>
      <w:r w:rsidRPr="00111375">
        <w:rPr>
          <w:rFonts w:ascii="Arial" w:hAnsi="Arial" w:cs="Arial"/>
          <w:color w:val="000000" w:themeColor="text1"/>
          <w:sz w:val="22"/>
          <w:szCs w:val="22"/>
        </w:rPr>
        <w:t xml:space="preserve">, L., Charalambous, E., Creemers, B.P.M., Antoniou, P., Devine, D., </w:t>
      </w:r>
      <w:proofErr w:type="spellStart"/>
      <w:r w:rsidRPr="00111375">
        <w:rPr>
          <w:rFonts w:ascii="Arial" w:hAnsi="Arial" w:cs="Arial"/>
          <w:color w:val="000000" w:themeColor="text1"/>
          <w:sz w:val="22"/>
          <w:szCs w:val="22"/>
        </w:rPr>
        <w:t>Papastylianou</w:t>
      </w:r>
      <w:proofErr w:type="spellEnd"/>
      <w:r w:rsidRPr="00111375">
        <w:rPr>
          <w:rFonts w:ascii="Arial" w:hAnsi="Arial" w:cs="Arial"/>
          <w:color w:val="000000" w:themeColor="text1"/>
          <w:sz w:val="22"/>
          <w:szCs w:val="22"/>
        </w:rPr>
        <w:t xml:space="preserve">, D. and </w:t>
      </w:r>
      <w:proofErr w:type="spellStart"/>
      <w:r w:rsidRPr="00111375">
        <w:rPr>
          <w:rFonts w:ascii="Arial" w:hAnsi="Arial" w:cs="Arial"/>
          <w:color w:val="000000" w:themeColor="text1"/>
          <w:sz w:val="22"/>
          <w:szCs w:val="22"/>
        </w:rPr>
        <w:t>Fahie</w:t>
      </w:r>
      <w:proofErr w:type="spellEnd"/>
      <w:r w:rsidRPr="00111375">
        <w:rPr>
          <w:rFonts w:ascii="Arial" w:hAnsi="Arial" w:cs="Arial"/>
          <w:color w:val="000000" w:themeColor="text1"/>
          <w:sz w:val="22"/>
          <w:szCs w:val="22"/>
        </w:rPr>
        <w:t xml:space="preserve">, D. </w:t>
      </w:r>
      <w:r w:rsidRPr="00111375">
        <w:rPr>
          <w:rFonts w:ascii="Arial" w:hAnsi="Arial" w:cs="Arial"/>
          <w:b/>
          <w:bCs/>
          <w:color w:val="000000" w:themeColor="text1"/>
          <w:sz w:val="22"/>
          <w:szCs w:val="22"/>
        </w:rPr>
        <w:t>(2018)</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Using the dynamic approach to school improvement to promote quality and equity in education: a European study’,</w:t>
      </w:r>
      <w:r w:rsidRPr="00111375">
        <w:rPr>
          <w:rFonts w:ascii="Arial" w:hAnsi="Arial" w:cs="Arial"/>
          <w:color w:val="000000" w:themeColor="text1"/>
          <w:sz w:val="22"/>
          <w:szCs w:val="22"/>
        </w:rPr>
        <w:t xml:space="preserve"> Educational Assessment, Evaluation and Accountability, 31(1), pp. 121–149. Available at: </w:t>
      </w:r>
      <w:hyperlink r:id="rId22" w:history="1">
        <w:r w:rsidR="00751C53" w:rsidRPr="00111375">
          <w:rPr>
            <w:rStyle w:val="Hyperlink"/>
            <w:rFonts w:ascii="Arial" w:hAnsi="Arial" w:cs="Arial"/>
            <w:color w:val="000000" w:themeColor="text1"/>
            <w:sz w:val="22"/>
            <w:szCs w:val="22"/>
          </w:rPr>
          <w:t>https://doi.org/10.1007/s11092-018-9289-1</w:t>
        </w:r>
      </w:hyperlink>
      <w:r w:rsidRPr="00111375">
        <w:rPr>
          <w:rFonts w:ascii="Arial" w:hAnsi="Arial" w:cs="Arial"/>
          <w:color w:val="000000" w:themeColor="text1"/>
          <w:sz w:val="22"/>
          <w:szCs w:val="22"/>
        </w:rPr>
        <w:t>.</w:t>
      </w:r>
      <w:r w:rsidR="00751C53" w:rsidRPr="00111375">
        <w:rPr>
          <w:rFonts w:ascii="Arial" w:hAnsi="Arial" w:cs="Arial"/>
          <w:color w:val="000000" w:themeColor="text1"/>
          <w:sz w:val="22"/>
          <w:szCs w:val="22"/>
        </w:rPr>
        <w:t xml:space="preserve"> </w:t>
      </w:r>
      <w:r w:rsidR="00751C53" w:rsidRPr="00111375">
        <w:rPr>
          <w:rFonts w:ascii="Arial" w:hAnsi="Arial" w:cs="Arial"/>
          <w:color w:val="000000" w:themeColor="text1"/>
          <w:sz w:val="22"/>
          <w:szCs w:val="22"/>
        </w:rPr>
        <w:t>{accessed online 1</w:t>
      </w:r>
      <w:r w:rsidR="00751C53" w:rsidRPr="00111375">
        <w:rPr>
          <w:rFonts w:ascii="Arial" w:hAnsi="Arial" w:cs="Arial"/>
          <w:color w:val="000000" w:themeColor="text1"/>
          <w:sz w:val="22"/>
          <w:szCs w:val="22"/>
        </w:rPr>
        <w:t>6</w:t>
      </w:r>
      <w:r w:rsidR="00751C53" w:rsidRPr="00111375">
        <w:rPr>
          <w:rFonts w:ascii="Arial" w:hAnsi="Arial" w:cs="Arial"/>
          <w:color w:val="000000" w:themeColor="text1"/>
          <w:sz w:val="22"/>
          <w:szCs w:val="22"/>
        </w:rPr>
        <w:t>/02/24}</w:t>
      </w:r>
    </w:p>
    <w:p w14:paraId="44B9ACD6" w14:textId="5F7219F0"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Lancer, J.R. </w:t>
      </w:r>
      <w:r w:rsidRPr="00111375">
        <w:rPr>
          <w:rFonts w:ascii="Arial" w:hAnsi="Arial" w:cs="Arial"/>
          <w:b/>
          <w:bCs/>
          <w:color w:val="000000" w:themeColor="text1"/>
          <w:sz w:val="22"/>
          <w:szCs w:val="22"/>
        </w:rPr>
        <w:t>(2014)</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‘The meaning of quality professional learning for school improvement: articulating a coherent vision rooted in a theoretical perspective on learning’</w:t>
      </w:r>
      <w:r w:rsidRPr="00111375">
        <w:rPr>
          <w:rFonts w:ascii="Arial" w:hAnsi="Arial" w:cs="Arial"/>
          <w:color w:val="000000" w:themeColor="text1"/>
          <w:sz w:val="22"/>
          <w:szCs w:val="22"/>
        </w:rPr>
        <w:t xml:space="preserve">, School Effectiveness and School Improvement, 26(4), pp. 639–667. Available at: </w:t>
      </w:r>
      <w:hyperlink r:id="rId23" w:history="1">
        <w:r w:rsidR="00751C53" w:rsidRPr="00111375">
          <w:rPr>
            <w:rStyle w:val="Hyperlink"/>
            <w:rFonts w:ascii="Arial" w:hAnsi="Arial" w:cs="Arial"/>
            <w:color w:val="000000" w:themeColor="text1"/>
            <w:sz w:val="22"/>
            <w:szCs w:val="22"/>
          </w:rPr>
          <w:t>https://doi.org/10.1080/09243453.2014.971821</w:t>
        </w:r>
      </w:hyperlink>
      <w:r w:rsidRPr="00111375">
        <w:rPr>
          <w:rFonts w:ascii="Arial" w:hAnsi="Arial" w:cs="Arial"/>
          <w:color w:val="000000" w:themeColor="text1"/>
          <w:sz w:val="22"/>
          <w:szCs w:val="22"/>
        </w:rPr>
        <w:t>.</w:t>
      </w:r>
      <w:r w:rsidR="00751C53" w:rsidRPr="00111375">
        <w:rPr>
          <w:rFonts w:ascii="Arial" w:hAnsi="Arial" w:cs="Arial"/>
          <w:color w:val="000000" w:themeColor="text1"/>
          <w:sz w:val="22"/>
          <w:szCs w:val="22"/>
        </w:rPr>
        <w:t xml:space="preserve"> </w:t>
      </w:r>
      <w:r w:rsidR="00751C53" w:rsidRPr="00111375">
        <w:rPr>
          <w:rFonts w:ascii="Arial" w:hAnsi="Arial" w:cs="Arial"/>
          <w:color w:val="000000" w:themeColor="text1"/>
          <w:sz w:val="22"/>
          <w:szCs w:val="22"/>
        </w:rPr>
        <w:t>{accessed online 1</w:t>
      </w:r>
      <w:r w:rsidR="00751C53" w:rsidRPr="00111375">
        <w:rPr>
          <w:rFonts w:ascii="Arial" w:hAnsi="Arial" w:cs="Arial"/>
          <w:color w:val="000000" w:themeColor="text1"/>
          <w:sz w:val="22"/>
          <w:szCs w:val="22"/>
        </w:rPr>
        <w:t>9</w:t>
      </w:r>
      <w:r w:rsidR="00751C53" w:rsidRPr="00111375">
        <w:rPr>
          <w:rFonts w:ascii="Arial" w:hAnsi="Arial" w:cs="Arial"/>
          <w:color w:val="000000" w:themeColor="text1"/>
          <w:sz w:val="22"/>
          <w:szCs w:val="22"/>
        </w:rPr>
        <w:t>/02/24}</w:t>
      </w:r>
    </w:p>
    <w:p w14:paraId="22287991" w14:textId="4F39AC88"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Lawson, M.J., Van </w:t>
      </w:r>
      <w:proofErr w:type="spellStart"/>
      <w:r w:rsidRPr="00111375">
        <w:rPr>
          <w:rFonts w:ascii="Arial" w:hAnsi="Arial" w:cs="Arial"/>
          <w:color w:val="000000" w:themeColor="text1"/>
          <w:sz w:val="22"/>
          <w:szCs w:val="22"/>
        </w:rPr>
        <w:t>Deur</w:t>
      </w:r>
      <w:proofErr w:type="spellEnd"/>
      <w:r w:rsidRPr="00111375">
        <w:rPr>
          <w:rFonts w:ascii="Arial" w:hAnsi="Arial" w:cs="Arial"/>
          <w:color w:val="000000" w:themeColor="text1"/>
          <w:sz w:val="22"/>
          <w:szCs w:val="22"/>
        </w:rPr>
        <w:t xml:space="preserve">, P., Scott, W., Stephenson, H., Kang, S., </w:t>
      </w:r>
      <w:proofErr w:type="spellStart"/>
      <w:r w:rsidRPr="00111375">
        <w:rPr>
          <w:rFonts w:ascii="Arial" w:hAnsi="Arial" w:cs="Arial"/>
          <w:color w:val="000000" w:themeColor="text1"/>
          <w:sz w:val="22"/>
          <w:szCs w:val="22"/>
        </w:rPr>
        <w:t>Wyra</w:t>
      </w:r>
      <w:proofErr w:type="spellEnd"/>
      <w:r w:rsidRPr="00111375">
        <w:rPr>
          <w:rFonts w:ascii="Arial" w:hAnsi="Arial" w:cs="Arial"/>
          <w:color w:val="000000" w:themeColor="text1"/>
          <w:sz w:val="22"/>
          <w:szCs w:val="22"/>
        </w:rPr>
        <w:t xml:space="preserve">, M., </w:t>
      </w:r>
      <w:proofErr w:type="spellStart"/>
      <w:r w:rsidRPr="00111375">
        <w:rPr>
          <w:rFonts w:ascii="Arial" w:hAnsi="Arial" w:cs="Arial"/>
          <w:color w:val="000000" w:themeColor="text1"/>
          <w:sz w:val="22"/>
          <w:szCs w:val="22"/>
        </w:rPr>
        <w:t>Darmawan</w:t>
      </w:r>
      <w:proofErr w:type="spellEnd"/>
      <w:r w:rsidRPr="00111375">
        <w:rPr>
          <w:rFonts w:ascii="Arial" w:hAnsi="Arial" w:cs="Arial"/>
          <w:color w:val="000000" w:themeColor="text1"/>
          <w:sz w:val="22"/>
          <w:szCs w:val="22"/>
        </w:rPr>
        <w:t xml:space="preserve">, I., </w:t>
      </w:r>
      <w:proofErr w:type="spellStart"/>
      <w:r w:rsidRPr="00111375">
        <w:rPr>
          <w:rFonts w:ascii="Arial" w:hAnsi="Arial" w:cs="Arial"/>
          <w:color w:val="000000" w:themeColor="text1"/>
          <w:sz w:val="22"/>
          <w:szCs w:val="22"/>
        </w:rPr>
        <w:t>Vosniadou</w:t>
      </w:r>
      <w:proofErr w:type="spellEnd"/>
      <w:r w:rsidRPr="00111375">
        <w:rPr>
          <w:rFonts w:ascii="Arial" w:hAnsi="Arial" w:cs="Arial"/>
          <w:color w:val="000000" w:themeColor="text1"/>
          <w:sz w:val="22"/>
          <w:szCs w:val="22"/>
        </w:rPr>
        <w:t xml:space="preserve">, S., Murdoch, C., White, E. and Graham, L. </w:t>
      </w:r>
      <w:r w:rsidRPr="00111375">
        <w:rPr>
          <w:rFonts w:ascii="Arial" w:hAnsi="Arial" w:cs="Arial"/>
          <w:b/>
          <w:bCs/>
          <w:color w:val="000000" w:themeColor="text1"/>
          <w:sz w:val="22"/>
          <w:szCs w:val="22"/>
        </w:rPr>
        <w:t>(2023)</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‘The levels of cognitive engagement of lesson tasks designed by teacher education students and their use of knowledge of self-regulated learning in explanations for task design’,</w:t>
      </w:r>
      <w:r w:rsidRPr="00111375">
        <w:rPr>
          <w:rFonts w:ascii="Arial" w:hAnsi="Arial" w:cs="Arial"/>
          <w:color w:val="000000" w:themeColor="text1"/>
          <w:sz w:val="22"/>
          <w:szCs w:val="22"/>
        </w:rPr>
        <w:t xml:space="preserve"> Teaching and Teacher Education, 125, p. 104043. Available at: </w:t>
      </w:r>
      <w:hyperlink r:id="rId24" w:history="1">
        <w:r w:rsidR="0002284D" w:rsidRPr="00111375">
          <w:rPr>
            <w:rStyle w:val="Hyperlink"/>
            <w:rFonts w:ascii="Arial" w:hAnsi="Arial" w:cs="Arial"/>
            <w:color w:val="000000" w:themeColor="text1"/>
            <w:sz w:val="22"/>
            <w:szCs w:val="22"/>
          </w:rPr>
          <w:t>https://doi.org/10.1016/j.tate.2023.104043</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 xml:space="preserve">{accessed online </w:t>
      </w:r>
      <w:r w:rsidR="0002284D" w:rsidRPr="00111375">
        <w:rPr>
          <w:rFonts w:ascii="Arial" w:hAnsi="Arial" w:cs="Arial"/>
          <w:color w:val="000000" w:themeColor="text1"/>
          <w:sz w:val="22"/>
          <w:szCs w:val="22"/>
        </w:rPr>
        <w:t>05</w:t>
      </w:r>
      <w:r w:rsidR="0002284D" w:rsidRPr="00111375">
        <w:rPr>
          <w:rFonts w:ascii="Arial" w:hAnsi="Arial" w:cs="Arial"/>
          <w:color w:val="000000" w:themeColor="text1"/>
          <w:sz w:val="22"/>
          <w:szCs w:val="22"/>
        </w:rPr>
        <w:t>/02/24}</w:t>
      </w:r>
    </w:p>
    <w:p w14:paraId="05CC71C4" w14:textId="18451E31"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My Local School</w:t>
      </w:r>
      <w:r w:rsidR="00111375" w:rsidRPr="00111375">
        <w:rPr>
          <w:rFonts w:ascii="Arial" w:hAnsi="Arial" w:cs="Arial"/>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b/>
          <w:bCs/>
          <w:color w:val="000000" w:themeColor="text1"/>
          <w:sz w:val="22"/>
          <w:szCs w:val="22"/>
        </w:rPr>
        <w:t>(2023)</w:t>
      </w:r>
      <w:r w:rsidRPr="00111375">
        <w:rPr>
          <w:rFonts w:ascii="Arial" w:hAnsi="Arial" w:cs="Arial"/>
          <w:color w:val="000000" w:themeColor="text1"/>
          <w:sz w:val="22"/>
          <w:szCs w:val="22"/>
        </w:rPr>
        <w:t xml:space="preserve"> </w:t>
      </w:r>
      <w:r w:rsidR="00E04B02" w:rsidRPr="00111375">
        <w:rPr>
          <w:rFonts w:ascii="Arial" w:hAnsi="Arial" w:cs="Arial"/>
          <w:i/>
          <w:iCs/>
          <w:color w:val="000000" w:themeColor="text1"/>
          <w:sz w:val="22"/>
          <w:szCs w:val="22"/>
        </w:rPr>
        <w:t>School X.</w:t>
      </w:r>
      <w:r w:rsidRPr="00111375">
        <w:rPr>
          <w:rFonts w:ascii="Arial" w:hAnsi="Arial" w:cs="Arial"/>
          <w:color w:val="000000" w:themeColor="text1"/>
          <w:sz w:val="22"/>
          <w:szCs w:val="22"/>
        </w:rPr>
        <w:t xml:space="preserve"> Available at: </w:t>
      </w:r>
      <w:proofErr w:type="gramStart"/>
      <w:r w:rsidRPr="00111375">
        <w:rPr>
          <w:rFonts w:ascii="Arial" w:hAnsi="Arial" w:cs="Arial"/>
          <w:color w:val="000000" w:themeColor="text1"/>
          <w:sz w:val="22"/>
          <w:szCs w:val="22"/>
        </w:rPr>
        <w:t>https://mylocalschool.gov.wales/School/</w:t>
      </w:r>
      <w:r w:rsidRPr="00111375">
        <w:rPr>
          <w:rFonts w:ascii="Arial" w:hAnsi="Arial" w:cs="Arial"/>
          <w:color w:val="000000" w:themeColor="text1"/>
          <w:sz w:val="22"/>
          <w:szCs w:val="22"/>
          <w:highlight w:val="black"/>
        </w:rPr>
        <w:t>6704043?</w:t>
      </w:r>
      <w:r w:rsidRPr="00111375">
        <w:rPr>
          <w:rFonts w:ascii="Arial" w:hAnsi="Arial" w:cs="Arial"/>
          <w:color w:val="000000" w:themeColor="text1"/>
          <w:sz w:val="22"/>
          <w:szCs w:val="22"/>
        </w:rPr>
        <w:t xml:space="preserve">lang=en </w:t>
      </w:r>
      <w:r w:rsidR="0002284D" w:rsidRPr="00111375">
        <w:rPr>
          <w:rFonts w:ascii="Arial" w:hAnsi="Arial" w:cs="Arial"/>
          <w:color w:val="000000" w:themeColor="text1"/>
          <w:sz w:val="22"/>
          <w:szCs w:val="22"/>
        </w:rPr>
        <w:t xml:space="preserve"> {</w:t>
      </w:r>
      <w:proofErr w:type="gramEnd"/>
      <w:r w:rsidRPr="00111375">
        <w:rPr>
          <w:rFonts w:ascii="Arial" w:hAnsi="Arial" w:cs="Arial"/>
          <w:color w:val="000000" w:themeColor="text1"/>
          <w:sz w:val="22"/>
          <w:szCs w:val="22"/>
        </w:rPr>
        <w:t>Accessed</w:t>
      </w:r>
      <w:r w:rsidR="0002284D" w:rsidRPr="00111375">
        <w:rPr>
          <w:rFonts w:ascii="Arial" w:hAnsi="Arial" w:cs="Arial"/>
          <w:color w:val="000000" w:themeColor="text1"/>
          <w:sz w:val="22"/>
          <w:szCs w:val="22"/>
        </w:rPr>
        <w:t xml:space="preserve"> online 20/02/24}</w:t>
      </w:r>
    </w:p>
    <w:p w14:paraId="0F3527A0" w14:textId="2EA3F09B"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OECD</w:t>
      </w:r>
      <w:r w:rsidR="00111375" w:rsidRPr="00111375">
        <w:rPr>
          <w:rFonts w:ascii="Arial" w:hAnsi="Arial" w:cs="Arial"/>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b/>
          <w:bCs/>
          <w:color w:val="000000" w:themeColor="text1"/>
          <w:sz w:val="22"/>
          <w:szCs w:val="22"/>
        </w:rPr>
        <w:t>(2018)</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Developing Schools as Learning Organisations in Wales- Implementing Education Policies</w:t>
      </w:r>
      <w:r w:rsidRPr="00111375">
        <w:rPr>
          <w:rFonts w:ascii="Arial" w:hAnsi="Arial" w:cs="Arial"/>
          <w:color w:val="000000" w:themeColor="text1"/>
          <w:sz w:val="22"/>
          <w:szCs w:val="22"/>
        </w:rPr>
        <w:t xml:space="preserve">. Paris: OECD Publishing. Available at: </w:t>
      </w:r>
      <w:hyperlink r:id="rId25" w:history="1">
        <w:r w:rsidR="00751C53" w:rsidRPr="00111375">
          <w:rPr>
            <w:rStyle w:val="Hyperlink"/>
            <w:rFonts w:ascii="Arial" w:hAnsi="Arial" w:cs="Arial"/>
            <w:color w:val="000000" w:themeColor="text1"/>
            <w:sz w:val="22"/>
            <w:szCs w:val="22"/>
          </w:rPr>
          <w:t>https://doi.org/10.1787/9789264307193-en</w:t>
        </w:r>
      </w:hyperlink>
      <w:r w:rsidRPr="00111375">
        <w:rPr>
          <w:rFonts w:ascii="Arial" w:hAnsi="Arial" w:cs="Arial"/>
          <w:color w:val="000000" w:themeColor="text1"/>
          <w:sz w:val="22"/>
          <w:szCs w:val="22"/>
        </w:rPr>
        <w:t>.</w:t>
      </w:r>
      <w:r w:rsidR="00751C53" w:rsidRPr="00111375">
        <w:rPr>
          <w:rFonts w:ascii="Arial" w:hAnsi="Arial" w:cs="Arial"/>
          <w:color w:val="000000" w:themeColor="text1"/>
          <w:sz w:val="22"/>
          <w:szCs w:val="22"/>
        </w:rPr>
        <w:t xml:space="preserve"> </w:t>
      </w:r>
      <w:r w:rsidR="00751C53" w:rsidRPr="00111375">
        <w:rPr>
          <w:rFonts w:ascii="Arial" w:hAnsi="Arial" w:cs="Arial"/>
          <w:color w:val="000000" w:themeColor="text1"/>
          <w:sz w:val="22"/>
          <w:szCs w:val="22"/>
        </w:rPr>
        <w:t xml:space="preserve">{accessed online </w:t>
      </w:r>
      <w:r w:rsidR="00751C53" w:rsidRPr="00111375">
        <w:rPr>
          <w:rFonts w:ascii="Arial" w:hAnsi="Arial" w:cs="Arial"/>
          <w:color w:val="000000" w:themeColor="text1"/>
          <w:sz w:val="22"/>
          <w:szCs w:val="22"/>
        </w:rPr>
        <w:t>05</w:t>
      </w:r>
      <w:r w:rsidR="00751C53" w:rsidRPr="00111375">
        <w:rPr>
          <w:rFonts w:ascii="Arial" w:hAnsi="Arial" w:cs="Arial"/>
          <w:color w:val="000000" w:themeColor="text1"/>
          <w:sz w:val="22"/>
          <w:szCs w:val="22"/>
        </w:rPr>
        <w:t>/0</w:t>
      </w:r>
      <w:r w:rsidR="00751C53" w:rsidRPr="00111375">
        <w:rPr>
          <w:rFonts w:ascii="Arial" w:hAnsi="Arial" w:cs="Arial"/>
          <w:color w:val="000000" w:themeColor="text1"/>
          <w:sz w:val="22"/>
          <w:szCs w:val="22"/>
        </w:rPr>
        <w:t>1</w:t>
      </w:r>
      <w:r w:rsidR="00751C53" w:rsidRPr="00111375">
        <w:rPr>
          <w:rFonts w:ascii="Arial" w:hAnsi="Arial" w:cs="Arial"/>
          <w:color w:val="000000" w:themeColor="text1"/>
          <w:sz w:val="22"/>
          <w:szCs w:val="22"/>
        </w:rPr>
        <w:t>/24}</w:t>
      </w:r>
    </w:p>
    <w:p w14:paraId="053DDA2E" w14:textId="0562D391"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Robinson, V., </w:t>
      </w:r>
      <w:proofErr w:type="spellStart"/>
      <w:r w:rsidRPr="00111375">
        <w:rPr>
          <w:rFonts w:ascii="Arial" w:hAnsi="Arial" w:cs="Arial"/>
          <w:color w:val="000000" w:themeColor="text1"/>
          <w:sz w:val="22"/>
          <w:szCs w:val="22"/>
        </w:rPr>
        <w:t>Bendikson</w:t>
      </w:r>
      <w:proofErr w:type="spellEnd"/>
      <w:r w:rsidRPr="00111375">
        <w:rPr>
          <w:rFonts w:ascii="Arial" w:hAnsi="Arial" w:cs="Arial"/>
          <w:color w:val="000000" w:themeColor="text1"/>
          <w:sz w:val="22"/>
          <w:szCs w:val="22"/>
        </w:rPr>
        <w:t xml:space="preserve">, L., </w:t>
      </w:r>
      <w:proofErr w:type="spellStart"/>
      <w:r w:rsidRPr="00111375">
        <w:rPr>
          <w:rFonts w:ascii="Arial" w:hAnsi="Arial" w:cs="Arial"/>
          <w:color w:val="000000" w:themeColor="text1"/>
          <w:sz w:val="22"/>
          <w:szCs w:val="22"/>
        </w:rPr>
        <w:t>Mcnaughton</w:t>
      </w:r>
      <w:proofErr w:type="spellEnd"/>
      <w:r w:rsidRPr="00111375">
        <w:rPr>
          <w:rFonts w:ascii="Arial" w:hAnsi="Arial" w:cs="Arial"/>
          <w:color w:val="000000" w:themeColor="text1"/>
          <w:sz w:val="22"/>
          <w:szCs w:val="22"/>
        </w:rPr>
        <w:t xml:space="preserve">, S., Wilson, A. and Zhu, T. </w:t>
      </w:r>
      <w:r w:rsidRPr="00111375">
        <w:rPr>
          <w:rFonts w:ascii="Arial" w:hAnsi="Arial" w:cs="Arial"/>
          <w:b/>
          <w:bCs/>
          <w:color w:val="000000" w:themeColor="text1"/>
          <w:sz w:val="22"/>
          <w:szCs w:val="22"/>
        </w:rPr>
        <w:t>(2017)</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Joining the Dots: The Challenge of Creating Coherent School Improvement’,</w:t>
      </w:r>
      <w:r w:rsidRPr="00111375">
        <w:rPr>
          <w:rFonts w:ascii="Arial" w:hAnsi="Arial" w:cs="Arial"/>
          <w:color w:val="000000" w:themeColor="text1"/>
          <w:sz w:val="22"/>
          <w:szCs w:val="22"/>
        </w:rPr>
        <w:t xml:space="preserve"> Teachers College Record: The Voice of Scholarship in Education, 119(8), pp. 1–44. Available at: </w:t>
      </w:r>
      <w:hyperlink r:id="rId26" w:history="1">
        <w:r w:rsidR="0002284D" w:rsidRPr="00111375">
          <w:rPr>
            <w:rStyle w:val="Hyperlink"/>
            <w:rFonts w:ascii="Arial" w:hAnsi="Arial" w:cs="Arial"/>
            <w:color w:val="000000" w:themeColor="text1"/>
            <w:sz w:val="22"/>
            <w:szCs w:val="22"/>
          </w:rPr>
          <w:t>https://doi.org/10.1177/016146811711900803</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{accessed online 1</w:t>
      </w:r>
      <w:r w:rsidR="0002284D" w:rsidRPr="00111375">
        <w:rPr>
          <w:rFonts w:ascii="Arial" w:hAnsi="Arial" w:cs="Arial"/>
          <w:color w:val="000000" w:themeColor="text1"/>
          <w:sz w:val="22"/>
          <w:szCs w:val="22"/>
        </w:rPr>
        <w:t>3</w:t>
      </w:r>
      <w:r w:rsidR="0002284D" w:rsidRPr="00111375">
        <w:rPr>
          <w:rFonts w:ascii="Arial" w:hAnsi="Arial" w:cs="Arial"/>
          <w:color w:val="000000" w:themeColor="text1"/>
          <w:sz w:val="22"/>
          <w:szCs w:val="22"/>
        </w:rPr>
        <w:t>/02/24}</w:t>
      </w:r>
    </w:p>
    <w:p w14:paraId="30E7BAE7" w14:textId="360E123D"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Rosenshine, B. </w:t>
      </w:r>
      <w:r w:rsidRPr="00111375">
        <w:rPr>
          <w:rFonts w:ascii="Arial" w:hAnsi="Arial" w:cs="Arial"/>
          <w:b/>
          <w:bCs/>
          <w:color w:val="000000" w:themeColor="text1"/>
          <w:sz w:val="22"/>
          <w:szCs w:val="22"/>
        </w:rPr>
        <w:t xml:space="preserve">(2012) </w:t>
      </w:r>
      <w:r w:rsidRPr="00111375">
        <w:rPr>
          <w:rFonts w:ascii="Arial" w:hAnsi="Arial" w:cs="Arial"/>
          <w:i/>
          <w:iCs/>
          <w:color w:val="000000" w:themeColor="text1"/>
          <w:sz w:val="22"/>
          <w:szCs w:val="22"/>
        </w:rPr>
        <w:t>Principles of Instruction Research-Based Strategies That All Teachers Should Know</w:t>
      </w:r>
      <w:r w:rsidRPr="00111375">
        <w:rPr>
          <w:rFonts w:ascii="Arial" w:hAnsi="Arial" w:cs="Arial"/>
          <w:color w:val="000000" w:themeColor="text1"/>
          <w:sz w:val="22"/>
          <w:szCs w:val="22"/>
        </w:rPr>
        <w:t xml:space="preserve">. American Educator. Available at: </w:t>
      </w:r>
      <w:hyperlink r:id="rId27" w:history="1">
        <w:r w:rsidR="0002284D" w:rsidRPr="00111375">
          <w:rPr>
            <w:rStyle w:val="Hyperlink"/>
            <w:rFonts w:ascii="Arial" w:hAnsi="Arial" w:cs="Arial"/>
            <w:color w:val="000000" w:themeColor="text1"/>
            <w:sz w:val="22"/>
            <w:szCs w:val="22"/>
          </w:rPr>
          <w:t>https://files.eric.ed.gov/fulltext/EJ971753.pdf</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 xml:space="preserve">{accessed online </w:t>
      </w:r>
      <w:r w:rsidR="0002284D" w:rsidRPr="00111375">
        <w:rPr>
          <w:rFonts w:ascii="Arial" w:hAnsi="Arial" w:cs="Arial"/>
          <w:color w:val="000000" w:themeColor="text1"/>
          <w:sz w:val="22"/>
          <w:szCs w:val="22"/>
        </w:rPr>
        <w:t>09</w:t>
      </w:r>
      <w:r w:rsidR="0002284D" w:rsidRPr="00111375">
        <w:rPr>
          <w:rFonts w:ascii="Arial" w:hAnsi="Arial" w:cs="Arial"/>
          <w:color w:val="000000" w:themeColor="text1"/>
          <w:sz w:val="22"/>
          <w:szCs w:val="22"/>
        </w:rPr>
        <w:t>/02/24}</w:t>
      </w:r>
    </w:p>
    <w:p w14:paraId="44F9FF7E" w14:textId="6F19AFD2"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Sampaio, M. and Leite, C. </w:t>
      </w:r>
      <w:r w:rsidRPr="00111375">
        <w:rPr>
          <w:rFonts w:ascii="Arial" w:hAnsi="Arial" w:cs="Arial"/>
          <w:b/>
          <w:bCs/>
          <w:color w:val="000000" w:themeColor="text1"/>
          <w:sz w:val="22"/>
          <w:szCs w:val="22"/>
        </w:rPr>
        <w:t>(2017)</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From curricular justice to educational improvement: What is the role of schools’ self-evaluation?’,</w:t>
      </w:r>
      <w:r w:rsidRPr="00111375">
        <w:rPr>
          <w:rFonts w:ascii="Arial" w:hAnsi="Arial" w:cs="Arial"/>
          <w:color w:val="000000" w:themeColor="text1"/>
          <w:sz w:val="22"/>
          <w:szCs w:val="22"/>
        </w:rPr>
        <w:t xml:space="preserve"> Improving Schools, 20(1), pp. 62–75. Available at: </w:t>
      </w:r>
      <w:hyperlink r:id="rId28" w:history="1">
        <w:r w:rsidR="0002284D" w:rsidRPr="00111375">
          <w:rPr>
            <w:rStyle w:val="Hyperlink"/>
            <w:rFonts w:ascii="Arial" w:hAnsi="Arial" w:cs="Arial"/>
            <w:color w:val="000000" w:themeColor="text1"/>
            <w:sz w:val="22"/>
            <w:szCs w:val="22"/>
          </w:rPr>
          <w:t>https://doi.org/10.1177/1365480216688553</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{accessed online 1</w:t>
      </w:r>
      <w:r w:rsidR="0002284D" w:rsidRPr="00111375">
        <w:rPr>
          <w:rFonts w:ascii="Arial" w:hAnsi="Arial" w:cs="Arial"/>
          <w:color w:val="000000" w:themeColor="text1"/>
          <w:sz w:val="22"/>
          <w:szCs w:val="22"/>
        </w:rPr>
        <w:t>8</w:t>
      </w:r>
      <w:r w:rsidR="0002284D" w:rsidRPr="00111375">
        <w:rPr>
          <w:rFonts w:ascii="Arial" w:hAnsi="Arial" w:cs="Arial"/>
          <w:color w:val="000000" w:themeColor="text1"/>
          <w:sz w:val="22"/>
          <w:szCs w:val="22"/>
        </w:rPr>
        <w:t>/02/24}</w:t>
      </w:r>
    </w:p>
    <w:p w14:paraId="45CB5ADE" w14:textId="625223A1"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lastRenderedPageBreak/>
        <w:t xml:space="preserve">Schildkamp, K. </w:t>
      </w:r>
      <w:r w:rsidRPr="00111375">
        <w:rPr>
          <w:rFonts w:ascii="Arial" w:hAnsi="Arial" w:cs="Arial"/>
          <w:b/>
          <w:bCs/>
          <w:color w:val="000000" w:themeColor="text1"/>
          <w:sz w:val="22"/>
          <w:szCs w:val="22"/>
        </w:rPr>
        <w:t xml:space="preserve">(2019) </w:t>
      </w:r>
      <w:r w:rsidRPr="00111375">
        <w:rPr>
          <w:rFonts w:ascii="Arial" w:hAnsi="Arial" w:cs="Arial"/>
          <w:color w:val="000000" w:themeColor="text1"/>
          <w:sz w:val="22"/>
          <w:szCs w:val="22"/>
        </w:rPr>
        <w:t>‘</w:t>
      </w:r>
      <w:r w:rsidRPr="00111375">
        <w:rPr>
          <w:rFonts w:ascii="Arial" w:hAnsi="Arial" w:cs="Arial"/>
          <w:i/>
          <w:iCs/>
          <w:color w:val="000000" w:themeColor="text1"/>
          <w:sz w:val="22"/>
          <w:szCs w:val="22"/>
        </w:rPr>
        <w:t>Data-based decision-making for school improvement: Research insights and gaps’,</w:t>
      </w:r>
      <w:r w:rsidRPr="00111375">
        <w:rPr>
          <w:rFonts w:ascii="Arial" w:hAnsi="Arial" w:cs="Arial"/>
          <w:color w:val="000000" w:themeColor="text1"/>
          <w:sz w:val="22"/>
          <w:szCs w:val="22"/>
        </w:rPr>
        <w:t xml:space="preserve"> Educational Research, 61(3), pp. 257–273. Available at: </w:t>
      </w:r>
      <w:hyperlink r:id="rId29" w:history="1">
        <w:r w:rsidR="0002284D" w:rsidRPr="00111375">
          <w:rPr>
            <w:rStyle w:val="Hyperlink"/>
            <w:rFonts w:ascii="Arial" w:hAnsi="Arial" w:cs="Arial"/>
            <w:color w:val="000000" w:themeColor="text1"/>
            <w:sz w:val="22"/>
            <w:szCs w:val="22"/>
          </w:rPr>
          <w:t>https://doi.org/10.1080/00131881.2019.1625716</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 xml:space="preserve">{accessed online </w:t>
      </w:r>
      <w:r w:rsidR="0002284D" w:rsidRPr="00111375">
        <w:rPr>
          <w:rFonts w:ascii="Arial" w:hAnsi="Arial" w:cs="Arial"/>
          <w:color w:val="000000" w:themeColor="text1"/>
          <w:sz w:val="22"/>
          <w:szCs w:val="22"/>
        </w:rPr>
        <w:t>05</w:t>
      </w:r>
      <w:r w:rsidR="0002284D" w:rsidRPr="00111375">
        <w:rPr>
          <w:rFonts w:ascii="Arial" w:hAnsi="Arial" w:cs="Arial"/>
          <w:color w:val="000000" w:themeColor="text1"/>
          <w:sz w:val="22"/>
          <w:szCs w:val="22"/>
        </w:rPr>
        <w:t>/02/24}</w:t>
      </w:r>
      <w:r w:rsidR="00326C1C" w:rsidRPr="00111375">
        <w:rPr>
          <w:rFonts w:ascii="Arial" w:hAnsi="Arial" w:cs="Arial"/>
          <w:color w:val="000000" w:themeColor="text1"/>
          <w:sz w:val="22"/>
          <w:szCs w:val="22"/>
        </w:rPr>
        <w:br/>
      </w:r>
      <w:r w:rsidR="00326C1C" w:rsidRPr="00111375">
        <w:rPr>
          <w:rFonts w:ascii="Arial" w:hAnsi="Arial" w:cs="Arial"/>
          <w:color w:val="000000" w:themeColor="text1"/>
          <w:sz w:val="22"/>
          <w:szCs w:val="22"/>
        </w:rPr>
        <w:br/>
      </w:r>
      <w:r w:rsidR="00326C1C" w:rsidRPr="00111375">
        <w:rPr>
          <w:rFonts w:ascii="Arial" w:hAnsi="Arial" w:cs="Arial"/>
          <w:color w:val="000000" w:themeColor="text1"/>
          <w:sz w:val="22"/>
          <w:szCs w:val="22"/>
        </w:rPr>
        <w:t>School X</w:t>
      </w:r>
      <w:r w:rsidR="00111375" w:rsidRPr="00111375">
        <w:rPr>
          <w:rFonts w:ascii="Arial" w:hAnsi="Arial" w:cs="Arial"/>
          <w:color w:val="000000" w:themeColor="text1"/>
          <w:sz w:val="22"/>
          <w:szCs w:val="22"/>
        </w:rPr>
        <w:t>.</w:t>
      </w:r>
      <w:r w:rsidR="00326C1C" w:rsidRPr="00111375">
        <w:rPr>
          <w:rFonts w:ascii="Arial" w:hAnsi="Arial" w:cs="Arial"/>
          <w:color w:val="000000" w:themeColor="text1"/>
          <w:sz w:val="22"/>
          <w:szCs w:val="22"/>
        </w:rPr>
        <w:t xml:space="preserve"> </w:t>
      </w:r>
      <w:r w:rsidR="00326C1C" w:rsidRPr="00111375">
        <w:rPr>
          <w:rFonts w:ascii="Arial" w:hAnsi="Arial" w:cs="Arial"/>
          <w:b/>
          <w:bCs/>
          <w:color w:val="000000" w:themeColor="text1"/>
          <w:sz w:val="22"/>
          <w:szCs w:val="22"/>
        </w:rPr>
        <w:t>(</w:t>
      </w:r>
      <w:r w:rsidR="00326C1C" w:rsidRPr="00111375">
        <w:rPr>
          <w:rFonts w:ascii="Arial" w:hAnsi="Arial" w:cs="Arial"/>
          <w:b/>
          <w:bCs/>
          <w:color w:val="000000" w:themeColor="text1"/>
          <w:sz w:val="22"/>
          <w:szCs w:val="22"/>
        </w:rPr>
        <w:t>2022</w:t>
      </w:r>
      <w:r w:rsidR="00326C1C" w:rsidRPr="00111375">
        <w:rPr>
          <w:rFonts w:ascii="Arial" w:hAnsi="Arial" w:cs="Arial"/>
          <w:b/>
          <w:bCs/>
          <w:color w:val="000000" w:themeColor="text1"/>
          <w:sz w:val="22"/>
          <w:szCs w:val="22"/>
        </w:rPr>
        <w:t>)</w:t>
      </w:r>
      <w:r w:rsidR="00326C1C" w:rsidRPr="00111375">
        <w:rPr>
          <w:rFonts w:ascii="Arial" w:hAnsi="Arial" w:cs="Arial"/>
          <w:color w:val="000000" w:themeColor="text1"/>
          <w:sz w:val="22"/>
          <w:szCs w:val="22"/>
        </w:rPr>
        <w:t xml:space="preserve"> </w:t>
      </w:r>
      <w:r w:rsidR="00326C1C" w:rsidRPr="00111375">
        <w:rPr>
          <w:rFonts w:ascii="Arial" w:hAnsi="Arial" w:cs="Arial"/>
          <w:i/>
          <w:iCs/>
          <w:color w:val="000000" w:themeColor="text1"/>
          <w:sz w:val="22"/>
          <w:szCs w:val="22"/>
        </w:rPr>
        <w:t>School X website.</w:t>
      </w:r>
      <w:r w:rsidR="00326C1C" w:rsidRPr="00111375">
        <w:rPr>
          <w:rFonts w:ascii="Arial" w:hAnsi="Arial" w:cs="Arial"/>
          <w:color w:val="000000" w:themeColor="text1"/>
          <w:sz w:val="22"/>
          <w:szCs w:val="22"/>
        </w:rPr>
        <w:t xml:space="preserve"> Available at: </w:t>
      </w:r>
      <w:hyperlink r:id="rId30" w:history="1">
        <w:r w:rsidR="0002284D" w:rsidRPr="00111375">
          <w:rPr>
            <w:rStyle w:val="Hyperlink"/>
            <w:rFonts w:ascii="Arial" w:hAnsi="Arial" w:cs="Arial"/>
            <w:color w:val="000000" w:themeColor="text1"/>
            <w:sz w:val="22"/>
            <w:szCs w:val="22"/>
          </w:rPr>
          <w:t>https</w:t>
        </w:r>
        <w:r w:rsidR="0002284D" w:rsidRPr="00111375">
          <w:rPr>
            <w:rStyle w:val="Hyperlink"/>
            <w:rFonts w:ascii="Arial" w:hAnsi="Arial" w:cs="Arial"/>
            <w:color w:val="000000" w:themeColor="text1"/>
            <w:sz w:val="22"/>
            <w:szCs w:val="22"/>
            <w:highlight w:val="black"/>
          </w:rPr>
          <w:t>://pentrehafod</w:t>
        </w:r>
        <w:r w:rsidR="0002284D" w:rsidRPr="00111375">
          <w:rPr>
            <w:rStyle w:val="Hyperlink"/>
            <w:rFonts w:ascii="Arial" w:hAnsi="Arial" w:cs="Arial"/>
            <w:color w:val="000000" w:themeColor="text1"/>
            <w:sz w:val="22"/>
            <w:szCs w:val="22"/>
          </w:rPr>
          <w:t>.school/</w:t>
        </w:r>
      </w:hyperlink>
      <w:r w:rsidR="00326C1C"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{accessed online 1</w:t>
      </w:r>
      <w:r w:rsidR="0002284D" w:rsidRPr="00111375">
        <w:rPr>
          <w:rFonts w:ascii="Arial" w:hAnsi="Arial" w:cs="Arial"/>
          <w:color w:val="000000" w:themeColor="text1"/>
          <w:sz w:val="22"/>
          <w:szCs w:val="22"/>
        </w:rPr>
        <w:t>8</w:t>
      </w:r>
      <w:r w:rsidR="0002284D" w:rsidRPr="00111375">
        <w:rPr>
          <w:rFonts w:ascii="Arial" w:hAnsi="Arial" w:cs="Arial"/>
          <w:color w:val="000000" w:themeColor="text1"/>
          <w:sz w:val="22"/>
          <w:szCs w:val="22"/>
        </w:rPr>
        <w:t>/02/24}</w:t>
      </w:r>
    </w:p>
    <w:p w14:paraId="2569C52D" w14:textId="6FC22FAE"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Veenman, S., Denessen, E. and Naafs, F. </w:t>
      </w:r>
      <w:r w:rsidRPr="00111375">
        <w:rPr>
          <w:rFonts w:ascii="Arial" w:hAnsi="Arial" w:cs="Arial"/>
          <w:b/>
          <w:bCs/>
          <w:color w:val="000000" w:themeColor="text1"/>
          <w:sz w:val="22"/>
          <w:szCs w:val="22"/>
        </w:rPr>
        <w:t>(2003)</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 xml:space="preserve">The Influence of a Course on Direct and Activating Instruction upon Student Teachers’ Classroom Practice </w:t>
      </w:r>
      <w:proofErr w:type="gramStart"/>
      <w:r w:rsidRPr="00111375">
        <w:rPr>
          <w:rFonts w:ascii="Arial" w:hAnsi="Arial" w:cs="Arial"/>
          <w:i/>
          <w:iCs/>
          <w:color w:val="000000" w:themeColor="text1"/>
          <w:sz w:val="22"/>
          <w:szCs w:val="22"/>
        </w:rPr>
        <w:t>The</w:t>
      </w:r>
      <w:proofErr w:type="gramEnd"/>
      <w:r w:rsidRPr="00111375">
        <w:rPr>
          <w:rFonts w:ascii="Arial" w:hAnsi="Arial" w:cs="Arial"/>
          <w:i/>
          <w:iCs/>
          <w:color w:val="000000" w:themeColor="text1"/>
          <w:sz w:val="22"/>
          <w:szCs w:val="22"/>
        </w:rPr>
        <w:t xml:space="preserve"> Influence of a Course on Direct and Activating Instruction upon Student Teachers’ Classroom Practice’</w:t>
      </w:r>
      <w:r w:rsidRPr="00111375">
        <w:rPr>
          <w:rFonts w:ascii="Arial" w:hAnsi="Arial" w:cs="Arial"/>
          <w:color w:val="000000" w:themeColor="text1"/>
          <w:sz w:val="22"/>
          <w:szCs w:val="22"/>
        </w:rPr>
        <w:t xml:space="preserve">, The Journal of Experimental Education, 71(3), pp. 197–225. Available at: </w:t>
      </w:r>
      <w:hyperlink r:id="rId31" w:history="1">
        <w:r w:rsidR="00111375" w:rsidRPr="00111375">
          <w:rPr>
            <w:rStyle w:val="Hyperlink"/>
            <w:rFonts w:ascii="Arial" w:hAnsi="Arial" w:cs="Arial"/>
            <w:color w:val="000000" w:themeColor="text1"/>
            <w:sz w:val="22"/>
            <w:szCs w:val="22"/>
          </w:rPr>
          <w:t>https://citeseerx.ist.psu.edu/document?repid=rep1&amp;type=pdf&amp;doi=a8928a754e3b2fa068e798343aeb9b876d7cee33</w:t>
        </w:r>
      </w:hyperlink>
      <w:r w:rsidR="00111375"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 xml:space="preserve">{accessed online </w:t>
      </w:r>
      <w:r w:rsidR="0002284D" w:rsidRPr="00111375">
        <w:rPr>
          <w:rFonts w:ascii="Arial" w:hAnsi="Arial" w:cs="Arial"/>
          <w:color w:val="000000" w:themeColor="text1"/>
          <w:sz w:val="22"/>
          <w:szCs w:val="22"/>
        </w:rPr>
        <w:t>06</w:t>
      </w:r>
      <w:r w:rsidR="0002284D" w:rsidRPr="00111375">
        <w:rPr>
          <w:rFonts w:ascii="Arial" w:hAnsi="Arial" w:cs="Arial"/>
          <w:color w:val="000000" w:themeColor="text1"/>
          <w:sz w:val="22"/>
          <w:szCs w:val="22"/>
        </w:rPr>
        <w:t>/02/24}</w:t>
      </w:r>
    </w:p>
    <w:p w14:paraId="65BE109C" w14:textId="77777777"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Vygotsky, L. </w:t>
      </w:r>
      <w:r w:rsidRPr="00111375">
        <w:rPr>
          <w:rFonts w:ascii="Arial" w:hAnsi="Arial" w:cs="Arial"/>
          <w:b/>
          <w:bCs/>
          <w:color w:val="000000" w:themeColor="text1"/>
          <w:sz w:val="22"/>
          <w:szCs w:val="22"/>
        </w:rPr>
        <w:t>(1978)</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Mind in society: The development of higher psychological processes</w:t>
      </w:r>
      <w:r w:rsidRPr="00111375">
        <w:rPr>
          <w:rFonts w:ascii="Arial" w:hAnsi="Arial" w:cs="Arial"/>
          <w:color w:val="000000" w:themeColor="text1"/>
          <w:sz w:val="22"/>
          <w:szCs w:val="22"/>
        </w:rPr>
        <w:t>. Cambridge: Harvard University Press.</w:t>
      </w:r>
    </w:p>
    <w:p w14:paraId="5BDAC707" w14:textId="07AC0E24"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Welsh Government</w:t>
      </w:r>
      <w:r w:rsidR="00111375" w:rsidRPr="00111375">
        <w:rPr>
          <w:rFonts w:ascii="Arial" w:hAnsi="Arial" w:cs="Arial"/>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b/>
          <w:bCs/>
          <w:color w:val="000000" w:themeColor="text1"/>
          <w:sz w:val="22"/>
          <w:szCs w:val="22"/>
        </w:rPr>
        <w:t>(2020a)</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Curriculum for Wales - Hwb</w:t>
      </w:r>
      <w:r w:rsidRPr="00111375">
        <w:rPr>
          <w:rFonts w:ascii="Arial" w:hAnsi="Arial" w:cs="Arial"/>
          <w:color w:val="000000" w:themeColor="text1"/>
          <w:sz w:val="22"/>
          <w:szCs w:val="22"/>
        </w:rPr>
        <w:t xml:space="preserve">, </w:t>
      </w:r>
      <w:proofErr w:type="spellStart"/>
      <w:proofErr w:type="gramStart"/>
      <w:r w:rsidRPr="00111375">
        <w:rPr>
          <w:rFonts w:ascii="Arial" w:hAnsi="Arial" w:cs="Arial"/>
          <w:i/>
          <w:iCs/>
          <w:color w:val="000000" w:themeColor="text1"/>
          <w:sz w:val="22"/>
          <w:szCs w:val="22"/>
        </w:rPr>
        <w:t>hwb.gov.wales</w:t>
      </w:r>
      <w:proofErr w:type="spellEnd"/>
      <w:proofErr w:type="gramEnd"/>
      <w:r w:rsidRPr="00111375">
        <w:rPr>
          <w:rFonts w:ascii="Arial" w:hAnsi="Arial" w:cs="Arial"/>
          <w:color w:val="000000" w:themeColor="text1"/>
          <w:sz w:val="22"/>
          <w:szCs w:val="22"/>
        </w:rPr>
        <w:t xml:space="preserve">. Available at: </w:t>
      </w:r>
      <w:hyperlink r:id="rId32" w:history="1">
        <w:r w:rsidR="0002284D" w:rsidRPr="00111375">
          <w:rPr>
            <w:rStyle w:val="Hyperlink"/>
            <w:rFonts w:ascii="Arial" w:hAnsi="Arial" w:cs="Arial"/>
            <w:color w:val="000000" w:themeColor="text1"/>
            <w:sz w:val="22"/>
            <w:szCs w:val="22"/>
          </w:rPr>
          <w:t>https://hwb.gov.wales/curriculum-for-wales/</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{accessed online 17/02/24}</w:t>
      </w:r>
    </w:p>
    <w:p w14:paraId="20419D22" w14:textId="6EA72C27"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Welsh Government</w:t>
      </w:r>
      <w:r w:rsidR="00111375" w:rsidRPr="00111375">
        <w:rPr>
          <w:rFonts w:ascii="Arial" w:hAnsi="Arial" w:cs="Arial"/>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b/>
          <w:bCs/>
          <w:color w:val="000000" w:themeColor="text1"/>
          <w:sz w:val="22"/>
          <w:szCs w:val="22"/>
        </w:rPr>
        <w:t>(202</w:t>
      </w:r>
      <w:r w:rsidR="00E04B02" w:rsidRPr="00111375">
        <w:rPr>
          <w:rFonts w:ascii="Arial" w:hAnsi="Arial" w:cs="Arial"/>
          <w:b/>
          <w:bCs/>
          <w:color w:val="000000" w:themeColor="text1"/>
          <w:sz w:val="22"/>
          <w:szCs w:val="22"/>
        </w:rPr>
        <w:t>0b</w:t>
      </w:r>
      <w:r w:rsidRPr="00111375">
        <w:rPr>
          <w:rFonts w:ascii="Arial" w:hAnsi="Arial" w:cs="Arial"/>
          <w:b/>
          <w:bCs/>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Developing a vision for curriculum design - Hwb</w:t>
      </w:r>
      <w:r w:rsidRPr="00111375">
        <w:rPr>
          <w:rFonts w:ascii="Arial" w:hAnsi="Arial" w:cs="Arial"/>
          <w:color w:val="000000" w:themeColor="text1"/>
          <w:sz w:val="22"/>
          <w:szCs w:val="22"/>
        </w:rPr>
        <w:t xml:space="preserve">, </w:t>
      </w:r>
      <w:proofErr w:type="spellStart"/>
      <w:proofErr w:type="gramStart"/>
      <w:r w:rsidRPr="00111375">
        <w:rPr>
          <w:rFonts w:ascii="Arial" w:hAnsi="Arial" w:cs="Arial"/>
          <w:i/>
          <w:iCs/>
          <w:color w:val="000000" w:themeColor="text1"/>
          <w:sz w:val="22"/>
          <w:szCs w:val="22"/>
        </w:rPr>
        <w:t>hwb.gov.wales</w:t>
      </w:r>
      <w:proofErr w:type="spellEnd"/>
      <w:proofErr w:type="gramEnd"/>
      <w:r w:rsidRPr="00111375">
        <w:rPr>
          <w:rFonts w:ascii="Arial" w:hAnsi="Arial" w:cs="Arial"/>
          <w:color w:val="000000" w:themeColor="text1"/>
          <w:sz w:val="22"/>
          <w:szCs w:val="22"/>
        </w:rPr>
        <w:t xml:space="preserve">. Available at: https://hwb.gov.wales/curriculum-for-wales/designing-your-curriculum/developing-a-vision-for-curriculum-design/#skills-integral-to-the-four-purposes </w:t>
      </w:r>
      <w:r w:rsidR="0002284D" w:rsidRPr="00111375">
        <w:rPr>
          <w:rFonts w:ascii="Arial" w:hAnsi="Arial" w:cs="Arial"/>
          <w:color w:val="000000" w:themeColor="text1"/>
          <w:sz w:val="22"/>
          <w:szCs w:val="22"/>
        </w:rPr>
        <w:t>{accessed online 17/02/24}</w:t>
      </w:r>
    </w:p>
    <w:p w14:paraId="1BAEB8D9" w14:textId="1E55D366" w:rsidR="0002284D" w:rsidRPr="00111375" w:rsidRDefault="0002284D"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Welsh Government</w:t>
      </w:r>
      <w:r w:rsidR="00111375" w:rsidRPr="00111375">
        <w:rPr>
          <w:rFonts w:ascii="Arial" w:hAnsi="Arial" w:cs="Arial"/>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b/>
          <w:bCs/>
          <w:color w:val="000000" w:themeColor="text1"/>
          <w:sz w:val="22"/>
          <w:szCs w:val="22"/>
        </w:rPr>
        <w:t>(2022)</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Schools as learning organisations - Hwb</w:t>
      </w:r>
      <w:r w:rsidRPr="00111375">
        <w:rPr>
          <w:rFonts w:ascii="Arial" w:hAnsi="Arial" w:cs="Arial"/>
          <w:color w:val="000000" w:themeColor="text1"/>
          <w:sz w:val="22"/>
          <w:szCs w:val="22"/>
        </w:rPr>
        <w:t xml:space="preserve">, </w:t>
      </w:r>
      <w:proofErr w:type="spellStart"/>
      <w:proofErr w:type="gramStart"/>
      <w:r w:rsidRPr="00111375">
        <w:rPr>
          <w:rFonts w:ascii="Arial" w:hAnsi="Arial" w:cs="Arial"/>
          <w:i/>
          <w:iCs/>
          <w:color w:val="000000" w:themeColor="text1"/>
          <w:sz w:val="22"/>
          <w:szCs w:val="22"/>
        </w:rPr>
        <w:t>hwb.gov.wales</w:t>
      </w:r>
      <w:proofErr w:type="spellEnd"/>
      <w:proofErr w:type="gramEnd"/>
      <w:r w:rsidRPr="00111375">
        <w:rPr>
          <w:rFonts w:ascii="Arial" w:hAnsi="Arial" w:cs="Arial"/>
          <w:color w:val="000000" w:themeColor="text1"/>
          <w:sz w:val="22"/>
          <w:szCs w:val="22"/>
        </w:rPr>
        <w:t xml:space="preserve">. Available at: https://hwb.gov.wales/professional-learning/leading-professional-learning/schools-as-learning-organisations/ {accessed online </w:t>
      </w:r>
      <w:r w:rsidRPr="00111375">
        <w:rPr>
          <w:rFonts w:ascii="Arial" w:hAnsi="Arial" w:cs="Arial"/>
          <w:color w:val="000000" w:themeColor="text1"/>
          <w:sz w:val="22"/>
          <w:szCs w:val="22"/>
        </w:rPr>
        <w:t>04</w:t>
      </w:r>
      <w:r w:rsidRPr="00111375">
        <w:rPr>
          <w:rFonts w:ascii="Arial" w:hAnsi="Arial" w:cs="Arial"/>
          <w:color w:val="000000" w:themeColor="text1"/>
          <w:sz w:val="22"/>
          <w:szCs w:val="22"/>
        </w:rPr>
        <w:t>/0</w:t>
      </w:r>
      <w:r w:rsidRPr="00111375">
        <w:rPr>
          <w:rFonts w:ascii="Arial" w:hAnsi="Arial" w:cs="Arial"/>
          <w:color w:val="000000" w:themeColor="text1"/>
          <w:sz w:val="22"/>
          <w:szCs w:val="22"/>
        </w:rPr>
        <w:t>1</w:t>
      </w:r>
      <w:r w:rsidRPr="00111375">
        <w:rPr>
          <w:rFonts w:ascii="Arial" w:hAnsi="Arial" w:cs="Arial"/>
          <w:color w:val="000000" w:themeColor="text1"/>
          <w:sz w:val="22"/>
          <w:szCs w:val="22"/>
        </w:rPr>
        <w:t>/24}</w:t>
      </w:r>
    </w:p>
    <w:p w14:paraId="1035DB46" w14:textId="5D9BB3DD"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Welsh Government</w:t>
      </w:r>
      <w:r w:rsidR="00111375" w:rsidRPr="00111375">
        <w:rPr>
          <w:rFonts w:ascii="Arial" w:hAnsi="Arial" w:cs="Arial"/>
          <w:color w:val="000000" w:themeColor="text1"/>
          <w:sz w:val="22"/>
          <w:szCs w:val="22"/>
        </w:rPr>
        <w:t>.</w:t>
      </w:r>
      <w:r w:rsidRPr="00111375">
        <w:rPr>
          <w:rFonts w:ascii="Arial" w:hAnsi="Arial" w:cs="Arial"/>
          <w:color w:val="000000" w:themeColor="text1"/>
          <w:sz w:val="22"/>
          <w:szCs w:val="22"/>
        </w:rPr>
        <w:t xml:space="preserve"> </w:t>
      </w:r>
      <w:r w:rsidRPr="00111375">
        <w:rPr>
          <w:rFonts w:ascii="Arial" w:hAnsi="Arial" w:cs="Arial"/>
          <w:b/>
          <w:bCs/>
          <w:color w:val="000000" w:themeColor="text1"/>
          <w:sz w:val="22"/>
          <w:szCs w:val="22"/>
        </w:rPr>
        <w:t>(2023)</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Our National Mission</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GOV.WALES</w:t>
      </w:r>
      <w:r w:rsidRPr="00111375">
        <w:rPr>
          <w:rFonts w:ascii="Arial" w:hAnsi="Arial" w:cs="Arial"/>
          <w:color w:val="000000" w:themeColor="text1"/>
          <w:sz w:val="22"/>
          <w:szCs w:val="22"/>
        </w:rPr>
        <w:t xml:space="preserve">. Available at: </w:t>
      </w:r>
      <w:hyperlink r:id="rId33" w:history="1">
        <w:r w:rsidR="0002284D" w:rsidRPr="00111375">
          <w:rPr>
            <w:rStyle w:val="Hyperlink"/>
            <w:rFonts w:ascii="Arial" w:hAnsi="Arial" w:cs="Arial"/>
            <w:color w:val="000000" w:themeColor="text1"/>
            <w:sz w:val="22"/>
            <w:szCs w:val="22"/>
          </w:rPr>
          <w:t>https://www.gov.wales/our-national-mission</w:t>
        </w:r>
      </w:hyperlink>
      <w:r w:rsidRPr="00111375">
        <w:rPr>
          <w:rFonts w:ascii="Arial" w:hAnsi="Arial" w:cs="Arial"/>
          <w:color w:val="000000" w:themeColor="text1"/>
          <w:sz w:val="22"/>
          <w:szCs w:val="22"/>
        </w:rPr>
        <w:t>.</w:t>
      </w:r>
      <w:r w:rsidR="0002284D" w:rsidRPr="00111375">
        <w:rPr>
          <w:rFonts w:ascii="Arial" w:hAnsi="Arial" w:cs="Arial"/>
          <w:color w:val="000000" w:themeColor="text1"/>
          <w:sz w:val="22"/>
          <w:szCs w:val="22"/>
        </w:rPr>
        <w:t xml:space="preserve"> </w:t>
      </w:r>
      <w:r w:rsidR="0002284D" w:rsidRPr="00111375">
        <w:rPr>
          <w:rFonts w:ascii="Arial" w:hAnsi="Arial" w:cs="Arial"/>
          <w:color w:val="000000" w:themeColor="text1"/>
          <w:sz w:val="22"/>
          <w:szCs w:val="22"/>
        </w:rPr>
        <w:t>{accessed online 1</w:t>
      </w:r>
      <w:r w:rsidR="0002284D" w:rsidRPr="00111375">
        <w:rPr>
          <w:rFonts w:ascii="Arial" w:hAnsi="Arial" w:cs="Arial"/>
          <w:color w:val="000000" w:themeColor="text1"/>
          <w:sz w:val="22"/>
          <w:szCs w:val="22"/>
        </w:rPr>
        <w:t>6</w:t>
      </w:r>
      <w:r w:rsidR="0002284D" w:rsidRPr="00111375">
        <w:rPr>
          <w:rFonts w:ascii="Arial" w:hAnsi="Arial" w:cs="Arial"/>
          <w:color w:val="000000" w:themeColor="text1"/>
          <w:sz w:val="22"/>
          <w:szCs w:val="22"/>
        </w:rPr>
        <w:t>/02/24}</w:t>
      </w:r>
    </w:p>
    <w:p w14:paraId="480CBDEC" w14:textId="77777777" w:rsidR="00212468" w:rsidRPr="00111375" w:rsidRDefault="00212468" w:rsidP="00111375">
      <w:pPr>
        <w:pStyle w:val="NormalWeb"/>
        <w:spacing w:before="0" w:beforeAutospacing="0" w:after="240" w:afterAutospacing="0" w:line="360" w:lineRule="auto"/>
        <w:rPr>
          <w:rFonts w:ascii="Arial" w:hAnsi="Arial" w:cs="Arial"/>
          <w:color w:val="000000" w:themeColor="text1"/>
          <w:sz w:val="22"/>
          <w:szCs w:val="22"/>
        </w:rPr>
      </w:pPr>
      <w:r w:rsidRPr="00111375">
        <w:rPr>
          <w:rFonts w:ascii="Arial" w:hAnsi="Arial" w:cs="Arial"/>
          <w:color w:val="000000" w:themeColor="text1"/>
          <w:sz w:val="22"/>
          <w:szCs w:val="22"/>
        </w:rPr>
        <w:t xml:space="preserve">Ylimaki, R.M. and Brunderman, L.A. </w:t>
      </w:r>
      <w:r w:rsidRPr="00111375">
        <w:rPr>
          <w:rFonts w:ascii="Arial" w:hAnsi="Arial" w:cs="Arial"/>
          <w:b/>
          <w:bCs/>
          <w:color w:val="000000" w:themeColor="text1"/>
          <w:sz w:val="22"/>
          <w:szCs w:val="22"/>
        </w:rPr>
        <w:t>(2022)</w:t>
      </w:r>
      <w:r w:rsidRPr="00111375">
        <w:rPr>
          <w:rFonts w:ascii="Arial" w:hAnsi="Arial" w:cs="Arial"/>
          <w:color w:val="000000" w:themeColor="text1"/>
          <w:sz w:val="22"/>
          <w:szCs w:val="22"/>
        </w:rPr>
        <w:t xml:space="preserve"> </w:t>
      </w:r>
      <w:r w:rsidRPr="00111375">
        <w:rPr>
          <w:rFonts w:ascii="Arial" w:hAnsi="Arial" w:cs="Arial"/>
          <w:i/>
          <w:iCs/>
          <w:color w:val="000000" w:themeColor="text1"/>
          <w:sz w:val="22"/>
          <w:szCs w:val="22"/>
        </w:rPr>
        <w:t>Evidence-Based School Development in Changing Demographic Contexts</w:t>
      </w:r>
      <w:r w:rsidRPr="00111375">
        <w:rPr>
          <w:rFonts w:ascii="Arial" w:hAnsi="Arial" w:cs="Arial"/>
          <w:color w:val="000000" w:themeColor="text1"/>
          <w:sz w:val="22"/>
          <w:szCs w:val="22"/>
        </w:rPr>
        <w:t xml:space="preserve">. Cham: Springer International </w:t>
      </w:r>
      <w:proofErr w:type="gramStart"/>
      <w:r w:rsidRPr="00111375">
        <w:rPr>
          <w:rFonts w:ascii="Arial" w:hAnsi="Arial" w:cs="Arial"/>
          <w:color w:val="000000" w:themeColor="text1"/>
          <w:sz w:val="22"/>
          <w:szCs w:val="22"/>
        </w:rPr>
        <w:t>Publishing :</w:t>
      </w:r>
      <w:proofErr w:type="gramEnd"/>
      <w:r w:rsidRPr="00111375">
        <w:rPr>
          <w:rFonts w:ascii="Arial" w:hAnsi="Arial" w:cs="Arial"/>
          <w:color w:val="000000" w:themeColor="text1"/>
          <w:sz w:val="22"/>
          <w:szCs w:val="22"/>
        </w:rPr>
        <w:t xml:space="preserve"> Imprint: Springer.</w:t>
      </w:r>
    </w:p>
    <w:p w14:paraId="30C437DE" w14:textId="77777777" w:rsidR="00264F8F" w:rsidRPr="00E611D9" w:rsidRDefault="00264F8F" w:rsidP="00E611D9">
      <w:pPr>
        <w:pStyle w:val="AssignBody"/>
      </w:pPr>
    </w:p>
    <w:sectPr w:rsidR="00264F8F" w:rsidRPr="00E611D9" w:rsidSect="002C2536">
      <w:headerReference w:type="default" r:id="rId34"/>
      <w:footerReference w:type="default" r:id="rId35"/>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3C564" w14:textId="77777777" w:rsidR="002C2536" w:rsidRDefault="002C2536" w:rsidP="00E611D9">
      <w:pPr>
        <w:spacing w:after="0" w:line="240" w:lineRule="auto"/>
      </w:pPr>
      <w:r>
        <w:separator/>
      </w:r>
    </w:p>
  </w:endnote>
  <w:endnote w:type="continuationSeparator" w:id="0">
    <w:p w14:paraId="124B60AA" w14:textId="77777777" w:rsidR="002C2536" w:rsidRDefault="002C2536"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A1B86" w14:textId="77777777" w:rsidR="002C2536" w:rsidRDefault="002C2536" w:rsidP="00E611D9">
      <w:pPr>
        <w:spacing w:after="0" w:line="240" w:lineRule="auto"/>
      </w:pPr>
      <w:r>
        <w:separator/>
      </w:r>
    </w:p>
  </w:footnote>
  <w:footnote w:type="continuationSeparator" w:id="0">
    <w:p w14:paraId="08129FF0" w14:textId="77777777" w:rsidR="002C2536" w:rsidRDefault="002C2536"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3C4A3798" w14:textId="24C42E71" w:rsidR="00195F75" w:rsidRPr="00195F75" w:rsidRDefault="00E611D9" w:rsidP="00195F75">
          <w:pPr>
            <w:pStyle w:val="Header"/>
            <w:rPr>
              <w:rFonts w:ascii="Arial" w:hAnsi="Arial" w:cs="Arial"/>
            </w:rPr>
          </w:pPr>
          <w:r w:rsidRPr="00E611D9">
            <w:rPr>
              <w:rFonts w:ascii="Arial" w:hAnsi="Arial" w:cs="Arial"/>
            </w:rPr>
            <w:t>E</w:t>
          </w:r>
          <w:r>
            <w:rPr>
              <w:rFonts w:ascii="Arial" w:hAnsi="Arial" w:cs="Arial"/>
            </w:rPr>
            <w:t>CAD</w:t>
          </w:r>
          <w:r w:rsidR="00195F75" w:rsidRPr="00195F75">
            <w:rPr>
              <w:rFonts w:ascii="Arial" w:hAnsi="Arial" w:cs="Arial"/>
            </w:rPr>
            <w:t>6009 / 7003</w:t>
          </w:r>
          <w:r w:rsidR="00A753BF">
            <w:rPr>
              <w:rFonts w:ascii="Arial" w:hAnsi="Arial" w:cs="Arial"/>
            </w:rPr>
            <w:t xml:space="preserve">                        </w:t>
          </w:r>
        </w:p>
        <w:p w14:paraId="739FBAFA" w14:textId="0C5A9172" w:rsidR="00E611D9" w:rsidRPr="00E611D9" w:rsidRDefault="00A753BF">
          <w:pPr>
            <w:pStyle w:val="Header"/>
            <w:rPr>
              <w:rFonts w:ascii="Arial" w:hAnsi="Arial" w:cs="Arial"/>
            </w:rPr>
          </w:pPr>
          <w:r>
            <w:rPr>
              <w:rFonts w:ascii="Arial" w:hAnsi="Arial" w:cs="Arial"/>
            </w:rPr>
            <w:t xml:space="preserve">                            </w:t>
          </w:r>
        </w:p>
      </w:tc>
      <w:tc>
        <w:tcPr>
          <w:tcW w:w="4508" w:type="dxa"/>
        </w:tcPr>
        <w:p w14:paraId="51D506A0" w14:textId="630E2086" w:rsidR="00E611D9" w:rsidRPr="00E611D9" w:rsidRDefault="00E611D9" w:rsidP="00E611D9">
          <w:pPr>
            <w:pStyle w:val="Header"/>
            <w:jc w:val="right"/>
            <w:rPr>
              <w:rFonts w:ascii="Arial" w:hAnsi="Arial" w:cs="Arial"/>
            </w:rPr>
          </w:pPr>
          <w:r>
            <w:rPr>
              <w:rFonts w:ascii="Arial" w:hAnsi="Arial" w:cs="Arial"/>
            </w:rPr>
            <w:t xml:space="preserve"> Student Number:</w:t>
          </w:r>
          <w:r w:rsidR="00195F75">
            <w:rPr>
              <w:rFonts w:ascii="Arial" w:hAnsi="Arial" w:cs="Arial"/>
            </w:rPr>
            <w:t xml:space="preserve"> 2305814</w:t>
          </w:r>
          <w:r>
            <w:rPr>
              <w:rFonts w:ascii="Arial" w:hAnsi="Arial" w:cs="Arial"/>
            </w:rPr>
            <w:t xml:space="preserve"> </w:t>
          </w:r>
        </w:p>
      </w:tc>
    </w:tr>
  </w:tbl>
  <w:p w14:paraId="31028CA5" w14:textId="3BFE6A70"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284D"/>
    <w:rsid w:val="00044331"/>
    <w:rsid w:val="00062F26"/>
    <w:rsid w:val="00087FFD"/>
    <w:rsid w:val="00111375"/>
    <w:rsid w:val="00195F75"/>
    <w:rsid w:val="001E0D7F"/>
    <w:rsid w:val="00212468"/>
    <w:rsid w:val="002229F0"/>
    <w:rsid w:val="00264F8F"/>
    <w:rsid w:val="002C2536"/>
    <w:rsid w:val="00326C1C"/>
    <w:rsid w:val="00331C96"/>
    <w:rsid w:val="003E55AE"/>
    <w:rsid w:val="003F41A3"/>
    <w:rsid w:val="00412F4F"/>
    <w:rsid w:val="00433F17"/>
    <w:rsid w:val="006419C3"/>
    <w:rsid w:val="00691A46"/>
    <w:rsid w:val="006B5861"/>
    <w:rsid w:val="00751C53"/>
    <w:rsid w:val="007E415D"/>
    <w:rsid w:val="00817F7A"/>
    <w:rsid w:val="00A37EDA"/>
    <w:rsid w:val="00A753BF"/>
    <w:rsid w:val="00AD4EBD"/>
    <w:rsid w:val="00B04AA6"/>
    <w:rsid w:val="00B56C33"/>
    <w:rsid w:val="00B676D5"/>
    <w:rsid w:val="00B74BA0"/>
    <w:rsid w:val="00BC651E"/>
    <w:rsid w:val="00C95F8C"/>
    <w:rsid w:val="00CD1240"/>
    <w:rsid w:val="00E04B02"/>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F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E0D7F"/>
    <w:rPr>
      <w:color w:val="0563C1" w:themeColor="hyperlink"/>
      <w:u w:val="single"/>
    </w:rPr>
  </w:style>
  <w:style w:type="character" w:styleId="UnresolvedMention">
    <w:name w:val="Unresolved Mention"/>
    <w:basedOn w:val="DefaultParagraphFont"/>
    <w:uiPriority w:val="99"/>
    <w:semiHidden/>
    <w:unhideWhenUsed/>
    <w:rsid w:val="001E0D7F"/>
    <w:rPr>
      <w:color w:val="605E5C"/>
      <w:shd w:val="clear" w:color="auto" w:fill="E1DFDD"/>
    </w:rPr>
  </w:style>
  <w:style w:type="character" w:customStyle="1" w:styleId="Heading1Char">
    <w:name w:val="Heading 1 Char"/>
    <w:basedOn w:val="DefaultParagraphFont"/>
    <w:link w:val="Heading1"/>
    <w:uiPriority w:val="9"/>
    <w:rsid w:val="00195F7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73899">
      <w:bodyDiv w:val="1"/>
      <w:marLeft w:val="0"/>
      <w:marRight w:val="0"/>
      <w:marTop w:val="0"/>
      <w:marBottom w:val="0"/>
      <w:divBdr>
        <w:top w:val="none" w:sz="0" w:space="0" w:color="auto"/>
        <w:left w:val="none" w:sz="0" w:space="0" w:color="auto"/>
        <w:bottom w:val="none" w:sz="0" w:space="0" w:color="auto"/>
        <w:right w:val="none" w:sz="0" w:space="0" w:color="auto"/>
      </w:divBdr>
    </w:div>
    <w:div w:id="160438169">
      <w:bodyDiv w:val="1"/>
      <w:marLeft w:val="0"/>
      <w:marRight w:val="0"/>
      <w:marTop w:val="0"/>
      <w:marBottom w:val="0"/>
      <w:divBdr>
        <w:top w:val="none" w:sz="0" w:space="0" w:color="auto"/>
        <w:left w:val="none" w:sz="0" w:space="0" w:color="auto"/>
        <w:bottom w:val="none" w:sz="0" w:space="0" w:color="auto"/>
        <w:right w:val="none" w:sz="0" w:space="0" w:color="auto"/>
      </w:divBdr>
      <w:divsChild>
        <w:div w:id="901209455">
          <w:marLeft w:val="0"/>
          <w:marRight w:val="0"/>
          <w:marTop w:val="0"/>
          <w:marBottom w:val="0"/>
          <w:divBdr>
            <w:top w:val="none" w:sz="0" w:space="0" w:color="auto"/>
            <w:left w:val="none" w:sz="0" w:space="0" w:color="auto"/>
            <w:bottom w:val="none" w:sz="0" w:space="0" w:color="auto"/>
            <w:right w:val="none" w:sz="0" w:space="0" w:color="auto"/>
          </w:divBdr>
        </w:div>
      </w:divsChild>
    </w:div>
    <w:div w:id="269778242">
      <w:bodyDiv w:val="1"/>
      <w:marLeft w:val="0"/>
      <w:marRight w:val="0"/>
      <w:marTop w:val="0"/>
      <w:marBottom w:val="0"/>
      <w:divBdr>
        <w:top w:val="none" w:sz="0" w:space="0" w:color="auto"/>
        <w:left w:val="none" w:sz="0" w:space="0" w:color="auto"/>
        <w:bottom w:val="none" w:sz="0" w:space="0" w:color="auto"/>
        <w:right w:val="none" w:sz="0" w:space="0" w:color="auto"/>
      </w:divBdr>
      <w:divsChild>
        <w:div w:id="789474999">
          <w:marLeft w:val="0"/>
          <w:marRight w:val="0"/>
          <w:marTop w:val="0"/>
          <w:marBottom w:val="0"/>
          <w:divBdr>
            <w:top w:val="none" w:sz="0" w:space="0" w:color="auto"/>
            <w:left w:val="none" w:sz="0" w:space="0" w:color="auto"/>
            <w:bottom w:val="none" w:sz="0" w:space="0" w:color="auto"/>
            <w:right w:val="none" w:sz="0" w:space="0" w:color="auto"/>
          </w:divBdr>
          <w:divsChild>
            <w:div w:id="591621989">
              <w:marLeft w:val="0"/>
              <w:marRight w:val="0"/>
              <w:marTop w:val="0"/>
              <w:marBottom w:val="0"/>
              <w:divBdr>
                <w:top w:val="none" w:sz="0" w:space="0" w:color="auto"/>
                <w:left w:val="none" w:sz="0" w:space="0" w:color="auto"/>
                <w:bottom w:val="none" w:sz="0" w:space="0" w:color="auto"/>
                <w:right w:val="none" w:sz="0" w:space="0" w:color="auto"/>
              </w:divBdr>
              <w:divsChild>
                <w:div w:id="1645545160">
                  <w:marLeft w:val="0"/>
                  <w:marRight w:val="0"/>
                  <w:marTop w:val="0"/>
                  <w:marBottom w:val="0"/>
                  <w:divBdr>
                    <w:top w:val="none" w:sz="0" w:space="0" w:color="auto"/>
                    <w:left w:val="none" w:sz="0" w:space="0" w:color="auto"/>
                    <w:bottom w:val="none" w:sz="0" w:space="0" w:color="auto"/>
                    <w:right w:val="none" w:sz="0" w:space="0" w:color="auto"/>
                  </w:divBdr>
                  <w:divsChild>
                    <w:div w:id="93848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321481">
      <w:bodyDiv w:val="1"/>
      <w:marLeft w:val="0"/>
      <w:marRight w:val="0"/>
      <w:marTop w:val="0"/>
      <w:marBottom w:val="0"/>
      <w:divBdr>
        <w:top w:val="none" w:sz="0" w:space="0" w:color="auto"/>
        <w:left w:val="none" w:sz="0" w:space="0" w:color="auto"/>
        <w:bottom w:val="none" w:sz="0" w:space="0" w:color="auto"/>
        <w:right w:val="none" w:sz="0" w:space="0" w:color="auto"/>
      </w:divBdr>
      <w:divsChild>
        <w:div w:id="1199395456">
          <w:marLeft w:val="0"/>
          <w:marRight w:val="0"/>
          <w:marTop w:val="0"/>
          <w:marBottom w:val="0"/>
          <w:divBdr>
            <w:top w:val="none" w:sz="0" w:space="0" w:color="auto"/>
            <w:left w:val="none" w:sz="0" w:space="0" w:color="auto"/>
            <w:bottom w:val="none" w:sz="0" w:space="0" w:color="auto"/>
            <w:right w:val="none" w:sz="0" w:space="0" w:color="auto"/>
          </w:divBdr>
          <w:divsChild>
            <w:div w:id="67073911">
              <w:marLeft w:val="0"/>
              <w:marRight w:val="0"/>
              <w:marTop w:val="0"/>
              <w:marBottom w:val="0"/>
              <w:divBdr>
                <w:top w:val="none" w:sz="0" w:space="0" w:color="auto"/>
                <w:left w:val="none" w:sz="0" w:space="0" w:color="auto"/>
                <w:bottom w:val="none" w:sz="0" w:space="0" w:color="auto"/>
                <w:right w:val="none" w:sz="0" w:space="0" w:color="auto"/>
              </w:divBdr>
              <w:divsChild>
                <w:div w:id="393361132">
                  <w:marLeft w:val="0"/>
                  <w:marRight w:val="0"/>
                  <w:marTop w:val="0"/>
                  <w:marBottom w:val="0"/>
                  <w:divBdr>
                    <w:top w:val="none" w:sz="0" w:space="0" w:color="auto"/>
                    <w:left w:val="none" w:sz="0" w:space="0" w:color="auto"/>
                    <w:bottom w:val="none" w:sz="0" w:space="0" w:color="auto"/>
                    <w:right w:val="none" w:sz="0" w:space="0" w:color="auto"/>
                  </w:divBdr>
                  <w:divsChild>
                    <w:div w:id="79286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067768">
      <w:bodyDiv w:val="1"/>
      <w:marLeft w:val="0"/>
      <w:marRight w:val="0"/>
      <w:marTop w:val="0"/>
      <w:marBottom w:val="0"/>
      <w:divBdr>
        <w:top w:val="none" w:sz="0" w:space="0" w:color="auto"/>
        <w:left w:val="none" w:sz="0" w:space="0" w:color="auto"/>
        <w:bottom w:val="none" w:sz="0" w:space="0" w:color="auto"/>
        <w:right w:val="none" w:sz="0" w:space="0" w:color="auto"/>
      </w:divBdr>
      <w:divsChild>
        <w:div w:id="2015642309">
          <w:marLeft w:val="0"/>
          <w:marRight w:val="0"/>
          <w:marTop w:val="0"/>
          <w:marBottom w:val="0"/>
          <w:divBdr>
            <w:top w:val="none" w:sz="0" w:space="0" w:color="auto"/>
            <w:left w:val="none" w:sz="0" w:space="0" w:color="auto"/>
            <w:bottom w:val="none" w:sz="0" w:space="0" w:color="auto"/>
            <w:right w:val="none" w:sz="0" w:space="0" w:color="auto"/>
          </w:divBdr>
          <w:divsChild>
            <w:div w:id="671297102">
              <w:marLeft w:val="0"/>
              <w:marRight w:val="0"/>
              <w:marTop w:val="0"/>
              <w:marBottom w:val="0"/>
              <w:divBdr>
                <w:top w:val="none" w:sz="0" w:space="0" w:color="auto"/>
                <w:left w:val="none" w:sz="0" w:space="0" w:color="auto"/>
                <w:bottom w:val="none" w:sz="0" w:space="0" w:color="auto"/>
                <w:right w:val="none" w:sz="0" w:space="0" w:color="auto"/>
              </w:divBdr>
              <w:divsChild>
                <w:div w:id="301203914">
                  <w:marLeft w:val="0"/>
                  <w:marRight w:val="0"/>
                  <w:marTop w:val="0"/>
                  <w:marBottom w:val="0"/>
                  <w:divBdr>
                    <w:top w:val="none" w:sz="0" w:space="0" w:color="auto"/>
                    <w:left w:val="none" w:sz="0" w:space="0" w:color="auto"/>
                    <w:bottom w:val="none" w:sz="0" w:space="0" w:color="auto"/>
                    <w:right w:val="none" w:sz="0" w:space="0" w:color="auto"/>
                  </w:divBdr>
                  <w:divsChild>
                    <w:div w:id="151056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536801">
      <w:bodyDiv w:val="1"/>
      <w:marLeft w:val="0"/>
      <w:marRight w:val="0"/>
      <w:marTop w:val="0"/>
      <w:marBottom w:val="0"/>
      <w:divBdr>
        <w:top w:val="none" w:sz="0" w:space="0" w:color="auto"/>
        <w:left w:val="none" w:sz="0" w:space="0" w:color="auto"/>
        <w:bottom w:val="none" w:sz="0" w:space="0" w:color="auto"/>
        <w:right w:val="none" w:sz="0" w:space="0" w:color="auto"/>
      </w:divBdr>
      <w:divsChild>
        <w:div w:id="816382057">
          <w:marLeft w:val="0"/>
          <w:marRight w:val="0"/>
          <w:marTop w:val="0"/>
          <w:marBottom w:val="0"/>
          <w:divBdr>
            <w:top w:val="none" w:sz="0" w:space="0" w:color="auto"/>
            <w:left w:val="none" w:sz="0" w:space="0" w:color="auto"/>
            <w:bottom w:val="none" w:sz="0" w:space="0" w:color="auto"/>
            <w:right w:val="none" w:sz="0" w:space="0" w:color="auto"/>
          </w:divBdr>
        </w:div>
      </w:divsChild>
    </w:div>
    <w:div w:id="880091833">
      <w:bodyDiv w:val="1"/>
      <w:marLeft w:val="0"/>
      <w:marRight w:val="0"/>
      <w:marTop w:val="0"/>
      <w:marBottom w:val="0"/>
      <w:divBdr>
        <w:top w:val="none" w:sz="0" w:space="0" w:color="auto"/>
        <w:left w:val="none" w:sz="0" w:space="0" w:color="auto"/>
        <w:bottom w:val="none" w:sz="0" w:space="0" w:color="auto"/>
        <w:right w:val="none" w:sz="0" w:space="0" w:color="auto"/>
      </w:divBdr>
      <w:divsChild>
        <w:div w:id="1062214169">
          <w:marLeft w:val="0"/>
          <w:marRight w:val="0"/>
          <w:marTop w:val="0"/>
          <w:marBottom w:val="0"/>
          <w:divBdr>
            <w:top w:val="none" w:sz="0" w:space="0" w:color="auto"/>
            <w:left w:val="none" w:sz="0" w:space="0" w:color="auto"/>
            <w:bottom w:val="none" w:sz="0" w:space="0" w:color="auto"/>
            <w:right w:val="none" w:sz="0" w:space="0" w:color="auto"/>
          </w:divBdr>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9605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x.doi.org/10.1177/0013161X15616863" TargetMode="External"/><Relationship Id="rId18" Type="http://schemas.openxmlformats.org/officeDocument/2006/relationships/hyperlink" Target="https://doi.org/10.1007/s10864-014-9206-8" TargetMode="External"/><Relationship Id="rId26" Type="http://schemas.openxmlformats.org/officeDocument/2006/relationships/hyperlink" Target="https://doi.org/10.1177/016146811711900803" TargetMode="External"/><Relationship Id="rId21" Type="http://schemas.openxmlformats.org/officeDocument/2006/relationships/hyperlink" Target="https://doi.org/10.1080/09243453.2021.1903941"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doi.org/10.1080/00131857.2017.1282340" TargetMode="External"/><Relationship Id="rId17" Type="http://schemas.openxmlformats.org/officeDocument/2006/relationships/hyperlink" Target="https://www.estyn.gov.wales/system/files/2022-01/Pentrehafod%2520School_0.pdf" TargetMode="External"/><Relationship Id="rId25" Type="http://schemas.openxmlformats.org/officeDocument/2006/relationships/hyperlink" Target="https://doi.org/10.1787/9789264307193-en" TargetMode="External"/><Relationship Id="rId33" Type="http://schemas.openxmlformats.org/officeDocument/2006/relationships/hyperlink" Target="https://www.gov.wales/our-national-mission" TargetMode="External"/><Relationship Id="rId2" Type="http://schemas.openxmlformats.org/officeDocument/2006/relationships/customXml" Target="../customXml/item2.xml"/><Relationship Id="rId16" Type="http://schemas.openxmlformats.org/officeDocument/2006/relationships/hyperlink" Target="https://education.gov.scot/media/x44kf045/hgiours-part1.pdf" TargetMode="External"/><Relationship Id="rId20" Type="http://schemas.openxmlformats.org/officeDocument/2006/relationships/hyperlink" Target="https://doi.org/10.1080/09243453.2010.536322" TargetMode="External"/><Relationship Id="rId29" Type="http://schemas.openxmlformats.org/officeDocument/2006/relationships/hyperlink" Target="https://doi.org/10.1080/00131881.2019.162571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5700/saje.v30n4a391" TargetMode="External"/><Relationship Id="rId24" Type="http://schemas.openxmlformats.org/officeDocument/2006/relationships/hyperlink" Target="https://doi.org/10.1016/j.tate.2023.104043" TargetMode="External"/><Relationship Id="rId32" Type="http://schemas.openxmlformats.org/officeDocument/2006/relationships/hyperlink" Target="https://hwb.gov.wales/curriculum-for-wales/"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edb.gov.hk/attachment/en/sch-admin/sch-quality-assurance/sse/Guidelines_on_the_Compilation_of_SDP_ASP_SR_en_2022.pdf" TargetMode="External"/><Relationship Id="rId23" Type="http://schemas.openxmlformats.org/officeDocument/2006/relationships/hyperlink" Target="https://doi.org/10.1080/09243453.2014.971821" TargetMode="External"/><Relationship Id="rId28" Type="http://schemas.openxmlformats.org/officeDocument/2006/relationships/hyperlink" Target="https://doi.org/10.1177/1365480216688553" TargetMode="External"/><Relationship Id="rId36" Type="http://schemas.openxmlformats.org/officeDocument/2006/relationships/fontTable" Target="fontTable.xml"/><Relationship Id="rId10" Type="http://schemas.openxmlformats.org/officeDocument/2006/relationships/hyperlink" Target="https://www.bera.ac.uk/publication/ethical-guidelines-for-educational-research-2018" TargetMode="External"/><Relationship Id="rId19" Type="http://schemas.openxmlformats.org/officeDocument/2006/relationships/hyperlink" Target="https://doi.org/10.26855/er.2019.12.001" TargetMode="External"/><Relationship Id="rId31" Type="http://schemas.openxmlformats.org/officeDocument/2006/relationships/hyperlink" Target="https://citeseerx.ist.psu.edu/document?repid=rep1&amp;type=pdf&amp;doi=a8928a754e3b2fa068e798343aeb9b876d7cee33" TargetMode="External"/><Relationship Id="rId4" Type="http://schemas.openxmlformats.org/officeDocument/2006/relationships/styles" Target="styles.xml"/><Relationship Id="rId9" Type="http://schemas.openxmlformats.org/officeDocument/2006/relationships/hyperlink" Target="https://doi.org/10.1080/13632434.2012.669648"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doi.org/10.1007/s11092-018-9289-1" TargetMode="External"/><Relationship Id="rId27" Type="http://schemas.openxmlformats.org/officeDocument/2006/relationships/hyperlink" Target="https://files.eric.ed.gov/fulltext/EJ971753.pdf" TargetMode="External"/><Relationship Id="rId30" Type="http://schemas.openxmlformats.org/officeDocument/2006/relationships/hyperlink" Target="https://pentrehafod.school/"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4675</Words>
  <Characters>26653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Awen Jones</cp:lastModifiedBy>
  <cp:revision>2</cp:revision>
  <dcterms:created xsi:type="dcterms:W3CDTF">2024-03-04T20:50:00Z</dcterms:created>
  <dcterms:modified xsi:type="dcterms:W3CDTF">2024-03-04T20:50:00Z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