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B7218E" w14:textId="1B03A4DD" w:rsidR="001E38FF" w:rsidRPr="00711A17" w:rsidRDefault="002E0D74" w:rsidP="002E0D74">
      <w:pPr>
        <w:jc w:val="center"/>
        <w:rPr>
          <w:rFonts w:cs="Calibri"/>
          <w:lang w:val="en-GB"/>
        </w:rPr>
      </w:pPr>
      <w:r w:rsidRPr="002E0D74">
        <w:rPr>
          <w:rFonts w:cs="Calibri"/>
          <w:noProof/>
          <w:lang w:val="en-IN"/>
        </w:rPr>
        <w:drawing>
          <wp:inline distT="0" distB="0" distL="0" distR="0" wp14:anchorId="2166F958" wp14:editId="7D3CC88A">
            <wp:extent cx="3103418" cy="1233758"/>
            <wp:effectExtent l="0" t="0" r="1905"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04294" cy="1234106"/>
                    </a:xfrm>
                    <a:prstGeom prst="rect">
                      <a:avLst/>
                    </a:prstGeom>
                    <a:noFill/>
                    <a:ln>
                      <a:noFill/>
                    </a:ln>
                  </pic:spPr>
                </pic:pic>
              </a:graphicData>
            </a:graphic>
          </wp:inline>
        </w:drawing>
      </w:r>
    </w:p>
    <w:p w14:paraId="39DE1A63" w14:textId="77777777" w:rsidR="00194A71" w:rsidRPr="00711A17" w:rsidRDefault="00194A71" w:rsidP="006452EC">
      <w:pPr>
        <w:shd w:val="clear" w:color="auto" w:fill="FFFFFF"/>
        <w:rPr>
          <w:rFonts w:eastAsia="Times New Roman" w:cs="Calibri"/>
          <w:b/>
          <w:bCs/>
          <w:sz w:val="32"/>
          <w:szCs w:val="32"/>
          <w:lang w:val="en-GB"/>
        </w:rPr>
      </w:pPr>
    </w:p>
    <w:p w14:paraId="381F39C8" w14:textId="08088786" w:rsidR="00B17155" w:rsidRDefault="002E0D74" w:rsidP="002C2D8D">
      <w:pPr>
        <w:jc w:val="center"/>
        <w:rPr>
          <w:rFonts w:ascii="Arial" w:hAnsi="Arial"/>
          <w:b/>
          <w:bCs/>
          <w:sz w:val="32"/>
          <w:szCs w:val="32"/>
          <w:lang w:val="en-GB"/>
        </w:rPr>
      </w:pPr>
      <w:r w:rsidRPr="002C2D8D">
        <w:rPr>
          <w:rFonts w:ascii="Arial" w:hAnsi="Arial"/>
          <w:b/>
          <w:bCs/>
          <w:sz w:val="32"/>
          <w:szCs w:val="32"/>
          <w:lang w:val="en-GB"/>
        </w:rPr>
        <w:t>Program</w:t>
      </w:r>
      <w:r w:rsidR="00B17155" w:rsidRPr="002C2D8D">
        <w:rPr>
          <w:rFonts w:ascii="Arial" w:hAnsi="Arial"/>
          <w:b/>
          <w:bCs/>
          <w:sz w:val="32"/>
          <w:szCs w:val="32"/>
          <w:lang w:val="en-GB"/>
        </w:rPr>
        <w:t xml:space="preserve">: </w:t>
      </w:r>
      <w:r w:rsidR="00711A17" w:rsidRPr="002C2D8D">
        <w:rPr>
          <w:rFonts w:ascii="Arial" w:hAnsi="Arial"/>
          <w:b/>
          <w:bCs/>
          <w:sz w:val="32"/>
          <w:szCs w:val="32"/>
          <w:lang w:val="en-GB"/>
        </w:rPr>
        <w:t>Master of Business Administration</w:t>
      </w:r>
    </w:p>
    <w:p w14:paraId="4A43D447" w14:textId="77777777" w:rsidR="002C2D8D" w:rsidRPr="002C2D8D" w:rsidRDefault="002C2D8D" w:rsidP="002C2D8D">
      <w:pPr>
        <w:jc w:val="center"/>
        <w:rPr>
          <w:rFonts w:ascii="Arial" w:hAnsi="Arial"/>
          <w:b/>
          <w:bCs/>
          <w:sz w:val="32"/>
          <w:szCs w:val="32"/>
          <w:lang w:val="en-GB"/>
        </w:rPr>
      </w:pPr>
    </w:p>
    <w:p w14:paraId="458CCB8C" w14:textId="77777777" w:rsidR="002C2D8D" w:rsidRDefault="00B17155" w:rsidP="002C2D8D">
      <w:pPr>
        <w:jc w:val="center"/>
        <w:rPr>
          <w:rFonts w:ascii="Arial" w:hAnsi="Arial"/>
          <w:b/>
          <w:bCs/>
          <w:sz w:val="32"/>
          <w:szCs w:val="32"/>
          <w:lang w:val="en-GB"/>
        </w:rPr>
      </w:pPr>
      <w:r w:rsidRPr="002C2D8D">
        <w:rPr>
          <w:rFonts w:ascii="Arial" w:hAnsi="Arial"/>
          <w:b/>
          <w:bCs/>
          <w:sz w:val="32"/>
          <w:szCs w:val="32"/>
          <w:lang w:val="en-GB"/>
        </w:rPr>
        <w:t xml:space="preserve">Module Name: </w:t>
      </w:r>
      <w:r w:rsidR="00711A17" w:rsidRPr="002C2D8D">
        <w:rPr>
          <w:rFonts w:ascii="Arial" w:hAnsi="Arial"/>
          <w:b/>
          <w:bCs/>
          <w:sz w:val="32"/>
          <w:szCs w:val="32"/>
          <w:lang w:val="en-GB"/>
        </w:rPr>
        <w:t>Business Development Proposal</w:t>
      </w:r>
      <w:r w:rsidRPr="002C2D8D">
        <w:rPr>
          <w:rFonts w:ascii="Arial" w:eastAsia="Times New Roman" w:hAnsi="Arial"/>
          <w:b/>
          <w:bCs/>
          <w:sz w:val="32"/>
          <w:szCs w:val="32"/>
          <w:lang w:val="en-GB"/>
        </w:rPr>
        <w:t xml:space="preserve"> </w:t>
      </w:r>
      <w:r w:rsidR="002C2D8D">
        <w:rPr>
          <w:rFonts w:ascii="Arial" w:eastAsia="Times New Roman" w:hAnsi="Arial"/>
          <w:b/>
          <w:bCs/>
          <w:sz w:val="32"/>
          <w:szCs w:val="32"/>
          <w:lang w:val="en-GB"/>
        </w:rPr>
        <w:t>(</w:t>
      </w:r>
      <w:r w:rsidRPr="002C2D8D">
        <w:rPr>
          <w:rFonts w:ascii="Arial" w:hAnsi="Arial"/>
          <w:b/>
          <w:bCs/>
          <w:sz w:val="32"/>
          <w:szCs w:val="32"/>
          <w:lang w:val="en-GB"/>
        </w:rPr>
        <w:t>LCMB7037</w:t>
      </w:r>
      <w:r w:rsidR="002C2D8D">
        <w:rPr>
          <w:rFonts w:ascii="Arial" w:hAnsi="Arial"/>
          <w:b/>
          <w:bCs/>
          <w:sz w:val="32"/>
          <w:szCs w:val="32"/>
          <w:lang w:val="en-GB"/>
        </w:rPr>
        <w:t>)</w:t>
      </w:r>
    </w:p>
    <w:p w14:paraId="4DEFCC33" w14:textId="54290AB6" w:rsidR="002C2D8D" w:rsidRPr="002C2D8D" w:rsidRDefault="00B17155" w:rsidP="002C2D8D">
      <w:pPr>
        <w:jc w:val="center"/>
        <w:rPr>
          <w:rFonts w:ascii="Arial" w:hAnsi="Arial"/>
          <w:b/>
          <w:bCs/>
          <w:sz w:val="32"/>
          <w:szCs w:val="32"/>
          <w:lang w:val="en-GB"/>
        </w:rPr>
      </w:pPr>
      <w:r w:rsidRPr="002C2D8D">
        <w:rPr>
          <w:rFonts w:ascii="Arial" w:hAnsi="Arial"/>
          <w:b/>
          <w:bCs/>
          <w:sz w:val="32"/>
          <w:szCs w:val="32"/>
          <w:lang w:val="en-GB"/>
        </w:rPr>
        <w:t xml:space="preserve"> </w:t>
      </w:r>
    </w:p>
    <w:p w14:paraId="05A1FBF8" w14:textId="54BC2080" w:rsidR="00181ACA" w:rsidRDefault="00B17155" w:rsidP="002C2D8D">
      <w:pPr>
        <w:shd w:val="clear" w:color="auto" w:fill="FFFFFF"/>
        <w:jc w:val="center"/>
        <w:rPr>
          <w:rFonts w:ascii="Arial" w:eastAsia="Times New Roman" w:hAnsi="Arial"/>
          <w:b/>
          <w:bCs/>
          <w:sz w:val="32"/>
          <w:szCs w:val="32"/>
          <w:lang w:val="en-GB"/>
        </w:rPr>
      </w:pPr>
      <w:r w:rsidRPr="002C2D8D">
        <w:rPr>
          <w:rFonts w:ascii="Arial" w:eastAsia="Times New Roman" w:hAnsi="Arial"/>
          <w:b/>
          <w:bCs/>
          <w:sz w:val="32"/>
          <w:szCs w:val="32"/>
          <w:lang w:val="en-GB"/>
        </w:rPr>
        <w:t xml:space="preserve">Assignment Title: </w:t>
      </w:r>
      <w:r w:rsidR="00711A17" w:rsidRPr="002C2D8D">
        <w:rPr>
          <w:rFonts w:ascii="Arial" w:eastAsia="Times New Roman" w:hAnsi="Arial"/>
          <w:b/>
          <w:bCs/>
          <w:sz w:val="32"/>
          <w:szCs w:val="32"/>
          <w:lang w:val="en-GB"/>
        </w:rPr>
        <w:t xml:space="preserve">Business Development Proposal </w:t>
      </w:r>
      <w:r w:rsidRPr="002C2D8D">
        <w:rPr>
          <w:rFonts w:ascii="Arial" w:eastAsia="Times New Roman" w:hAnsi="Arial"/>
          <w:b/>
          <w:bCs/>
          <w:sz w:val="32"/>
          <w:szCs w:val="32"/>
          <w:lang w:val="en-GB"/>
        </w:rPr>
        <w:t>for</w:t>
      </w:r>
      <w:r w:rsidR="00711A17" w:rsidRPr="002C2D8D">
        <w:rPr>
          <w:rFonts w:ascii="Arial" w:eastAsia="Times New Roman" w:hAnsi="Arial"/>
          <w:b/>
          <w:bCs/>
          <w:sz w:val="32"/>
          <w:szCs w:val="32"/>
          <w:lang w:val="en-GB"/>
        </w:rPr>
        <w:t xml:space="preserve"> NUTRIBOX: Evaluating </w:t>
      </w:r>
      <w:r w:rsidR="000E753C" w:rsidRPr="002C2D8D">
        <w:rPr>
          <w:rFonts w:ascii="Arial" w:eastAsia="Times New Roman" w:hAnsi="Arial"/>
          <w:b/>
          <w:bCs/>
          <w:sz w:val="32"/>
          <w:szCs w:val="32"/>
          <w:lang w:val="en-GB"/>
        </w:rPr>
        <w:t xml:space="preserve">the commercial feasibility of a </w:t>
      </w:r>
      <w:r w:rsidR="00711A17" w:rsidRPr="002C2D8D">
        <w:rPr>
          <w:rFonts w:ascii="Arial" w:eastAsia="Times New Roman" w:hAnsi="Arial"/>
          <w:b/>
          <w:bCs/>
          <w:sz w:val="32"/>
          <w:szCs w:val="32"/>
          <w:lang w:val="en-GB"/>
        </w:rPr>
        <w:t xml:space="preserve">Healthy Meal Subscription Service </w:t>
      </w:r>
      <w:r w:rsidR="000E753C" w:rsidRPr="002C2D8D">
        <w:rPr>
          <w:rFonts w:ascii="Arial" w:eastAsia="Times New Roman" w:hAnsi="Arial"/>
          <w:b/>
          <w:bCs/>
          <w:sz w:val="32"/>
          <w:szCs w:val="32"/>
          <w:lang w:val="en-GB"/>
        </w:rPr>
        <w:t xml:space="preserve">for busy professionals in the </w:t>
      </w:r>
      <w:r w:rsidR="00711A17" w:rsidRPr="002C2D8D">
        <w:rPr>
          <w:rFonts w:ascii="Arial" w:eastAsia="Times New Roman" w:hAnsi="Arial"/>
          <w:b/>
          <w:bCs/>
          <w:sz w:val="32"/>
          <w:szCs w:val="32"/>
          <w:lang w:val="en-GB"/>
        </w:rPr>
        <w:t>United Kingdom</w:t>
      </w:r>
    </w:p>
    <w:p w14:paraId="3887AA45" w14:textId="77777777" w:rsidR="002C2D8D" w:rsidRPr="002C2D8D" w:rsidRDefault="002C2D8D" w:rsidP="002C2D8D">
      <w:pPr>
        <w:shd w:val="clear" w:color="auto" w:fill="FFFFFF"/>
        <w:jc w:val="center"/>
        <w:rPr>
          <w:rFonts w:ascii="Arial" w:eastAsia="Times New Roman" w:hAnsi="Arial"/>
          <w:b/>
          <w:bCs/>
          <w:sz w:val="32"/>
          <w:szCs w:val="32"/>
          <w:lang w:val="en-GB"/>
        </w:rPr>
      </w:pPr>
    </w:p>
    <w:p w14:paraId="4112830F" w14:textId="45AF0A97" w:rsidR="00B17155" w:rsidRDefault="00B17155" w:rsidP="002C2D8D">
      <w:pPr>
        <w:shd w:val="clear" w:color="auto" w:fill="FFFFFF"/>
        <w:jc w:val="center"/>
        <w:rPr>
          <w:rFonts w:ascii="Arial" w:eastAsia="Times New Roman" w:hAnsi="Arial"/>
          <w:b/>
          <w:bCs/>
          <w:sz w:val="32"/>
          <w:szCs w:val="32"/>
          <w:lang w:val="en-GB"/>
        </w:rPr>
      </w:pPr>
      <w:r w:rsidRPr="002C2D8D">
        <w:rPr>
          <w:rFonts w:ascii="Arial" w:eastAsia="Times New Roman" w:hAnsi="Arial"/>
          <w:b/>
          <w:bCs/>
          <w:sz w:val="32"/>
          <w:szCs w:val="32"/>
          <w:lang w:val="en-GB"/>
        </w:rPr>
        <w:t>Lecturer’s Name: Balendran Kandasamy</w:t>
      </w:r>
    </w:p>
    <w:p w14:paraId="67362BAE" w14:textId="77777777" w:rsidR="002C2D8D" w:rsidRPr="002C2D8D" w:rsidRDefault="002C2D8D" w:rsidP="002C2D8D">
      <w:pPr>
        <w:shd w:val="clear" w:color="auto" w:fill="FFFFFF"/>
        <w:jc w:val="center"/>
        <w:rPr>
          <w:rFonts w:ascii="Arial" w:eastAsia="Times New Roman" w:hAnsi="Arial"/>
          <w:b/>
          <w:bCs/>
          <w:sz w:val="32"/>
          <w:szCs w:val="32"/>
          <w:lang w:val="en-GB"/>
        </w:rPr>
      </w:pPr>
    </w:p>
    <w:p w14:paraId="6845F399" w14:textId="4D49F41D" w:rsidR="006452EC" w:rsidRDefault="00B17155" w:rsidP="002C2D8D">
      <w:pPr>
        <w:shd w:val="clear" w:color="auto" w:fill="FFFFFF"/>
        <w:jc w:val="center"/>
        <w:rPr>
          <w:rFonts w:ascii="Arial" w:eastAsia="Times New Roman" w:hAnsi="Arial"/>
          <w:b/>
          <w:bCs/>
          <w:sz w:val="32"/>
          <w:szCs w:val="32"/>
          <w:lang w:val="en-GB"/>
        </w:rPr>
      </w:pPr>
      <w:r w:rsidRPr="002C2D8D">
        <w:rPr>
          <w:rFonts w:ascii="Arial" w:eastAsia="Times New Roman" w:hAnsi="Arial"/>
          <w:b/>
          <w:bCs/>
          <w:sz w:val="32"/>
          <w:szCs w:val="32"/>
          <w:lang w:val="en-GB"/>
        </w:rPr>
        <w:t>Student Name: Ayushkumar Savaliya</w:t>
      </w:r>
    </w:p>
    <w:p w14:paraId="2926E343" w14:textId="77777777" w:rsidR="002C2D8D" w:rsidRPr="002C2D8D" w:rsidRDefault="002C2D8D" w:rsidP="002C2D8D">
      <w:pPr>
        <w:shd w:val="clear" w:color="auto" w:fill="FFFFFF"/>
        <w:jc w:val="center"/>
        <w:rPr>
          <w:rFonts w:ascii="Arial" w:eastAsia="Times New Roman" w:hAnsi="Arial"/>
          <w:b/>
          <w:bCs/>
          <w:sz w:val="32"/>
          <w:szCs w:val="32"/>
          <w:lang w:val="en-GB"/>
        </w:rPr>
      </w:pPr>
    </w:p>
    <w:p w14:paraId="6ACB7D64" w14:textId="304148A7" w:rsidR="006452EC" w:rsidRDefault="00B17155" w:rsidP="002C2D8D">
      <w:pPr>
        <w:shd w:val="clear" w:color="auto" w:fill="FFFFFF"/>
        <w:jc w:val="center"/>
        <w:rPr>
          <w:rFonts w:ascii="Arial" w:eastAsia="Times New Roman" w:hAnsi="Arial"/>
          <w:b/>
          <w:bCs/>
          <w:sz w:val="32"/>
          <w:szCs w:val="32"/>
          <w:lang w:val="en-GB"/>
        </w:rPr>
      </w:pPr>
      <w:r w:rsidRPr="002C2D8D">
        <w:rPr>
          <w:rFonts w:ascii="Arial" w:eastAsia="Times New Roman" w:hAnsi="Arial"/>
          <w:b/>
          <w:bCs/>
          <w:sz w:val="32"/>
          <w:szCs w:val="32"/>
          <w:lang w:val="en-GB"/>
        </w:rPr>
        <w:t>Student Id: 2509580</w:t>
      </w:r>
    </w:p>
    <w:p w14:paraId="538D05A9" w14:textId="77777777" w:rsidR="002C2D8D" w:rsidRPr="002C2D8D" w:rsidRDefault="002C2D8D" w:rsidP="002C2D8D">
      <w:pPr>
        <w:shd w:val="clear" w:color="auto" w:fill="FFFFFF"/>
        <w:jc w:val="center"/>
        <w:rPr>
          <w:rFonts w:ascii="Arial" w:eastAsia="Times New Roman" w:hAnsi="Arial"/>
          <w:b/>
          <w:bCs/>
          <w:sz w:val="32"/>
          <w:szCs w:val="32"/>
          <w:lang w:val="en-GB"/>
        </w:rPr>
      </w:pPr>
    </w:p>
    <w:p w14:paraId="73F6AC42" w14:textId="26743D52" w:rsidR="00B17155" w:rsidRPr="002C2D8D" w:rsidRDefault="00B17155" w:rsidP="002C2D8D">
      <w:pPr>
        <w:shd w:val="clear" w:color="auto" w:fill="FFFFFF"/>
        <w:jc w:val="center"/>
        <w:rPr>
          <w:rFonts w:ascii="Arial" w:eastAsia="Times New Roman" w:hAnsi="Arial"/>
          <w:b/>
          <w:bCs/>
          <w:sz w:val="32"/>
          <w:szCs w:val="32"/>
          <w:lang w:val="en-GB"/>
        </w:rPr>
      </w:pPr>
      <w:r w:rsidRPr="002C2D8D">
        <w:rPr>
          <w:rFonts w:ascii="Arial" w:eastAsia="Times New Roman" w:hAnsi="Arial"/>
          <w:b/>
          <w:bCs/>
          <w:sz w:val="32"/>
          <w:szCs w:val="32"/>
          <w:lang w:val="en-GB"/>
        </w:rPr>
        <w:t>Supervisor: Charles Oham</w:t>
      </w:r>
    </w:p>
    <w:p w14:paraId="7D5D330C" w14:textId="77777777" w:rsidR="006452EC" w:rsidRPr="00711A17" w:rsidRDefault="006452EC" w:rsidP="001E38FF">
      <w:pPr>
        <w:shd w:val="clear" w:color="auto" w:fill="FFFFFF"/>
        <w:jc w:val="center"/>
        <w:rPr>
          <w:rFonts w:eastAsia="Times New Roman" w:cs="Calibri"/>
          <w:b/>
          <w:bCs/>
          <w:sz w:val="32"/>
          <w:szCs w:val="32"/>
          <w:lang w:val="en-GB"/>
        </w:rPr>
      </w:pPr>
    </w:p>
    <w:p w14:paraId="6AE26EBF" w14:textId="77777777" w:rsidR="001E38FF" w:rsidRPr="00711A17" w:rsidRDefault="001E38FF">
      <w:pPr>
        <w:rPr>
          <w:rFonts w:eastAsia="Times New Roman" w:cs="Calibri"/>
          <w:b/>
          <w:bCs/>
          <w:sz w:val="32"/>
          <w:szCs w:val="32"/>
          <w:lang w:val="en-GB"/>
        </w:rPr>
      </w:pPr>
      <w:r w:rsidRPr="00711A17">
        <w:rPr>
          <w:rFonts w:eastAsia="Times New Roman" w:cs="Calibri"/>
          <w:b/>
          <w:bCs/>
          <w:sz w:val="32"/>
          <w:szCs w:val="32"/>
          <w:lang w:val="en-GB"/>
        </w:rPr>
        <w:br w:type="page"/>
      </w:r>
    </w:p>
    <w:sdt>
      <w:sdtPr>
        <w:rPr>
          <w:rFonts w:ascii="Calibri" w:eastAsia="Arial" w:hAnsi="Calibri" w:cs="Calibri"/>
          <w:color w:val="auto"/>
          <w:sz w:val="22"/>
          <w:szCs w:val="22"/>
          <w:lang w:val="en-GB" w:eastAsia="en-IN"/>
        </w:rPr>
        <w:id w:val="-2077661674"/>
        <w:docPartObj>
          <w:docPartGallery w:val="Table of Contents"/>
          <w:docPartUnique/>
        </w:docPartObj>
      </w:sdtPr>
      <w:sdtEndPr>
        <w:rPr>
          <w:b/>
          <w:bCs/>
          <w:noProof/>
          <w:sz w:val="24"/>
        </w:rPr>
      </w:sdtEndPr>
      <w:sdtContent>
        <w:p w14:paraId="02EE3DCA" w14:textId="08811025" w:rsidR="001E38FF" w:rsidRPr="00A02A8B" w:rsidRDefault="001E38FF" w:rsidP="001E38FF">
          <w:pPr>
            <w:pStyle w:val="TOCHeading"/>
            <w:spacing w:before="0" w:line="360" w:lineRule="auto"/>
            <w:jc w:val="center"/>
            <w:rPr>
              <w:rFonts w:ascii="Calibri" w:hAnsi="Calibri" w:cs="Calibri"/>
              <w:b/>
              <w:bCs/>
              <w:color w:val="000000" w:themeColor="text1"/>
              <w:sz w:val="24"/>
              <w:szCs w:val="24"/>
              <w:lang w:val="en-GB"/>
            </w:rPr>
          </w:pPr>
          <w:r w:rsidRPr="00A02A8B">
            <w:rPr>
              <w:rFonts w:ascii="Calibri" w:hAnsi="Calibri" w:cs="Calibri"/>
              <w:b/>
              <w:bCs/>
              <w:color w:val="000000" w:themeColor="text1"/>
              <w:sz w:val="24"/>
              <w:szCs w:val="24"/>
              <w:lang w:val="en-GB"/>
            </w:rPr>
            <w:t>Table of Contents</w:t>
          </w:r>
        </w:p>
        <w:p w14:paraId="425C58F0" w14:textId="75D4CDB3" w:rsidR="006262B7" w:rsidRDefault="001E38FF">
          <w:pPr>
            <w:pStyle w:val="TOC1"/>
            <w:tabs>
              <w:tab w:val="right" w:leader="dot" w:pos="9350"/>
            </w:tabs>
            <w:rPr>
              <w:rFonts w:asciiTheme="minorHAnsi" w:eastAsiaTheme="minorEastAsia" w:hAnsiTheme="minorHAnsi" w:cstheme="minorBidi"/>
              <w:noProof/>
              <w:kern w:val="2"/>
              <w:szCs w:val="24"/>
              <w:lang w:val="en-IN" w:eastAsia="zh-CN"/>
              <w14:ligatures w14:val="standardContextual"/>
            </w:rPr>
          </w:pPr>
          <w:r w:rsidRPr="00711A17">
            <w:rPr>
              <w:rFonts w:cs="Calibri"/>
              <w:szCs w:val="24"/>
              <w:lang w:val="en-GB"/>
            </w:rPr>
            <w:fldChar w:fldCharType="begin"/>
          </w:r>
          <w:r w:rsidRPr="00711A17">
            <w:rPr>
              <w:rFonts w:cs="Calibri"/>
              <w:szCs w:val="24"/>
              <w:lang w:val="en-GB"/>
            </w:rPr>
            <w:instrText xml:space="preserve"> TOC \o "1-3" \h \z \u </w:instrText>
          </w:r>
          <w:r w:rsidRPr="00711A17">
            <w:rPr>
              <w:rFonts w:cs="Calibri"/>
              <w:szCs w:val="24"/>
              <w:lang w:val="en-GB"/>
            </w:rPr>
            <w:fldChar w:fldCharType="separate"/>
          </w:r>
          <w:hyperlink w:anchor="_Toc235974317" w:history="1">
            <w:r w:rsidR="006262B7" w:rsidRPr="00B24C6E">
              <w:rPr>
                <w:rStyle w:val="Hyperlink"/>
                <w:rFonts w:cs="Calibri"/>
                <w:noProof/>
                <w:lang w:val="en-GB"/>
              </w:rPr>
              <w:t>1. Introduction</w:t>
            </w:r>
            <w:r w:rsidR="006262B7">
              <w:rPr>
                <w:noProof/>
                <w:webHidden/>
              </w:rPr>
              <w:tab/>
            </w:r>
            <w:r w:rsidR="006262B7">
              <w:rPr>
                <w:noProof/>
                <w:webHidden/>
              </w:rPr>
              <w:fldChar w:fldCharType="begin"/>
            </w:r>
            <w:r w:rsidR="006262B7">
              <w:rPr>
                <w:noProof/>
                <w:webHidden/>
              </w:rPr>
              <w:instrText xml:space="preserve"> PAGEREF _Toc235974317 \h </w:instrText>
            </w:r>
            <w:r w:rsidR="006262B7">
              <w:rPr>
                <w:noProof/>
                <w:webHidden/>
              </w:rPr>
            </w:r>
            <w:r w:rsidR="006262B7">
              <w:rPr>
                <w:noProof/>
                <w:webHidden/>
              </w:rPr>
              <w:fldChar w:fldCharType="separate"/>
            </w:r>
            <w:r w:rsidR="006262B7">
              <w:rPr>
                <w:noProof/>
                <w:webHidden/>
              </w:rPr>
              <w:t>4</w:t>
            </w:r>
            <w:r w:rsidR="006262B7">
              <w:rPr>
                <w:noProof/>
                <w:webHidden/>
              </w:rPr>
              <w:fldChar w:fldCharType="end"/>
            </w:r>
          </w:hyperlink>
        </w:p>
        <w:p w14:paraId="6BCCD9F5" w14:textId="756F980A" w:rsidR="006262B7" w:rsidRDefault="006262B7">
          <w:pPr>
            <w:pStyle w:val="TOC2"/>
            <w:tabs>
              <w:tab w:val="right" w:leader="dot" w:pos="9350"/>
            </w:tabs>
            <w:rPr>
              <w:rFonts w:asciiTheme="minorHAnsi" w:eastAsiaTheme="minorEastAsia" w:hAnsiTheme="minorHAnsi" w:cstheme="minorBidi"/>
              <w:noProof/>
              <w:kern w:val="2"/>
              <w:szCs w:val="24"/>
              <w:lang w:val="en-IN" w:eastAsia="zh-CN"/>
              <w14:ligatures w14:val="standardContextual"/>
            </w:rPr>
          </w:pPr>
          <w:hyperlink w:anchor="_Toc235974318" w:history="1">
            <w:r w:rsidRPr="00B24C6E">
              <w:rPr>
                <w:rStyle w:val="Hyperlink"/>
                <w:rFonts w:cs="Calibri"/>
                <w:noProof/>
                <w:lang w:val="en-GB"/>
              </w:rPr>
              <w:t>1.1 Business Background and Market Context</w:t>
            </w:r>
            <w:r>
              <w:rPr>
                <w:noProof/>
                <w:webHidden/>
              </w:rPr>
              <w:tab/>
            </w:r>
            <w:r>
              <w:rPr>
                <w:noProof/>
                <w:webHidden/>
              </w:rPr>
              <w:fldChar w:fldCharType="begin"/>
            </w:r>
            <w:r>
              <w:rPr>
                <w:noProof/>
                <w:webHidden/>
              </w:rPr>
              <w:instrText xml:space="preserve"> PAGEREF _Toc235974318 \h </w:instrText>
            </w:r>
            <w:r>
              <w:rPr>
                <w:noProof/>
                <w:webHidden/>
              </w:rPr>
            </w:r>
            <w:r>
              <w:rPr>
                <w:noProof/>
                <w:webHidden/>
              </w:rPr>
              <w:fldChar w:fldCharType="separate"/>
            </w:r>
            <w:r>
              <w:rPr>
                <w:noProof/>
                <w:webHidden/>
              </w:rPr>
              <w:t>4</w:t>
            </w:r>
            <w:r>
              <w:rPr>
                <w:noProof/>
                <w:webHidden/>
              </w:rPr>
              <w:fldChar w:fldCharType="end"/>
            </w:r>
          </w:hyperlink>
        </w:p>
        <w:p w14:paraId="2CD285FD" w14:textId="16F0552E" w:rsidR="006262B7" w:rsidRDefault="006262B7">
          <w:pPr>
            <w:pStyle w:val="TOC2"/>
            <w:tabs>
              <w:tab w:val="right" w:leader="dot" w:pos="9350"/>
            </w:tabs>
            <w:rPr>
              <w:rFonts w:asciiTheme="minorHAnsi" w:eastAsiaTheme="minorEastAsia" w:hAnsiTheme="minorHAnsi" w:cstheme="minorBidi"/>
              <w:noProof/>
              <w:kern w:val="2"/>
              <w:szCs w:val="24"/>
              <w:lang w:val="en-IN" w:eastAsia="zh-CN"/>
              <w14:ligatures w14:val="standardContextual"/>
            </w:rPr>
          </w:pPr>
          <w:hyperlink w:anchor="_Toc235974319" w:history="1">
            <w:r w:rsidRPr="00B24C6E">
              <w:rPr>
                <w:rStyle w:val="Hyperlink"/>
                <w:rFonts w:cs="Calibri"/>
                <w:noProof/>
                <w:lang w:val="en-GB"/>
              </w:rPr>
              <w:t>1.2 Business Opportunity and Problem Statement</w:t>
            </w:r>
            <w:r>
              <w:rPr>
                <w:noProof/>
                <w:webHidden/>
              </w:rPr>
              <w:tab/>
            </w:r>
            <w:r>
              <w:rPr>
                <w:noProof/>
                <w:webHidden/>
              </w:rPr>
              <w:fldChar w:fldCharType="begin"/>
            </w:r>
            <w:r>
              <w:rPr>
                <w:noProof/>
                <w:webHidden/>
              </w:rPr>
              <w:instrText xml:space="preserve"> PAGEREF _Toc235974319 \h </w:instrText>
            </w:r>
            <w:r>
              <w:rPr>
                <w:noProof/>
                <w:webHidden/>
              </w:rPr>
            </w:r>
            <w:r>
              <w:rPr>
                <w:noProof/>
                <w:webHidden/>
              </w:rPr>
              <w:fldChar w:fldCharType="separate"/>
            </w:r>
            <w:r>
              <w:rPr>
                <w:noProof/>
                <w:webHidden/>
              </w:rPr>
              <w:t>5</w:t>
            </w:r>
            <w:r>
              <w:rPr>
                <w:noProof/>
                <w:webHidden/>
              </w:rPr>
              <w:fldChar w:fldCharType="end"/>
            </w:r>
          </w:hyperlink>
        </w:p>
        <w:p w14:paraId="236B09A9" w14:textId="38B6FB45" w:rsidR="006262B7" w:rsidRDefault="006262B7">
          <w:pPr>
            <w:pStyle w:val="TOC2"/>
            <w:tabs>
              <w:tab w:val="right" w:leader="dot" w:pos="9350"/>
            </w:tabs>
            <w:rPr>
              <w:rFonts w:asciiTheme="minorHAnsi" w:eastAsiaTheme="minorEastAsia" w:hAnsiTheme="minorHAnsi" w:cstheme="minorBidi"/>
              <w:noProof/>
              <w:kern w:val="2"/>
              <w:szCs w:val="24"/>
              <w:lang w:val="en-IN" w:eastAsia="zh-CN"/>
              <w14:ligatures w14:val="standardContextual"/>
            </w:rPr>
          </w:pPr>
          <w:hyperlink w:anchor="_Toc235974320" w:history="1">
            <w:r w:rsidRPr="00B24C6E">
              <w:rPr>
                <w:rStyle w:val="Hyperlink"/>
                <w:rFonts w:cs="Calibri"/>
                <w:noProof/>
                <w:lang w:val="en-GB"/>
              </w:rPr>
              <w:t>1.3 Market Focus</w:t>
            </w:r>
            <w:r>
              <w:rPr>
                <w:noProof/>
                <w:webHidden/>
              </w:rPr>
              <w:tab/>
            </w:r>
            <w:r>
              <w:rPr>
                <w:noProof/>
                <w:webHidden/>
              </w:rPr>
              <w:fldChar w:fldCharType="begin"/>
            </w:r>
            <w:r>
              <w:rPr>
                <w:noProof/>
                <w:webHidden/>
              </w:rPr>
              <w:instrText xml:space="preserve"> PAGEREF _Toc235974320 \h </w:instrText>
            </w:r>
            <w:r>
              <w:rPr>
                <w:noProof/>
                <w:webHidden/>
              </w:rPr>
            </w:r>
            <w:r>
              <w:rPr>
                <w:noProof/>
                <w:webHidden/>
              </w:rPr>
              <w:fldChar w:fldCharType="separate"/>
            </w:r>
            <w:r>
              <w:rPr>
                <w:noProof/>
                <w:webHidden/>
              </w:rPr>
              <w:t>5</w:t>
            </w:r>
            <w:r>
              <w:rPr>
                <w:noProof/>
                <w:webHidden/>
              </w:rPr>
              <w:fldChar w:fldCharType="end"/>
            </w:r>
          </w:hyperlink>
        </w:p>
        <w:p w14:paraId="5C5E6E90" w14:textId="47E6F6C1" w:rsidR="006262B7" w:rsidRDefault="006262B7">
          <w:pPr>
            <w:pStyle w:val="TOC2"/>
            <w:tabs>
              <w:tab w:val="right" w:leader="dot" w:pos="9350"/>
            </w:tabs>
            <w:rPr>
              <w:rFonts w:asciiTheme="minorHAnsi" w:eastAsiaTheme="minorEastAsia" w:hAnsiTheme="minorHAnsi" w:cstheme="minorBidi"/>
              <w:noProof/>
              <w:kern w:val="2"/>
              <w:szCs w:val="24"/>
              <w:lang w:val="en-IN" w:eastAsia="zh-CN"/>
              <w14:ligatures w14:val="standardContextual"/>
            </w:rPr>
          </w:pPr>
          <w:hyperlink w:anchor="_Toc235974321" w:history="1">
            <w:r w:rsidRPr="00B24C6E">
              <w:rPr>
                <w:rStyle w:val="Hyperlink"/>
                <w:rFonts w:cs="Calibri"/>
                <w:noProof/>
                <w:lang w:val="en-GB"/>
              </w:rPr>
              <w:t>1.4 Aim, Objectives and Research Questions</w:t>
            </w:r>
            <w:r>
              <w:rPr>
                <w:noProof/>
                <w:webHidden/>
              </w:rPr>
              <w:tab/>
            </w:r>
            <w:r>
              <w:rPr>
                <w:noProof/>
                <w:webHidden/>
              </w:rPr>
              <w:fldChar w:fldCharType="begin"/>
            </w:r>
            <w:r>
              <w:rPr>
                <w:noProof/>
                <w:webHidden/>
              </w:rPr>
              <w:instrText xml:space="preserve"> PAGEREF _Toc235974321 \h </w:instrText>
            </w:r>
            <w:r>
              <w:rPr>
                <w:noProof/>
                <w:webHidden/>
              </w:rPr>
            </w:r>
            <w:r>
              <w:rPr>
                <w:noProof/>
                <w:webHidden/>
              </w:rPr>
              <w:fldChar w:fldCharType="separate"/>
            </w:r>
            <w:r>
              <w:rPr>
                <w:noProof/>
                <w:webHidden/>
              </w:rPr>
              <w:t>5</w:t>
            </w:r>
            <w:r>
              <w:rPr>
                <w:noProof/>
                <w:webHidden/>
              </w:rPr>
              <w:fldChar w:fldCharType="end"/>
            </w:r>
          </w:hyperlink>
        </w:p>
        <w:p w14:paraId="2DC45FCF" w14:textId="2F7FAE94" w:rsidR="006262B7" w:rsidRDefault="006262B7">
          <w:pPr>
            <w:pStyle w:val="TOC2"/>
            <w:tabs>
              <w:tab w:val="right" w:leader="dot" w:pos="9350"/>
            </w:tabs>
            <w:rPr>
              <w:rFonts w:asciiTheme="minorHAnsi" w:eastAsiaTheme="minorEastAsia" w:hAnsiTheme="minorHAnsi" w:cstheme="minorBidi"/>
              <w:noProof/>
              <w:kern w:val="2"/>
              <w:szCs w:val="24"/>
              <w:lang w:val="en-IN" w:eastAsia="zh-CN"/>
              <w14:ligatures w14:val="standardContextual"/>
            </w:rPr>
          </w:pPr>
          <w:hyperlink w:anchor="_Toc235974322" w:history="1">
            <w:r w:rsidRPr="00B24C6E">
              <w:rPr>
                <w:rStyle w:val="Hyperlink"/>
                <w:rFonts w:cs="Calibri"/>
                <w:noProof/>
                <w:lang w:val="en-GB"/>
              </w:rPr>
              <w:t>1.5 Scope of the Proposal</w:t>
            </w:r>
            <w:r>
              <w:rPr>
                <w:noProof/>
                <w:webHidden/>
              </w:rPr>
              <w:tab/>
            </w:r>
            <w:r>
              <w:rPr>
                <w:noProof/>
                <w:webHidden/>
              </w:rPr>
              <w:fldChar w:fldCharType="begin"/>
            </w:r>
            <w:r>
              <w:rPr>
                <w:noProof/>
                <w:webHidden/>
              </w:rPr>
              <w:instrText xml:space="preserve"> PAGEREF _Toc235974322 \h </w:instrText>
            </w:r>
            <w:r>
              <w:rPr>
                <w:noProof/>
                <w:webHidden/>
              </w:rPr>
            </w:r>
            <w:r>
              <w:rPr>
                <w:noProof/>
                <w:webHidden/>
              </w:rPr>
              <w:fldChar w:fldCharType="separate"/>
            </w:r>
            <w:r>
              <w:rPr>
                <w:noProof/>
                <w:webHidden/>
              </w:rPr>
              <w:t>6</w:t>
            </w:r>
            <w:r>
              <w:rPr>
                <w:noProof/>
                <w:webHidden/>
              </w:rPr>
              <w:fldChar w:fldCharType="end"/>
            </w:r>
          </w:hyperlink>
        </w:p>
        <w:p w14:paraId="619C4557" w14:textId="0B07A734" w:rsidR="006262B7" w:rsidRDefault="006262B7">
          <w:pPr>
            <w:pStyle w:val="TOC1"/>
            <w:tabs>
              <w:tab w:val="right" w:leader="dot" w:pos="9350"/>
            </w:tabs>
            <w:rPr>
              <w:rFonts w:asciiTheme="minorHAnsi" w:eastAsiaTheme="minorEastAsia" w:hAnsiTheme="minorHAnsi" w:cstheme="minorBidi"/>
              <w:noProof/>
              <w:kern w:val="2"/>
              <w:szCs w:val="24"/>
              <w:lang w:val="en-IN" w:eastAsia="zh-CN"/>
              <w14:ligatures w14:val="standardContextual"/>
            </w:rPr>
          </w:pPr>
          <w:hyperlink w:anchor="_Toc235974323" w:history="1">
            <w:r w:rsidRPr="00B24C6E">
              <w:rPr>
                <w:rStyle w:val="Hyperlink"/>
                <w:rFonts w:cs="Calibri"/>
                <w:noProof/>
                <w:lang w:val="en-GB"/>
              </w:rPr>
              <w:t>2. Literature review</w:t>
            </w:r>
            <w:r>
              <w:rPr>
                <w:noProof/>
                <w:webHidden/>
              </w:rPr>
              <w:tab/>
            </w:r>
            <w:r>
              <w:rPr>
                <w:noProof/>
                <w:webHidden/>
              </w:rPr>
              <w:fldChar w:fldCharType="begin"/>
            </w:r>
            <w:r>
              <w:rPr>
                <w:noProof/>
                <w:webHidden/>
              </w:rPr>
              <w:instrText xml:space="preserve"> PAGEREF _Toc235974323 \h </w:instrText>
            </w:r>
            <w:r>
              <w:rPr>
                <w:noProof/>
                <w:webHidden/>
              </w:rPr>
            </w:r>
            <w:r>
              <w:rPr>
                <w:noProof/>
                <w:webHidden/>
              </w:rPr>
              <w:fldChar w:fldCharType="separate"/>
            </w:r>
            <w:r>
              <w:rPr>
                <w:noProof/>
                <w:webHidden/>
              </w:rPr>
              <w:t>7</w:t>
            </w:r>
            <w:r>
              <w:rPr>
                <w:noProof/>
                <w:webHidden/>
              </w:rPr>
              <w:fldChar w:fldCharType="end"/>
            </w:r>
          </w:hyperlink>
        </w:p>
        <w:p w14:paraId="431CFCD6" w14:textId="63461B90" w:rsidR="006262B7" w:rsidRDefault="006262B7">
          <w:pPr>
            <w:pStyle w:val="TOC2"/>
            <w:tabs>
              <w:tab w:val="right" w:leader="dot" w:pos="9350"/>
            </w:tabs>
            <w:rPr>
              <w:rFonts w:asciiTheme="minorHAnsi" w:eastAsiaTheme="minorEastAsia" w:hAnsiTheme="minorHAnsi" w:cstheme="minorBidi"/>
              <w:noProof/>
              <w:kern w:val="2"/>
              <w:szCs w:val="24"/>
              <w:lang w:val="en-IN" w:eastAsia="zh-CN"/>
              <w14:ligatures w14:val="standardContextual"/>
            </w:rPr>
          </w:pPr>
          <w:hyperlink w:anchor="_Toc235974324" w:history="1">
            <w:r w:rsidRPr="00B24C6E">
              <w:rPr>
                <w:rStyle w:val="Hyperlink"/>
                <w:rFonts w:cs="Calibri"/>
                <w:noProof/>
                <w:lang w:val="en-GB"/>
              </w:rPr>
              <w:t>2.1 Healthy Meal Subscription Services and Consumer Trends</w:t>
            </w:r>
            <w:r>
              <w:rPr>
                <w:noProof/>
                <w:webHidden/>
              </w:rPr>
              <w:tab/>
            </w:r>
            <w:r>
              <w:rPr>
                <w:noProof/>
                <w:webHidden/>
              </w:rPr>
              <w:fldChar w:fldCharType="begin"/>
            </w:r>
            <w:r>
              <w:rPr>
                <w:noProof/>
                <w:webHidden/>
              </w:rPr>
              <w:instrText xml:space="preserve"> PAGEREF _Toc235974324 \h </w:instrText>
            </w:r>
            <w:r>
              <w:rPr>
                <w:noProof/>
                <w:webHidden/>
              </w:rPr>
            </w:r>
            <w:r>
              <w:rPr>
                <w:noProof/>
                <w:webHidden/>
              </w:rPr>
              <w:fldChar w:fldCharType="separate"/>
            </w:r>
            <w:r>
              <w:rPr>
                <w:noProof/>
                <w:webHidden/>
              </w:rPr>
              <w:t>7</w:t>
            </w:r>
            <w:r>
              <w:rPr>
                <w:noProof/>
                <w:webHidden/>
              </w:rPr>
              <w:fldChar w:fldCharType="end"/>
            </w:r>
          </w:hyperlink>
        </w:p>
        <w:p w14:paraId="4A1C7C9A" w14:textId="6D3BC351" w:rsidR="006262B7" w:rsidRDefault="006262B7">
          <w:pPr>
            <w:pStyle w:val="TOC2"/>
            <w:tabs>
              <w:tab w:val="right" w:leader="dot" w:pos="9350"/>
            </w:tabs>
            <w:rPr>
              <w:rFonts w:asciiTheme="minorHAnsi" w:eastAsiaTheme="minorEastAsia" w:hAnsiTheme="minorHAnsi" w:cstheme="minorBidi"/>
              <w:noProof/>
              <w:kern w:val="2"/>
              <w:szCs w:val="24"/>
              <w:lang w:val="en-IN" w:eastAsia="zh-CN"/>
              <w14:ligatures w14:val="standardContextual"/>
            </w:rPr>
          </w:pPr>
          <w:hyperlink w:anchor="_Toc235974325" w:history="1">
            <w:r w:rsidRPr="00B24C6E">
              <w:rPr>
                <w:rStyle w:val="Hyperlink"/>
                <w:rFonts w:cs="Calibri"/>
                <w:noProof/>
                <w:lang w:val="en-GB"/>
              </w:rPr>
              <w:t>2.2 Jobs-to-be-Done (JTBD)</w:t>
            </w:r>
            <w:r>
              <w:rPr>
                <w:noProof/>
                <w:webHidden/>
              </w:rPr>
              <w:tab/>
            </w:r>
            <w:r>
              <w:rPr>
                <w:noProof/>
                <w:webHidden/>
              </w:rPr>
              <w:fldChar w:fldCharType="begin"/>
            </w:r>
            <w:r>
              <w:rPr>
                <w:noProof/>
                <w:webHidden/>
              </w:rPr>
              <w:instrText xml:space="preserve"> PAGEREF _Toc235974325 \h </w:instrText>
            </w:r>
            <w:r>
              <w:rPr>
                <w:noProof/>
                <w:webHidden/>
              </w:rPr>
            </w:r>
            <w:r>
              <w:rPr>
                <w:noProof/>
                <w:webHidden/>
              </w:rPr>
              <w:fldChar w:fldCharType="separate"/>
            </w:r>
            <w:r>
              <w:rPr>
                <w:noProof/>
                <w:webHidden/>
              </w:rPr>
              <w:t>7</w:t>
            </w:r>
            <w:r>
              <w:rPr>
                <w:noProof/>
                <w:webHidden/>
              </w:rPr>
              <w:fldChar w:fldCharType="end"/>
            </w:r>
          </w:hyperlink>
        </w:p>
        <w:p w14:paraId="41E4F823" w14:textId="0EEB7DC6" w:rsidR="006262B7" w:rsidRDefault="006262B7">
          <w:pPr>
            <w:pStyle w:val="TOC2"/>
            <w:tabs>
              <w:tab w:val="right" w:leader="dot" w:pos="9350"/>
            </w:tabs>
            <w:rPr>
              <w:rFonts w:asciiTheme="minorHAnsi" w:eastAsiaTheme="minorEastAsia" w:hAnsiTheme="minorHAnsi" w:cstheme="minorBidi"/>
              <w:noProof/>
              <w:kern w:val="2"/>
              <w:szCs w:val="24"/>
              <w:lang w:val="en-IN" w:eastAsia="zh-CN"/>
              <w14:ligatures w14:val="standardContextual"/>
            </w:rPr>
          </w:pPr>
          <w:hyperlink w:anchor="_Toc235974326" w:history="1">
            <w:r w:rsidRPr="00B24C6E">
              <w:rPr>
                <w:rStyle w:val="Hyperlink"/>
                <w:rFonts w:cs="Calibri"/>
                <w:noProof/>
                <w:lang w:val="en-GB"/>
              </w:rPr>
              <w:t>2.3 PESTLE Framework</w:t>
            </w:r>
            <w:r>
              <w:rPr>
                <w:noProof/>
                <w:webHidden/>
              </w:rPr>
              <w:tab/>
            </w:r>
            <w:r>
              <w:rPr>
                <w:noProof/>
                <w:webHidden/>
              </w:rPr>
              <w:fldChar w:fldCharType="begin"/>
            </w:r>
            <w:r>
              <w:rPr>
                <w:noProof/>
                <w:webHidden/>
              </w:rPr>
              <w:instrText xml:space="preserve"> PAGEREF _Toc235974326 \h </w:instrText>
            </w:r>
            <w:r>
              <w:rPr>
                <w:noProof/>
                <w:webHidden/>
              </w:rPr>
            </w:r>
            <w:r>
              <w:rPr>
                <w:noProof/>
                <w:webHidden/>
              </w:rPr>
              <w:fldChar w:fldCharType="separate"/>
            </w:r>
            <w:r>
              <w:rPr>
                <w:noProof/>
                <w:webHidden/>
              </w:rPr>
              <w:t>8</w:t>
            </w:r>
            <w:r>
              <w:rPr>
                <w:noProof/>
                <w:webHidden/>
              </w:rPr>
              <w:fldChar w:fldCharType="end"/>
            </w:r>
          </w:hyperlink>
        </w:p>
        <w:p w14:paraId="0810288A" w14:textId="17A0FCC7" w:rsidR="006262B7" w:rsidRDefault="006262B7">
          <w:pPr>
            <w:pStyle w:val="TOC2"/>
            <w:tabs>
              <w:tab w:val="right" w:leader="dot" w:pos="9350"/>
            </w:tabs>
            <w:rPr>
              <w:rFonts w:asciiTheme="minorHAnsi" w:eastAsiaTheme="minorEastAsia" w:hAnsiTheme="minorHAnsi" w:cstheme="minorBidi"/>
              <w:noProof/>
              <w:kern w:val="2"/>
              <w:szCs w:val="24"/>
              <w:lang w:val="en-IN" w:eastAsia="zh-CN"/>
              <w14:ligatures w14:val="standardContextual"/>
            </w:rPr>
          </w:pPr>
          <w:hyperlink w:anchor="_Toc235974327" w:history="1">
            <w:r w:rsidRPr="00B24C6E">
              <w:rPr>
                <w:rStyle w:val="Hyperlink"/>
                <w:rFonts w:cs="Calibri"/>
                <w:noProof/>
                <w:lang w:val="en-GB"/>
              </w:rPr>
              <w:t>2.4 Porter's Five Forces</w:t>
            </w:r>
            <w:r>
              <w:rPr>
                <w:noProof/>
                <w:webHidden/>
              </w:rPr>
              <w:tab/>
            </w:r>
            <w:r>
              <w:rPr>
                <w:noProof/>
                <w:webHidden/>
              </w:rPr>
              <w:fldChar w:fldCharType="begin"/>
            </w:r>
            <w:r>
              <w:rPr>
                <w:noProof/>
                <w:webHidden/>
              </w:rPr>
              <w:instrText xml:space="preserve"> PAGEREF _Toc235974327 \h </w:instrText>
            </w:r>
            <w:r>
              <w:rPr>
                <w:noProof/>
                <w:webHidden/>
              </w:rPr>
            </w:r>
            <w:r>
              <w:rPr>
                <w:noProof/>
                <w:webHidden/>
              </w:rPr>
              <w:fldChar w:fldCharType="separate"/>
            </w:r>
            <w:r>
              <w:rPr>
                <w:noProof/>
                <w:webHidden/>
              </w:rPr>
              <w:t>9</w:t>
            </w:r>
            <w:r>
              <w:rPr>
                <w:noProof/>
                <w:webHidden/>
              </w:rPr>
              <w:fldChar w:fldCharType="end"/>
            </w:r>
          </w:hyperlink>
        </w:p>
        <w:p w14:paraId="6EEFF718" w14:textId="351D009E" w:rsidR="006262B7" w:rsidRDefault="006262B7">
          <w:pPr>
            <w:pStyle w:val="TOC2"/>
            <w:tabs>
              <w:tab w:val="right" w:leader="dot" w:pos="9350"/>
            </w:tabs>
            <w:rPr>
              <w:rFonts w:asciiTheme="minorHAnsi" w:eastAsiaTheme="minorEastAsia" w:hAnsiTheme="minorHAnsi" w:cstheme="minorBidi"/>
              <w:noProof/>
              <w:kern w:val="2"/>
              <w:szCs w:val="24"/>
              <w:lang w:val="en-IN" w:eastAsia="zh-CN"/>
              <w14:ligatures w14:val="standardContextual"/>
            </w:rPr>
          </w:pPr>
          <w:hyperlink w:anchor="_Toc235974328" w:history="1">
            <w:r w:rsidRPr="00B24C6E">
              <w:rPr>
                <w:rStyle w:val="Hyperlink"/>
                <w:rFonts w:cs="Calibri"/>
                <w:noProof/>
                <w:lang w:val="en-GB"/>
              </w:rPr>
              <w:t>2.5 Value Proposition Canvas</w:t>
            </w:r>
            <w:r>
              <w:rPr>
                <w:noProof/>
                <w:webHidden/>
              </w:rPr>
              <w:tab/>
            </w:r>
            <w:r>
              <w:rPr>
                <w:noProof/>
                <w:webHidden/>
              </w:rPr>
              <w:fldChar w:fldCharType="begin"/>
            </w:r>
            <w:r>
              <w:rPr>
                <w:noProof/>
                <w:webHidden/>
              </w:rPr>
              <w:instrText xml:space="preserve"> PAGEREF _Toc235974328 \h </w:instrText>
            </w:r>
            <w:r>
              <w:rPr>
                <w:noProof/>
                <w:webHidden/>
              </w:rPr>
            </w:r>
            <w:r>
              <w:rPr>
                <w:noProof/>
                <w:webHidden/>
              </w:rPr>
              <w:fldChar w:fldCharType="separate"/>
            </w:r>
            <w:r>
              <w:rPr>
                <w:noProof/>
                <w:webHidden/>
              </w:rPr>
              <w:t>10</w:t>
            </w:r>
            <w:r>
              <w:rPr>
                <w:noProof/>
                <w:webHidden/>
              </w:rPr>
              <w:fldChar w:fldCharType="end"/>
            </w:r>
          </w:hyperlink>
        </w:p>
        <w:p w14:paraId="06E74012" w14:textId="000D4221" w:rsidR="006262B7" w:rsidRDefault="006262B7">
          <w:pPr>
            <w:pStyle w:val="TOC2"/>
            <w:tabs>
              <w:tab w:val="right" w:leader="dot" w:pos="9350"/>
            </w:tabs>
            <w:rPr>
              <w:rFonts w:asciiTheme="minorHAnsi" w:eastAsiaTheme="minorEastAsia" w:hAnsiTheme="minorHAnsi" w:cstheme="minorBidi"/>
              <w:noProof/>
              <w:kern w:val="2"/>
              <w:szCs w:val="24"/>
              <w:lang w:val="en-IN" w:eastAsia="zh-CN"/>
              <w14:ligatures w14:val="standardContextual"/>
            </w:rPr>
          </w:pPr>
          <w:hyperlink w:anchor="_Toc235974329" w:history="1">
            <w:r w:rsidRPr="00B24C6E">
              <w:rPr>
                <w:rStyle w:val="Hyperlink"/>
                <w:rFonts w:cs="Calibri"/>
                <w:noProof/>
                <w:lang w:val="en-GB"/>
              </w:rPr>
              <w:t>2.6 Business Model Canvas</w:t>
            </w:r>
            <w:r>
              <w:rPr>
                <w:noProof/>
                <w:webHidden/>
              </w:rPr>
              <w:tab/>
            </w:r>
            <w:r>
              <w:rPr>
                <w:noProof/>
                <w:webHidden/>
              </w:rPr>
              <w:fldChar w:fldCharType="begin"/>
            </w:r>
            <w:r>
              <w:rPr>
                <w:noProof/>
                <w:webHidden/>
              </w:rPr>
              <w:instrText xml:space="preserve"> PAGEREF _Toc235974329 \h </w:instrText>
            </w:r>
            <w:r>
              <w:rPr>
                <w:noProof/>
                <w:webHidden/>
              </w:rPr>
            </w:r>
            <w:r>
              <w:rPr>
                <w:noProof/>
                <w:webHidden/>
              </w:rPr>
              <w:fldChar w:fldCharType="separate"/>
            </w:r>
            <w:r>
              <w:rPr>
                <w:noProof/>
                <w:webHidden/>
              </w:rPr>
              <w:t>10</w:t>
            </w:r>
            <w:r>
              <w:rPr>
                <w:noProof/>
                <w:webHidden/>
              </w:rPr>
              <w:fldChar w:fldCharType="end"/>
            </w:r>
          </w:hyperlink>
        </w:p>
        <w:p w14:paraId="709198D3" w14:textId="218465C4" w:rsidR="006262B7" w:rsidRDefault="006262B7">
          <w:pPr>
            <w:pStyle w:val="TOC2"/>
            <w:tabs>
              <w:tab w:val="right" w:leader="dot" w:pos="9350"/>
            </w:tabs>
            <w:rPr>
              <w:rFonts w:asciiTheme="minorHAnsi" w:eastAsiaTheme="minorEastAsia" w:hAnsiTheme="minorHAnsi" w:cstheme="minorBidi"/>
              <w:noProof/>
              <w:kern w:val="2"/>
              <w:szCs w:val="24"/>
              <w:lang w:val="en-IN" w:eastAsia="zh-CN"/>
              <w14:ligatures w14:val="standardContextual"/>
            </w:rPr>
          </w:pPr>
          <w:hyperlink w:anchor="_Toc235974330" w:history="1">
            <w:r w:rsidRPr="00B24C6E">
              <w:rPr>
                <w:rStyle w:val="Hyperlink"/>
                <w:rFonts w:cs="Calibri"/>
                <w:noProof/>
                <w:lang w:val="en-GB"/>
              </w:rPr>
              <w:t>2.7 Chapter Summary</w:t>
            </w:r>
            <w:r>
              <w:rPr>
                <w:noProof/>
                <w:webHidden/>
              </w:rPr>
              <w:tab/>
            </w:r>
            <w:r>
              <w:rPr>
                <w:noProof/>
                <w:webHidden/>
              </w:rPr>
              <w:fldChar w:fldCharType="begin"/>
            </w:r>
            <w:r>
              <w:rPr>
                <w:noProof/>
                <w:webHidden/>
              </w:rPr>
              <w:instrText xml:space="preserve"> PAGEREF _Toc235974330 \h </w:instrText>
            </w:r>
            <w:r>
              <w:rPr>
                <w:noProof/>
                <w:webHidden/>
              </w:rPr>
            </w:r>
            <w:r>
              <w:rPr>
                <w:noProof/>
                <w:webHidden/>
              </w:rPr>
              <w:fldChar w:fldCharType="separate"/>
            </w:r>
            <w:r>
              <w:rPr>
                <w:noProof/>
                <w:webHidden/>
              </w:rPr>
              <w:t>11</w:t>
            </w:r>
            <w:r>
              <w:rPr>
                <w:noProof/>
                <w:webHidden/>
              </w:rPr>
              <w:fldChar w:fldCharType="end"/>
            </w:r>
          </w:hyperlink>
        </w:p>
        <w:p w14:paraId="1CA0CFE4" w14:textId="27D637D4" w:rsidR="006262B7" w:rsidRDefault="006262B7">
          <w:pPr>
            <w:pStyle w:val="TOC1"/>
            <w:tabs>
              <w:tab w:val="right" w:leader="dot" w:pos="9350"/>
            </w:tabs>
            <w:rPr>
              <w:rFonts w:asciiTheme="minorHAnsi" w:eastAsiaTheme="minorEastAsia" w:hAnsiTheme="minorHAnsi" w:cstheme="minorBidi"/>
              <w:noProof/>
              <w:kern w:val="2"/>
              <w:szCs w:val="24"/>
              <w:lang w:val="en-IN" w:eastAsia="zh-CN"/>
              <w14:ligatures w14:val="standardContextual"/>
            </w:rPr>
          </w:pPr>
          <w:hyperlink w:anchor="_Toc235974331" w:history="1">
            <w:r w:rsidRPr="00B24C6E">
              <w:rPr>
                <w:rStyle w:val="Hyperlink"/>
                <w:rFonts w:cs="Calibri"/>
                <w:noProof/>
                <w:lang w:val="en-GB"/>
              </w:rPr>
              <w:t>3. Methodology</w:t>
            </w:r>
            <w:r>
              <w:rPr>
                <w:noProof/>
                <w:webHidden/>
              </w:rPr>
              <w:tab/>
            </w:r>
            <w:r>
              <w:rPr>
                <w:noProof/>
                <w:webHidden/>
              </w:rPr>
              <w:fldChar w:fldCharType="begin"/>
            </w:r>
            <w:r>
              <w:rPr>
                <w:noProof/>
                <w:webHidden/>
              </w:rPr>
              <w:instrText xml:space="preserve"> PAGEREF _Toc235974331 \h </w:instrText>
            </w:r>
            <w:r>
              <w:rPr>
                <w:noProof/>
                <w:webHidden/>
              </w:rPr>
            </w:r>
            <w:r>
              <w:rPr>
                <w:noProof/>
                <w:webHidden/>
              </w:rPr>
              <w:fldChar w:fldCharType="separate"/>
            </w:r>
            <w:r>
              <w:rPr>
                <w:noProof/>
                <w:webHidden/>
              </w:rPr>
              <w:t>12</w:t>
            </w:r>
            <w:r>
              <w:rPr>
                <w:noProof/>
                <w:webHidden/>
              </w:rPr>
              <w:fldChar w:fldCharType="end"/>
            </w:r>
          </w:hyperlink>
        </w:p>
        <w:p w14:paraId="60540D68" w14:textId="0B50B589" w:rsidR="006262B7" w:rsidRDefault="006262B7">
          <w:pPr>
            <w:pStyle w:val="TOC2"/>
            <w:tabs>
              <w:tab w:val="right" w:leader="dot" w:pos="9350"/>
            </w:tabs>
            <w:rPr>
              <w:rFonts w:asciiTheme="minorHAnsi" w:eastAsiaTheme="minorEastAsia" w:hAnsiTheme="minorHAnsi" w:cstheme="minorBidi"/>
              <w:noProof/>
              <w:kern w:val="2"/>
              <w:szCs w:val="24"/>
              <w:lang w:val="en-IN" w:eastAsia="zh-CN"/>
              <w14:ligatures w14:val="standardContextual"/>
            </w:rPr>
          </w:pPr>
          <w:hyperlink w:anchor="_Toc235974332" w:history="1">
            <w:r w:rsidRPr="00B24C6E">
              <w:rPr>
                <w:rStyle w:val="Hyperlink"/>
                <w:rFonts w:cs="Calibri"/>
                <w:noProof/>
                <w:lang w:val="en-GB"/>
              </w:rPr>
              <w:t>3.1 Research Approach</w:t>
            </w:r>
            <w:r>
              <w:rPr>
                <w:noProof/>
                <w:webHidden/>
              </w:rPr>
              <w:tab/>
            </w:r>
            <w:r>
              <w:rPr>
                <w:noProof/>
                <w:webHidden/>
              </w:rPr>
              <w:fldChar w:fldCharType="begin"/>
            </w:r>
            <w:r>
              <w:rPr>
                <w:noProof/>
                <w:webHidden/>
              </w:rPr>
              <w:instrText xml:space="preserve"> PAGEREF _Toc235974332 \h </w:instrText>
            </w:r>
            <w:r>
              <w:rPr>
                <w:noProof/>
                <w:webHidden/>
              </w:rPr>
            </w:r>
            <w:r>
              <w:rPr>
                <w:noProof/>
                <w:webHidden/>
              </w:rPr>
              <w:fldChar w:fldCharType="separate"/>
            </w:r>
            <w:r>
              <w:rPr>
                <w:noProof/>
                <w:webHidden/>
              </w:rPr>
              <w:t>12</w:t>
            </w:r>
            <w:r>
              <w:rPr>
                <w:noProof/>
                <w:webHidden/>
              </w:rPr>
              <w:fldChar w:fldCharType="end"/>
            </w:r>
          </w:hyperlink>
        </w:p>
        <w:p w14:paraId="139335BC" w14:textId="675FD4C4" w:rsidR="006262B7" w:rsidRDefault="006262B7">
          <w:pPr>
            <w:pStyle w:val="TOC2"/>
            <w:tabs>
              <w:tab w:val="right" w:leader="dot" w:pos="9350"/>
            </w:tabs>
            <w:rPr>
              <w:rFonts w:asciiTheme="minorHAnsi" w:eastAsiaTheme="minorEastAsia" w:hAnsiTheme="minorHAnsi" w:cstheme="minorBidi"/>
              <w:noProof/>
              <w:kern w:val="2"/>
              <w:szCs w:val="24"/>
              <w:lang w:val="en-IN" w:eastAsia="zh-CN"/>
              <w14:ligatures w14:val="standardContextual"/>
            </w:rPr>
          </w:pPr>
          <w:hyperlink w:anchor="_Toc235974333" w:history="1">
            <w:r w:rsidRPr="00B24C6E">
              <w:rPr>
                <w:rStyle w:val="Hyperlink"/>
                <w:rFonts w:cs="Calibri"/>
                <w:noProof/>
                <w:lang w:val="en-GB"/>
              </w:rPr>
              <w:t>3.2 Primary Data Collection</w:t>
            </w:r>
            <w:r>
              <w:rPr>
                <w:noProof/>
                <w:webHidden/>
              </w:rPr>
              <w:tab/>
            </w:r>
            <w:r>
              <w:rPr>
                <w:noProof/>
                <w:webHidden/>
              </w:rPr>
              <w:fldChar w:fldCharType="begin"/>
            </w:r>
            <w:r>
              <w:rPr>
                <w:noProof/>
                <w:webHidden/>
              </w:rPr>
              <w:instrText xml:space="preserve"> PAGEREF _Toc235974333 \h </w:instrText>
            </w:r>
            <w:r>
              <w:rPr>
                <w:noProof/>
                <w:webHidden/>
              </w:rPr>
            </w:r>
            <w:r>
              <w:rPr>
                <w:noProof/>
                <w:webHidden/>
              </w:rPr>
              <w:fldChar w:fldCharType="separate"/>
            </w:r>
            <w:r>
              <w:rPr>
                <w:noProof/>
                <w:webHidden/>
              </w:rPr>
              <w:t>12</w:t>
            </w:r>
            <w:r>
              <w:rPr>
                <w:noProof/>
                <w:webHidden/>
              </w:rPr>
              <w:fldChar w:fldCharType="end"/>
            </w:r>
          </w:hyperlink>
        </w:p>
        <w:p w14:paraId="118136CE" w14:textId="54715719" w:rsidR="006262B7" w:rsidRDefault="006262B7">
          <w:pPr>
            <w:pStyle w:val="TOC2"/>
            <w:tabs>
              <w:tab w:val="right" w:leader="dot" w:pos="9350"/>
            </w:tabs>
            <w:rPr>
              <w:rFonts w:asciiTheme="minorHAnsi" w:eastAsiaTheme="minorEastAsia" w:hAnsiTheme="minorHAnsi" w:cstheme="minorBidi"/>
              <w:noProof/>
              <w:kern w:val="2"/>
              <w:szCs w:val="24"/>
              <w:lang w:val="en-IN" w:eastAsia="zh-CN"/>
              <w14:ligatures w14:val="standardContextual"/>
            </w:rPr>
          </w:pPr>
          <w:hyperlink w:anchor="_Toc235974334" w:history="1">
            <w:r w:rsidRPr="00B24C6E">
              <w:rPr>
                <w:rStyle w:val="Hyperlink"/>
                <w:rFonts w:cs="Calibri"/>
                <w:noProof/>
                <w:lang w:val="en-GB"/>
              </w:rPr>
              <w:t>3.3 Secondary Data Collection</w:t>
            </w:r>
            <w:r>
              <w:rPr>
                <w:noProof/>
                <w:webHidden/>
              </w:rPr>
              <w:tab/>
            </w:r>
            <w:r>
              <w:rPr>
                <w:noProof/>
                <w:webHidden/>
              </w:rPr>
              <w:fldChar w:fldCharType="begin"/>
            </w:r>
            <w:r>
              <w:rPr>
                <w:noProof/>
                <w:webHidden/>
              </w:rPr>
              <w:instrText xml:space="preserve"> PAGEREF _Toc235974334 \h </w:instrText>
            </w:r>
            <w:r>
              <w:rPr>
                <w:noProof/>
                <w:webHidden/>
              </w:rPr>
            </w:r>
            <w:r>
              <w:rPr>
                <w:noProof/>
                <w:webHidden/>
              </w:rPr>
              <w:fldChar w:fldCharType="separate"/>
            </w:r>
            <w:r>
              <w:rPr>
                <w:noProof/>
                <w:webHidden/>
              </w:rPr>
              <w:t>12</w:t>
            </w:r>
            <w:r>
              <w:rPr>
                <w:noProof/>
                <w:webHidden/>
              </w:rPr>
              <w:fldChar w:fldCharType="end"/>
            </w:r>
          </w:hyperlink>
        </w:p>
        <w:p w14:paraId="25203795" w14:textId="4A3933D2" w:rsidR="006262B7" w:rsidRDefault="006262B7">
          <w:pPr>
            <w:pStyle w:val="TOC2"/>
            <w:tabs>
              <w:tab w:val="right" w:leader="dot" w:pos="9350"/>
            </w:tabs>
            <w:rPr>
              <w:rFonts w:asciiTheme="minorHAnsi" w:eastAsiaTheme="minorEastAsia" w:hAnsiTheme="minorHAnsi" w:cstheme="minorBidi"/>
              <w:noProof/>
              <w:kern w:val="2"/>
              <w:szCs w:val="24"/>
              <w:lang w:val="en-IN" w:eastAsia="zh-CN"/>
              <w14:ligatures w14:val="standardContextual"/>
            </w:rPr>
          </w:pPr>
          <w:hyperlink w:anchor="_Toc235974335" w:history="1">
            <w:r w:rsidRPr="00B24C6E">
              <w:rPr>
                <w:rStyle w:val="Hyperlink"/>
                <w:rFonts w:cs="Calibri"/>
                <w:noProof/>
                <w:lang w:val="en-GB"/>
              </w:rPr>
              <w:t>3.4 Data Analysis</w:t>
            </w:r>
            <w:r>
              <w:rPr>
                <w:noProof/>
                <w:webHidden/>
              </w:rPr>
              <w:tab/>
            </w:r>
            <w:r>
              <w:rPr>
                <w:noProof/>
                <w:webHidden/>
              </w:rPr>
              <w:fldChar w:fldCharType="begin"/>
            </w:r>
            <w:r>
              <w:rPr>
                <w:noProof/>
                <w:webHidden/>
              </w:rPr>
              <w:instrText xml:space="preserve"> PAGEREF _Toc235974335 \h </w:instrText>
            </w:r>
            <w:r>
              <w:rPr>
                <w:noProof/>
                <w:webHidden/>
              </w:rPr>
            </w:r>
            <w:r>
              <w:rPr>
                <w:noProof/>
                <w:webHidden/>
              </w:rPr>
              <w:fldChar w:fldCharType="separate"/>
            </w:r>
            <w:r>
              <w:rPr>
                <w:noProof/>
                <w:webHidden/>
              </w:rPr>
              <w:t>12</w:t>
            </w:r>
            <w:r>
              <w:rPr>
                <w:noProof/>
                <w:webHidden/>
              </w:rPr>
              <w:fldChar w:fldCharType="end"/>
            </w:r>
          </w:hyperlink>
        </w:p>
        <w:p w14:paraId="60011230" w14:textId="1BFBE344" w:rsidR="006262B7" w:rsidRDefault="006262B7">
          <w:pPr>
            <w:pStyle w:val="TOC2"/>
            <w:tabs>
              <w:tab w:val="right" w:leader="dot" w:pos="9350"/>
            </w:tabs>
            <w:rPr>
              <w:rFonts w:asciiTheme="minorHAnsi" w:eastAsiaTheme="minorEastAsia" w:hAnsiTheme="minorHAnsi" w:cstheme="minorBidi"/>
              <w:noProof/>
              <w:kern w:val="2"/>
              <w:szCs w:val="24"/>
              <w:lang w:val="en-IN" w:eastAsia="zh-CN"/>
              <w14:ligatures w14:val="standardContextual"/>
            </w:rPr>
          </w:pPr>
          <w:hyperlink w:anchor="_Toc235974336" w:history="1">
            <w:r w:rsidRPr="00B24C6E">
              <w:rPr>
                <w:rStyle w:val="Hyperlink"/>
                <w:rFonts w:cs="Calibri"/>
                <w:noProof/>
                <w:lang w:val="en-GB"/>
              </w:rPr>
              <w:t>3.5 Limitations and Ethical Considerations</w:t>
            </w:r>
            <w:r>
              <w:rPr>
                <w:noProof/>
                <w:webHidden/>
              </w:rPr>
              <w:tab/>
            </w:r>
            <w:r>
              <w:rPr>
                <w:noProof/>
                <w:webHidden/>
              </w:rPr>
              <w:fldChar w:fldCharType="begin"/>
            </w:r>
            <w:r>
              <w:rPr>
                <w:noProof/>
                <w:webHidden/>
              </w:rPr>
              <w:instrText xml:space="preserve"> PAGEREF _Toc235974336 \h </w:instrText>
            </w:r>
            <w:r>
              <w:rPr>
                <w:noProof/>
                <w:webHidden/>
              </w:rPr>
            </w:r>
            <w:r>
              <w:rPr>
                <w:noProof/>
                <w:webHidden/>
              </w:rPr>
              <w:fldChar w:fldCharType="separate"/>
            </w:r>
            <w:r>
              <w:rPr>
                <w:noProof/>
                <w:webHidden/>
              </w:rPr>
              <w:t>13</w:t>
            </w:r>
            <w:r>
              <w:rPr>
                <w:noProof/>
                <w:webHidden/>
              </w:rPr>
              <w:fldChar w:fldCharType="end"/>
            </w:r>
          </w:hyperlink>
        </w:p>
        <w:p w14:paraId="2423AB15" w14:textId="292D909F" w:rsidR="006262B7" w:rsidRDefault="006262B7">
          <w:pPr>
            <w:pStyle w:val="TOC1"/>
            <w:tabs>
              <w:tab w:val="right" w:leader="dot" w:pos="9350"/>
            </w:tabs>
            <w:rPr>
              <w:rFonts w:asciiTheme="minorHAnsi" w:eastAsiaTheme="minorEastAsia" w:hAnsiTheme="minorHAnsi" w:cstheme="minorBidi"/>
              <w:noProof/>
              <w:kern w:val="2"/>
              <w:szCs w:val="24"/>
              <w:lang w:val="en-IN" w:eastAsia="zh-CN"/>
              <w14:ligatures w14:val="standardContextual"/>
            </w:rPr>
          </w:pPr>
          <w:hyperlink w:anchor="_Toc235974337" w:history="1">
            <w:r w:rsidRPr="00B24C6E">
              <w:rPr>
                <w:rStyle w:val="Hyperlink"/>
                <w:rFonts w:cs="Calibri"/>
                <w:noProof/>
                <w:lang w:val="en-GB"/>
              </w:rPr>
              <w:t>4. Initial market opportunity analysis</w:t>
            </w:r>
            <w:r>
              <w:rPr>
                <w:noProof/>
                <w:webHidden/>
              </w:rPr>
              <w:tab/>
            </w:r>
            <w:r>
              <w:rPr>
                <w:noProof/>
                <w:webHidden/>
              </w:rPr>
              <w:fldChar w:fldCharType="begin"/>
            </w:r>
            <w:r>
              <w:rPr>
                <w:noProof/>
                <w:webHidden/>
              </w:rPr>
              <w:instrText xml:space="preserve"> PAGEREF _Toc235974337 \h </w:instrText>
            </w:r>
            <w:r>
              <w:rPr>
                <w:noProof/>
                <w:webHidden/>
              </w:rPr>
            </w:r>
            <w:r>
              <w:rPr>
                <w:noProof/>
                <w:webHidden/>
              </w:rPr>
              <w:fldChar w:fldCharType="separate"/>
            </w:r>
            <w:r>
              <w:rPr>
                <w:noProof/>
                <w:webHidden/>
              </w:rPr>
              <w:t>13</w:t>
            </w:r>
            <w:r>
              <w:rPr>
                <w:noProof/>
                <w:webHidden/>
              </w:rPr>
              <w:fldChar w:fldCharType="end"/>
            </w:r>
          </w:hyperlink>
        </w:p>
        <w:p w14:paraId="076710D6" w14:textId="4C66C63A" w:rsidR="006262B7" w:rsidRDefault="006262B7">
          <w:pPr>
            <w:pStyle w:val="TOC1"/>
            <w:tabs>
              <w:tab w:val="right" w:leader="dot" w:pos="9350"/>
            </w:tabs>
            <w:rPr>
              <w:rFonts w:asciiTheme="minorHAnsi" w:eastAsiaTheme="minorEastAsia" w:hAnsiTheme="minorHAnsi" w:cstheme="minorBidi"/>
              <w:noProof/>
              <w:kern w:val="2"/>
              <w:szCs w:val="24"/>
              <w:lang w:val="en-IN" w:eastAsia="zh-CN"/>
              <w14:ligatures w14:val="standardContextual"/>
            </w:rPr>
          </w:pPr>
          <w:hyperlink w:anchor="_Toc235974338" w:history="1">
            <w:r w:rsidRPr="00B24C6E">
              <w:rPr>
                <w:rStyle w:val="Hyperlink"/>
                <w:rFonts w:cs="Calibri"/>
                <w:noProof/>
                <w:lang w:val="en-GB"/>
              </w:rPr>
              <w:t>5. Limitations</w:t>
            </w:r>
            <w:r>
              <w:rPr>
                <w:noProof/>
                <w:webHidden/>
              </w:rPr>
              <w:tab/>
            </w:r>
            <w:r>
              <w:rPr>
                <w:noProof/>
                <w:webHidden/>
              </w:rPr>
              <w:fldChar w:fldCharType="begin"/>
            </w:r>
            <w:r>
              <w:rPr>
                <w:noProof/>
                <w:webHidden/>
              </w:rPr>
              <w:instrText xml:space="preserve"> PAGEREF _Toc235974338 \h </w:instrText>
            </w:r>
            <w:r>
              <w:rPr>
                <w:noProof/>
                <w:webHidden/>
              </w:rPr>
            </w:r>
            <w:r>
              <w:rPr>
                <w:noProof/>
                <w:webHidden/>
              </w:rPr>
              <w:fldChar w:fldCharType="separate"/>
            </w:r>
            <w:r>
              <w:rPr>
                <w:noProof/>
                <w:webHidden/>
              </w:rPr>
              <w:t>13</w:t>
            </w:r>
            <w:r>
              <w:rPr>
                <w:noProof/>
                <w:webHidden/>
              </w:rPr>
              <w:fldChar w:fldCharType="end"/>
            </w:r>
          </w:hyperlink>
        </w:p>
        <w:p w14:paraId="17FD8ACE" w14:textId="3C66C86B" w:rsidR="006262B7" w:rsidRDefault="006262B7">
          <w:pPr>
            <w:pStyle w:val="TOC1"/>
            <w:tabs>
              <w:tab w:val="right" w:leader="dot" w:pos="9350"/>
            </w:tabs>
            <w:rPr>
              <w:rFonts w:asciiTheme="minorHAnsi" w:eastAsiaTheme="minorEastAsia" w:hAnsiTheme="minorHAnsi" w:cstheme="minorBidi"/>
              <w:noProof/>
              <w:kern w:val="2"/>
              <w:szCs w:val="24"/>
              <w:lang w:val="en-IN" w:eastAsia="zh-CN"/>
              <w14:ligatures w14:val="standardContextual"/>
            </w:rPr>
          </w:pPr>
          <w:hyperlink w:anchor="_Toc235974339" w:history="1">
            <w:r w:rsidRPr="00B24C6E">
              <w:rPr>
                <w:rStyle w:val="Hyperlink"/>
                <w:rFonts w:cs="Calibri"/>
                <w:noProof/>
                <w:lang w:val="en-GB"/>
              </w:rPr>
              <w:t>6. Timeframe</w:t>
            </w:r>
            <w:r>
              <w:rPr>
                <w:noProof/>
                <w:webHidden/>
              </w:rPr>
              <w:tab/>
            </w:r>
            <w:r>
              <w:rPr>
                <w:noProof/>
                <w:webHidden/>
              </w:rPr>
              <w:fldChar w:fldCharType="begin"/>
            </w:r>
            <w:r>
              <w:rPr>
                <w:noProof/>
                <w:webHidden/>
              </w:rPr>
              <w:instrText xml:space="preserve"> PAGEREF _Toc235974339 \h </w:instrText>
            </w:r>
            <w:r>
              <w:rPr>
                <w:noProof/>
                <w:webHidden/>
              </w:rPr>
            </w:r>
            <w:r>
              <w:rPr>
                <w:noProof/>
                <w:webHidden/>
              </w:rPr>
              <w:fldChar w:fldCharType="separate"/>
            </w:r>
            <w:r>
              <w:rPr>
                <w:noProof/>
                <w:webHidden/>
              </w:rPr>
              <w:t>14</w:t>
            </w:r>
            <w:r>
              <w:rPr>
                <w:noProof/>
                <w:webHidden/>
              </w:rPr>
              <w:fldChar w:fldCharType="end"/>
            </w:r>
          </w:hyperlink>
        </w:p>
        <w:p w14:paraId="74C2C8FD" w14:textId="452872CE" w:rsidR="006262B7" w:rsidRDefault="006262B7">
          <w:pPr>
            <w:pStyle w:val="TOC1"/>
            <w:tabs>
              <w:tab w:val="right" w:leader="dot" w:pos="9350"/>
            </w:tabs>
            <w:rPr>
              <w:rFonts w:asciiTheme="minorHAnsi" w:eastAsiaTheme="minorEastAsia" w:hAnsiTheme="minorHAnsi" w:cstheme="minorBidi"/>
              <w:noProof/>
              <w:kern w:val="2"/>
              <w:szCs w:val="24"/>
              <w:lang w:val="en-IN" w:eastAsia="zh-CN"/>
              <w14:ligatures w14:val="standardContextual"/>
            </w:rPr>
          </w:pPr>
          <w:hyperlink w:anchor="_Toc235974340" w:history="1">
            <w:r w:rsidRPr="00B24C6E">
              <w:rPr>
                <w:rStyle w:val="Hyperlink"/>
                <w:rFonts w:cs="Calibri"/>
                <w:noProof/>
                <w:lang w:val="en-GB"/>
              </w:rPr>
              <w:t>7. Conclusion</w:t>
            </w:r>
            <w:r>
              <w:rPr>
                <w:noProof/>
                <w:webHidden/>
              </w:rPr>
              <w:tab/>
            </w:r>
            <w:r>
              <w:rPr>
                <w:noProof/>
                <w:webHidden/>
              </w:rPr>
              <w:fldChar w:fldCharType="begin"/>
            </w:r>
            <w:r>
              <w:rPr>
                <w:noProof/>
                <w:webHidden/>
              </w:rPr>
              <w:instrText xml:space="preserve"> PAGEREF _Toc235974340 \h </w:instrText>
            </w:r>
            <w:r>
              <w:rPr>
                <w:noProof/>
                <w:webHidden/>
              </w:rPr>
            </w:r>
            <w:r>
              <w:rPr>
                <w:noProof/>
                <w:webHidden/>
              </w:rPr>
              <w:fldChar w:fldCharType="separate"/>
            </w:r>
            <w:r>
              <w:rPr>
                <w:noProof/>
                <w:webHidden/>
              </w:rPr>
              <w:t>15</w:t>
            </w:r>
            <w:r>
              <w:rPr>
                <w:noProof/>
                <w:webHidden/>
              </w:rPr>
              <w:fldChar w:fldCharType="end"/>
            </w:r>
          </w:hyperlink>
        </w:p>
        <w:p w14:paraId="6FA58F0A" w14:textId="2F580C1B" w:rsidR="006262B7" w:rsidRDefault="006262B7">
          <w:pPr>
            <w:pStyle w:val="TOC1"/>
            <w:tabs>
              <w:tab w:val="right" w:leader="dot" w:pos="9350"/>
            </w:tabs>
            <w:rPr>
              <w:rFonts w:asciiTheme="minorHAnsi" w:eastAsiaTheme="minorEastAsia" w:hAnsiTheme="minorHAnsi" w:cstheme="minorBidi"/>
              <w:noProof/>
              <w:kern w:val="2"/>
              <w:szCs w:val="24"/>
              <w:lang w:val="en-IN" w:eastAsia="zh-CN"/>
              <w14:ligatures w14:val="standardContextual"/>
            </w:rPr>
          </w:pPr>
          <w:hyperlink w:anchor="_Toc235974341" w:history="1">
            <w:r w:rsidRPr="00B24C6E">
              <w:rPr>
                <w:rStyle w:val="Hyperlink"/>
                <w:rFonts w:cs="Calibri"/>
                <w:noProof/>
                <w:lang w:val="en-GB"/>
              </w:rPr>
              <w:t>8. References</w:t>
            </w:r>
            <w:r>
              <w:rPr>
                <w:noProof/>
                <w:webHidden/>
              </w:rPr>
              <w:tab/>
            </w:r>
            <w:r>
              <w:rPr>
                <w:noProof/>
                <w:webHidden/>
              </w:rPr>
              <w:fldChar w:fldCharType="begin"/>
            </w:r>
            <w:r>
              <w:rPr>
                <w:noProof/>
                <w:webHidden/>
              </w:rPr>
              <w:instrText xml:space="preserve"> PAGEREF _Toc235974341 \h </w:instrText>
            </w:r>
            <w:r>
              <w:rPr>
                <w:noProof/>
                <w:webHidden/>
              </w:rPr>
            </w:r>
            <w:r>
              <w:rPr>
                <w:noProof/>
                <w:webHidden/>
              </w:rPr>
              <w:fldChar w:fldCharType="separate"/>
            </w:r>
            <w:r>
              <w:rPr>
                <w:noProof/>
                <w:webHidden/>
              </w:rPr>
              <w:t>16</w:t>
            </w:r>
            <w:r>
              <w:rPr>
                <w:noProof/>
                <w:webHidden/>
              </w:rPr>
              <w:fldChar w:fldCharType="end"/>
            </w:r>
          </w:hyperlink>
        </w:p>
        <w:p w14:paraId="08C51B7E" w14:textId="3D6D59A9" w:rsidR="001E38FF" w:rsidRPr="00711A17" w:rsidRDefault="001E38FF" w:rsidP="001E38FF">
          <w:pPr>
            <w:rPr>
              <w:rFonts w:cs="Calibri"/>
              <w:lang w:val="en-GB"/>
            </w:rPr>
          </w:pPr>
          <w:r w:rsidRPr="00711A17">
            <w:rPr>
              <w:rFonts w:cs="Calibri"/>
              <w:b/>
              <w:bCs/>
              <w:noProof/>
              <w:szCs w:val="24"/>
              <w:lang w:val="en-GB"/>
            </w:rPr>
            <w:fldChar w:fldCharType="end"/>
          </w:r>
        </w:p>
      </w:sdtContent>
    </w:sdt>
    <w:p w14:paraId="1FFF7D9A" w14:textId="3DEB86F6" w:rsidR="00E64A65" w:rsidRPr="00711A17" w:rsidRDefault="00227775" w:rsidP="001E38FF">
      <w:pPr>
        <w:shd w:val="clear" w:color="auto" w:fill="FFFFFF"/>
        <w:jc w:val="center"/>
        <w:rPr>
          <w:rFonts w:eastAsia="Times New Roman" w:cs="Calibri"/>
          <w:b/>
          <w:bCs/>
          <w:sz w:val="32"/>
          <w:szCs w:val="32"/>
          <w:lang w:val="en-GB"/>
        </w:rPr>
      </w:pPr>
      <w:r w:rsidRPr="00711A17">
        <w:rPr>
          <w:rFonts w:cs="Calibri"/>
          <w:lang w:val="en-GB"/>
        </w:rPr>
        <w:br w:type="page"/>
      </w:r>
    </w:p>
    <w:p w14:paraId="414BD502" w14:textId="3DEB86F6" w:rsidR="00E64A65" w:rsidRPr="00711A17" w:rsidRDefault="00227775">
      <w:pPr>
        <w:pStyle w:val="Heading1"/>
        <w:rPr>
          <w:rFonts w:cs="Calibri"/>
          <w:lang w:val="en-GB"/>
        </w:rPr>
      </w:pPr>
      <w:bookmarkStart w:id="0" w:name="_f8ahlg7neii5" w:colFirst="0" w:colLast="0"/>
      <w:bookmarkStart w:id="1" w:name="_Toc235974317"/>
      <w:bookmarkEnd w:id="0"/>
      <w:r w:rsidRPr="00711A17">
        <w:rPr>
          <w:rFonts w:cs="Calibri"/>
          <w:lang w:val="en-GB"/>
        </w:rPr>
        <w:t>1. Introduction</w:t>
      </w:r>
      <w:bookmarkEnd w:id="1"/>
    </w:p>
    <w:p w14:paraId="15379428" w14:textId="77777777" w:rsidR="00E64A65" w:rsidRPr="00711A17" w:rsidRDefault="00227775">
      <w:pPr>
        <w:pStyle w:val="Heading2"/>
        <w:rPr>
          <w:rFonts w:cs="Calibri"/>
          <w:lang w:val="en-GB"/>
        </w:rPr>
      </w:pPr>
      <w:bookmarkStart w:id="2" w:name="_ekm81gkl539u" w:colFirst="0" w:colLast="0"/>
      <w:bookmarkStart w:id="3" w:name="_Toc235974318"/>
      <w:bookmarkEnd w:id="2"/>
      <w:r w:rsidRPr="00711A17">
        <w:rPr>
          <w:rFonts w:cs="Calibri"/>
          <w:lang w:val="en-GB"/>
        </w:rPr>
        <w:t>1.1 Business Background and Market Context</w:t>
      </w:r>
      <w:bookmarkEnd w:id="3"/>
    </w:p>
    <w:p w14:paraId="103B81A0" w14:textId="77777777" w:rsidR="00E64A65" w:rsidRPr="00711A17" w:rsidRDefault="00227775">
      <w:pPr>
        <w:rPr>
          <w:rFonts w:eastAsia="Times New Roman" w:cs="Calibri"/>
          <w:szCs w:val="24"/>
          <w:lang w:val="en-GB"/>
        </w:rPr>
      </w:pPr>
      <w:r w:rsidRPr="00711A17">
        <w:rPr>
          <w:rFonts w:eastAsia="Times New Roman" w:cs="Calibri"/>
          <w:szCs w:val="24"/>
          <w:lang w:val="en-GB"/>
        </w:rPr>
        <w:t xml:space="preserve">The significant transformation experienced by the UK’s food sector due to developments in lifestyle, consciousness toward health and digital transformations among consumers (Coman </w:t>
      </w:r>
      <w:r w:rsidRPr="00711A17">
        <w:rPr>
          <w:rFonts w:eastAsia="Times New Roman" w:cs="Calibri"/>
          <w:i/>
          <w:iCs/>
          <w:szCs w:val="24"/>
          <w:lang w:val="en-GB"/>
        </w:rPr>
        <w:t xml:space="preserve">et al. </w:t>
      </w:r>
      <w:r w:rsidRPr="00711A17">
        <w:rPr>
          <w:rFonts w:eastAsia="Times New Roman" w:cs="Calibri"/>
          <w:szCs w:val="24"/>
          <w:lang w:val="en-GB"/>
        </w:rPr>
        <w:t>2025). Work stress, extended commuting hours, and the use of a hybrid model of working have led to a reduction in the amount of time spent on preparing meals at home, and this is why there is a need for healthy and convenient foods. According to ONS (2025), the number of individuals employed in the UK was 33.9 million, out of which quite a number were full-time workers in cities where time influences food purchasing decisions.</w:t>
      </w:r>
    </w:p>
    <w:p w14:paraId="55E8885A" w14:textId="68610EDF" w:rsidR="00E64A65" w:rsidRPr="00711A17" w:rsidRDefault="00227775">
      <w:pPr>
        <w:rPr>
          <w:rFonts w:eastAsia="Times New Roman" w:cs="Calibri"/>
          <w:szCs w:val="24"/>
          <w:lang w:val="en-GB"/>
        </w:rPr>
      </w:pPr>
      <w:r w:rsidRPr="00711A17">
        <w:rPr>
          <w:rFonts w:eastAsia="Times New Roman" w:cs="Calibri"/>
          <w:szCs w:val="24"/>
          <w:lang w:val="en-GB"/>
        </w:rPr>
        <w:t>The UK online food delivery industry is on a continuous rise due to the increasing use of smartphones, digital payments, and shifts in consumer behaviour toward convenience. The market size of the UK online food delivery industry will exceed US$1.5 billion by 2034, which signifies substantial business opportunities for digitally-powered food companies (</w:t>
      </w:r>
      <w:r w:rsidR="00A44796">
        <w:rPr>
          <w:rFonts w:eastAsia="Times New Roman" w:cs="Calibri"/>
          <w:szCs w:val="24"/>
          <w:lang w:val="en-GB"/>
        </w:rPr>
        <w:t>I</w:t>
      </w:r>
      <w:r w:rsidRPr="00711A17">
        <w:rPr>
          <w:rFonts w:eastAsia="Times New Roman" w:cs="Calibri"/>
          <w:szCs w:val="24"/>
          <w:lang w:val="en-GB"/>
        </w:rPr>
        <w:t>marcgroup, 2025). The success of companies like Mindful Chef, Gousto, and HelloFresh UK shows that consumers are increasingly embracing the idea of subscription services offering healthy meals along with convenience.</w:t>
      </w:r>
    </w:p>
    <w:p w14:paraId="54C3CB7F" w14:textId="77777777" w:rsidR="00E64A65" w:rsidRPr="00711A17" w:rsidRDefault="00227775">
      <w:pPr>
        <w:jc w:val="center"/>
        <w:rPr>
          <w:rFonts w:eastAsia="Times New Roman" w:cs="Calibri"/>
          <w:szCs w:val="24"/>
          <w:lang w:val="en-GB"/>
        </w:rPr>
      </w:pPr>
      <w:r w:rsidRPr="00711A17">
        <w:rPr>
          <w:rFonts w:eastAsia="Times New Roman" w:cs="Calibri"/>
          <w:noProof/>
          <w:szCs w:val="24"/>
          <w:lang w:val="en-IN"/>
        </w:rPr>
        <w:drawing>
          <wp:inline distT="114300" distB="114300" distL="114300" distR="114300" wp14:anchorId="2F5126F0" wp14:editId="574FA073">
            <wp:extent cx="3738563" cy="2222767"/>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738563" cy="2222767"/>
                    </a:xfrm>
                    <a:prstGeom prst="rect">
                      <a:avLst/>
                    </a:prstGeom>
                    <a:ln w="25400">
                      <a:solidFill>
                        <a:srgbClr val="000000"/>
                      </a:solidFill>
                      <a:prstDash val="solid"/>
                    </a:ln>
                  </pic:spPr>
                </pic:pic>
              </a:graphicData>
            </a:graphic>
          </wp:inline>
        </w:drawing>
      </w:r>
    </w:p>
    <w:p w14:paraId="7662A911" w14:textId="77777777" w:rsidR="00E64A65" w:rsidRPr="00711A17" w:rsidRDefault="00227775">
      <w:pPr>
        <w:jc w:val="center"/>
        <w:rPr>
          <w:rFonts w:eastAsia="Times New Roman" w:cs="Calibri"/>
          <w:b/>
          <w:bCs/>
          <w:szCs w:val="24"/>
          <w:lang w:val="en-GB"/>
        </w:rPr>
      </w:pPr>
      <w:r w:rsidRPr="00711A17">
        <w:rPr>
          <w:rFonts w:eastAsia="Times New Roman" w:cs="Calibri"/>
          <w:b/>
          <w:bCs/>
          <w:szCs w:val="24"/>
          <w:lang w:val="en-GB"/>
        </w:rPr>
        <w:t xml:space="preserve">Figure 1: UK food delivery market </w:t>
      </w:r>
    </w:p>
    <w:p w14:paraId="41FCDA86" w14:textId="6810FE2F" w:rsidR="00E64A65" w:rsidRPr="00711A17" w:rsidRDefault="00227775">
      <w:pPr>
        <w:jc w:val="center"/>
        <w:rPr>
          <w:rFonts w:eastAsia="Times New Roman" w:cs="Calibri"/>
          <w:szCs w:val="24"/>
          <w:lang w:val="en-GB"/>
        </w:rPr>
      </w:pPr>
      <w:r w:rsidRPr="00711A17">
        <w:rPr>
          <w:rFonts w:eastAsia="Times New Roman" w:cs="Calibri"/>
          <w:szCs w:val="24"/>
          <w:lang w:val="en-GB"/>
        </w:rPr>
        <w:t xml:space="preserve">(Source: </w:t>
      </w:r>
      <w:r w:rsidR="00A44796">
        <w:rPr>
          <w:rFonts w:eastAsia="Times New Roman" w:cs="Calibri"/>
          <w:szCs w:val="24"/>
          <w:lang w:val="en-GB"/>
        </w:rPr>
        <w:t>I</w:t>
      </w:r>
      <w:r w:rsidRPr="00711A17">
        <w:rPr>
          <w:rFonts w:eastAsia="Times New Roman" w:cs="Calibri"/>
          <w:szCs w:val="24"/>
          <w:lang w:val="en-GB"/>
        </w:rPr>
        <w:t>marcgroup, 2025)</w:t>
      </w:r>
    </w:p>
    <w:p w14:paraId="1C582F82" w14:textId="77777777" w:rsidR="00E64A65" w:rsidRPr="00711A17" w:rsidRDefault="00227775">
      <w:pPr>
        <w:rPr>
          <w:rFonts w:eastAsia="Times New Roman" w:cs="Calibri"/>
          <w:szCs w:val="24"/>
          <w:lang w:val="en-GB"/>
        </w:rPr>
      </w:pPr>
      <w:r w:rsidRPr="00711A17">
        <w:rPr>
          <w:rFonts w:eastAsia="Times New Roman" w:cs="Calibri"/>
          <w:szCs w:val="24"/>
          <w:lang w:val="en-GB"/>
        </w:rPr>
        <w:t>In this context, the suggested NutriBox enterprise aims to take advantage of the increased need for convenient, nutritious, and customised meal subscription services among busy professionals who need convenient food choices without compromising on nutrition. In light of this, the existing market conditions provide ideal conditions to examine the viability of NutriBox as an entrepreneurial venture in the UK healthy meal subscription market.</w:t>
      </w:r>
    </w:p>
    <w:p w14:paraId="7E23461F" w14:textId="77777777" w:rsidR="00E64A65" w:rsidRPr="00711A17" w:rsidRDefault="00227775">
      <w:pPr>
        <w:pStyle w:val="Heading2"/>
        <w:rPr>
          <w:rFonts w:cs="Calibri"/>
          <w:lang w:val="en-GB"/>
        </w:rPr>
      </w:pPr>
      <w:bookmarkStart w:id="4" w:name="_dixppix3ici1" w:colFirst="0" w:colLast="0"/>
      <w:bookmarkStart w:id="5" w:name="_Toc235974319"/>
      <w:bookmarkEnd w:id="4"/>
      <w:r w:rsidRPr="00711A17">
        <w:rPr>
          <w:rFonts w:cs="Calibri"/>
          <w:lang w:val="en-GB"/>
        </w:rPr>
        <w:t>1.2 Business Opportunity and Problem Statement</w:t>
      </w:r>
      <w:bookmarkEnd w:id="5"/>
    </w:p>
    <w:p w14:paraId="2A46006F" w14:textId="77777777" w:rsidR="00E64A65" w:rsidRPr="00711A17" w:rsidRDefault="00227775">
      <w:pPr>
        <w:rPr>
          <w:rFonts w:eastAsia="Times New Roman" w:cs="Calibri"/>
          <w:szCs w:val="24"/>
          <w:lang w:val="en-GB"/>
        </w:rPr>
      </w:pPr>
      <w:r w:rsidRPr="00711A17">
        <w:rPr>
          <w:rFonts w:eastAsia="Times New Roman" w:cs="Calibri"/>
          <w:szCs w:val="24"/>
          <w:lang w:val="en-GB"/>
        </w:rPr>
        <w:t>NutriBox Healthy Meal Subscription is being introduced as a business development proposal for UK professionals. This business will offer fresh and well-balanced meals with various subscription plans, including weeklies and monthlies, with customised options for healthy meals based on dietary plans, including high protein, vegan, vegetarian, keto, gluten-free, and diabetic options.</w:t>
      </w:r>
    </w:p>
    <w:p w14:paraId="5A8B6ED3" w14:textId="3286A99D" w:rsidR="00E64A65" w:rsidRPr="00711A17" w:rsidRDefault="00227775">
      <w:pPr>
        <w:rPr>
          <w:rFonts w:eastAsia="Times New Roman" w:cs="Calibri"/>
          <w:szCs w:val="24"/>
          <w:lang w:val="en-GB"/>
        </w:rPr>
      </w:pPr>
      <w:r w:rsidRPr="002E0D74">
        <w:rPr>
          <w:rFonts w:eastAsia="Times New Roman" w:cs="Calibri"/>
          <w:szCs w:val="24"/>
          <w:lang w:val="en-GB"/>
        </w:rPr>
        <w:t>The decision to establish NutriBox is driven by an obvious business opportunity</w:t>
      </w:r>
      <w:r w:rsidR="00181ACA" w:rsidRPr="002E0D74">
        <w:rPr>
          <w:rFonts w:eastAsia="Times New Roman" w:cs="Calibri"/>
          <w:szCs w:val="24"/>
          <w:lang w:val="en-GB"/>
        </w:rPr>
        <w:t>.</w:t>
      </w:r>
      <w:r w:rsidR="000952A4" w:rsidRPr="002E0D74">
        <w:rPr>
          <w:rFonts w:eastAsia="Times New Roman" w:cs="Calibri"/>
          <w:szCs w:val="24"/>
          <w:lang w:val="en-GB"/>
        </w:rPr>
        <w:t xml:space="preserve"> </w:t>
      </w:r>
      <w:r w:rsidR="00181ACA" w:rsidRPr="002E0D74">
        <w:rPr>
          <w:rFonts w:eastAsia="Times New Roman" w:cs="Calibri"/>
          <w:szCs w:val="24"/>
          <w:lang w:val="en-IN"/>
        </w:rPr>
        <w:t>The decision to establish NutriBox is driven by the growing demand for convenient and healthy meal subscription services among busy UK professionals, supported by the projected growth of the UK online food delivery market to over US$21.5 billion by 2034 (</w:t>
      </w:r>
      <w:r w:rsidR="00181ACA" w:rsidRPr="002E0D74">
        <w:rPr>
          <w:rFonts w:eastAsia="Times New Roman" w:cs="Calibri"/>
          <w:szCs w:val="24"/>
          <w:lang w:val="en-GB"/>
        </w:rPr>
        <w:t>Imarcgroup</w:t>
      </w:r>
      <w:r w:rsidR="00181ACA" w:rsidRPr="002E0D74">
        <w:rPr>
          <w:rFonts w:eastAsia="Times New Roman" w:cs="Calibri"/>
          <w:szCs w:val="24"/>
          <w:lang w:val="en-IN"/>
        </w:rPr>
        <w:t>, 2025)</w:t>
      </w:r>
      <w:r w:rsidRPr="002E0D74">
        <w:rPr>
          <w:rFonts w:eastAsia="Times New Roman" w:cs="Calibri"/>
          <w:szCs w:val="24"/>
          <w:lang w:val="en-GB"/>
        </w:rPr>
        <w:t xml:space="preserve">. </w:t>
      </w:r>
      <w:r w:rsidRPr="00181ACA">
        <w:rPr>
          <w:rFonts w:eastAsia="Times New Roman" w:cs="Calibri"/>
          <w:color w:val="000000" w:themeColor="text1"/>
          <w:szCs w:val="24"/>
          <w:lang w:val="en-GB"/>
        </w:rPr>
        <w:t xml:space="preserve">Although </w:t>
      </w:r>
      <w:r w:rsidRPr="00711A17">
        <w:rPr>
          <w:rFonts w:eastAsia="Times New Roman" w:cs="Calibri"/>
          <w:szCs w:val="24"/>
          <w:lang w:val="en-GB"/>
        </w:rPr>
        <w:t>many professionals understand the importance of healthy eating, their hectic schedules, lack of time to cook, and tendency to resort to takeaway meals make it impossible for them to eat healthy. Most of the current food delivery companies concentrate on convenience, while the current healthy meal services tend to be too costly or too rigid. Thus, the need for a convenient, personalised, healthy and affordable meal subscription service is obvious.</w:t>
      </w:r>
    </w:p>
    <w:p w14:paraId="32277FF3" w14:textId="77777777" w:rsidR="00E64A65" w:rsidRPr="00711A17" w:rsidRDefault="00227775">
      <w:pPr>
        <w:rPr>
          <w:rFonts w:eastAsia="Times New Roman" w:cs="Calibri"/>
          <w:b/>
          <w:bCs/>
          <w:i/>
          <w:iCs/>
          <w:szCs w:val="24"/>
          <w:lang w:val="en-GB"/>
        </w:rPr>
      </w:pPr>
      <w:r w:rsidRPr="00711A17">
        <w:rPr>
          <w:rFonts w:eastAsia="Times New Roman" w:cs="Calibri"/>
          <w:b/>
          <w:bCs/>
          <w:i/>
          <w:iCs/>
          <w:szCs w:val="24"/>
          <w:lang w:val="en-GB"/>
        </w:rPr>
        <w:t>Rationale for Selecting NutriBox</w:t>
      </w:r>
    </w:p>
    <w:p w14:paraId="30646B50" w14:textId="6351A4D5" w:rsidR="00E64A65" w:rsidRPr="003E6DDC" w:rsidRDefault="00227775">
      <w:pPr>
        <w:rPr>
          <w:rFonts w:eastAsia="Times New Roman" w:cs="Calibri"/>
          <w:color w:val="FF0000"/>
          <w:szCs w:val="24"/>
          <w:lang w:val="en-IN"/>
        </w:rPr>
      </w:pPr>
      <w:r w:rsidRPr="00711A17">
        <w:rPr>
          <w:rFonts w:eastAsia="Times New Roman" w:cs="Calibri"/>
          <w:szCs w:val="24"/>
          <w:lang w:val="en-GB"/>
        </w:rPr>
        <w:t xml:space="preserve">The NutriBox idea has been chosen since it is a commercial idea which takes advantage of the increasing commercial opportunities in the healthy meal subscription market in the United Kingdom. </w:t>
      </w:r>
      <w:r w:rsidR="003E6DDC" w:rsidRPr="002E0D74">
        <w:rPr>
          <w:rFonts w:eastAsia="Times New Roman" w:cs="Calibri"/>
          <w:szCs w:val="24"/>
          <w:lang w:val="en-IN"/>
        </w:rPr>
        <w:t>According to the Office for National Statistics (ONS, 2025), the UK employed approximately 33.9 million people, indicating a large population of full-time professionals with limited time for meal preparation, thereby increasing demand for convenient healthy meal services.</w:t>
      </w:r>
      <w:r w:rsidR="000952A4" w:rsidRPr="009301D2">
        <w:rPr>
          <w:rFonts w:eastAsia="Times New Roman" w:cs="Calibri"/>
          <w:color w:val="C00000"/>
          <w:szCs w:val="24"/>
          <w:lang w:val="en-GB"/>
        </w:rPr>
        <w:t xml:space="preserve"> </w:t>
      </w:r>
      <w:r w:rsidRPr="00711A17">
        <w:rPr>
          <w:rFonts w:eastAsia="Times New Roman" w:cs="Calibri"/>
          <w:szCs w:val="24"/>
          <w:lang w:val="en-GB"/>
        </w:rPr>
        <w:t>Rising awareness of health issues, people's professional lives, and the increase in online food delivery services are creating strong demand for healthy meals.</w:t>
      </w:r>
    </w:p>
    <w:p w14:paraId="1775B455" w14:textId="77777777" w:rsidR="00E64A65" w:rsidRPr="00711A17" w:rsidRDefault="00227775">
      <w:pPr>
        <w:pStyle w:val="Heading2"/>
        <w:rPr>
          <w:rFonts w:cs="Calibri"/>
          <w:lang w:val="en-GB"/>
        </w:rPr>
      </w:pPr>
      <w:bookmarkStart w:id="6" w:name="_f2g5aquzgjwv" w:colFirst="0" w:colLast="0"/>
      <w:bookmarkStart w:id="7" w:name="_Toc235974320"/>
      <w:bookmarkEnd w:id="6"/>
      <w:r w:rsidRPr="00711A17">
        <w:rPr>
          <w:rFonts w:cs="Calibri"/>
          <w:lang w:val="en-GB"/>
        </w:rPr>
        <w:t>1.3 Market Focus</w:t>
      </w:r>
      <w:bookmarkEnd w:id="7"/>
    </w:p>
    <w:p w14:paraId="1993D34F" w14:textId="77777777" w:rsidR="00E64A65" w:rsidRPr="00711A17" w:rsidRDefault="00227775">
      <w:pPr>
        <w:rPr>
          <w:rFonts w:eastAsia="Times New Roman" w:cs="Calibri"/>
          <w:szCs w:val="24"/>
          <w:lang w:val="en-GB"/>
        </w:rPr>
      </w:pPr>
      <w:r w:rsidRPr="00711A17">
        <w:rPr>
          <w:rFonts w:eastAsia="Times New Roman" w:cs="Calibri"/>
          <w:szCs w:val="24"/>
          <w:lang w:val="en-GB"/>
        </w:rPr>
        <w:t>NutriBox will compete in the UK healthy ready meals subscription market by focusing on customers aged 25 to 45 years and living in big cities like London, Manchester, Birmingham, Leeds, and Glasgow. This market segment comprises many full-time professionals who suffer from time limitations. Therefore, this is an ideal customer segment for the business since the products will cater to their needs. The business will position itself through nutrition, flexibility of subscriptions, online ordering, and environmental sustainability of the packaging.</w:t>
      </w:r>
    </w:p>
    <w:p w14:paraId="571E3A8A" w14:textId="77777777" w:rsidR="00E64A65" w:rsidRPr="00711A17" w:rsidRDefault="00227775">
      <w:pPr>
        <w:pStyle w:val="Heading2"/>
        <w:rPr>
          <w:rFonts w:cs="Calibri"/>
          <w:lang w:val="en-GB"/>
        </w:rPr>
      </w:pPr>
      <w:bookmarkStart w:id="8" w:name="_k4k7e6ev3byq" w:colFirst="0" w:colLast="0"/>
      <w:bookmarkStart w:id="9" w:name="_Toc235974321"/>
      <w:bookmarkEnd w:id="8"/>
      <w:r w:rsidRPr="00711A17">
        <w:rPr>
          <w:rFonts w:cs="Calibri"/>
          <w:lang w:val="en-GB"/>
        </w:rPr>
        <w:t>1.4 Aim, Objectives and Research Questions</w:t>
      </w:r>
      <w:bookmarkEnd w:id="9"/>
    </w:p>
    <w:p w14:paraId="3DB8ACDB" w14:textId="77777777" w:rsidR="00E64A65" w:rsidRPr="00711A17" w:rsidRDefault="00227775">
      <w:pPr>
        <w:rPr>
          <w:rFonts w:eastAsia="Times New Roman" w:cs="Calibri"/>
          <w:szCs w:val="24"/>
          <w:lang w:val="en-GB"/>
        </w:rPr>
      </w:pPr>
      <w:r w:rsidRPr="00711A17">
        <w:rPr>
          <w:rFonts w:eastAsia="Times New Roman" w:cs="Calibri"/>
          <w:szCs w:val="24"/>
          <w:lang w:val="en-GB"/>
        </w:rPr>
        <w:t>This research aims to evaluate the commercial feasibility of establishing NutriBox as a healthy meal subscription service for busy professionals in the United Kingdom.</w:t>
      </w:r>
    </w:p>
    <w:p w14:paraId="70CC1689" w14:textId="77777777" w:rsidR="00E64A65" w:rsidRPr="00711A17" w:rsidRDefault="00227775">
      <w:pPr>
        <w:rPr>
          <w:rFonts w:eastAsia="Times New Roman" w:cs="Calibri"/>
          <w:b/>
          <w:bCs/>
          <w:szCs w:val="24"/>
          <w:lang w:val="en-GB"/>
        </w:rPr>
      </w:pPr>
      <w:r w:rsidRPr="00711A17">
        <w:rPr>
          <w:rFonts w:eastAsia="Times New Roman" w:cs="Calibri"/>
          <w:b/>
          <w:bCs/>
          <w:szCs w:val="24"/>
          <w:lang w:val="en-GB"/>
        </w:rPr>
        <w:t xml:space="preserve"> Objectives </w:t>
      </w:r>
    </w:p>
    <w:p w14:paraId="608982D3" w14:textId="77777777" w:rsidR="00E64A65" w:rsidRPr="00711A17" w:rsidRDefault="00227775">
      <w:pPr>
        <w:numPr>
          <w:ilvl w:val="0"/>
          <w:numId w:val="1"/>
        </w:numPr>
        <w:rPr>
          <w:rFonts w:eastAsia="Times New Roman" w:cs="Calibri"/>
          <w:szCs w:val="24"/>
          <w:lang w:val="en-GB"/>
        </w:rPr>
      </w:pPr>
      <w:r w:rsidRPr="00711A17">
        <w:rPr>
          <w:rFonts w:eastAsia="Times New Roman" w:cs="Calibri"/>
          <w:szCs w:val="24"/>
          <w:lang w:val="en-GB"/>
        </w:rPr>
        <w:t xml:space="preserve">To analyse the UK healthy meal subscription market, including market trends, customer behaviour, and growth opportunities. </w:t>
      </w:r>
    </w:p>
    <w:p w14:paraId="166CB8A3" w14:textId="77777777" w:rsidR="00E64A65" w:rsidRPr="00711A17" w:rsidRDefault="00227775">
      <w:pPr>
        <w:numPr>
          <w:ilvl w:val="0"/>
          <w:numId w:val="1"/>
        </w:numPr>
        <w:rPr>
          <w:rFonts w:eastAsia="Times New Roman" w:cs="Calibri"/>
          <w:szCs w:val="24"/>
          <w:lang w:val="en-GB"/>
        </w:rPr>
      </w:pPr>
      <w:r w:rsidRPr="00711A17">
        <w:rPr>
          <w:rFonts w:eastAsia="Times New Roman" w:cs="Calibri"/>
          <w:szCs w:val="24"/>
          <w:lang w:val="en-GB"/>
        </w:rPr>
        <w:t xml:space="preserve">To identify the requirements and preferences of busy professionals related to healthy meal consumption and subscription services. </w:t>
      </w:r>
    </w:p>
    <w:p w14:paraId="63F412D7" w14:textId="77777777" w:rsidR="00E64A65" w:rsidRPr="00711A17" w:rsidRDefault="00227775">
      <w:pPr>
        <w:numPr>
          <w:ilvl w:val="0"/>
          <w:numId w:val="1"/>
        </w:numPr>
        <w:rPr>
          <w:rFonts w:eastAsia="Times New Roman" w:cs="Calibri"/>
          <w:szCs w:val="24"/>
          <w:lang w:val="en-GB"/>
        </w:rPr>
      </w:pPr>
      <w:r w:rsidRPr="00711A17">
        <w:rPr>
          <w:rFonts w:eastAsia="Times New Roman" w:cs="Calibri"/>
          <w:szCs w:val="24"/>
          <w:lang w:val="en-GB"/>
        </w:rPr>
        <w:t>To assess the business environment, both external and competitive, using proper strategic tools.</w:t>
      </w:r>
    </w:p>
    <w:p w14:paraId="2583A2D7" w14:textId="77777777" w:rsidR="00E64A65" w:rsidRPr="00711A17" w:rsidRDefault="00227775">
      <w:pPr>
        <w:numPr>
          <w:ilvl w:val="0"/>
          <w:numId w:val="1"/>
        </w:numPr>
        <w:rPr>
          <w:rFonts w:eastAsia="Times New Roman" w:cs="Calibri"/>
          <w:szCs w:val="24"/>
          <w:lang w:val="en-GB"/>
        </w:rPr>
      </w:pPr>
      <w:r w:rsidRPr="00711A17">
        <w:rPr>
          <w:rFonts w:eastAsia="Times New Roman" w:cs="Calibri"/>
          <w:szCs w:val="24"/>
          <w:lang w:val="en-GB"/>
        </w:rPr>
        <w:t>To create a commercially feasible business model and value proposition for NutriBox.</w:t>
      </w:r>
    </w:p>
    <w:p w14:paraId="460AD8B0" w14:textId="77777777" w:rsidR="00E64A65" w:rsidRPr="00711A17" w:rsidRDefault="00227775">
      <w:pPr>
        <w:numPr>
          <w:ilvl w:val="0"/>
          <w:numId w:val="1"/>
        </w:numPr>
        <w:rPr>
          <w:rFonts w:eastAsia="Times New Roman" w:cs="Calibri"/>
          <w:szCs w:val="24"/>
          <w:lang w:val="en-GB"/>
        </w:rPr>
      </w:pPr>
      <w:r w:rsidRPr="00711A17">
        <w:rPr>
          <w:rFonts w:eastAsia="Times New Roman" w:cs="Calibri"/>
          <w:szCs w:val="24"/>
          <w:lang w:val="en-GB"/>
        </w:rPr>
        <w:t>To determine the viability of the business through analysis of the revenue models, costs, resources, risks, and implementation strategy.</w:t>
      </w:r>
    </w:p>
    <w:p w14:paraId="2927B5D3" w14:textId="77777777" w:rsidR="00E64A65" w:rsidRPr="00711A17" w:rsidRDefault="00227775">
      <w:pPr>
        <w:pStyle w:val="Heading2"/>
        <w:rPr>
          <w:rFonts w:cs="Calibri"/>
          <w:lang w:val="en-GB"/>
        </w:rPr>
      </w:pPr>
      <w:bookmarkStart w:id="10" w:name="_wdjg36xyhyeq" w:colFirst="0" w:colLast="0"/>
      <w:bookmarkStart w:id="11" w:name="_Toc235974322"/>
      <w:bookmarkEnd w:id="10"/>
      <w:r w:rsidRPr="00711A17">
        <w:rPr>
          <w:rFonts w:cs="Calibri"/>
          <w:lang w:val="en-GB"/>
        </w:rPr>
        <w:t>1.5 Scope of the Proposal</w:t>
      </w:r>
      <w:bookmarkEnd w:id="11"/>
    </w:p>
    <w:p w14:paraId="737729FA" w14:textId="77777777" w:rsidR="00E64A65" w:rsidRPr="00711A17" w:rsidRDefault="00227775">
      <w:pPr>
        <w:rPr>
          <w:rFonts w:eastAsia="Times New Roman" w:cs="Calibri"/>
          <w:b/>
          <w:bCs/>
          <w:szCs w:val="24"/>
          <w:lang w:val="en-GB"/>
        </w:rPr>
      </w:pPr>
      <w:r w:rsidRPr="00711A17">
        <w:rPr>
          <w:rFonts w:eastAsia="Times New Roman" w:cs="Calibri"/>
          <w:b/>
          <w:bCs/>
          <w:szCs w:val="24"/>
          <w:lang w:val="en-GB"/>
        </w:rPr>
        <w:t>Research Questions</w:t>
      </w:r>
    </w:p>
    <w:p w14:paraId="3D926337" w14:textId="77777777" w:rsidR="00E64A65" w:rsidRPr="00711A17" w:rsidRDefault="00227775">
      <w:pPr>
        <w:rPr>
          <w:rFonts w:eastAsia="Times New Roman" w:cs="Calibri"/>
          <w:szCs w:val="24"/>
          <w:lang w:val="en-GB"/>
        </w:rPr>
      </w:pPr>
      <w:r w:rsidRPr="00711A17">
        <w:rPr>
          <w:rFonts w:eastAsia="Times New Roman" w:cs="Calibri"/>
          <w:szCs w:val="24"/>
          <w:lang w:val="en-GB"/>
        </w:rPr>
        <w:t>RQ1: What market opportunities exist for a healthy meal subscription service targeting busy professionals in the United Kingdom?</w:t>
      </w:r>
    </w:p>
    <w:p w14:paraId="33F51783" w14:textId="77777777" w:rsidR="00E64A65" w:rsidRPr="00711A17" w:rsidRDefault="00227775">
      <w:pPr>
        <w:rPr>
          <w:rFonts w:eastAsia="Times New Roman" w:cs="Calibri"/>
          <w:szCs w:val="24"/>
          <w:lang w:val="en-GB"/>
        </w:rPr>
      </w:pPr>
      <w:r w:rsidRPr="00711A17">
        <w:rPr>
          <w:rFonts w:eastAsia="Times New Roman" w:cs="Calibri"/>
          <w:szCs w:val="24"/>
          <w:lang w:val="en-GB"/>
        </w:rPr>
        <w:t>RQ2: What are the key needs, preferences, and purchasing behaviours of busy professionals regarding healthy meal subscription services?</w:t>
      </w:r>
    </w:p>
    <w:p w14:paraId="5C93D0F5" w14:textId="77777777" w:rsidR="00E64A65" w:rsidRPr="00711A17" w:rsidRDefault="00227775">
      <w:pPr>
        <w:rPr>
          <w:rFonts w:eastAsia="Times New Roman" w:cs="Calibri"/>
          <w:szCs w:val="24"/>
          <w:lang w:val="en-GB"/>
        </w:rPr>
      </w:pPr>
      <w:r w:rsidRPr="00711A17">
        <w:rPr>
          <w:rFonts w:eastAsia="Times New Roman" w:cs="Calibri"/>
          <w:szCs w:val="24"/>
          <w:lang w:val="en-GB"/>
        </w:rPr>
        <w:t>RQ3: How can NutriBox differentiate itself from existing competitors and create a sustainable competitive advantage?</w:t>
      </w:r>
    </w:p>
    <w:p w14:paraId="2DC43513" w14:textId="77777777" w:rsidR="00E64A65" w:rsidRPr="00711A17" w:rsidRDefault="00227775">
      <w:pPr>
        <w:rPr>
          <w:rFonts w:eastAsia="Times New Roman" w:cs="Calibri"/>
          <w:szCs w:val="24"/>
          <w:lang w:val="en-GB"/>
        </w:rPr>
      </w:pPr>
      <w:r w:rsidRPr="00711A17">
        <w:rPr>
          <w:rFonts w:eastAsia="Times New Roman" w:cs="Calibri"/>
          <w:szCs w:val="24"/>
          <w:lang w:val="en-GB"/>
        </w:rPr>
        <w:t>RQ4: Is the proposed healthy meal subscription business operationally and financially feasible for successful implementation in the UK market?</w:t>
      </w:r>
    </w:p>
    <w:p w14:paraId="5B34ED39" w14:textId="77777777" w:rsidR="00E64A65" w:rsidRPr="00711A17" w:rsidRDefault="00227775">
      <w:pPr>
        <w:rPr>
          <w:rFonts w:eastAsia="Times New Roman" w:cs="Calibri"/>
          <w:b/>
          <w:bCs/>
          <w:szCs w:val="24"/>
          <w:lang w:val="en-GB"/>
        </w:rPr>
      </w:pPr>
      <w:r w:rsidRPr="00711A17">
        <w:rPr>
          <w:rFonts w:cs="Calibri"/>
          <w:lang w:val="en-GB"/>
        </w:rPr>
        <w:br w:type="page"/>
      </w:r>
    </w:p>
    <w:p w14:paraId="187D7CF3" w14:textId="77777777" w:rsidR="00E64A65" w:rsidRPr="00711A17" w:rsidRDefault="00227775">
      <w:pPr>
        <w:pStyle w:val="Heading1"/>
        <w:rPr>
          <w:rFonts w:cs="Calibri"/>
          <w:lang w:val="en-GB"/>
        </w:rPr>
      </w:pPr>
      <w:bookmarkStart w:id="12" w:name="_o9am7ex3sirk" w:colFirst="0" w:colLast="0"/>
      <w:bookmarkStart w:id="13" w:name="_Toc235974323"/>
      <w:bookmarkEnd w:id="12"/>
      <w:r w:rsidRPr="00711A17">
        <w:rPr>
          <w:rFonts w:cs="Calibri"/>
          <w:lang w:val="en-GB"/>
        </w:rPr>
        <w:t>2. Literature review</w:t>
      </w:r>
      <w:bookmarkEnd w:id="13"/>
    </w:p>
    <w:p w14:paraId="212F3691" w14:textId="77777777" w:rsidR="00E64A65" w:rsidRPr="00711A17" w:rsidRDefault="00227775">
      <w:pPr>
        <w:pStyle w:val="Heading2"/>
        <w:rPr>
          <w:rFonts w:cs="Calibri"/>
          <w:lang w:val="en-GB"/>
        </w:rPr>
      </w:pPr>
      <w:bookmarkStart w:id="14" w:name="_sykugxs742fv" w:colFirst="0" w:colLast="0"/>
      <w:bookmarkStart w:id="15" w:name="_Toc235974324"/>
      <w:bookmarkEnd w:id="14"/>
      <w:r w:rsidRPr="00711A17">
        <w:rPr>
          <w:rFonts w:cs="Calibri"/>
          <w:lang w:val="en-GB"/>
        </w:rPr>
        <w:t>2.1 Healthy Meal Subscription Services and Consumer Trends</w:t>
      </w:r>
      <w:bookmarkEnd w:id="15"/>
    </w:p>
    <w:p w14:paraId="2B4D2CAC" w14:textId="33254615" w:rsidR="00E64A65" w:rsidRPr="00711A17" w:rsidRDefault="00227775">
      <w:pPr>
        <w:rPr>
          <w:rFonts w:eastAsia="Times New Roman" w:cs="Calibri"/>
          <w:szCs w:val="24"/>
          <w:lang w:val="en-GB"/>
        </w:rPr>
      </w:pPr>
      <w:r w:rsidRPr="00711A17">
        <w:rPr>
          <w:rFonts w:eastAsia="Times New Roman" w:cs="Calibri"/>
          <w:szCs w:val="24"/>
          <w:lang w:val="en-GB"/>
        </w:rPr>
        <w:t xml:space="preserve">According to Kamolsiri (2026), subscription-based healthy meals have been developed as a novel business idea combining the aspects of convenience, good nutrition, and technology to cater to the shifting demands of consumers. Such services deliver either freshly made or prepared meals on a subscription basis, helping customers to save time but still eat healthier food. However, Alshahry and Alhazmi (2026) </w:t>
      </w:r>
      <w:r w:rsidR="001E38FF" w:rsidRPr="00711A17">
        <w:rPr>
          <w:rFonts w:eastAsia="Times New Roman" w:cs="Calibri"/>
          <w:szCs w:val="24"/>
          <w:lang w:val="en-GB"/>
        </w:rPr>
        <w:t>argue</w:t>
      </w:r>
      <w:r w:rsidRPr="00711A17">
        <w:rPr>
          <w:rFonts w:eastAsia="Times New Roman" w:cs="Calibri"/>
          <w:szCs w:val="24"/>
          <w:lang w:val="en-GB"/>
        </w:rPr>
        <w:t xml:space="preserve"> that increasing awareness regarding health, busy schedules of people, and increased use of online food deliveries have contributed to rising demand for customised meal options, especially from the working class of people. However, existing providers mainly offer services targeting the upper classes using expensive service models or by restricting the diet choice options of their clients. In view of the above, NutriBox intends to </w:t>
      </w:r>
      <w:r w:rsidR="001E38FF" w:rsidRPr="00711A17">
        <w:rPr>
          <w:rFonts w:eastAsia="Times New Roman" w:cs="Calibri"/>
          <w:szCs w:val="24"/>
          <w:lang w:val="en-GB"/>
        </w:rPr>
        <w:t>capitalise</w:t>
      </w:r>
      <w:r w:rsidRPr="00711A17">
        <w:rPr>
          <w:rFonts w:eastAsia="Times New Roman" w:cs="Calibri"/>
          <w:szCs w:val="24"/>
          <w:lang w:val="en-GB"/>
        </w:rPr>
        <w:t xml:space="preserve"> on this business opportunity.</w:t>
      </w:r>
    </w:p>
    <w:p w14:paraId="4AB78DB6" w14:textId="77777777" w:rsidR="00E64A65" w:rsidRPr="00711A17" w:rsidRDefault="00227775">
      <w:pPr>
        <w:pStyle w:val="Heading2"/>
        <w:rPr>
          <w:rFonts w:cs="Calibri"/>
          <w:lang w:val="en-GB"/>
        </w:rPr>
      </w:pPr>
      <w:bookmarkStart w:id="16" w:name="_4xzm4uxv5i0u" w:colFirst="0" w:colLast="0"/>
      <w:bookmarkStart w:id="17" w:name="_Toc235974325"/>
      <w:bookmarkEnd w:id="16"/>
      <w:r w:rsidRPr="00711A17">
        <w:rPr>
          <w:rFonts w:cs="Calibri"/>
          <w:lang w:val="en-GB"/>
        </w:rPr>
        <w:t>2.2 Jobs-to-be-Done (JTBD)</w:t>
      </w:r>
      <w:bookmarkEnd w:id="17"/>
    </w:p>
    <w:p w14:paraId="7EC4670A" w14:textId="77777777" w:rsidR="00E64A65" w:rsidRPr="00711A17" w:rsidRDefault="00227775">
      <w:pPr>
        <w:jc w:val="center"/>
        <w:rPr>
          <w:rFonts w:eastAsia="Times New Roman" w:cs="Calibri"/>
          <w:b/>
          <w:bCs/>
          <w:szCs w:val="24"/>
          <w:lang w:val="en-GB"/>
        </w:rPr>
      </w:pPr>
      <w:r w:rsidRPr="00711A17">
        <w:rPr>
          <w:rFonts w:eastAsia="Times New Roman" w:cs="Calibri"/>
          <w:b/>
          <w:bCs/>
          <w:noProof/>
          <w:szCs w:val="24"/>
          <w:lang w:val="en-IN"/>
        </w:rPr>
        <w:drawing>
          <wp:inline distT="114300" distB="114300" distL="114300" distR="114300" wp14:anchorId="24CB3EC2" wp14:editId="2433704B">
            <wp:extent cx="3071813" cy="2993048"/>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071813" cy="2993048"/>
                    </a:xfrm>
                    <a:prstGeom prst="rect">
                      <a:avLst/>
                    </a:prstGeom>
                    <a:ln w="25400">
                      <a:solidFill>
                        <a:srgbClr val="000000"/>
                      </a:solidFill>
                      <a:prstDash val="solid"/>
                    </a:ln>
                  </pic:spPr>
                </pic:pic>
              </a:graphicData>
            </a:graphic>
          </wp:inline>
        </w:drawing>
      </w:r>
    </w:p>
    <w:p w14:paraId="4FB1E85D" w14:textId="77777777" w:rsidR="00E64A65" w:rsidRPr="00711A17" w:rsidRDefault="00227775">
      <w:pPr>
        <w:jc w:val="center"/>
        <w:rPr>
          <w:rFonts w:eastAsia="Times New Roman" w:cs="Calibri"/>
          <w:b/>
          <w:bCs/>
          <w:szCs w:val="24"/>
          <w:lang w:val="en-GB"/>
        </w:rPr>
      </w:pPr>
      <w:r w:rsidRPr="00711A17">
        <w:rPr>
          <w:rFonts w:eastAsia="Times New Roman" w:cs="Calibri"/>
          <w:b/>
          <w:bCs/>
          <w:szCs w:val="24"/>
          <w:lang w:val="en-GB"/>
        </w:rPr>
        <w:t>Figure 2: The theory of Jobs-to-be-Done (JTBD)</w:t>
      </w:r>
    </w:p>
    <w:p w14:paraId="772C09D4" w14:textId="77777777" w:rsidR="00E64A65" w:rsidRPr="00711A17" w:rsidRDefault="00227775">
      <w:pPr>
        <w:jc w:val="center"/>
        <w:rPr>
          <w:rFonts w:eastAsia="Times New Roman" w:cs="Calibri"/>
          <w:szCs w:val="24"/>
          <w:lang w:val="en-GB"/>
        </w:rPr>
      </w:pPr>
      <w:r w:rsidRPr="00711A17">
        <w:rPr>
          <w:rFonts w:eastAsia="Times New Roman" w:cs="Calibri"/>
          <w:szCs w:val="24"/>
          <w:lang w:val="en-GB"/>
        </w:rPr>
        <w:t>(Source: Influenced by Özal and Münch, 2024)</w:t>
      </w:r>
    </w:p>
    <w:p w14:paraId="6F82063F" w14:textId="0B2A0252" w:rsidR="00E64A65" w:rsidRPr="00711A17" w:rsidRDefault="00227775">
      <w:pPr>
        <w:rPr>
          <w:rFonts w:eastAsia="Times New Roman" w:cs="Calibri"/>
          <w:szCs w:val="24"/>
          <w:lang w:val="en-GB"/>
        </w:rPr>
      </w:pPr>
      <w:r w:rsidRPr="00711A17">
        <w:rPr>
          <w:rFonts w:eastAsia="Times New Roman" w:cs="Calibri"/>
          <w:szCs w:val="24"/>
          <w:lang w:val="en-GB"/>
        </w:rPr>
        <w:t xml:space="preserve">The theory of Jobs-to-be-Done (JTBD) </w:t>
      </w:r>
      <w:r w:rsidR="001E38FF" w:rsidRPr="00711A17">
        <w:rPr>
          <w:rFonts w:eastAsia="Times New Roman" w:cs="Calibri"/>
          <w:szCs w:val="24"/>
          <w:lang w:val="en-GB"/>
        </w:rPr>
        <w:t>indicates</w:t>
      </w:r>
      <w:r w:rsidRPr="00711A17">
        <w:rPr>
          <w:rFonts w:eastAsia="Times New Roman" w:cs="Calibri"/>
          <w:szCs w:val="24"/>
          <w:lang w:val="en-GB"/>
        </w:rPr>
        <w:t xml:space="preserve"> that customers purchase products or services not for some product features but </w:t>
      </w:r>
      <w:r w:rsidR="001E38FF" w:rsidRPr="00711A17">
        <w:rPr>
          <w:rFonts w:eastAsia="Times New Roman" w:cs="Calibri"/>
          <w:szCs w:val="24"/>
          <w:lang w:val="en-GB"/>
        </w:rPr>
        <w:t>to</w:t>
      </w:r>
      <w:r w:rsidRPr="00711A17">
        <w:rPr>
          <w:rFonts w:eastAsia="Times New Roman" w:cs="Calibri"/>
          <w:szCs w:val="24"/>
          <w:lang w:val="en-GB"/>
        </w:rPr>
        <w:t xml:space="preserve"> accomplish certain functions and goals that are connected with emotions and social needs (Özal and Münch, 2024). JTBD allows companies to understand what problem customers are solving and to offer them an appropriate solution which will provide them with more value. For instance, NutriBox helps professionals to save their time, to have a healthy diet, to make less effort while choosing food and to achieve better work-life balance. It is very important since it is connected with customer needs and not demographic features. Still, the JTBD framework has certain limits since it does not cover all aspects of the market.</w:t>
      </w:r>
    </w:p>
    <w:p w14:paraId="6A367F04" w14:textId="77777777" w:rsidR="00E64A65" w:rsidRPr="00711A17" w:rsidRDefault="00227775">
      <w:pPr>
        <w:pStyle w:val="Heading2"/>
        <w:rPr>
          <w:rFonts w:cs="Calibri"/>
          <w:lang w:val="en-GB"/>
        </w:rPr>
      </w:pPr>
      <w:bookmarkStart w:id="18" w:name="_as0jm1aax35p" w:colFirst="0" w:colLast="0"/>
      <w:bookmarkStart w:id="19" w:name="_Toc235974326"/>
      <w:bookmarkEnd w:id="18"/>
      <w:r w:rsidRPr="00711A17">
        <w:rPr>
          <w:rFonts w:cs="Calibri"/>
          <w:lang w:val="en-GB"/>
        </w:rPr>
        <w:t>2.3 PESTLE Framework</w:t>
      </w:r>
      <w:bookmarkEnd w:id="19"/>
    </w:p>
    <w:tbl>
      <w:tblPr>
        <w:tblStyle w:val="a"/>
        <w:tblW w:w="0" w:type="auto"/>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31"/>
        <w:gridCol w:w="6746"/>
        <w:gridCol w:w="963"/>
      </w:tblGrid>
      <w:tr w:rsidR="00E64A65" w:rsidRPr="00711A17" w14:paraId="55B2AFBF" w14:textId="77777777" w:rsidTr="00A44796">
        <w:tc>
          <w:tcPr>
            <w:tcW w:w="0" w:type="auto"/>
            <w:tcMar>
              <w:top w:w="100" w:type="dxa"/>
              <w:left w:w="100" w:type="dxa"/>
              <w:bottom w:w="100" w:type="dxa"/>
              <w:right w:w="100" w:type="dxa"/>
            </w:tcMar>
          </w:tcPr>
          <w:p w14:paraId="47B3BE74" w14:textId="77777777" w:rsidR="00E64A65" w:rsidRPr="00711A17" w:rsidRDefault="00227775">
            <w:pPr>
              <w:widowControl w:val="0"/>
              <w:pBdr>
                <w:top w:val="nil"/>
                <w:left w:val="nil"/>
                <w:bottom w:val="nil"/>
                <w:right w:val="nil"/>
                <w:between w:val="nil"/>
              </w:pBdr>
              <w:rPr>
                <w:rFonts w:eastAsia="Times New Roman" w:cs="Calibri"/>
                <w:b/>
                <w:bCs/>
                <w:szCs w:val="24"/>
                <w:lang w:val="en-GB"/>
              </w:rPr>
            </w:pPr>
            <w:r w:rsidRPr="00711A17">
              <w:rPr>
                <w:rFonts w:eastAsia="Times New Roman" w:cs="Calibri"/>
                <w:b/>
                <w:bCs/>
                <w:szCs w:val="24"/>
                <w:lang w:val="en-GB"/>
              </w:rPr>
              <w:t xml:space="preserve">Factors </w:t>
            </w:r>
          </w:p>
        </w:tc>
        <w:tc>
          <w:tcPr>
            <w:tcW w:w="0" w:type="auto"/>
            <w:tcMar>
              <w:top w:w="100" w:type="dxa"/>
              <w:left w:w="100" w:type="dxa"/>
              <w:bottom w:w="100" w:type="dxa"/>
              <w:right w:w="100" w:type="dxa"/>
            </w:tcMar>
          </w:tcPr>
          <w:p w14:paraId="559E4799" w14:textId="77777777" w:rsidR="00E64A65" w:rsidRPr="00711A17" w:rsidRDefault="00227775">
            <w:pPr>
              <w:widowControl w:val="0"/>
              <w:pBdr>
                <w:top w:val="nil"/>
                <w:left w:val="nil"/>
                <w:bottom w:val="nil"/>
                <w:right w:val="nil"/>
                <w:between w:val="nil"/>
              </w:pBdr>
              <w:rPr>
                <w:rFonts w:eastAsia="Times New Roman" w:cs="Calibri"/>
                <w:b/>
                <w:bCs/>
                <w:szCs w:val="24"/>
                <w:lang w:val="en-GB"/>
              </w:rPr>
            </w:pPr>
            <w:r w:rsidRPr="00711A17">
              <w:rPr>
                <w:rFonts w:eastAsia="Times New Roman" w:cs="Calibri"/>
                <w:b/>
                <w:bCs/>
                <w:szCs w:val="24"/>
                <w:lang w:val="en-GB"/>
              </w:rPr>
              <w:t xml:space="preserve">Description </w:t>
            </w:r>
          </w:p>
        </w:tc>
        <w:tc>
          <w:tcPr>
            <w:tcW w:w="0" w:type="auto"/>
            <w:tcMar>
              <w:top w:w="100" w:type="dxa"/>
              <w:left w:w="100" w:type="dxa"/>
              <w:bottom w:w="100" w:type="dxa"/>
              <w:right w:w="100" w:type="dxa"/>
            </w:tcMar>
          </w:tcPr>
          <w:p w14:paraId="342DA228" w14:textId="77777777" w:rsidR="00E64A65" w:rsidRPr="00711A17" w:rsidRDefault="00227775">
            <w:pPr>
              <w:widowControl w:val="0"/>
              <w:pBdr>
                <w:top w:val="nil"/>
                <w:left w:val="nil"/>
                <w:bottom w:val="nil"/>
                <w:right w:val="nil"/>
                <w:between w:val="nil"/>
              </w:pBdr>
              <w:rPr>
                <w:rFonts w:eastAsia="Times New Roman" w:cs="Calibri"/>
                <w:b/>
                <w:bCs/>
                <w:szCs w:val="24"/>
                <w:lang w:val="en-GB"/>
              </w:rPr>
            </w:pPr>
            <w:r w:rsidRPr="00711A17">
              <w:rPr>
                <w:rFonts w:eastAsia="Times New Roman" w:cs="Calibri"/>
                <w:b/>
                <w:bCs/>
                <w:szCs w:val="24"/>
                <w:lang w:val="en-GB"/>
              </w:rPr>
              <w:t xml:space="preserve">Impact </w:t>
            </w:r>
          </w:p>
        </w:tc>
      </w:tr>
      <w:tr w:rsidR="00E64A65" w:rsidRPr="00711A17" w14:paraId="785EB557" w14:textId="77777777" w:rsidTr="00A44796">
        <w:tc>
          <w:tcPr>
            <w:tcW w:w="0" w:type="auto"/>
            <w:tcMar>
              <w:top w:w="100" w:type="dxa"/>
              <w:left w:w="100" w:type="dxa"/>
              <w:bottom w:w="100" w:type="dxa"/>
              <w:right w:w="100" w:type="dxa"/>
            </w:tcMar>
          </w:tcPr>
          <w:p w14:paraId="430D1CB6"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 xml:space="preserve">Political </w:t>
            </w:r>
          </w:p>
        </w:tc>
        <w:tc>
          <w:tcPr>
            <w:tcW w:w="0" w:type="auto"/>
            <w:tcMar>
              <w:top w:w="100" w:type="dxa"/>
              <w:left w:w="100" w:type="dxa"/>
              <w:bottom w:w="100" w:type="dxa"/>
              <w:right w:w="100" w:type="dxa"/>
            </w:tcMar>
          </w:tcPr>
          <w:p w14:paraId="6913424A"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The UK Government's obesity strategy promotes healthier diets (Department of Health and Social Care, 2025).</w:t>
            </w:r>
          </w:p>
        </w:tc>
        <w:tc>
          <w:tcPr>
            <w:tcW w:w="0" w:type="auto"/>
            <w:tcMar>
              <w:top w:w="100" w:type="dxa"/>
              <w:left w:w="100" w:type="dxa"/>
              <w:bottom w:w="100" w:type="dxa"/>
              <w:right w:w="100" w:type="dxa"/>
            </w:tcMar>
          </w:tcPr>
          <w:p w14:paraId="22E2F85C"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 xml:space="preserve">Positive </w:t>
            </w:r>
          </w:p>
        </w:tc>
      </w:tr>
      <w:tr w:rsidR="00E64A65" w:rsidRPr="00711A17" w14:paraId="37871923" w14:textId="77777777" w:rsidTr="00A44796">
        <w:tc>
          <w:tcPr>
            <w:tcW w:w="0" w:type="auto"/>
            <w:tcMar>
              <w:top w:w="100" w:type="dxa"/>
              <w:left w:w="100" w:type="dxa"/>
              <w:bottom w:w="100" w:type="dxa"/>
              <w:right w:w="100" w:type="dxa"/>
            </w:tcMar>
          </w:tcPr>
          <w:p w14:paraId="645FB53A"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 xml:space="preserve">Economic </w:t>
            </w:r>
          </w:p>
        </w:tc>
        <w:tc>
          <w:tcPr>
            <w:tcW w:w="0" w:type="auto"/>
            <w:tcMar>
              <w:top w:w="100" w:type="dxa"/>
              <w:left w:w="100" w:type="dxa"/>
              <w:bottom w:w="100" w:type="dxa"/>
              <w:right w:w="100" w:type="dxa"/>
            </w:tcMar>
          </w:tcPr>
          <w:p w14:paraId="46B85E31"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UK food inflation averaged 3.3% in 2025 (ONS, 2026).</w:t>
            </w:r>
          </w:p>
        </w:tc>
        <w:tc>
          <w:tcPr>
            <w:tcW w:w="0" w:type="auto"/>
            <w:tcMar>
              <w:top w:w="100" w:type="dxa"/>
              <w:left w:w="100" w:type="dxa"/>
              <w:bottom w:w="100" w:type="dxa"/>
              <w:right w:w="100" w:type="dxa"/>
            </w:tcMar>
          </w:tcPr>
          <w:p w14:paraId="2A025BC3"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 xml:space="preserve">Mixed </w:t>
            </w:r>
          </w:p>
        </w:tc>
      </w:tr>
      <w:tr w:rsidR="00E64A65" w:rsidRPr="00711A17" w14:paraId="3D53E7B0" w14:textId="77777777" w:rsidTr="00A44796">
        <w:tc>
          <w:tcPr>
            <w:tcW w:w="0" w:type="auto"/>
            <w:tcMar>
              <w:top w:w="100" w:type="dxa"/>
              <w:left w:w="100" w:type="dxa"/>
              <w:bottom w:w="100" w:type="dxa"/>
              <w:right w:w="100" w:type="dxa"/>
            </w:tcMar>
          </w:tcPr>
          <w:p w14:paraId="54DC30A0"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 xml:space="preserve">Social </w:t>
            </w:r>
          </w:p>
        </w:tc>
        <w:tc>
          <w:tcPr>
            <w:tcW w:w="0" w:type="auto"/>
            <w:tcMar>
              <w:top w:w="100" w:type="dxa"/>
              <w:left w:w="100" w:type="dxa"/>
              <w:bottom w:w="100" w:type="dxa"/>
              <w:right w:w="100" w:type="dxa"/>
            </w:tcMar>
          </w:tcPr>
          <w:p w14:paraId="1E424CF5"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64% of adults in England are overweight or obese (NHS England, 2023).</w:t>
            </w:r>
          </w:p>
        </w:tc>
        <w:tc>
          <w:tcPr>
            <w:tcW w:w="0" w:type="auto"/>
            <w:tcMar>
              <w:top w:w="100" w:type="dxa"/>
              <w:left w:w="100" w:type="dxa"/>
              <w:bottom w:w="100" w:type="dxa"/>
              <w:right w:w="100" w:type="dxa"/>
            </w:tcMar>
          </w:tcPr>
          <w:p w14:paraId="708F1CE1"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 xml:space="preserve">Positive </w:t>
            </w:r>
          </w:p>
        </w:tc>
      </w:tr>
      <w:tr w:rsidR="00E64A65" w:rsidRPr="00711A17" w14:paraId="08D2DFD0" w14:textId="77777777" w:rsidTr="00A44796">
        <w:tc>
          <w:tcPr>
            <w:tcW w:w="0" w:type="auto"/>
            <w:tcMar>
              <w:top w:w="100" w:type="dxa"/>
              <w:left w:w="100" w:type="dxa"/>
              <w:bottom w:w="100" w:type="dxa"/>
              <w:right w:w="100" w:type="dxa"/>
            </w:tcMar>
          </w:tcPr>
          <w:p w14:paraId="56EC1FD5"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 xml:space="preserve">Technological </w:t>
            </w:r>
          </w:p>
        </w:tc>
        <w:tc>
          <w:tcPr>
            <w:tcW w:w="0" w:type="auto"/>
            <w:tcMar>
              <w:top w:w="100" w:type="dxa"/>
              <w:left w:w="100" w:type="dxa"/>
              <w:bottom w:w="100" w:type="dxa"/>
              <w:right w:w="100" w:type="dxa"/>
            </w:tcMar>
          </w:tcPr>
          <w:p w14:paraId="3B8E0080" w14:textId="28E29BE3"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UK online food delivery revenue is projected to exceed US$27 billion US$21.5 billion by 2034 (</w:t>
            </w:r>
            <w:r w:rsidR="00A44796">
              <w:rPr>
                <w:rFonts w:eastAsia="Times New Roman" w:cs="Calibri"/>
                <w:szCs w:val="24"/>
                <w:lang w:val="en-GB"/>
              </w:rPr>
              <w:t>I</w:t>
            </w:r>
            <w:r w:rsidRPr="00711A17">
              <w:rPr>
                <w:rFonts w:eastAsia="Times New Roman" w:cs="Calibri"/>
                <w:szCs w:val="24"/>
                <w:lang w:val="en-GB"/>
              </w:rPr>
              <w:t>marcgroup, 2025)</w:t>
            </w:r>
          </w:p>
          <w:p w14:paraId="51B60B56"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0" w:type="auto"/>
            <w:tcMar>
              <w:top w:w="100" w:type="dxa"/>
              <w:left w:w="100" w:type="dxa"/>
              <w:bottom w:w="100" w:type="dxa"/>
              <w:right w:w="100" w:type="dxa"/>
            </w:tcMar>
          </w:tcPr>
          <w:p w14:paraId="4FDDBE1B"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 xml:space="preserve">Positive </w:t>
            </w:r>
          </w:p>
        </w:tc>
      </w:tr>
      <w:tr w:rsidR="00E64A65" w:rsidRPr="00711A17" w14:paraId="71D18F11" w14:textId="77777777" w:rsidTr="00A44796">
        <w:tc>
          <w:tcPr>
            <w:tcW w:w="0" w:type="auto"/>
            <w:tcMar>
              <w:top w:w="100" w:type="dxa"/>
              <w:left w:w="100" w:type="dxa"/>
              <w:bottom w:w="100" w:type="dxa"/>
              <w:right w:w="100" w:type="dxa"/>
            </w:tcMar>
          </w:tcPr>
          <w:p w14:paraId="1CE0E56A"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 xml:space="preserve">Legal </w:t>
            </w:r>
          </w:p>
        </w:tc>
        <w:tc>
          <w:tcPr>
            <w:tcW w:w="0" w:type="auto"/>
            <w:tcMar>
              <w:top w:w="100" w:type="dxa"/>
              <w:left w:w="100" w:type="dxa"/>
              <w:bottom w:w="100" w:type="dxa"/>
              <w:right w:w="100" w:type="dxa"/>
            </w:tcMar>
          </w:tcPr>
          <w:p w14:paraId="7ACDC57B"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Compliance with the Food Safety Act 1990 and UK GDPR is mandatory (GOV.UK, 2025).</w:t>
            </w:r>
          </w:p>
        </w:tc>
        <w:tc>
          <w:tcPr>
            <w:tcW w:w="0" w:type="auto"/>
            <w:tcMar>
              <w:top w:w="100" w:type="dxa"/>
              <w:left w:w="100" w:type="dxa"/>
              <w:bottom w:w="100" w:type="dxa"/>
              <w:right w:w="100" w:type="dxa"/>
            </w:tcMar>
          </w:tcPr>
          <w:p w14:paraId="431E05CE"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 xml:space="preserve">Mixed </w:t>
            </w:r>
          </w:p>
        </w:tc>
      </w:tr>
      <w:tr w:rsidR="00E64A65" w:rsidRPr="00711A17" w14:paraId="58B3B649" w14:textId="77777777" w:rsidTr="00A44796">
        <w:tc>
          <w:tcPr>
            <w:tcW w:w="0" w:type="auto"/>
            <w:tcMar>
              <w:top w:w="100" w:type="dxa"/>
              <w:left w:w="100" w:type="dxa"/>
              <w:bottom w:w="100" w:type="dxa"/>
              <w:right w:w="100" w:type="dxa"/>
            </w:tcMar>
          </w:tcPr>
          <w:p w14:paraId="0F6A7A36"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 xml:space="preserve">Environmental </w:t>
            </w:r>
          </w:p>
        </w:tc>
        <w:tc>
          <w:tcPr>
            <w:tcW w:w="0" w:type="auto"/>
            <w:tcMar>
              <w:top w:w="100" w:type="dxa"/>
              <w:left w:w="100" w:type="dxa"/>
              <w:bottom w:w="100" w:type="dxa"/>
              <w:right w:w="100" w:type="dxa"/>
            </w:tcMar>
          </w:tcPr>
          <w:p w14:paraId="02DF26FD"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UK consumers increasingly prefer sustainable packaging (Corbin, 2026).</w:t>
            </w:r>
          </w:p>
        </w:tc>
        <w:tc>
          <w:tcPr>
            <w:tcW w:w="0" w:type="auto"/>
            <w:tcMar>
              <w:top w:w="100" w:type="dxa"/>
              <w:left w:w="100" w:type="dxa"/>
              <w:bottom w:w="100" w:type="dxa"/>
              <w:right w:w="100" w:type="dxa"/>
            </w:tcMar>
          </w:tcPr>
          <w:p w14:paraId="45E76252" w14:textId="77777777" w:rsidR="00E64A65" w:rsidRPr="00711A17" w:rsidRDefault="00227775">
            <w:pPr>
              <w:widowControl w:val="0"/>
              <w:rPr>
                <w:rFonts w:eastAsia="Times New Roman" w:cs="Calibri"/>
                <w:szCs w:val="24"/>
                <w:lang w:val="en-GB"/>
              </w:rPr>
            </w:pPr>
            <w:r w:rsidRPr="00711A17">
              <w:rPr>
                <w:rFonts w:eastAsia="Times New Roman" w:cs="Calibri"/>
                <w:szCs w:val="24"/>
                <w:lang w:val="en-GB"/>
              </w:rPr>
              <w:t xml:space="preserve">Positive </w:t>
            </w:r>
          </w:p>
        </w:tc>
      </w:tr>
    </w:tbl>
    <w:p w14:paraId="0164FED7" w14:textId="77777777" w:rsidR="00E64A65" w:rsidRPr="00711A17" w:rsidRDefault="00227775">
      <w:pPr>
        <w:jc w:val="center"/>
        <w:rPr>
          <w:rFonts w:eastAsia="Times New Roman" w:cs="Calibri"/>
          <w:b/>
          <w:bCs/>
          <w:szCs w:val="24"/>
          <w:lang w:val="en-GB"/>
        </w:rPr>
      </w:pPr>
      <w:r w:rsidRPr="00711A17">
        <w:rPr>
          <w:rFonts w:eastAsia="Times New Roman" w:cs="Calibri"/>
          <w:b/>
          <w:bCs/>
          <w:szCs w:val="24"/>
          <w:lang w:val="en-GB"/>
        </w:rPr>
        <w:t xml:space="preserve">Table 1: PESTEL Analysis </w:t>
      </w:r>
    </w:p>
    <w:p w14:paraId="1A913C4C" w14:textId="77777777" w:rsidR="00E64A65" w:rsidRPr="00711A17" w:rsidRDefault="00227775">
      <w:pPr>
        <w:jc w:val="center"/>
        <w:rPr>
          <w:rFonts w:eastAsia="Times New Roman" w:cs="Calibri"/>
          <w:szCs w:val="24"/>
          <w:lang w:val="en-GB"/>
        </w:rPr>
      </w:pPr>
      <w:r w:rsidRPr="00711A17">
        <w:rPr>
          <w:rFonts w:eastAsia="Times New Roman" w:cs="Calibri"/>
          <w:szCs w:val="24"/>
          <w:lang w:val="en-GB"/>
        </w:rPr>
        <w:t>(Source: Self-Developed)</w:t>
      </w:r>
    </w:p>
    <w:p w14:paraId="50C3004F" w14:textId="074F10D5" w:rsidR="00E64A65" w:rsidRPr="00711A17" w:rsidRDefault="00227775">
      <w:pPr>
        <w:rPr>
          <w:rFonts w:eastAsia="Times New Roman" w:cs="Calibri"/>
          <w:szCs w:val="24"/>
          <w:lang w:val="en-GB"/>
        </w:rPr>
      </w:pPr>
      <w:r w:rsidRPr="00711A17">
        <w:rPr>
          <w:rFonts w:eastAsia="Times New Roman" w:cs="Calibri"/>
          <w:szCs w:val="24"/>
          <w:lang w:val="en-GB"/>
        </w:rPr>
        <w:t>The PESTLE analysis shows that the UK is an ideal country where NutriBox can enter the market. The government campaigns for healthy eating habits</w:t>
      </w:r>
      <w:r w:rsidR="001E38FF" w:rsidRPr="00711A17">
        <w:rPr>
          <w:rFonts w:eastAsia="Times New Roman" w:cs="Calibri"/>
          <w:szCs w:val="24"/>
          <w:lang w:val="en-GB"/>
        </w:rPr>
        <w:t>,</w:t>
      </w:r>
      <w:r w:rsidRPr="00711A17">
        <w:rPr>
          <w:rFonts w:eastAsia="Times New Roman" w:cs="Calibri"/>
          <w:szCs w:val="24"/>
          <w:lang w:val="en-GB"/>
        </w:rPr>
        <w:t xml:space="preserve"> and the high prevalence of obesity (64%) among adults indicates </w:t>
      </w:r>
      <w:r w:rsidR="001E38FF" w:rsidRPr="00711A17">
        <w:rPr>
          <w:rFonts w:eastAsia="Times New Roman" w:cs="Calibri"/>
          <w:szCs w:val="24"/>
          <w:lang w:val="en-GB"/>
        </w:rPr>
        <w:t>a need</w:t>
      </w:r>
      <w:r w:rsidRPr="00711A17">
        <w:rPr>
          <w:rFonts w:eastAsia="Times New Roman" w:cs="Calibri"/>
          <w:szCs w:val="24"/>
          <w:lang w:val="en-GB"/>
        </w:rPr>
        <w:t xml:space="preserve"> for healthy meal delivery services. Economic factors such as food inflation put pressure on NutriBox to implement cost-effective prices like HelloFresh UK (ONS, 2026). Health and personalised nutrition practices within society create the need for custom meals, as is the case with Gousto. Technological development makes online ordering and customer interaction possible, while abiding by UK food safety laws builds trust among customers. It is forecasted that the market for online food delivery services in the UK will surpass US$21.5 billion (imarcgroup, 2025). In this regard, competitors like HelloFresh UK take advantage of smartphones and artificial intelligence-based customisation, making it possible to increase engagement with NutriBox customers through the use of technology.</w:t>
      </w:r>
    </w:p>
    <w:p w14:paraId="63EFADBA" w14:textId="77777777" w:rsidR="00E64A65" w:rsidRPr="00711A17" w:rsidRDefault="00227775">
      <w:pPr>
        <w:jc w:val="center"/>
        <w:rPr>
          <w:rFonts w:eastAsia="Times New Roman" w:cs="Calibri"/>
          <w:szCs w:val="24"/>
          <w:lang w:val="en-GB"/>
        </w:rPr>
      </w:pPr>
      <w:r w:rsidRPr="00711A17">
        <w:rPr>
          <w:rFonts w:eastAsia="Times New Roman" w:cs="Calibri"/>
          <w:noProof/>
          <w:szCs w:val="24"/>
          <w:lang w:val="en-IN"/>
        </w:rPr>
        <w:drawing>
          <wp:inline distT="114300" distB="114300" distL="114300" distR="114300" wp14:anchorId="6467C296" wp14:editId="7BA0F06C">
            <wp:extent cx="4481513" cy="304513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481513" cy="3045130"/>
                    </a:xfrm>
                    <a:prstGeom prst="rect">
                      <a:avLst/>
                    </a:prstGeom>
                    <a:ln w="25400">
                      <a:solidFill>
                        <a:srgbClr val="000000"/>
                      </a:solidFill>
                      <a:prstDash val="solid"/>
                    </a:ln>
                  </pic:spPr>
                </pic:pic>
              </a:graphicData>
            </a:graphic>
          </wp:inline>
        </w:drawing>
      </w:r>
    </w:p>
    <w:p w14:paraId="7CE8A49D" w14:textId="77777777" w:rsidR="00E64A65" w:rsidRPr="00711A17" w:rsidRDefault="00227775">
      <w:pPr>
        <w:jc w:val="center"/>
        <w:rPr>
          <w:rFonts w:eastAsia="Times New Roman" w:cs="Calibri"/>
          <w:b/>
          <w:bCs/>
          <w:szCs w:val="24"/>
          <w:lang w:val="en-GB"/>
        </w:rPr>
      </w:pPr>
      <w:r w:rsidRPr="00711A17">
        <w:rPr>
          <w:rFonts w:eastAsia="Times New Roman" w:cs="Calibri"/>
          <w:b/>
          <w:bCs/>
          <w:szCs w:val="24"/>
          <w:lang w:val="en-GB"/>
        </w:rPr>
        <w:t xml:space="preserve">Figure 3: UK Online delivery market size </w:t>
      </w:r>
    </w:p>
    <w:p w14:paraId="04001865" w14:textId="77777777" w:rsidR="00E64A65" w:rsidRPr="00711A17" w:rsidRDefault="00227775">
      <w:pPr>
        <w:jc w:val="center"/>
        <w:rPr>
          <w:rFonts w:eastAsia="Times New Roman" w:cs="Calibri"/>
          <w:szCs w:val="24"/>
          <w:lang w:val="en-GB"/>
        </w:rPr>
      </w:pPr>
      <w:r w:rsidRPr="00711A17">
        <w:rPr>
          <w:rFonts w:eastAsia="Times New Roman" w:cs="Calibri"/>
          <w:szCs w:val="24"/>
          <w:lang w:val="en-GB"/>
        </w:rPr>
        <w:t>(Source: Grandview Research, 2025)</w:t>
      </w:r>
    </w:p>
    <w:p w14:paraId="12B489D3" w14:textId="77777777" w:rsidR="00E64A65" w:rsidRPr="00711A17" w:rsidRDefault="00227775">
      <w:pPr>
        <w:pStyle w:val="Heading2"/>
        <w:rPr>
          <w:rFonts w:cs="Calibri"/>
          <w:lang w:val="en-GB"/>
        </w:rPr>
      </w:pPr>
      <w:bookmarkStart w:id="20" w:name="_9j2uozbo48uo" w:colFirst="0" w:colLast="0"/>
      <w:bookmarkStart w:id="21" w:name="_Toc235974327"/>
      <w:bookmarkEnd w:id="20"/>
      <w:r w:rsidRPr="00711A17">
        <w:rPr>
          <w:rFonts w:cs="Calibri"/>
          <w:lang w:val="en-GB"/>
        </w:rPr>
        <w:t>2.4 Porter's Five Forces</w:t>
      </w:r>
      <w:bookmarkEnd w:id="21"/>
    </w:p>
    <w:tbl>
      <w:tblPr>
        <w:tblStyle w:val="a0"/>
        <w:tblW w:w="0" w:type="auto"/>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049"/>
        <w:gridCol w:w="6115"/>
        <w:gridCol w:w="1176"/>
      </w:tblGrid>
      <w:tr w:rsidR="00E64A65" w:rsidRPr="00711A17" w14:paraId="6D5EE166" w14:textId="77777777" w:rsidTr="00E236FF">
        <w:tc>
          <w:tcPr>
            <w:tcW w:w="0" w:type="auto"/>
            <w:tcMar>
              <w:top w:w="100" w:type="dxa"/>
              <w:left w:w="100" w:type="dxa"/>
              <w:bottom w:w="100" w:type="dxa"/>
              <w:right w:w="100" w:type="dxa"/>
            </w:tcMar>
          </w:tcPr>
          <w:p w14:paraId="331820CC" w14:textId="77777777" w:rsidR="00E64A65" w:rsidRPr="00711A17" w:rsidRDefault="00227775">
            <w:pPr>
              <w:widowControl w:val="0"/>
              <w:pBdr>
                <w:top w:val="nil"/>
                <w:left w:val="nil"/>
                <w:bottom w:val="nil"/>
                <w:right w:val="nil"/>
                <w:between w:val="nil"/>
              </w:pBdr>
              <w:jc w:val="center"/>
              <w:rPr>
                <w:rFonts w:eastAsia="Times New Roman" w:cs="Calibri"/>
                <w:b/>
                <w:bCs/>
                <w:szCs w:val="24"/>
                <w:lang w:val="en-GB"/>
              </w:rPr>
            </w:pPr>
            <w:r w:rsidRPr="00711A17">
              <w:rPr>
                <w:rFonts w:eastAsia="Times New Roman" w:cs="Calibri"/>
                <w:b/>
                <w:bCs/>
                <w:szCs w:val="24"/>
                <w:lang w:val="en-GB"/>
              </w:rPr>
              <w:t xml:space="preserve">Forces </w:t>
            </w:r>
          </w:p>
        </w:tc>
        <w:tc>
          <w:tcPr>
            <w:tcW w:w="0" w:type="auto"/>
            <w:tcMar>
              <w:top w:w="100" w:type="dxa"/>
              <w:left w:w="100" w:type="dxa"/>
              <w:bottom w:w="100" w:type="dxa"/>
              <w:right w:w="100" w:type="dxa"/>
            </w:tcMar>
          </w:tcPr>
          <w:p w14:paraId="3FAEEDFA" w14:textId="77777777" w:rsidR="00E64A65" w:rsidRPr="00711A17" w:rsidRDefault="00227775">
            <w:pPr>
              <w:widowControl w:val="0"/>
              <w:pBdr>
                <w:top w:val="nil"/>
                <w:left w:val="nil"/>
                <w:bottom w:val="nil"/>
                <w:right w:val="nil"/>
                <w:between w:val="nil"/>
              </w:pBdr>
              <w:jc w:val="center"/>
              <w:rPr>
                <w:rFonts w:eastAsia="Times New Roman" w:cs="Calibri"/>
                <w:b/>
                <w:bCs/>
                <w:szCs w:val="24"/>
                <w:lang w:val="en-GB"/>
              </w:rPr>
            </w:pPr>
            <w:r w:rsidRPr="00711A17">
              <w:rPr>
                <w:rFonts w:eastAsia="Times New Roman" w:cs="Calibri"/>
                <w:b/>
                <w:bCs/>
                <w:szCs w:val="24"/>
                <w:lang w:val="en-GB"/>
              </w:rPr>
              <w:t xml:space="preserve">Description </w:t>
            </w:r>
          </w:p>
        </w:tc>
        <w:tc>
          <w:tcPr>
            <w:tcW w:w="0" w:type="auto"/>
            <w:tcMar>
              <w:top w:w="100" w:type="dxa"/>
              <w:left w:w="100" w:type="dxa"/>
              <w:bottom w:w="100" w:type="dxa"/>
              <w:right w:w="100" w:type="dxa"/>
            </w:tcMar>
          </w:tcPr>
          <w:p w14:paraId="34EC6EAE" w14:textId="77777777" w:rsidR="00E64A65" w:rsidRPr="00711A17" w:rsidRDefault="00227775">
            <w:pPr>
              <w:widowControl w:val="0"/>
              <w:pBdr>
                <w:top w:val="nil"/>
                <w:left w:val="nil"/>
                <w:bottom w:val="nil"/>
                <w:right w:val="nil"/>
                <w:between w:val="nil"/>
              </w:pBdr>
              <w:jc w:val="center"/>
              <w:rPr>
                <w:rFonts w:eastAsia="Times New Roman" w:cs="Calibri"/>
                <w:b/>
                <w:bCs/>
                <w:szCs w:val="24"/>
                <w:lang w:val="en-GB"/>
              </w:rPr>
            </w:pPr>
            <w:r w:rsidRPr="00711A17">
              <w:rPr>
                <w:rFonts w:eastAsia="Times New Roman" w:cs="Calibri"/>
                <w:b/>
                <w:bCs/>
                <w:szCs w:val="24"/>
                <w:lang w:val="en-GB"/>
              </w:rPr>
              <w:t xml:space="preserve">Impact </w:t>
            </w:r>
          </w:p>
        </w:tc>
      </w:tr>
      <w:tr w:rsidR="00E64A65" w:rsidRPr="00711A17" w14:paraId="26764524" w14:textId="77777777" w:rsidTr="00E236FF">
        <w:tc>
          <w:tcPr>
            <w:tcW w:w="0" w:type="auto"/>
            <w:tcMar>
              <w:top w:w="100" w:type="dxa"/>
              <w:left w:w="100" w:type="dxa"/>
              <w:bottom w:w="100" w:type="dxa"/>
              <w:right w:w="100" w:type="dxa"/>
            </w:tcMar>
          </w:tcPr>
          <w:p w14:paraId="6BF9FE3D"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Threat of New Entrants</w:t>
            </w:r>
          </w:p>
        </w:tc>
        <w:tc>
          <w:tcPr>
            <w:tcW w:w="0" w:type="auto"/>
            <w:tcMar>
              <w:top w:w="100" w:type="dxa"/>
              <w:left w:w="100" w:type="dxa"/>
              <w:bottom w:w="100" w:type="dxa"/>
              <w:right w:w="100" w:type="dxa"/>
            </w:tcMar>
          </w:tcPr>
          <w:p w14:paraId="709B517C"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Digital platforms lower entry barriers, but logistics and food safety compliance require high investment.</w:t>
            </w:r>
          </w:p>
        </w:tc>
        <w:tc>
          <w:tcPr>
            <w:tcW w:w="0" w:type="auto"/>
            <w:tcMar>
              <w:top w:w="100" w:type="dxa"/>
              <w:left w:w="100" w:type="dxa"/>
              <w:bottom w:w="100" w:type="dxa"/>
              <w:right w:w="100" w:type="dxa"/>
            </w:tcMar>
          </w:tcPr>
          <w:p w14:paraId="1191EE79"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 xml:space="preserve">Moderate </w:t>
            </w:r>
          </w:p>
        </w:tc>
      </w:tr>
      <w:tr w:rsidR="00E64A65" w:rsidRPr="00711A17" w14:paraId="7FDAE252" w14:textId="77777777" w:rsidTr="00E236FF">
        <w:tc>
          <w:tcPr>
            <w:tcW w:w="0" w:type="auto"/>
            <w:tcMar>
              <w:top w:w="100" w:type="dxa"/>
              <w:left w:w="100" w:type="dxa"/>
              <w:bottom w:w="100" w:type="dxa"/>
              <w:right w:w="100" w:type="dxa"/>
            </w:tcMar>
          </w:tcPr>
          <w:p w14:paraId="22473DDD"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Bargaining Power of Suppliers</w:t>
            </w:r>
          </w:p>
        </w:tc>
        <w:tc>
          <w:tcPr>
            <w:tcW w:w="0" w:type="auto"/>
            <w:tcMar>
              <w:top w:w="100" w:type="dxa"/>
              <w:left w:w="100" w:type="dxa"/>
              <w:bottom w:w="100" w:type="dxa"/>
              <w:right w:w="100" w:type="dxa"/>
            </w:tcMar>
          </w:tcPr>
          <w:p w14:paraId="221CFB36" w14:textId="7FD16ABC"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 xml:space="preserve">UK food prices increased by 3.3%, raising ingredient </w:t>
            </w:r>
            <w:r w:rsidR="001E38FF" w:rsidRPr="00711A17">
              <w:rPr>
                <w:rFonts w:eastAsia="Times New Roman" w:cs="Calibri"/>
                <w:szCs w:val="24"/>
                <w:lang w:val="en-GB"/>
              </w:rPr>
              <w:t>costs (</w:t>
            </w:r>
            <w:r w:rsidRPr="00711A17">
              <w:rPr>
                <w:rFonts w:eastAsia="Times New Roman" w:cs="Calibri"/>
                <w:szCs w:val="24"/>
                <w:lang w:val="en-GB"/>
              </w:rPr>
              <w:t>ONS, 2026).</w:t>
            </w:r>
          </w:p>
        </w:tc>
        <w:tc>
          <w:tcPr>
            <w:tcW w:w="0" w:type="auto"/>
            <w:tcMar>
              <w:top w:w="100" w:type="dxa"/>
              <w:left w:w="100" w:type="dxa"/>
              <w:bottom w:w="100" w:type="dxa"/>
              <w:right w:w="100" w:type="dxa"/>
            </w:tcMar>
          </w:tcPr>
          <w:p w14:paraId="4CDE1BBC" w14:textId="77777777" w:rsidR="00E64A65" w:rsidRPr="00711A17" w:rsidRDefault="00227775">
            <w:pPr>
              <w:widowControl w:val="0"/>
              <w:rPr>
                <w:rFonts w:eastAsia="Times New Roman" w:cs="Calibri"/>
                <w:szCs w:val="24"/>
                <w:lang w:val="en-GB"/>
              </w:rPr>
            </w:pPr>
            <w:r w:rsidRPr="00711A17">
              <w:rPr>
                <w:rFonts w:eastAsia="Times New Roman" w:cs="Calibri"/>
                <w:szCs w:val="24"/>
                <w:lang w:val="en-GB"/>
              </w:rPr>
              <w:t xml:space="preserve">Moderate </w:t>
            </w:r>
          </w:p>
        </w:tc>
      </w:tr>
      <w:tr w:rsidR="00E64A65" w:rsidRPr="00711A17" w14:paraId="76BE49FE" w14:textId="77777777" w:rsidTr="00E236FF">
        <w:trPr>
          <w:trHeight w:val="455"/>
        </w:trPr>
        <w:tc>
          <w:tcPr>
            <w:tcW w:w="0" w:type="auto"/>
            <w:tcMar>
              <w:top w:w="100" w:type="dxa"/>
              <w:left w:w="100" w:type="dxa"/>
              <w:bottom w:w="100" w:type="dxa"/>
              <w:right w:w="100" w:type="dxa"/>
            </w:tcMar>
          </w:tcPr>
          <w:p w14:paraId="0B295AA1"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Bargaining Power of Buyers</w:t>
            </w:r>
          </w:p>
        </w:tc>
        <w:tc>
          <w:tcPr>
            <w:tcW w:w="0" w:type="auto"/>
            <w:tcMar>
              <w:top w:w="100" w:type="dxa"/>
              <w:left w:w="100" w:type="dxa"/>
              <w:bottom w:w="100" w:type="dxa"/>
              <w:right w:w="100" w:type="dxa"/>
            </w:tcMar>
          </w:tcPr>
          <w:p w14:paraId="4C868943"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Consumers can easily switch to HelloFresh UK, Gousto, or Mindful Chef due to flexible subscriptions (Hickey, 2024).</w:t>
            </w:r>
          </w:p>
        </w:tc>
        <w:tc>
          <w:tcPr>
            <w:tcW w:w="0" w:type="auto"/>
            <w:tcMar>
              <w:top w:w="100" w:type="dxa"/>
              <w:left w:w="100" w:type="dxa"/>
              <w:bottom w:w="100" w:type="dxa"/>
              <w:right w:w="100" w:type="dxa"/>
            </w:tcMar>
          </w:tcPr>
          <w:p w14:paraId="604CA0B6"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 xml:space="preserve">High </w:t>
            </w:r>
          </w:p>
        </w:tc>
      </w:tr>
      <w:tr w:rsidR="00E64A65" w:rsidRPr="00711A17" w14:paraId="06B5B40A" w14:textId="77777777" w:rsidTr="00E236FF">
        <w:tc>
          <w:tcPr>
            <w:tcW w:w="0" w:type="auto"/>
            <w:tcMar>
              <w:top w:w="100" w:type="dxa"/>
              <w:left w:w="100" w:type="dxa"/>
              <w:bottom w:w="100" w:type="dxa"/>
              <w:right w:w="100" w:type="dxa"/>
            </w:tcMar>
          </w:tcPr>
          <w:p w14:paraId="7D299A58"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Threat of Substitutes</w:t>
            </w:r>
          </w:p>
        </w:tc>
        <w:tc>
          <w:tcPr>
            <w:tcW w:w="0" w:type="auto"/>
            <w:tcMar>
              <w:top w:w="100" w:type="dxa"/>
              <w:left w:w="100" w:type="dxa"/>
              <w:bottom w:w="100" w:type="dxa"/>
              <w:right w:w="100" w:type="dxa"/>
            </w:tcMar>
          </w:tcPr>
          <w:p w14:paraId="40131296"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Alternatives include supermarkets, takeaway apps, restaurants, and home cooking.</w:t>
            </w:r>
          </w:p>
        </w:tc>
        <w:tc>
          <w:tcPr>
            <w:tcW w:w="0" w:type="auto"/>
            <w:tcMar>
              <w:top w:w="100" w:type="dxa"/>
              <w:left w:w="100" w:type="dxa"/>
              <w:bottom w:w="100" w:type="dxa"/>
              <w:right w:w="100" w:type="dxa"/>
            </w:tcMar>
          </w:tcPr>
          <w:p w14:paraId="36BCDEA2" w14:textId="77777777" w:rsidR="00E64A65" w:rsidRPr="00711A17" w:rsidRDefault="00227775">
            <w:pPr>
              <w:widowControl w:val="0"/>
              <w:rPr>
                <w:rFonts w:eastAsia="Times New Roman" w:cs="Calibri"/>
                <w:szCs w:val="24"/>
                <w:lang w:val="en-GB"/>
              </w:rPr>
            </w:pPr>
            <w:r w:rsidRPr="00711A17">
              <w:rPr>
                <w:rFonts w:eastAsia="Times New Roman" w:cs="Calibri"/>
                <w:szCs w:val="24"/>
                <w:lang w:val="en-GB"/>
              </w:rPr>
              <w:t xml:space="preserve">High </w:t>
            </w:r>
          </w:p>
        </w:tc>
      </w:tr>
      <w:tr w:rsidR="00E64A65" w:rsidRPr="00711A17" w14:paraId="11DB4153" w14:textId="77777777" w:rsidTr="00E236FF">
        <w:tc>
          <w:tcPr>
            <w:tcW w:w="0" w:type="auto"/>
            <w:tcMar>
              <w:top w:w="100" w:type="dxa"/>
              <w:left w:w="100" w:type="dxa"/>
              <w:bottom w:w="100" w:type="dxa"/>
              <w:right w:w="100" w:type="dxa"/>
            </w:tcMar>
          </w:tcPr>
          <w:p w14:paraId="03C8862E"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Competitive Rivalry</w:t>
            </w:r>
          </w:p>
        </w:tc>
        <w:tc>
          <w:tcPr>
            <w:tcW w:w="0" w:type="auto"/>
            <w:tcMar>
              <w:top w:w="100" w:type="dxa"/>
              <w:left w:w="100" w:type="dxa"/>
              <w:bottom w:w="100" w:type="dxa"/>
              <w:right w:w="100" w:type="dxa"/>
            </w:tcMar>
          </w:tcPr>
          <w:p w14:paraId="3ED03C12"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The UK meal subscription market is dominated by HelloFresh UK, Gousto, Mindful Chef, and Prep Kitchen, creating intense competition.</w:t>
            </w:r>
          </w:p>
        </w:tc>
        <w:tc>
          <w:tcPr>
            <w:tcW w:w="0" w:type="auto"/>
            <w:tcMar>
              <w:top w:w="100" w:type="dxa"/>
              <w:left w:w="100" w:type="dxa"/>
              <w:bottom w:w="100" w:type="dxa"/>
              <w:right w:w="100" w:type="dxa"/>
            </w:tcMar>
          </w:tcPr>
          <w:p w14:paraId="559D6291" w14:textId="77777777" w:rsidR="00E64A65" w:rsidRPr="00711A17" w:rsidRDefault="00227775">
            <w:pPr>
              <w:widowControl w:val="0"/>
              <w:rPr>
                <w:rFonts w:eastAsia="Times New Roman" w:cs="Calibri"/>
                <w:szCs w:val="24"/>
                <w:lang w:val="en-GB"/>
              </w:rPr>
            </w:pPr>
            <w:r w:rsidRPr="00711A17">
              <w:rPr>
                <w:rFonts w:eastAsia="Times New Roman" w:cs="Calibri"/>
                <w:szCs w:val="24"/>
                <w:lang w:val="en-GB"/>
              </w:rPr>
              <w:t xml:space="preserve">High </w:t>
            </w:r>
          </w:p>
        </w:tc>
      </w:tr>
    </w:tbl>
    <w:p w14:paraId="2365CF2B" w14:textId="77777777" w:rsidR="00E64A65" w:rsidRPr="00711A17" w:rsidRDefault="00227775">
      <w:pPr>
        <w:jc w:val="center"/>
        <w:rPr>
          <w:rFonts w:eastAsia="Times New Roman" w:cs="Calibri"/>
          <w:b/>
          <w:bCs/>
          <w:szCs w:val="24"/>
          <w:lang w:val="en-GB"/>
        </w:rPr>
      </w:pPr>
      <w:r w:rsidRPr="00711A17">
        <w:rPr>
          <w:rFonts w:eastAsia="Times New Roman" w:cs="Calibri"/>
          <w:b/>
          <w:bCs/>
          <w:szCs w:val="24"/>
          <w:lang w:val="en-GB"/>
        </w:rPr>
        <w:t xml:space="preserve">Table 2: Porter’s Five Force Analysis </w:t>
      </w:r>
    </w:p>
    <w:p w14:paraId="13C95913" w14:textId="77777777" w:rsidR="00E64A65" w:rsidRPr="00711A17" w:rsidRDefault="00227775">
      <w:pPr>
        <w:jc w:val="center"/>
        <w:rPr>
          <w:rFonts w:eastAsia="Times New Roman" w:cs="Calibri"/>
          <w:szCs w:val="24"/>
          <w:lang w:val="en-GB"/>
        </w:rPr>
      </w:pPr>
      <w:r w:rsidRPr="00711A17">
        <w:rPr>
          <w:rFonts w:eastAsia="Times New Roman" w:cs="Calibri"/>
          <w:szCs w:val="24"/>
          <w:lang w:val="en-GB"/>
        </w:rPr>
        <w:t>(Source: Self-Developed)</w:t>
      </w:r>
    </w:p>
    <w:p w14:paraId="640420C7" w14:textId="77777777" w:rsidR="005A47BC" w:rsidRDefault="00227775">
      <w:pPr>
        <w:rPr>
          <w:rFonts w:eastAsia="Times New Roman" w:cs="Calibri"/>
          <w:szCs w:val="24"/>
          <w:lang w:val="en-GB"/>
        </w:rPr>
      </w:pPr>
      <w:r w:rsidRPr="00711A17">
        <w:rPr>
          <w:rFonts w:eastAsia="Times New Roman" w:cs="Calibri"/>
          <w:szCs w:val="24"/>
          <w:lang w:val="en-GB"/>
        </w:rPr>
        <w:t xml:space="preserve">According to Porter's Five Forces, there is stiff competition in the UK healthy meal delivery market, mainly due to intense rivalry and high buyer power. The existing companies, such as HelloFresh UK, Gousto, and Mindful Chef, have created established brands, wide distribution channels, and a strong customer base, which will raise competition for new players (Hickey, 2024). </w:t>
      </w:r>
    </w:p>
    <w:p w14:paraId="2E6AE713" w14:textId="34EC3042" w:rsidR="00E64A65" w:rsidRPr="00711A17" w:rsidRDefault="00227775">
      <w:pPr>
        <w:rPr>
          <w:rFonts w:eastAsia="Times New Roman" w:cs="Calibri"/>
          <w:szCs w:val="24"/>
          <w:lang w:val="en-GB"/>
        </w:rPr>
      </w:pPr>
      <w:r w:rsidRPr="00711A17">
        <w:rPr>
          <w:rFonts w:eastAsia="Times New Roman" w:cs="Calibri"/>
          <w:szCs w:val="24"/>
          <w:lang w:val="en-GB"/>
        </w:rPr>
        <w:t>However, the rising health consciousness and the need for convenience in nutrition provide a platform for innovation. NutriBox can use competitive advantage through its affordable customised meal plan, flexible subscription service, eco-friendly packaging, and customer care. Building strategic supplier partnerships and adopting digital technology will enhance its competitiveness in the future.</w:t>
      </w:r>
    </w:p>
    <w:p w14:paraId="562F8E15" w14:textId="77777777" w:rsidR="00E64A65" w:rsidRPr="00711A17" w:rsidRDefault="00227775">
      <w:pPr>
        <w:pStyle w:val="Heading2"/>
        <w:rPr>
          <w:rFonts w:cs="Calibri"/>
          <w:lang w:val="en-GB"/>
        </w:rPr>
      </w:pPr>
      <w:bookmarkStart w:id="22" w:name="_4kl0ypiq7c1u" w:colFirst="0" w:colLast="0"/>
      <w:bookmarkStart w:id="23" w:name="_Toc235974328"/>
      <w:bookmarkEnd w:id="22"/>
      <w:r w:rsidRPr="00711A17">
        <w:rPr>
          <w:rFonts w:cs="Calibri"/>
          <w:lang w:val="en-GB"/>
        </w:rPr>
        <w:t>2.5 Value Proposition Canvas</w:t>
      </w:r>
      <w:bookmarkEnd w:id="23"/>
    </w:p>
    <w:p w14:paraId="796A8EB9" w14:textId="7F4A66A3" w:rsidR="00E64A65" w:rsidRPr="00711A17" w:rsidRDefault="00227775">
      <w:pPr>
        <w:rPr>
          <w:rFonts w:eastAsia="Times New Roman" w:cs="Calibri"/>
          <w:szCs w:val="24"/>
          <w:lang w:val="en-GB"/>
        </w:rPr>
      </w:pPr>
      <w:r w:rsidRPr="00711A17">
        <w:rPr>
          <w:rFonts w:eastAsia="Times New Roman" w:cs="Calibri"/>
          <w:szCs w:val="24"/>
          <w:lang w:val="en-GB"/>
        </w:rPr>
        <w:t xml:space="preserve">The Value Proposition Canvas model is used to ensure that the company's products and services are consistent with the customers' needs by ensuring customer jobs, customer pains and customer gains are linked to value propositions (Ociepa-Kubicka, 2024). NutriBox's Value Proposition Canvas will identify the need for healthy, affordable and convenient meals among busy professionals, together with the pains such as lack of time and unhealthy eating practices. This model helps in the creation of customised meal plans, flexible subscriptions and sustainable packaging; </w:t>
      </w:r>
      <w:r w:rsidR="001E38FF" w:rsidRPr="00711A17">
        <w:rPr>
          <w:rFonts w:eastAsia="Times New Roman" w:cs="Calibri"/>
          <w:szCs w:val="24"/>
          <w:lang w:val="en-GB"/>
        </w:rPr>
        <w:t>thus,</w:t>
      </w:r>
      <w:r w:rsidRPr="00711A17">
        <w:rPr>
          <w:rFonts w:eastAsia="Times New Roman" w:cs="Calibri"/>
          <w:szCs w:val="24"/>
          <w:lang w:val="en-GB"/>
        </w:rPr>
        <w:t xml:space="preserve"> making the customers more satisfied.</w:t>
      </w:r>
    </w:p>
    <w:p w14:paraId="07F239E9" w14:textId="77777777" w:rsidR="00E64A65" w:rsidRPr="00711A17" w:rsidRDefault="00227775">
      <w:pPr>
        <w:pStyle w:val="Heading2"/>
        <w:rPr>
          <w:rFonts w:cs="Calibri"/>
          <w:lang w:val="en-GB"/>
        </w:rPr>
      </w:pPr>
      <w:bookmarkStart w:id="24" w:name="_387kamtm2zku" w:colFirst="0" w:colLast="0"/>
      <w:bookmarkStart w:id="25" w:name="_Toc235974329"/>
      <w:bookmarkEnd w:id="24"/>
      <w:r w:rsidRPr="00711A17">
        <w:rPr>
          <w:rFonts w:cs="Calibri"/>
          <w:lang w:val="en-GB"/>
        </w:rPr>
        <w:t>2.6 Business Model Canvas</w:t>
      </w:r>
      <w:bookmarkEnd w:id="25"/>
    </w:p>
    <w:p w14:paraId="72A445EE" w14:textId="77777777" w:rsidR="00E64A65" w:rsidRPr="00711A17" w:rsidRDefault="00227775">
      <w:pPr>
        <w:rPr>
          <w:rFonts w:eastAsia="Times New Roman" w:cs="Calibri"/>
          <w:szCs w:val="24"/>
          <w:lang w:val="en-GB"/>
        </w:rPr>
      </w:pPr>
      <w:r w:rsidRPr="00711A17">
        <w:rPr>
          <w:rFonts w:eastAsia="Times New Roman" w:cs="Calibri"/>
          <w:szCs w:val="24"/>
          <w:lang w:val="en-GB"/>
        </w:rPr>
        <w:t>The Business Model Canvas (BMC) is a strategy tool that provides direction for the development of a plan that enables the business to develop, deliver and capture value through a series of processes (Harianto and Soenardi, 2022). Nine core elements make up the BMC, which include customer segments, value propositions, channels, customer relationships, revenue streams, key resources, key activities, key partners, and cost structure. In this case, BMC will be used by NutriBox to create a sustainable business model for the UK healthy meals subscription industry.</w:t>
      </w:r>
    </w:p>
    <w:p w14:paraId="231BB4B2" w14:textId="77777777" w:rsidR="00E64A65" w:rsidRPr="00711A17" w:rsidRDefault="00227775">
      <w:pPr>
        <w:jc w:val="center"/>
        <w:rPr>
          <w:rFonts w:eastAsia="Times New Roman" w:cs="Calibri"/>
          <w:szCs w:val="24"/>
          <w:lang w:val="en-GB"/>
        </w:rPr>
      </w:pPr>
      <w:r w:rsidRPr="00711A17">
        <w:rPr>
          <w:rFonts w:eastAsia="Times New Roman" w:cs="Calibri"/>
          <w:noProof/>
          <w:szCs w:val="24"/>
          <w:lang w:val="en-IN"/>
        </w:rPr>
        <w:drawing>
          <wp:inline distT="114300" distB="114300" distL="114300" distR="114300" wp14:anchorId="683449B5" wp14:editId="2D191057">
            <wp:extent cx="5803900" cy="3732213"/>
            <wp:effectExtent l="38100" t="38100" r="44450" b="40005"/>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814275" cy="3738885"/>
                    </a:xfrm>
                    <a:prstGeom prst="rect">
                      <a:avLst/>
                    </a:prstGeom>
                    <a:ln w="25400">
                      <a:solidFill>
                        <a:srgbClr val="000000"/>
                      </a:solidFill>
                      <a:prstDash val="solid"/>
                    </a:ln>
                  </pic:spPr>
                </pic:pic>
              </a:graphicData>
            </a:graphic>
          </wp:inline>
        </w:drawing>
      </w:r>
    </w:p>
    <w:p w14:paraId="78EFE69B" w14:textId="77777777" w:rsidR="00E64A65" w:rsidRPr="00711A17" w:rsidRDefault="00227775">
      <w:pPr>
        <w:jc w:val="center"/>
        <w:rPr>
          <w:rFonts w:eastAsia="Times New Roman" w:cs="Calibri"/>
          <w:b/>
          <w:bCs/>
          <w:szCs w:val="24"/>
          <w:lang w:val="en-GB"/>
        </w:rPr>
      </w:pPr>
      <w:r w:rsidRPr="00711A17">
        <w:rPr>
          <w:rFonts w:eastAsia="Times New Roman" w:cs="Calibri"/>
          <w:b/>
          <w:bCs/>
          <w:szCs w:val="24"/>
          <w:lang w:val="en-GB"/>
        </w:rPr>
        <w:t>Figure 4: Business Model Canvas</w:t>
      </w:r>
    </w:p>
    <w:p w14:paraId="7F4666FE" w14:textId="4C7A2B57" w:rsidR="00E64A65" w:rsidRPr="00711A17" w:rsidRDefault="00227775" w:rsidP="00BA62B4">
      <w:pPr>
        <w:jc w:val="center"/>
        <w:rPr>
          <w:rFonts w:eastAsia="Times New Roman" w:cs="Calibri"/>
          <w:szCs w:val="24"/>
          <w:lang w:val="en-GB"/>
        </w:rPr>
      </w:pPr>
      <w:r w:rsidRPr="00711A17">
        <w:rPr>
          <w:rFonts w:eastAsia="Times New Roman" w:cs="Calibri"/>
          <w:szCs w:val="24"/>
          <w:lang w:val="en-GB"/>
        </w:rPr>
        <w:t>(Source: Self-Developed</w:t>
      </w:r>
      <w:r w:rsidR="002B7B37">
        <w:rPr>
          <w:rFonts w:eastAsia="Times New Roman" w:cs="Calibri"/>
          <w:szCs w:val="24"/>
          <w:lang w:val="en-GB"/>
        </w:rPr>
        <w:t>)</w:t>
      </w:r>
    </w:p>
    <w:p w14:paraId="4AEA0D51" w14:textId="77777777" w:rsidR="00E64A65" w:rsidRPr="00711A17" w:rsidRDefault="00227775">
      <w:pPr>
        <w:pStyle w:val="Heading2"/>
        <w:rPr>
          <w:rFonts w:cs="Calibri"/>
          <w:lang w:val="en-GB"/>
        </w:rPr>
      </w:pPr>
      <w:bookmarkStart w:id="26" w:name="_w8zqv1t65a9k" w:colFirst="0" w:colLast="0"/>
      <w:bookmarkStart w:id="27" w:name="_Toc235974330"/>
      <w:bookmarkEnd w:id="26"/>
      <w:r w:rsidRPr="00711A17">
        <w:rPr>
          <w:rFonts w:cs="Calibri"/>
          <w:lang w:val="en-GB"/>
        </w:rPr>
        <w:t>2.7 Chapter Summary</w:t>
      </w:r>
      <w:bookmarkEnd w:id="27"/>
    </w:p>
    <w:p w14:paraId="100DBDC3" w14:textId="77777777" w:rsidR="00E64A65" w:rsidRPr="00711A17" w:rsidRDefault="00227775">
      <w:pPr>
        <w:rPr>
          <w:rFonts w:eastAsia="Times New Roman" w:cs="Calibri"/>
          <w:szCs w:val="24"/>
          <w:lang w:val="en-GB"/>
        </w:rPr>
      </w:pPr>
      <w:r w:rsidRPr="00711A17">
        <w:rPr>
          <w:rFonts w:eastAsia="Times New Roman" w:cs="Calibri"/>
          <w:szCs w:val="24"/>
          <w:lang w:val="en-GB"/>
        </w:rPr>
        <w:t>The above chapter analysed some of the major theories and frameworks which are the basis of the Business Development Proposal, such as the Jobs-to-be-done (JTBD), PESTLE, Porter's Five Forces, Value Proposition Canvas and Business Model Canvas. All these frameworks serve as a solid theoretical framework to assess the feasibility of NutriBox from a business point of view.</w:t>
      </w:r>
    </w:p>
    <w:p w14:paraId="7A359370" w14:textId="77777777" w:rsidR="00E64A65" w:rsidRPr="00711A17" w:rsidRDefault="00227775">
      <w:pPr>
        <w:rPr>
          <w:rFonts w:eastAsia="Times New Roman" w:cs="Calibri"/>
          <w:b/>
          <w:bCs/>
          <w:szCs w:val="24"/>
          <w:lang w:val="en-GB"/>
        </w:rPr>
      </w:pPr>
      <w:r w:rsidRPr="00711A17">
        <w:rPr>
          <w:rFonts w:cs="Calibri"/>
          <w:lang w:val="en-GB"/>
        </w:rPr>
        <w:br w:type="page"/>
      </w:r>
    </w:p>
    <w:p w14:paraId="74663954" w14:textId="77777777" w:rsidR="00E64A65" w:rsidRPr="00711A17" w:rsidRDefault="00227775">
      <w:pPr>
        <w:pStyle w:val="Heading1"/>
        <w:rPr>
          <w:rFonts w:cs="Calibri"/>
          <w:lang w:val="en-GB"/>
        </w:rPr>
      </w:pPr>
      <w:bookmarkStart w:id="28" w:name="_ktjr8kwetnry" w:colFirst="0" w:colLast="0"/>
      <w:bookmarkStart w:id="29" w:name="_Toc235974331"/>
      <w:bookmarkEnd w:id="28"/>
      <w:r w:rsidRPr="00711A17">
        <w:rPr>
          <w:rFonts w:cs="Calibri"/>
          <w:lang w:val="en-GB"/>
        </w:rPr>
        <w:t>3. Methodology</w:t>
      </w:r>
      <w:bookmarkEnd w:id="29"/>
    </w:p>
    <w:p w14:paraId="10B23F48" w14:textId="77777777" w:rsidR="00E64A65" w:rsidRPr="00711A17" w:rsidRDefault="00227775">
      <w:pPr>
        <w:pStyle w:val="Heading2"/>
        <w:rPr>
          <w:rFonts w:cs="Calibri"/>
          <w:lang w:val="en-GB"/>
        </w:rPr>
      </w:pPr>
      <w:bookmarkStart w:id="30" w:name="_cpra2k7ytxun" w:colFirst="0" w:colLast="0"/>
      <w:bookmarkStart w:id="31" w:name="_Toc235974332"/>
      <w:bookmarkEnd w:id="30"/>
      <w:r w:rsidRPr="00711A17">
        <w:rPr>
          <w:rFonts w:cs="Calibri"/>
          <w:lang w:val="en-GB"/>
        </w:rPr>
        <w:t>3.1 Research Approach</w:t>
      </w:r>
      <w:bookmarkEnd w:id="31"/>
    </w:p>
    <w:p w14:paraId="21327910" w14:textId="77777777" w:rsidR="00E64A65" w:rsidRDefault="00227775">
      <w:pPr>
        <w:rPr>
          <w:rFonts w:eastAsia="Times New Roman" w:cs="Calibri"/>
          <w:szCs w:val="24"/>
          <w:lang w:val="en-GB"/>
        </w:rPr>
      </w:pPr>
      <w:r w:rsidRPr="00711A17">
        <w:rPr>
          <w:rFonts w:eastAsia="Times New Roman" w:cs="Calibri"/>
          <w:szCs w:val="24"/>
          <w:lang w:val="en-GB"/>
        </w:rPr>
        <w:t xml:space="preserve">In the development of this Business Development Proposal, the use of a mixed-methods approach will be implemented, in that both primary and secondary research will be used to assess the commercial viability of the NutriBox project, a health meal delivery service for professionals in the United Kingdom. The combination of both qualitative and quantitative information is essential in making well-informed decisions for the business (Ibeh </w:t>
      </w:r>
      <w:r w:rsidRPr="00711A17">
        <w:rPr>
          <w:rFonts w:eastAsia="Times New Roman" w:cs="Calibri"/>
          <w:i/>
          <w:iCs/>
          <w:szCs w:val="24"/>
          <w:lang w:val="en-GB"/>
        </w:rPr>
        <w:t>et al.</w:t>
      </w:r>
      <w:r w:rsidRPr="00711A17">
        <w:rPr>
          <w:rFonts w:eastAsia="Times New Roman" w:cs="Calibri"/>
          <w:szCs w:val="24"/>
          <w:lang w:val="en-GB"/>
        </w:rPr>
        <w:t xml:space="preserve"> 2024).</w:t>
      </w:r>
    </w:p>
    <w:p w14:paraId="279DC343" w14:textId="0AD35E89" w:rsidR="00FB0813" w:rsidRPr="00711A17" w:rsidRDefault="00FB0813">
      <w:pPr>
        <w:rPr>
          <w:rFonts w:eastAsia="Times New Roman" w:cs="Calibri"/>
          <w:szCs w:val="24"/>
          <w:lang w:val="en-GB"/>
        </w:rPr>
      </w:pPr>
    </w:p>
    <w:p w14:paraId="285B0E5D" w14:textId="77777777" w:rsidR="00E64A65" w:rsidRPr="00711A17" w:rsidRDefault="00227775">
      <w:pPr>
        <w:pStyle w:val="Heading2"/>
        <w:rPr>
          <w:rFonts w:cs="Calibri"/>
          <w:lang w:val="en-GB"/>
        </w:rPr>
      </w:pPr>
      <w:bookmarkStart w:id="32" w:name="_i3sk7q17brze" w:colFirst="0" w:colLast="0"/>
      <w:bookmarkStart w:id="33" w:name="_Toc235974333"/>
      <w:bookmarkEnd w:id="32"/>
      <w:r w:rsidRPr="00711A17">
        <w:rPr>
          <w:rFonts w:cs="Calibri"/>
          <w:lang w:val="en-GB"/>
        </w:rPr>
        <w:t>3.2 Primary Data Collection</w:t>
      </w:r>
      <w:bookmarkEnd w:id="33"/>
    </w:p>
    <w:p w14:paraId="4842DE6D" w14:textId="54BD5D65" w:rsidR="00E64A65" w:rsidRPr="00711A17" w:rsidRDefault="00227775">
      <w:pPr>
        <w:rPr>
          <w:rFonts w:eastAsia="Times New Roman" w:cs="Calibri"/>
          <w:szCs w:val="24"/>
          <w:lang w:val="en-GB"/>
        </w:rPr>
      </w:pPr>
      <w:r w:rsidRPr="00711A17">
        <w:rPr>
          <w:rFonts w:eastAsia="Times New Roman" w:cs="Calibri"/>
          <w:szCs w:val="24"/>
          <w:lang w:val="en-GB"/>
        </w:rPr>
        <w:t xml:space="preserve">Primary research will be conducted by using semi-structured interviews with about 8-10 </w:t>
      </w:r>
      <w:r w:rsidR="00AE4B0A" w:rsidRPr="00711A17">
        <w:rPr>
          <w:rFonts w:eastAsia="Times New Roman" w:cs="Calibri"/>
          <w:szCs w:val="24"/>
          <w:lang w:val="en-GB"/>
        </w:rPr>
        <w:t>full</w:t>
      </w:r>
      <w:r w:rsidRPr="00711A17">
        <w:rPr>
          <w:rFonts w:eastAsia="Times New Roman" w:cs="Calibri"/>
          <w:szCs w:val="24"/>
          <w:lang w:val="en-GB"/>
        </w:rPr>
        <w:t xml:space="preserve"> professionals aged between 25-45 years, who work in big cities of the UK. </w:t>
      </w:r>
      <w:r w:rsidR="00FB0813" w:rsidRPr="00FB0813">
        <w:rPr>
          <w:rFonts w:eastAsia="Times New Roman" w:cs="Calibri"/>
          <w:color w:val="FF0000"/>
          <w:szCs w:val="24"/>
          <w:lang w:val="en-GB"/>
        </w:rPr>
        <w:t xml:space="preserve"> </w:t>
      </w:r>
      <w:r w:rsidRPr="00711A17">
        <w:rPr>
          <w:rFonts w:eastAsia="Times New Roman" w:cs="Calibri"/>
          <w:szCs w:val="24"/>
          <w:lang w:val="en-GB"/>
        </w:rPr>
        <w:t>The purpose of such interviews would be to gather data related to the dietary behaviour of interviewees, difficulties in having a healthy diet, willingness to subscribe to a meal delivery service, preferred prices for the service, and desirable products to be delivered by NutriBox. It would help the company to confirm the feasibility of its business idea based on primary research.</w:t>
      </w:r>
    </w:p>
    <w:p w14:paraId="485BD0DE" w14:textId="77777777" w:rsidR="00E64A65" w:rsidRPr="00711A17" w:rsidRDefault="00227775">
      <w:pPr>
        <w:pStyle w:val="Heading2"/>
        <w:rPr>
          <w:rFonts w:cs="Calibri"/>
          <w:lang w:val="en-GB"/>
        </w:rPr>
      </w:pPr>
      <w:bookmarkStart w:id="34" w:name="_umixs1o8uqd7" w:colFirst="0" w:colLast="0"/>
      <w:bookmarkStart w:id="35" w:name="_Toc235974334"/>
      <w:bookmarkEnd w:id="34"/>
      <w:r w:rsidRPr="00711A17">
        <w:rPr>
          <w:rFonts w:cs="Calibri"/>
          <w:lang w:val="en-GB"/>
        </w:rPr>
        <w:t>3.3 Secondary Data Collection</w:t>
      </w:r>
      <w:bookmarkEnd w:id="35"/>
    </w:p>
    <w:p w14:paraId="0568A341" w14:textId="06C5F47D" w:rsidR="00E64A65" w:rsidRPr="00711A17" w:rsidRDefault="00227775">
      <w:pPr>
        <w:rPr>
          <w:rFonts w:eastAsia="Times New Roman" w:cs="Calibri"/>
          <w:szCs w:val="24"/>
          <w:lang w:val="en-GB"/>
        </w:rPr>
      </w:pPr>
      <w:r w:rsidRPr="00711A17">
        <w:rPr>
          <w:rFonts w:eastAsia="Times New Roman" w:cs="Calibri"/>
          <w:szCs w:val="24"/>
          <w:lang w:val="en-GB"/>
        </w:rPr>
        <w:t xml:space="preserve">Secondary data will be collected using various sources such as Office for National Statistics (ONS), NHS England, Mintel, IBISWorld, government documents, and company reports. The above sources will offer information about the size of the market, consumer behaviour, </w:t>
      </w:r>
      <w:r w:rsidR="00F5537D" w:rsidRPr="00711A17">
        <w:rPr>
          <w:rFonts w:eastAsia="Times New Roman" w:cs="Calibri"/>
          <w:szCs w:val="24"/>
          <w:lang w:val="en-GB"/>
        </w:rPr>
        <w:t>and market</w:t>
      </w:r>
      <w:r w:rsidRPr="00711A17">
        <w:rPr>
          <w:rFonts w:eastAsia="Times New Roman" w:cs="Calibri"/>
          <w:szCs w:val="24"/>
          <w:lang w:val="en-GB"/>
        </w:rPr>
        <w:t xml:space="preserve"> trends, money spent on food, obesity statistics, pricing strategies, and competitive actions in the healthy </w:t>
      </w:r>
      <w:r w:rsidR="001E38FF" w:rsidRPr="00711A17">
        <w:rPr>
          <w:rFonts w:eastAsia="Times New Roman" w:cs="Calibri"/>
          <w:szCs w:val="24"/>
          <w:lang w:val="en-GB"/>
        </w:rPr>
        <w:t>meal’s</w:t>
      </w:r>
      <w:r w:rsidRPr="00711A17">
        <w:rPr>
          <w:rFonts w:eastAsia="Times New Roman" w:cs="Calibri"/>
          <w:szCs w:val="24"/>
          <w:lang w:val="en-GB"/>
        </w:rPr>
        <w:t xml:space="preserve"> subscription market in the UK. Using several sources makes the business analysis more credible.</w:t>
      </w:r>
    </w:p>
    <w:p w14:paraId="1A4B967C" w14:textId="77777777" w:rsidR="00E64A65" w:rsidRPr="00711A17" w:rsidRDefault="00227775">
      <w:pPr>
        <w:pStyle w:val="Heading2"/>
        <w:rPr>
          <w:rFonts w:cs="Calibri"/>
          <w:lang w:val="en-GB"/>
        </w:rPr>
      </w:pPr>
      <w:bookmarkStart w:id="36" w:name="_mx6clb1oujxb" w:colFirst="0" w:colLast="0"/>
      <w:bookmarkStart w:id="37" w:name="_Toc235974335"/>
      <w:bookmarkEnd w:id="36"/>
      <w:r w:rsidRPr="00711A17">
        <w:rPr>
          <w:rFonts w:cs="Calibri"/>
          <w:lang w:val="en-GB"/>
        </w:rPr>
        <w:t>3.4 Data Analysis</w:t>
      </w:r>
      <w:bookmarkEnd w:id="37"/>
    </w:p>
    <w:p w14:paraId="60D8CA6B" w14:textId="77777777" w:rsidR="00E64A65" w:rsidRPr="00711A17" w:rsidRDefault="00227775">
      <w:pPr>
        <w:rPr>
          <w:rFonts w:eastAsia="Times New Roman" w:cs="Calibri"/>
          <w:szCs w:val="24"/>
          <w:lang w:val="en-GB"/>
        </w:rPr>
      </w:pPr>
      <w:r w:rsidRPr="00711A17">
        <w:rPr>
          <w:rFonts w:eastAsia="Times New Roman" w:cs="Calibri"/>
          <w:szCs w:val="24"/>
          <w:lang w:val="en-GB"/>
        </w:rPr>
        <w:t>The primary data that is collected via semi-structured interviews will be analysed using thematic analysis (Braun and Clarke, 2021), thereby allowing recurring themes related to healthy eating, convenience, price, and preferred meals to be recognised. The secondary data collected through industry reports, government publications, and corporate reports will be analysed using descriptive and comparative analysis to identify trends in the market, customer behaviour, competitor strategies, and market size. The information will then be analysed using the following frameworks: JTBD (Jobs-to-be-done) to identify customer needs, PESTLE for evaluation of the UK external environment, Porter's Five Forces for analysis of competitiveness of the industry, Value Proposition Canvas for generation of customer value, and Business Model Canvas for generation of a business model.</w:t>
      </w:r>
    </w:p>
    <w:p w14:paraId="77DA4DA0" w14:textId="77777777" w:rsidR="00E64A65" w:rsidRPr="00711A17" w:rsidRDefault="00227775">
      <w:pPr>
        <w:pStyle w:val="Heading2"/>
        <w:rPr>
          <w:rFonts w:cs="Calibri"/>
          <w:lang w:val="en-GB"/>
        </w:rPr>
      </w:pPr>
      <w:bookmarkStart w:id="38" w:name="_f2grr2845kfw" w:colFirst="0" w:colLast="0"/>
      <w:bookmarkStart w:id="39" w:name="_Toc235974336"/>
      <w:bookmarkEnd w:id="38"/>
      <w:r w:rsidRPr="00711A17">
        <w:rPr>
          <w:rFonts w:cs="Calibri"/>
          <w:lang w:val="en-GB"/>
        </w:rPr>
        <w:t>3.5 Limitations and Ethical Considerations</w:t>
      </w:r>
      <w:bookmarkEnd w:id="39"/>
    </w:p>
    <w:p w14:paraId="0CE0DC67" w14:textId="77777777" w:rsidR="00E64A65" w:rsidRPr="00711A17" w:rsidRDefault="00227775">
      <w:pPr>
        <w:rPr>
          <w:rFonts w:eastAsia="Times New Roman" w:cs="Calibri"/>
          <w:szCs w:val="24"/>
          <w:lang w:val="en-GB"/>
        </w:rPr>
      </w:pPr>
      <w:r w:rsidRPr="00711A17">
        <w:rPr>
          <w:rFonts w:eastAsia="Times New Roman" w:cs="Calibri"/>
          <w:szCs w:val="24"/>
          <w:lang w:val="en-GB"/>
        </w:rPr>
        <w:t>Although the methodology suggested offers a certain degree of structure to follow, the relatively small size of the interview sample might affect the generalisability of results (Braun and Clarke, 2021). In addition, secondary sources can be published in different time periods using different reporting approaches. The ethical issues that arise include giving informed consent to participants of interviews, maintaining their confidentiality and anonymity, observing UK GDPR, and citing secondary sources properly.</w:t>
      </w:r>
    </w:p>
    <w:p w14:paraId="297416D6" w14:textId="77777777" w:rsidR="00E64A65" w:rsidRPr="00711A17" w:rsidRDefault="00227775">
      <w:pPr>
        <w:pStyle w:val="Heading1"/>
        <w:rPr>
          <w:rFonts w:cs="Calibri"/>
          <w:lang w:val="en-GB"/>
        </w:rPr>
      </w:pPr>
      <w:bookmarkStart w:id="40" w:name="_2igwfxm75nhf" w:colFirst="0" w:colLast="0"/>
      <w:bookmarkStart w:id="41" w:name="_Toc235974337"/>
      <w:bookmarkEnd w:id="40"/>
      <w:r w:rsidRPr="00711A17">
        <w:rPr>
          <w:rFonts w:cs="Calibri"/>
          <w:lang w:val="en-GB"/>
        </w:rPr>
        <w:t>4. Initial market opportunity analysis</w:t>
      </w:r>
      <w:bookmarkEnd w:id="41"/>
    </w:p>
    <w:p w14:paraId="659CEB27" w14:textId="77777777" w:rsidR="00E64A65" w:rsidRPr="00711A17" w:rsidRDefault="00227775">
      <w:pPr>
        <w:rPr>
          <w:rFonts w:eastAsia="Times New Roman" w:cs="Calibri"/>
          <w:szCs w:val="24"/>
          <w:lang w:val="en-GB"/>
        </w:rPr>
      </w:pPr>
      <w:r w:rsidRPr="00711A17">
        <w:rPr>
          <w:rFonts w:eastAsia="Times New Roman" w:cs="Calibri"/>
          <w:szCs w:val="24"/>
          <w:lang w:val="en-GB"/>
        </w:rPr>
        <w:t xml:space="preserve">This chapter analyses the business potential of NutriBox using the tools from the literature review that are to be applied to examine the attractiveness of the UK market for healthy meal subscriptions. The analysis involves both secondary market data and suggestions on the primary data that would reveal customers’ insights to establish the presence of a business opportunity (Omowole </w:t>
      </w:r>
      <w:r w:rsidRPr="00711A17">
        <w:rPr>
          <w:rFonts w:eastAsia="Times New Roman" w:cs="Calibri"/>
          <w:i/>
          <w:iCs/>
          <w:szCs w:val="24"/>
          <w:lang w:val="en-GB"/>
        </w:rPr>
        <w:t>et al.</w:t>
      </w:r>
      <w:r w:rsidRPr="00711A17">
        <w:rPr>
          <w:rFonts w:eastAsia="Times New Roman" w:cs="Calibri"/>
          <w:szCs w:val="24"/>
          <w:lang w:val="en-GB"/>
        </w:rPr>
        <w:t xml:space="preserve"> 2024). The JTBD framework will be applied to understand the functional and emotional needs of busy professionals, and PESTLE analysis will be used to look into political, economic, social, technological, legal, and environmental factors impacting the market demand.</w:t>
      </w:r>
    </w:p>
    <w:p w14:paraId="7BB51BFE" w14:textId="77777777" w:rsidR="00D56200" w:rsidRDefault="00227775">
      <w:pPr>
        <w:rPr>
          <w:rFonts w:eastAsia="Times New Roman" w:cs="Calibri"/>
          <w:szCs w:val="24"/>
          <w:lang w:val="en-GB"/>
        </w:rPr>
      </w:pPr>
      <w:r w:rsidRPr="00711A17">
        <w:rPr>
          <w:rFonts w:eastAsia="Times New Roman" w:cs="Calibri"/>
          <w:szCs w:val="24"/>
          <w:lang w:val="en-GB"/>
        </w:rPr>
        <w:t xml:space="preserve">The UK healthy meal subscription market is seen to have great potential due to rising health awareness, hectic work schedules, and the rise in digital purchases of food items. </w:t>
      </w:r>
    </w:p>
    <w:p w14:paraId="4FF62816" w14:textId="704AABFE" w:rsidR="00E64A65" w:rsidRPr="00711A17" w:rsidRDefault="00227775">
      <w:pPr>
        <w:rPr>
          <w:rFonts w:eastAsia="Times New Roman" w:cs="Calibri"/>
          <w:szCs w:val="24"/>
          <w:lang w:val="en-GB"/>
        </w:rPr>
      </w:pPr>
      <w:r w:rsidRPr="00711A17">
        <w:rPr>
          <w:rFonts w:eastAsia="Times New Roman" w:cs="Calibri"/>
          <w:szCs w:val="24"/>
          <w:lang w:val="en-GB"/>
        </w:rPr>
        <w:t>As per Grandview Research (2025), the online food delivery market in the UK is expected to earn US$18.8 billion due to rising acceptance of online meal service providers among customers. But due to rising inflation and increasing cost of living, prices have become a major concern for customers. Therefore, NutriBox plans to attract the attention of working professionals aged 25 to 45 in the UK's major cities through competitive, personalised meal subscriptions. This report analyses how market trends affect the business.</w:t>
      </w:r>
    </w:p>
    <w:p w14:paraId="316CA391" w14:textId="77777777" w:rsidR="00E64A65" w:rsidRPr="00711A17" w:rsidRDefault="00227775">
      <w:pPr>
        <w:pStyle w:val="Heading1"/>
        <w:rPr>
          <w:rFonts w:cs="Calibri"/>
          <w:lang w:val="en-GB"/>
        </w:rPr>
      </w:pPr>
      <w:bookmarkStart w:id="42" w:name="_ldvrr7ywosp3" w:colFirst="0" w:colLast="0"/>
      <w:bookmarkStart w:id="43" w:name="_Toc235974338"/>
      <w:bookmarkEnd w:id="42"/>
      <w:r w:rsidRPr="00711A17">
        <w:rPr>
          <w:rFonts w:cs="Calibri"/>
          <w:lang w:val="en-GB"/>
        </w:rPr>
        <w:t>5. Limitations</w:t>
      </w:r>
      <w:bookmarkEnd w:id="43"/>
    </w:p>
    <w:p w14:paraId="2FCBC7C5" w14:textId="10A496BD" w:rsidR="00E64A65" w:rsidRPr="00711A17" w:rsidRDefault="001E38FF">
      <w:pPr>
        <w:rPr>
          <w:rFonts w:eastAsia="Times New Roman" w:cs="Calibri"/>
          <w:szCs w:val="24"/>
          <w:lang w:val="en-GB"/>
        </w:rPr>
      </w:pPr>
      <w:r w:rsidRPr="00711A17">
        <w:rPr>
          <w:rFonts w:eastAsia="Times New Roman" w:cs="Calibri"/>
          <w:szCs w:val="24"/>
          <w:lang w:val="en-GB"/>
        </w:rPr>
        <w:t>The Business Development Proposal include the several limitations, including that the proposed primary research would include a limited number of busy professionals as the sample. Data collected secondary can be of varying methodology and publishing dates; thus, this can result in lack of reliability. Apart from this, competitor analysis will depend on information made public, and thus the business strategy may differ internally. As the proposal assesses commercial viability and not business performance, then market conditions, consumer tastes, among other economic considerations could change over time, making NutriBox unviable.</w:t>
      </w:r>
    </w:p>
    <w:p w14:paraId="37BB9F18" w14:textId="77777777" w:rsidR="00E64A65" w:rsidRPr="00711A17" w:rsidRDefault="00227775">
      <w:pPr>
        <w:pStyle w:val="Heading1"/>
        <w:rPr>
          <w:rFonts w:cs="Calibri"/>
          <w:lang w:val="en-GB"/>
        </w:rPr>
      </w:pPr>
      <w:bookmarkStart w:id="44" w:name="_gyeyd39bic4o" w:colFirst="0" w:colLast="0"/>
      <w:bookmarkStart w:id="45" w:name="_Toc235974339"/>
      <w:bookmarkEnd w:id="44"/>
      <w:r w:rsidRPr="00711A17">
        <w:rPr>
          <w:rFonts w:cs="Calibri"/>
          <w:lang w:val="en-GB"/>
        </w:rPr>
        <w:t>6. Timeframe</w:t>
      </w:r>
      <w:bookmarkEnd w:id="45"/>
    </w:p>
    <w:tbl>
      <w:tblPr>
        <w:tblStyle w:val="a1"/>
        <w:tblW w:w="11057" w:type="dxa"/>
        <w:tblInd w:w="-86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01"/>
        <w:gridCol w:w="1020"/>
        <w:gridCol w:w="1080"/>
        <w:gridCol w:w="1155"/>
        <w:gridCol w:w="1395"/>
        <w:gridCol w:w="1125"/>
        <w:gridCol w:w="1215"/>
        <w:gridCol w:w="949"/>
        <w:gridCol w:w="1417"/>
      </w:tblGrid>
      <w:tr w:rsidR="00E64A65" w:rsidRPr="00711A17" w14:paraId="48771ECE" w14:textId="77777777" w:rsidTr="00964786">
        <w:tc>
          <w:tcPr>
            <w:tcW w:w="1701" w:type="dxa"/>
            <w:tcMar>
              <w:top w:w="100" w:type="dxa"/>
              <w:left w:w="100" w:type="dxa"/>
              <w:bottom w:w="100" w:type="dxa"/>
              <w:right w:w="100" w:type="dxa"/>
            </w:tcMar>
          </w:tcPr>
          <w:p w14:paraId="33D31CFB" w14:textId="77777777" w:rsidR="00E64A65" w:rsidRPr="00711A17" w:rsidRDefault="00227775">
            <w:pPr>
              <w:widowControl w:val="0"/>
              <w:pBdr>
                <w:top w:val="nil"/>
                <w:left w:val="nil"/>
                <w:bottom w:val="nil"/>
                <w:right w:val="nil"/>
                <w:between w:val="nil"/>
              </w:pBdr>
              <w:rPr>
                <w:rFonts w:eastAsia="Times New Roman" w:cs="Calibri"/>
                <w:b/>
                <w:bCs/>
                <w:szCs w:val="24"/>
                <w:lang w:val="en-GB"/>
              </w:rPr>
            </w:pPr>
            <w:r w:rsidRPr="00711A17">
              <w:rPr>
                <w:rFonts w:eastAsia="Times New Roman" w:cs="Calibri"/>
                <w:b/>
                <w:bCs/>
                <w:szCs w:val="24"/>
                <w:lang w:val="en-GB"/>
              </w:rPr>
              <w:t xml:space="preserve">Activity </w:t>
            </w:r>
          </w:p>
        </w:tc>
        <w:tc>
          <w:tcPr>
            <w:tcW w:w="1020" w:type="dxa"/>
            <w:tcMar>
              <w:top w:w="100" w:type="dxa"/>
              <w:left w:w="100" w:type="dxa"/>
              <w:bottom w:w="100" w:type="dxa"/>
              <w:right w:w="100" w:type="dxa"/>
            </w:tcMar>
          </w:tcPr>
          <w:p w14:paraId="450BAB0A" w14:textId="77777777" w:rsidR="00E64A65" w:rsidRPr="00711A17" w:rsidRDefault="00227775">
            <w:pPr>
              <w:widowControl w:val="0"/>
              <w:pBdr>
                <w:top w:val="nil"/>
                <w:left w:val="nil"/>
                <w:bottom w:val="nil"/>
                <w:right w:val="nil"/>
                <w:between w:val="nil"/>
              </w:pBdr>
              <w:rPr>
                <w:rFonts w:eastAsia="Times New Roman" w:cs="Calibri"/>
                <w:b/>
                <w:bCs/>
                <w:szCs w:val="24"/>
                <w:lang w:val="en-GB"/>
              </w:rPr>
            </w:pPr>
            <w:r w:rsidRPr="00711A17">
              <w:rPr>
                <w:rFonts w:eastAsia="Times New Roman" w:cs="Calibri"/>
                <w:b/>
                <w:bCs/>
                <w:szCs w:val="24"/>
                <w:lang w:val="en-GB"/>
              </w:rPr>
              <w:t>Week 1</w:t>
            </w:r>
          </w:p>
        </w:tc>
        <w:tc>
          <w:tcPr>
            <w:tcW w:w="1080" w:type="dxa"/>
            <w:tcMar>
              <w:top w:w="100" w:type="dxa"/>
              <w:left w:w="100" w:type="dxa"/>
              <w:bottom w:w="100" w:type="dxa"/>
              <w:right w:w="100" w:type="dxa"/>
            </w:tcMar>
          </w:tcPr>
          <w:p w14:paraId="6BAD8103" w14:textId="77777777" w:rsidR="00E64A65" w:rsidRPr="00711A17" w:rsidRDefault="00227775">
            <w:pPr>
              <w:widowControl w:val="0"/>
              <w:rPr>
                <w:rFonts w:eastAsia="Times New Roman" w:cs="Calibri"/>
                <w:b/>
                <w:bCs/>
                <w:szCs w:val="24"/>
                <w:lang w:val="en-GB"/>
              </w:rPr>
            </w:pPr>
            <w:r w:rsidRPr="00711A17">
              <w:rPr>
                <w:rFonts w:eastAsia="Times New Roman" w:cs="Calibri"/>
                <w:b/>
                <w:bCs/>
                <w:szCs w:val="24"/>
                <w:lang w:val="en-GB"/>
              </w:rPr>
              <w:t>Week 2</w:t>
            </w:r>
          </w:p>
        </w:tc>
        <w:tc>
          <w:tcPr>
            <w:tcW w:w="1155" w:type="dxa"/>
            <w:tcMar>
              <w:top w:w="100" w:type="dxa"/>
              <w:left w:w="100" w:type="dxa"/>
              <w:bottom w:w="100" w:type="dxa"/>
              <w:right w:w="100" w:type="dxa"/>
            </w:tcMar>
          </w:tcPr>
          <w:p w14:paraId="7A3B3CE2" w14:textId="77777777" w:rsidR="00E64A65" w:rsidRPr="00711A17" w:rsidRDefault="00227775">
            <w:pPr>
              <w:widowControl w:val="0"/>
              <w:rPr>
                <w:rFonts w:eastAsia="Times New Roman" w:cs="Calibri"/>
                <w:b/>
                <w:bCs/>
                <w:szCs w:val="24"/>
                <w:lang w:val="en-GB"/>
              </w:rPr>
            </w:pPr>
            <w:r w:rsidRPr="00711A17">
              <w:rPr>
                <w:rFonts w:eastAsia="Times New Roman" w:cs="Calibri"/>
                <w:b/>
                <w:bCs/>
                <w:szCs w:val="24"/>
                <w:lang w:val="en-GB"/>
              </w:rPr>
              <w:t>Week 3</w:t>
            </w:r>
          </w:p>
        </w:tc>
        <w:tc>
          <w:tcPr>
            <w:tcW w:w="1395" w:type="dxa"/>
            <w:tcMar>
              <w:top w:w="100" w:type="dxa"/>
              <w:left w:w="100" w:type="dxa"/>
              <w:bottom w:w="100" w:type="dxa"/>
              <w:right w:w="100" w:type="dxa"/>
            </w:tcMar>
          </w:tcPr>
          <w:p w14:paraId="4D9BA06A" w14:textId="77777777" w:rsidR="00E64A65" w:rsidRPr="00711A17" w:rsidRDefault="00227775">
            <w:pPr>
              <w:widowControl w:val="0"/>
              <w:rPr>
                <w:rFonts w:eastAsia="Times New Roman" w:cs="Calibri"/>
                <w:b/>
                <w:bCs/>
                <w:szCs w:val="24"/>
                <w:lang w:val="en-GB"/>
              </w:rPr>
            </w:pPr>
            <w:r w:rsidRPr="00711A17">
              <w:rPr>
                <w:rFonts w:eastAsia="Times New Roman" w:cs="Calibri"/>
                <w:b/>
                <w:bCs/>
                <w:szCs w:val="24"/>
                <w:lang w:val="en-GB"/>
              </w:rPr>
              <w:t>Week 4</w:t>
            </w:r>
          </w:p>
        </w:tc>
        <w:tc>
          <w:tcPr>
            <w:tcW w:w="1125" w:type="dxa"/>
            <w:tcMar>
              <w:top w:w="100" w:type="dxa"/>
              <w:left w:w="100" w:type="dxa"/>
              <w:bottom w:w="100" w:type="dxa"/>
              <w:right w:w="100" w:type="dxa"/>
            </w:tcMar>
          </w:tcPr>
          <w:p w14:paraId="6665D527" w14:textId="77777777" w:rsidR="00E64A65" w:rsidRPr="00711A17" w:rsidRDefault="00227775">
            <w:pPr>
              <w:widowControl w:val="0"/>
              <w:rPr>
                <w:rFonts w:eastAsia="Times New Roman" w:cs="Calibri"/>
                <w:b/>
                <w:bCs/>
                <w:szCs w:val="24"/>
                <w:lang w:val="en-GB"/>
              </w:rPr>
            </w:pPr>
            <w:r w:rsidRPr="00711A17">
              <w:rPr>
                <w:rFonts w:eastAsia="Times New Roman" w:cs="Calibri"/>
                <w:b/>
                <w:bCs/>
                <w:szCs w:val="24"/>
                <w:lang w:val="en-GB"/>
              </w:rPr>
              <w:t>Week 5</w:t>
            </w:r>
          </w:p>
        </w:tc>
        <w:tc>
          <w:tcPr>
            <w:tcW w:w="1215" w:type="dxa"/>
            <w:tcMar>
              <w:top w:w="100" w:type="dxa"/>
              <w:left w:w="100" w:type="dxa"/>
              <w:bottom w:w="100" w:type="dxa"/>
              <w:right w:w="100" w:type="dxa"/>
            </w:tcMar>
          </w:tcPr>
          <w:p w14:paraId="6BAF206B" w14:textId="77777777" w:rsidR="00E64A65" w:rsidRPr="00711A17" w:rsidRDefault="00227775">
            <w:pPr>
              <w:widowControl w:val="0"/>
              <w:rPr>
                <w:rFonts w:eastAsia="Times New Roman" w:cs="Calibri"/>
                <w:b/>
                <w:bCs/>
                <w:szCs w:val="24"/>
                <w:lang w:val="en-GB"/>
              </w:rPr>
            </w:pPr>
            <w:r w:rsidRPr="00711A17">
              <w:rPr>
                <w:rFonts w:eastAsia="Times New Roman" w:cs="Calibri"/>
                <w:b/>
                <w:bCs/>
                <w:szCs w:val="24"/>
                <w:lang w:val="en-GB"/>
              </w:rPr>
              <w:t>Week 6</w:t>
            </w:r>
          </w:p>
        </w:tc>
        <w:tc>
          <w:tcPr>
            <w:tcW w:w="949" w:type="dxa"/>
            <w:tcMar>
              <w:top w:w="100" w:type="dxa"/>
              <w:left w:w="100" w:type="dxa"/>
              <w:bottom w:w="100" w:type="dxa"/>
              <w:right w:w="100" w:type="dxa"/>
            </w:tcMar>
          </w:tcPr>
          <w:p w14:paraId="387B8E40" w14:textId="77777777" w:rsidR="00E64A65" w:rsidRPr="00711A17" w:rsidRDefault="00227775">
            <w:pPr>
              <w:widowControl w:val="0"/>
              <w:rPr>
                <w:rFonts w:eastAsia="Times New Roman" w:cs="Calibri"/>
                <w:b/>
                <w:bCs/>
                <w:szCs w:val="24"/>
                <w:lang w:val="en-GB"/>
              </w:rPr>
            </w:pPr>
            <w:r w:rsidRPr="00711A17">
              <w:rPr>
                <w:rFonts w:eastAsia="Times New Roman" w:cs="Calibri"/>
                <w:b/>
                <w:bCs/>
                <w:szCs w:val="24"/>
                <w:lang w:val="en-GB"/>
              </w:rPr>
              <w:t>Week 7</w:t>
            </w:r>
          </w:p>
        </w:tc>
        <w:tc>
          <w:tcPr>
            <w:tcW w:w="1417" w:type="dxa"/>
            <w:tcMar>
              <w:top w:w="100" w:type="dxa"/>
              <w:left w:w="100" w:type="dxa"/>
              <w:bottom w:w="100" w:type="dxa"/>
              <w:right w:w="100" w:type="dxa"/>
            </w:tcMar>
          </w:tcPr>
          <w:p w14:paraId="770CFDF2" w14:textId="77777777" w:rsidR="00E64A65" w:rsidRPr="00711A17" w:rsidRDefault="00227775">
            <w:pPr>
              <w:widowControl w:val="0"/>
              <w:rPr>
                <w:rFonts w:eastAsia="Times New Roman" w:cs="Calibri"/>
                <w:b/>
                <w:bCs/>
                <w:szCs w:val="24"/>
                <w:lang w:val="en-GB"/>
              </w:rPr>
            </w:pPr>
            <w:r w:rsidRPr="00711A17">
              <w:rPr>
                <w:rFonts w:eastAsia="Times New Roman" w:cs="Calibri"/>
                <w:b/>
                <w:bCs/>
                <w:szCs w:val="24"/>
                <w:lang w:val="en-GB"/>
              </w:rPr>
              <w:t>Week 8</w:t>
            </w:r>
          </w:p>
        </w:tc>
      </w:tr>
      <w:tr w:rsidR="00E64A65" w:rsidRPr="00711A17" w14:paraId="31D8DDF8" w14:textId="77777777" w:rsidTr="00964786">
        <w:tc>
          <w:tcPr>
            <w:tcW w:w="1701" w:type="dxa"/>
            <w:tcMar>
              <w:top w:w="100" w:type="dxa"/>
              <w:left w:w="100" w:type="dxa"/>
              <w:bottom w:w="100" w:type="dxa"/>
              <w:right w:w="100" w:type="dxa"/>
            </w:tcMar>
          </w:tcPr>
          <w:p w14:paraId="1CE5A246"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 xml:space="preserve">Topic Selection &amp; Opportunity Identification </w:t>
            </w:r>
          </w:p>
        </w:tc>
        <w:tc>
          <w:tcPr>
            <w:tcW w:w="1020" w:type="dxa"/>
            <w:shd w:val="clear" w:color="auto" w:fill="FF9900"/>
            <w:tcMar>
              <w:top w:w="100" w:type="dxa"/>
              <w:left w:w="100" w:type="dxa"/>
              <w:bottom w:w="100" w:type="dxa"/>
              <w:right w:w="100" w:type="dxa"/>
            </w:tcMar>
          </w:tcPr>
          <w:p w14:paraId="308F1E50"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080" w:type="dxa"/>
            <w:tcMar>
              <w:top w:w="100" w:type="dxa"/>
              <w:left w:w="100" w:type="dxa"/>
              <w:bottom w:w="100" w:type="dxa"/>
              <w:right w:w="100" w:type="dxa"/>
            </w:tcMar>
          </w:tcPr>
          <w:p w14:paraId="7D8AB674"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155" w:type="dxa"/>
            <w:tcMar>
              <w:top w:w="100" w:type="dxa"/>
              <w:left w:w="100" w:type="dxa"/>
              <w:bottom w:w="100" w:type="dxa"/>
              <w:right w:w="100" w:type="dxa"/>
            </w:tcMar>
          </w:tcPr>
          <w:p w14:paraId="4D8686B6"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395" w:type="dxa"/>
            <w:tcMar>
              <w:top w:w="100" w:type="dxa"/>
              <w:left w:w="100" w:type="dxa"/>
              <w:bottom w:w="100" w:type="dxa"/>
              <w:right w:w="100" w:type="dxa"/>
            </w:tcMar>
          </w:tcPr>
          <w:p w14:paraId="3CEAD6A6"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125" w:type="dxa"/>
            <w:tcMar>
              <w:top w:w="100" w:type="dxa"/>
              <w:left w:w="100" w:type="dxa"/>
              <w:bottom w:w="100" w:type="dxa"/>
              <w:right w:w="100" w:type="dxa"/>
            </w:tcMar>
          </w:tcPr>
          <w:p w14:paraId="183972AD"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215" w:type="dxa"/>
            <w:tcMar>
              <w:top w:w="100" w:type="dxa"/>
              <w:left w:w="100" w:type="dxa"/>
              <w:bottom w:w="100" w:type="dxa"/>
              <w:right w:w="100" w:type="dxa"/>
            </w:tcMar>
          </w:tcPr>
          <w:p w14:paraId="6EF11E8D"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949" w:type="dxa"/>
            <w:tcMar>
              <w:top w:w="100" w:type="dxa"/>
              <w:left w:w="100" w:type="dxa"/>
              <w:bottom w:w="100" w:type="dxa"/>
              <w:right w:w="100" w:type="dxa"/>
            </w:tcMar>
          </w:tcPr>
          <w:p w14:paraId="332E00E8"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417" w:type="dxa"/>
            <w:tcMar>
              <w:top w:w="100" w:type="dxa"/>
              <w:left w:w="100" w:type="dxa"/>
              <w:bottom w:w="100" w:type="dxa"/>
              <w:right w:w="100" w:type="dxa"/>
            </w:tcMar>
          </w:tcPr>
          <w:p w14:paraId="06E59D86"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r>
      <w:tr w:rsidR="00E64A65" w:rsidRPr="00711A17" w14:paraId="1ACA379C" w14:textId="77777777" w:rsidTr="00964786">
        <w:tc>
          <w:tcPr>
            <w:tcW w:w="1701" w:type="dxa"/>
            <w:tcMar>
              <w:top w:w="100" w:type="dxa"/>
              <w:left w:w="100" w:type="dxa"/>
              <w:bottom w:w="100" w:type="dxa"/>
              <w:right w:w="100" w:type="dxa"/>
            </w:tcMar>
          </w:tcPr>
          <w:p w14:paraId="67C84716"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 xml:space="preserve">Literature Review </w:t>
            </w:r>
          </w:p>
        </w:tc>
        <w:tc>
          <w:tcPr>
            <w:tcW w:w="1020" w:type="dxa"/>
            <w:tcMar>
              <w:top w:w="100" w:type="dxa"/>
              <w:left w:w="100" w:type="dxa"/>
              <w:bottom w:w="100" w:type="dxa"/>
              <w:right w:w="100" w:type="dxa"/>
            </w:tcMar>
          </w:tcPr>
          <w:p w14:paraId="095C0896"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080" w:type="dxa"/>
            <w:shd w:val="clear" w:color="auto" w:fill="F9CB9C"/>
            <w:tcMar>
              <w:top w:w="100" w:type="dxa"/>
              <w:left w:w="100" w:type="dxa"/>
              <w:bottom w:w="100" w:type="dxa"/>
              <w:right w:w="100" w:type="dxa"/>
            </w:tcMar>
          </w:tcPr>
          <w:p w14:paraId="2AC2240E"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155" w:type="dxa"/>
            <w:shd w:val="clear" w:color="auto" w:fill="F9CB9C"/>
            <w:tcMar>
              <w:top w:w="100" w:type="dxa"/>
              <w:left w:w="100" w:type="dxa"/>
              <w:bottom w:w="100" w:type="dxa"/>
              <w:right w:w="100" w:type="dxa"/>
            </w:tcMar>
          </w:tcPr>
          <w:p w14:paraId="74EE0473"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395" w:type="dxa"/>
            <w:tcMar>
              <w:top w:w="100" w:type="dxa"/>
              <w:left w:w="100" w:type="dxa"/>
              <w:bottom w:w="100" w:type="dxa"/>
              <w:right w:w="100" w:type="dxa"/>
            </w:tcMar>
          </w:tcPr>
          <w:p w14:paraId="6A2DA809"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125" w:type="dxa"/>
            <w:tcMar>
              <w:top w:w="100" w:type="dxa"/>
              <w:left w:w="100" w:type="dxa"/>
              <w:bottom w:w="100" w:type="dxa"/>
              <w:right w:w="100" w:type="dxa"/>
            </w:tcMar>
          </w:tcPr>
          <w:p w14:paraId="74944FA3"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215" w:type="dxa"/>
            <w:tcMar>
              <w:top w:w="100" w:type="dxa"/>
              <w:left w:w="100" w:type="dxa"/>
              <w:bottom w:w="100" w:type="dxa"/>
              <w:right w:w="100" w:type="dxa"/>
            </w:tcMar>
          </w:tcPr>
          <w:p w14:paraId="78C00F68"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949" w:type="dxa"/>
            <w:tcMar>
              <w:top w:w="100" w:type="dxa"/>
              <w:left w:w="100" w:type="dxa"/>
              <w:bottom w:w="100" w:type="dxa"/>
              <w:right w:w="100" w:type="dxa"/>
            </w:tcMar>
          </w:tcPr>
          <w:p w14:paraId="7B1BF7E6"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417" w:type="dxa"/>
            <w:tcMar>
              <w:top w:w="100" w:type="dxa"/>
              <w:left w:w="100" w:type="dxa"/>
              <w:bottom w:w="100" w:type="dxa"/>
              <w:right w:w="100" w:type="dxa"/>
            </w:tcMar>
          </w:tcPr>
          <w:p w14:paraId="7B021AC7"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r>
      <w:tr w:rsidR="00E64A65" w:rsidRPr="00711A17" w14:paraId="559F62AE" w14:textId="77777777" w:rsidTr="00964786">
        <w:tc>
          <w:tcPr>
            <w:tcW w:w="1701" w:type="dxa"/>
            <w:tcMar>
              <w:top w:w="100" w:type="dxa"/>
              <w:left w:w="100" w:type="dxa"/>
              <w:bottom w:w="100" w:type="dxa"/>
              <w:right w:w="100" w:type="dxa"/>
            </w:tcMar>
          </w:tcPr>
          <w:p w14:paraId="5AC42420"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 xml:space="preserve">Primary &amp; Secondary Data Collection </w:t>
            </w:r>
          </w:p>
        </w:tc>
        <w:tc>
          <w:tcPr>
            <w:tcW w:w="1020" w:type="dxa"/>
            <w:tcMar>
              <w:top w:w="100" w:type="dxa"/>
              <w:left w:w="100" w:type="dxa"/>
              <w:bottom w:w="100" w:type="dxa"/>
              <w:right w:w="100" w:type="dxa"/>
            </w:tcMar>
          </w:tcPr>
          <w:p w14:paraId="31AAD244"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080" w:type="dxa"/>
            <w:tcMar>
              <w:top w:w="100" w:type="dxa"/>
              <w:left w:w="100" w:type="dxa"/>
              <w:bottom w:w="100" w:type="dxa"/>
              <w:right w:w="100" w:type="dxa"/>
            </w:tcMar>
          </w:tcPr>
          <w:p w14:paraId="01515119"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155" w:type="dxa"/>
            <w:shd w:val="clear" w:color="auto" w:fill="B6D7A8"/>
            <w:tcMar>
              <w:top w:w="100" w:type="dxa"/>
              <w:left w:w="100" w:type="dxa"/>
              <w:bottom w:w="100" w:type="dxa"/>
              <w:right w:w="100" w:type="dxa"/>
            </w:tcMar>
          </w:tcPr>
          <w:p w14:paraId="27A0F01E"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395" w:type="dxa"/>
            <w:shd w:val="clear" w:color="auto" w:fill="B6D7A8"/>
            <w:tcMar>
              <w:top w:w="100" w:type="dxa"/>
              <w:left w:w="100" w:type="dxa"/>
              <w:bottom w:w="100" w:type="dxa"/>
              <w:right w:w="100" w:type="dxa"/>
            </w:tcMar>
          </w:tcPr>
          <w:p w14:paraId="6428860A"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125" w:type="dxa"/>
            <w:tcMar>
              <w:top w:w="100" w:type="dxa"/>
              <w:left w:w="100" w:type="dxa"/>
              <w:bottom w:w="100" w:type="dxa"/>
              <w:right w:w="100" w:type="dxa"/>
            </w:tcMar>
          </w:tcPr>
          <w:p w14:paraId="01AB1C7E"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215" w:type="dxa"/>
            <w:tcMar>
              <w:top w:w="100" w:type="dxa"/>
              <w:left w:w="100" w:type="dxa"/>
              <w:bottom w:w="100" w:type="dxa"/>
              <w:right w:w="100" w:type="dxa"/>
            </w:tcMar>
          </w:tcPr>
          <w:p w14:paraId="1C70CA51"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949" w:type="dxa"/>
            <w:tcMar>
              <w:top w:w="100" w:type="dxa"/>
              <w:left w:w="100" w:type="dxa"/>
              <w:bottom w:w="100" w:type="dxa"/>
              <w:right w:w="100" w:type="dxa"/>
            </w:tcMar>
          </w:tcPr>
          <w:p w14:paraId="2E0E5647"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417" w:type="dxa"/>
            <w:tcMar>
              <w:top w:w="100" w:type="dxa"/>
              <w:left w:w="100" w:type="dxa"/>
              <w:bottom w:w="100" w:type="dxa"/>
              <w:right w:w="100" w:type="dxa"/>
            </w:tcMar>
          </w:tcPr>
          <w:p w14:paraId="7710ABE5"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r>
      <w:tr w:rsidR="00E64A65" w:rsidRPr="00711A17" w14:paraId="009DC032" w14:textId="77777777" w:rsidTr="00964786">
        <w:tc>
          <w:tcPr>
            <w:tcW w:w="1701" w:type="dxa"/>
            <w:tcMar>
              <w:top w:w="100" w:type="dxa"/>
              <w:left w:w="100" w:type="dxa"/>
              <w:bottom w:w="100" w:type="dxa"/>
              <w:right w:w="100" w:type="dxa"/>
            </w:tcMar>
          </w:tcPr>
          <w:p w14:paraId="5E999C07"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 xml:space="preserve">Data Analysis (JTBD, PESTLE, Five Forces) </w:t>
            </w:r>
          </w:p>
        </w:tc>
        <w:tc>
          <w:tcPr>
            <w:tcW w:w="1020" w:type="dxa"/>
            <w:tcMar>
              <w:top w:w="100" w:type="dxa"/>
              <w:left w:w="100" w:type="dxa"/>
              <w:bottom w:w="100" w:type="dxa"/>
              <w:right w:w="100" w:type="dxa"/>
            </w:tcMar>
          </w:tcPr>
          <w:p w14:paraId="4603AB2F"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080" w:type="dxa"/>
            <w:tcMar>
              <w:top w:w="100" w:type="dxa"/>
              <w:left w:w="100" w:type="dxa"/>
              <w:bottom w:w="100" w:type="dxa"/>
              <w:right w:w="100" w:type="dxa"/>
            </w:tcMar>
          </w:tcPr>
          <w:p w14:paraId="15CB0078"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155" w:type="dxa"/>
            <w:tcMar>
              <w:top w:w="100" w:type="dxa"/>
              <w:left w:w="100" w:type="dxa"/>
              <w:bottom w:w="100" w:type="dxa"/>
              <w:right w:w="100" w:type="dxa"/>
            </w:tcMar>
          </w:tcPr>
          <w:p w14:paraId="27DDBFA1"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395" w:type="dxa"/>
            <w:shd w:val="clear" w:color="auto" w:fill="FFF2CC"/>
            <w:tcMar>
              <w:top w:w="100" w:type="dxa"/>
              <w:left w:w="100" w:type="dxa"/>
              <w:bottom w:w="100" w:type="dxa"/>
              <w:right w:w="100" w:type="dxa"/>
            </w:tcMar>
          </w:tcPr>
          <w:p w14:paraId="010D5AA2"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125" w:type="dxa"/>
            <w:shd w:val="clear" w:color="auto" w:fill="FFF2CC"/>
            <w:tcMar>
              <w:top w:w="100" w:type="dxa"/>
              <w:left w:w="100" w:type="dxa"/>
              <w:bottom w:w="100" w:type="dxa"/>
              <w:right w:w="100" w:type="dxa"/>
            </w:tcMar>
          </w:tcPr>
          <w:p w14:paraId="785AB5D7"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215" w:type="dxa"/>
            <w:tcMar>
              <w:top w:w="100" w:type="dxa"/>
              <w:left w:w="100" w:type="dxa"/>
              <w:bottom w:w="100" w:type="dxa"/>
              <w:right w:w="100" w:type="dxa"/>
            </w:tcMar>
          </w:tcPr>
          <w:p w14:paraId="4AFEF3C4"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949" w:type="dxa"/>
            <w:tcMar>
              <w:top w:w="100" w:type="dxa"/>
              <w:left w:w="100" w:type="dxa"/>
              <w:bottom w:w="100" w:type="dxa"/>
              <w:right w:w="100" w:type="dxa"/>
            </w:tcMar>
          </w:tcPr>
          <w:p w14:paraId="31DA728E"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417" w:type="dxa"/>
            <w:tcMar>
              <w:top w:w="100" w:type="dxa"/>
              <w:left w:w="100" w:type="dxa"/>
              <w:bottom w:w="100" w:type="dxa"/>
              <w:right w:w="100" w:type="dxa"/>
            </w:tcMar>
          </w:tcPr>
          <w:p w14:paraId="24698EF3"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r>
      <w:tr w:rsidR="00E64A65" w:rsidRPr="00711A17" w14:paraId="483A07FE" w14:textId="77777777" w:rsidTr="00964786">
        <w:trPr>
          <w:trHeight w:val="653"/>
        </w:trPr>
        <w:tc>
          <w:tcPr>
            <w:tcW w:w="1701" w:type="dxa"/>
            <w:tcMar>
              <w:top w:w="100" w:type="dxa"/>
              <w:left w:w="100" w:type="dxa"/>
              <w:bottom w:w="100" w:type="dxa"/>
              <w:right w:w="100" w:type="dxa"/>
            </w:tcMar>
          </w:tcPr>
          <w:p w14:paraId="3EE2EF51"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 xml:space="preserve">Market Opportunity Analysis </w:t>
            </w:r>
          </w:p>
        </w:tc>
        <w:tc>
          <w:tcPr>
            <w:tcW w:w="1020" w:type="dxa"/>
            <w:tcMar>
              <w:top w:w="100" w:type="dxa"/>
              <w:left w:w="100" w:type="dxa"/>
              <w:bottom w:w="100" w:type="dxa"/>
              <w:right w:w="100" w:type="dxa"/>
            </w:tcMar>
          </w:tcPr>
          <w:p w14:paraId="2303D643"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080" w:type="dxa"/>
            <w:tcMar>
              <w:top w:w="100" w:type="dxa"/>
              <w:left w:w="100" w:type="dxa"/>
              <w:bottom w:w="100" w:type="dxa"/>
              <w:right w:w="100" w:type="dxa"/>
            </w:tcMar>
          </w:tcPr>
          <w:p w14:paraId="653F937E"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155" w:type="dxa"/>
            <w:tcMar>
              <w:top w:w="100" w:type="dxa"/>
              <w:left w:w="100" w:type="dxa"/>
              <w:bottom w:w="100" w:type="dxa"/>
              <w:right w:w="100" w:type="dxa"/>
            </w:tcMar>
          </w:tcPr>
          <w:p w14:paraId="530A29BB"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395" w:type="dxa"/>
            <w:shd w:val="clear" w:color="auto" w:fill="00FF00"/>
            <w:tcMar>
              <w:top w:w="100" w:type="dxa"/>
              <w:left w:w="100" w:type="dxa"/>
              <w:bottom w:w="100" w:type="dxa"/>
              <w:right w:w="100" w:type="dxa"/>
            </w:tcMar>
          </w:tcPr>
          <w:p w14:paraId="47EFC66C"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125" w:type="dxa"/>
            <w:shd w:val="clear" w:color="auto" w:fill="00FF00"/>
            <w:tcMar>
              <w:top w:w="100" w:type="dxa"/>
              <w:left w:w="100" w:type="dxa"/>
              <w:bottom w:w="100" w:type="dxa"/>
              <w:right w:w="100" w:type="dxa"/>
            </w:tcMar>
          </w:tcPr>
          <w:p w14:paraId="549BEEC1"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215" w:type="dxa"/>
            <w:tcMar>
              <w:top w:w="100" w:type="dxa"/>
              <w:left w:w="100" w:type="dxa"/>
              <w:bottom w:w="100" w:type="dxa"/>
              <w:right w:w="100" w:type="dxa"/>
            </w:tcMar>
          </w:tcPr>
          <w:p w14:paraId="7D2353ED"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949" w:type="dxa"/>
            <w:tcMar>
              <w:top w:w="100" w:type="dxa"/>
              <w:left w:w="100" w:type="dxa"/>
              <w:bottom w:w="100" w:type="dxa"/>
              <w:right w:w="100" w:type="dxa"/>
            </w:tcMar>
          </w:tcPr>
          <w:p w14:paraId="4F57A7ED"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417" w:type="dxa"/>
            <w:tcMar>
              <w:top w:w="100" w:type="dxa"/>
              <w:left w:w="100" w:type="dxa"/>
              <w:bottom w:w="100" w:type="dxa"/>
              <w:right w:w="100" w:type="dxa"/>
            </w:tcMar>
          </w:tcPr>
          <w:p w14:paraId="70D2209D"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r>
      <w:tr w:rsidR="00E64A65" w:rsidRPr="00711A17" w14:paraId="20C81877" w14:textId="77777777" w:rsidTr="00964786">
        <w:tc>
          <w:tcPr>
            <w:tcW w:w="1701" w:type="dxa"/>
            <w:tcMar>
              <w:top w:w="100" w:type="dxa"/>
              <w:left w:w="100" w:type="dxa"/>
              <w:bottom w:w="100" w:type="dxa"/>
              <w:right w:w="100" w:type="dxa"/>
            </w:tcMar>
          </w:tcPr>
          <w:p w14:paraId="755176E8"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 xml:space="preserve">Business Model &amp; Recommendations </w:t>
            </w:r>
          </w:p>
        </w:tc>
        <w:tc>
          <w:tcPr>
            <w:tcW w:w="1020" w:type="dxa"/>
            <w:tcMar>
              <w:top w:w="100" w:type="dxa"/>
              <w:left w:w="100" w:type="dxa"/>
              <w:bottom w:w="100" w:type="dxa"/>
              <w:right w:w="100" w:type="dxa"/>
            </w:tcMar>
          </w:tcPr>
          <w:p w14:paraId="514BA81A"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080" w:type="dxa"/>
            <w:tcMar>
              <w:top w:w="100" w:type="dxa"/>
              <w:left w:w="100" w:type="dxa"/>
              <w:bottom w:w="100" w:type="dxa"/>
              <w:right w:w="100" w:type="dxa"/>
            </w:tcMar>
          </w:tcPr>
          <w:p w14:paraId="5E7CD72B"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155" w:type="dxa"/>
            <w:tcMar>
              <w:top w:w="100" w:type="dxa"/>
              <w:left w:w="100" w:type="dxa"/>
              <w:bottom w:w="100" w:type="dxa"/>
              <w:right w:w="100" w:type="dxa"/>
            </w:tcMar>
          </w:tcPr>
          <w:p w14:paraId="765771C5"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395" w:type="dxa"/>
            <w:tcMar>
              <w:top w:w="100" w:type="dxa"/>
              <w:left w:w="100" w:type="dxa"/>
              <w:bottom w:w="100" w:type="dxa"/>
              <w:right w:w="100" w:type="dxa"/>
            </w:tcMar>
          </w:tcPr>
          <w:p w14:paraId="13B49B04"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125" w:type="dxa"/>
            <w:shd w:val="clear" w:color="auto" w:fill="EA9999"/>
            <w:tcMar>
              <w:top w:w="100" w:type="dxa"/>
              <w:left w:w="100" w:type="dxa"/>
              <w:bottom w:w="100" w:type="dxa"/>
              <w:right w:w="100" w:type="dxa"/>
            </w:tcMar>
          </w:tcPr>
          <w:p w14:paraId="12AB9317"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215" w:type="dxa"/>
            <w:shd w:val="clear" w:color="auto" w:fill="EA9999"/>
            <w:tcMar>
              <w:top w:w="100" w:type="dxa"/>
              <w:left w:w="100" w:type="dxa"/>
              <w:bottom w:w="100" w:type="dxa"/>
              <w:right w:w="100" w:type="dxa"/>
            </w:tcMar>
          </w:tcPr>
          <w:p w14:paraId="5B369A64"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949" w:type="dxa"/>
            <w:tcMar>
              <w:top w:w="100" w:type="dxa"/>
              <w:left w:w="100" w:type="dxa"/>
              <w:bottom w:w="100" w:type="dxa"/>
              <w:right w:w="100" w:type="dxa"/>
            </w:tcMar>
          </w:tcPr>
          <w:p w14:paraId="58CDE1A4"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417" w:type="dxa"/>
            <w:tcMar>
              <w:top w:w="100" w:type="dxa"/>
              <w:left w:w="100" w:type="dxa"/>
              <w:bottom w:w="100" w:type="dxa"/>
              <w:right w:w="100" w:type="dxa"/>
            </w:tcMar>
          </w:tcPr>
          <w:p w14:paraId="6D563F52"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r>
      <w:tr w:rsidR="00E64A65" w:rsidRPr="00711A17" w14:paraId="492961CF" w14:textId="77777777" w:rsidTr="00964786">
        <w:tc>
          <w:tcPr>
            <w:tcW w:w="1701" w:type="dxa"/>
            <w:tcMar>
              <w:top w:w="100" w:type="dxa"/>
              <w:left w:w="100" w:type="dxa"/>
              <w:bottom w:w="100" w:type="dxa"/>
              <w:right w:w="100" w:type="dxa"/>
            </w:tcMar>
          </w:tcPr>
          <w:p w14:paraId="375F4175"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 xml:space="preserve">Proposal Writing </w:t>
            </w:r>
          </w:p>
        </w:tc>
        <w:tc>
          <w:tcPr>
            <w:tcW w:w="1020" w:type="dxa"/>
            <w:tcMar>
              <w:top w:w="100" w:type="dxa"/>
              <w:left w:w="100" w:type="dxa"/>
              <w:bottom w:w="100" w:type="dxa"/>
              <w:right w:w="100" w:type="dxa"/>
            </w:tcMar>
          </w:tcPr>
          <w:p w14:paraId="5C5EF022"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080" w:type="dxa"/>
            <w:tcMar>
              <w:top w:w="100" w:type="dxa"/>
              <w:left w:w="100" w:type="dxa"/>
              <w:bottom w:w="100" w:type="dxa"/>
              <w:right w:w="100" w:type="dxa"/>
            </w:tcMar>
          </w:tcPr>
          <w:p w14:paraId="412F1EE5"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155" w:type="dxa"/>
            <w:tcMar>
              <w:top w:w="100" w:type="dxa"/>
              <w:left w:w="100" w:type="dxa"/>
              <w:bottom w:w="100" w:type="dxa"/>
              <w:right w:w="100" w:type="dxa"/>
            </w:tcMar>
          </w:tcPr>
          <w:p w14:paraId="47C1092A"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395" w:type="dxa"/>
            <w:tcMar>
              <w:top w:w="100" w:type="dxa"/>
              <w:left w:w="100" w:type="dxa"/>
              <w:bottom w:w="100" w:type="dxa"/>
              <w:right w:w="100" w:type="dxa"/>
            </w:tcMar>
          </w:tcPr>
          <w:p w14:paraId="53895F28"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125" w:type="dxa"/>
            <w:tcMar>
              <w:top w:w="100" w:type="dxa"/>
              <w:left w:w="100" w:type="dxa"/>
              <w:bottom w:w="100" w:type="dxa"/>
              <w:right w:w="100" w:type="dxa"/>
            </w:tcMar>
          </w:tcPr>
          <w:p w14:paraId="581465A2"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215" w:type="dxa"/>
            <w:tcMar>
              <w:top w:w="100" w:type="dxa"/>
              <w:left w:w="100" w:type="dxa"/>
              <w:bottom w:w="100" w:type="dxa"/>
              <w:right w:w="100" w:type="dxa"/>
            </w:tcMar>
          </w:tcPr>
          <w:p w14:paraId="218BEB78"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949" w:type="dxa"/>
            <w:shd w:val="clear" w:color="auto" w:fill="FF00FF"/>
            <w:tcMar>
              <w:top w:w="100" w:type="dxa"/>
              <w:left w:w="100" w:type="dxa"/>
              <w:bottom w:w="100" w:type="dxa"/>
              <w:right w:w="100" w:type="dxa"/>
            </w:tcMar>
          </w:tcPr>
          <w:p w14:paraId="0FD5187D"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417" w:type="dxa"/>
            <w:tcMar>
              <w:top w:w="100" w:type="dxa"/>
              <w:left w:w="100" w:type="dxa"/>
              <w:bottom w:w="100" w:type="dxa"/>
              <w:right w:w="100" w:type="dxa"/>
            </w:tcMar>
          </w:tcPr>
          <w:p w14:paraId="7D19283B"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r>
      <w:tr w:rsidR="00E64A65" w:rsidRPr="00711A17" w14:paraId="5142BCC3" w14:textId="77777777" w:rsidTr="00964786">
        <w:tc>
          <w:tcPr>
            <w:tcW w:w="1701" w:type="dxa"/>
            <w:tcMar>
              <w:top w:w="100" w:type="dxa"/>
              <w:left w:w="100" w:type="dxa"/>
              <w:bottom w:w="100" w:type="dxa"/>
              <w:right w:w="100" w:type="dxa"/>
            </w:tcMar>
          </w:tcPr>
          <w:p w14:paraId="539A1E23" w14:textId="77777777" w:rsidR="00E64A65" w:rsidRPr="00711A17" w:rsidRDefault="00227775">
            <w:pPr>
              <w:widowControl w:val="0"/>
              <w:pBdr>
                <w:top w:val="nil"/>
                <w:left w:val="nil"/>
                <w:bottom w:val="nil"/>
                <w:right w:val="nil"/>
                <w:between w:val="nil"/>
              </w:pBdr>
              <w:rPr>
                <w:rFonts w:eastAsia="Times New Roman" w:cs="Calibri"/>
                <w:szCs w:val="24"/>
                <w:lang w:val="en-GB"/>
              </w:rPr>
            </w:pPr>
            <w:r w:rsidRPr="00711A17">
              <w:rPr>
                <w:rFonts w:eastAsia="Times New Roman" w:cs="Calibri"/>
                <w:szCs w:val="24"/>
                <w:lang w:val="en-GB"/>
              </w:rPr>
              <w:t xml:space="preserve">Proofreading, Final Review &amp; Submission </w:t>
            </w:r>
          </w:p>
        </w:tc>
        <w:tc>
          <w:tcPr>
            <w:tcW w:w="1020" w:type="dxa"/>
            <w:tcMar>
              <w:top w:w="100" w:type="dxa"/>
              <w:left w:w="100" w:type="dxa"/>
              <w:bottom w:w="100" w:type="dxa"/>
              <w:right w:w="100" w:type="dxa"/>
            </w:tcMar>
          </w:tcPr>
          <w:p w14:paraId="5A82F9AF"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080" w:type="dxa"/>
            <w:tcMar>
              <w:top w:w="100" w:type="dxa"/>
              <w:left w:w="100" w:type="dxa"/>
              <w:bottom w:w="100" w:type="dxa"/>
              <w:right w:w="100" w:type="dxa"/>
            </w:tcMar>
          </w:tcPr>
          <w:p w14:paraId="6DB187A9"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155" w:type="dxa"/>
            <w:tcMar>
              <w:top w:w="100" w:type="dxa"/>
              <w:left w:w="100" w:type="dxa"/>
              <w:bottom w:w="100" w:type="dxa"/>
              <w:right w:w="100" w:type="dxa"/>
            </w:tcMar>
          </w:tcPr>
          <w:p w14:paraId="4EAE5D79"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395" w:type="dxa"/>
            <w:tcMar>
              <w:top w:w="100" w:type="dxa"/>
              <w:left w:w="100" w:type="dxa"/>
              <w:bottom w:w="100" w:type="dxa"/>
              <w:right w:w="100" w:type="dxa"/>
            </w:tcMar>
          </w:tcPr>
          <w:p w14:paraId="1244C732"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125" w:type="dxa"/>
            <w:tcMar>
              <w:top w:w="100" w:type="dxa"/>
              <w:left w:w="100" w:type="dxa"/>
              <w:bottom w:w="100" w:type="dxa"/>
              <w:right w:w="100" w:type="dxa"/>
            </w:tcMar>
          </w:tcPr>
          <w:p w14:paraId="739A93A4"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215" w:type="dxa"/>
            <w:tcMar>
              <w:top w:w="100" w:type="dxa"/>
              <w:left w:w="100" w:type="dxa"/>
              <w:bottom w:w="100" w:type="dxa"/>
              <w:right w:w="100" w:type="dxa"/>
            </w:tcMar>
          </w:tcPr>
          <w:p w14:paraId="0C1EE98D"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949" w:type="dxa"/>
            <w:tcMar>
              <w:top w:w="100" w:type="dxa"/>
              <w:left w:w="100" w:type="dxa"/>
              <w:bottom w:w="100" w:type="dxa"/>
              <w:right w:w="100" w:type="dxa"/>
            </w:tcMar>
          </w:tcPr>
          <w:p w14:paraId="18F27A27"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c>
          <w:tcPr>
            <w:tcW w:w="1417" w:type="dxa"/>
            <w:shd w:val="clear" w:color="auto" w:fill="CC0000"/>
            <w:tcMar>
              <w:top w:w="100" w:type="dxa"/>
              <w:left w:w="100" w:type="dxa"/>
              <w:bottom w:w="100" w:type="dxa"/>
              <w:right w:w="100" w:type="dxa"/>
            </w:tcMar>
          </w:tcPr>
          <w:p w14:paraId="2944D8ED" w14:textId="77777777" w:rsidR="00E64A65" w:rsidRPr="00711A17" w:rsidRDefault="00E64A65">
            <w:pPr>
              <w:widowControl w:val="0"/>
              <w:pBdr>
                <w:top w:val="nil"/>
                <w:left w:val="nil"/>
                <w:bottom w:val="nil"/>
                <w:right w:val="nil"/>
                <w:between w:val="nil"/>
              </w:pBdr>
              <w:rPr>
                <w:rFonts w:eastAsia="Times New Roman" w:cs="Calibri"/>
                <w:szCs w:val="24"/>
                <w:lang w:val="en-GB"/>
              </w:rPr>
            </w:pPr>
          </w:p>
        </w:tc>
      </w:tr>
    </w:tbl>
    <w:p w14:paraId="08505551" w14:textId="77777777" w:rsidR="00E64A65" w:rsidRPr="00711A17" w:rsidRDefault="00227775">
      <w:pPr>
        <w:jc w:val="center"/>
        <w:rPr>
          <w:rFonts w:eastAsia="Times New Roman" w:cs="Calibri"/>
          <w:b/>
          <w:bCs/>
          <w:szCs w:val="24"/>
          <w:lang w:val="en-GB"/>
        </w:rPr>
      </w:pPr>
      <w:r w:rsidRPr="00711A17">
        <w:rPr>
          <w:rFonts w:eastAsia="Times New Roman" w:cs="Calibri"/>
          <w:b/>
          <w:bCs/>
          <w:szCs w:val="24"/>
          <w:lang w:val="en-GB"/>
        </w:rPr>
        <w:t>Table 3: Timeframe</w:t>
      </w:r>
    </w:p>
    <w:p w14:paraId="0CE5BB0D" w14:textId="77777777" w:rsidR="00E64A65" w:rsidRPr="00711A17" w:rsidRDefault="00227775">
      <w:pPr>
        <w:jc w:val="center"/>
        <w:rPr>
          <w:rFonts w:eastAsia="Times New Roman" w:cs="Calibri"/>
          <w:szCs w:val="24"/>
          <w:lang w:val="en-GB"/>
        </w:rPr>
      </w:pPr>
      <w:r w:rsidRPr="00711A17">
        <w:rPr>
          <w:rFonts w:eastAsia="Times New Roman" w:cs="Calibri"/>
          <w:szCs w:val="24"/>
          <w:lang w:val="en-GB"/>
        </w:rPr>
        <w:t>(Source: Self-Developed)</w:t>
      </w:r>
    </w:p>
    <w:p w14:paraId="6445A528" w14:textId="77777777" w:rsidR="00E64A65" w:rsidRPr="00711A17" w:rsidRDefault="00227775">
      <w:pPr>
        <w:pStyle w:val="Heading1"/>
        <w:rPr>
          <w:rFonts w:cs="Calibri"/>
          <w:lang w:val="en-GB"/>
        </w:rPr>
      </w:pPr>
      <w:bookmarkStart w:id="46" w:name="_wfbx0jsgeri" w:colFirst="0" w:colLast="0"/>
      <w:bookmarkStart w:id="47" w:name="_Toc235974340"/>
      <w:bookmarkEnd w:id="46"/>
      <w:r w:rsidRPr="00711A17">
        <w:rPr>
          <w:rFonts w:cs="Calibri"/>
          <w:lang w:val="en-GB"/>
        </w:rPr>
        <w:t>7. Conclusion</w:t>
      </w:r>
      <w:bookmarkEnd w:id="47"/>
    </w:p>
    <w:p w14:paraId="5EDDDBA7" w14:textId="77777777" w:rsidR="00E64A65" w:rsidRPr="00711A17" w:rsidRDefault="00227775">
      <w:pPr>
        <w:rPr>
          <w:rFonts w:eastAsia="Times New Roman" w:cs="Calibri"/>
          <w:szCs w:val="24"/>
          <w:lang w:val="en-GB"/>
        </w:rPr>
      </w:pPr>
      <w:r w:rsidRPr="00711A17">
        <w:rPr>
          <w:rFonts w:eastAsia="Times New Roman" w:cs="Calibri"/>
          <w:szCs w:val="24"/>
          <w:lang w:val="en-GB"/>
        </w:rPr>
        <w:t>The Business Development Proposal has created a robust theoretical and practical basis to assess the commercial viability of NutriBox in the UK market of healthy meals delivery. By using a range of frameworks such as Jobs-to-be-Done (JTBD), PESTLE Analysis, Porter's Five Forces, Value Proposition Canvas, and Business Model Canvas, a solid analytical basis has been formed. The preliminary market opportunity analysis shows promising results in terms of market demand associated with increased health consciousness, busy lives of consumers, and online buying practices. Even though there are some drawbacks connected with data limitations and uncertainty about the market, the conclusions have revealed good opportunities for NutriBox to be successful.</w:t>
      </w:r>
      <w:r w:rsidRPr="00711A17">
        <w:rPr>
          <w:rFonts w:cs="Calibri"/>
          <w:lang w:val="en-GB"/>
        </w:rPr>
        <w:br w:type="page"/>
      </w:r>
    </w:p>
    <w:p w14:paraId="004073A2" w14:textId="17C26DB3" w:rsidR="00E64A65" w:rsidRPr="00711A17" w:rsidRDefault="004F0EC7">
      <w:pPr>
        <w:pStyle w:val="Heading1"/>
        <w:rPr>
          <w:rFonts w:cs="Calibri"/>
          <w:lang w:val="en-GB"/>
        </w:rPr>
      </w:pPr>
      <w:bookmarkStart w:id="48" w:name="_zhdno7eol4sf" w:colFirst="0" w:colLast="0"/>
      <w:bookmarkStart w:id="49" w:name="_Toc235974341"/>
      <w:bookmarkEnd w:id="48"/>
      <w:r>
        <w:rPr>
          <w:rFonts w:cs="Calibri"/>
          <w:lang w:val="en-GB"/>
        </w:rPr>
        <w:t xml:space="preserve">8. </w:t>
      </w:r>
      <w:r w:rsidRPr="00711A17">
        <w:rPr>
          <w:rFonts w:cs="Calibri"/>
          <w:lang w:val="en-GB"/>
        </w:rPr>
        <w:t>References</w:t>
      </w:r>
      <w:bookmarkEnd w:id="49"/>
      <w:r w:rsidRPr="00711A17">
        <w:rPr>
          <w:rFonts w:cs="Calibri"/>
          <w:lang w:val="en-GB"/>
        </w:rPr>
        <w:t xml:space="preserve"> </w:t>
      </w:r>
    </w:p>
    <w:p w14:paraId="7285BD18" w14:textId="54F28206" w:rsidR="001E38FF" w:rsidRPr="00711A17" w:rsidRDefault="001E38FF">
      <w:pPr>
        <w:rPr>
          <w:rFonts w:eastAsia="Times New Roman" w:cs="Calibri"/>
          <w:szCs w:val="24"/>
          <w:lang w:val="en-GB"/>
        </w:rPr>
      </w:pPr>
      <w:r w:rsidRPr="00711A17">
        <w:rPr>
          <w:rFonts w:eastAsia="Times New Roman" w:cs="Calibri"/>
          <w:color w:val="222222"/>
          <w:szCs w:val="24"/>
          <w:highlight w:val="white"/>
          <w:lang w:val="en-GB"/>
        </w:rPr>
        <w:t xml:space="preserve">Alshahry, A.M. and Alhazmi, A., (2026). Determinants of food choices on online food delivery applications among university students: a cross-sectional study. </w:t>
      </w:r>
      <w:r w:rsidRPr="00711A17">
        <w:rPr>
          <w:rFonts w:eastAsia="Times New Roman" w:cs="Calibri"/>
          <w:i/>
          <w:iCs/>
          <w:color w:val="222222"/>
          <w:szCs w:val="24"/>
          <w:highlight w:val="white"/>
          <w:lang w:val="en-GB"/>
        </w:rPr>
        <w:t>Scientific Reports</w:t>
      </w:r>
      <w:r w:rsidRPr="00711A17">
        <w:rPr>
          <w:rFonts w:eastAsia="Times New Roman" w:cs="Calibri"/>
          <w:color w:val="222222"/>
          <w:szCs w:val="24"/>
          <w:highlight w:val="white"/>
          <w:lang w:val="en-GB"/>
        </w:rPr>
        <w:t xml:space="preserve">, </w:t>
      </w:r>
      <w:r w:rsidR="00652AE9">
        <w:rPr>
          <w:rFonts w:eastAsia="Times New Roman" w:cs="Calibri"/>
          <w:color w:val="222222"/>
          <w:szCs w:val="24"/>
          <w:highlight w:val="white"/>
          <w:lang w:val="en-GB"/>
        </w:rPr>
        <w:t xml:space="preserve">vol. </w:t>
      </w:r>
      <w:r w:rsidRPr="00711A17">
        <w:rPr>
          <w:rFonts w:eastAsia="Times New Roman" w:cs="Calibri"/>
          <w:i/>
          <w:iCs/>
          <w:color w:val="222222"/>
          <w:szCs w:val="24"/>
          <w:highlight w:val="white"/>
          <w:lang w:val="en-GB"/>
        </w:rPr>
        <w:t>16</w:t>
      </w:r>
      <w:r w:rsidR="00652AE9">
        <w:rPr>
          <w:rFonts w:eastAsia="Times New Roman" w:cs="Calibri"/>
          <w:i/>
          <w:iCs/>
          <w:color w:val="222222"/>
          <w:szCs w:val="24"/>
          <w:highlight w:val="white"/>
          <w:lang w:val="en-GB"/>
        </w:rPr>
        <w:t xml:space="preserve">, </w:t>
      </w:r>
      <w:r w:rsidR="00652AE9">
        <w:rPr>
          <w:rFonts w:eastAsia="Times New Roman" w:cs="Calibri"/>
          <w:color w:val="222222"/>
          <w:szCs w:val="24"/>
          <w:highlight w:val="white"/>
          <w:lang w:val="en-GB"/>
        </w:rPr>
        <w:t xml:space="preserve">no. </w:t>
      </w:r>
      <w:r w:rsidRPr="00711A17">
        <w:rPr>
          <w:rFonts w:eastAsia="Times New Roman" w:cs="Calibri"/>
          <w:color w:val="222222"/>
          <w:szCs w:val="24"/>
          <w:highlight w:val="white"/>
          <w:lang w:val="en-GB"/>
        </w:rPr>
        <w:t>1, p.9114.</w:t>
      </w:r>
      <w:r w:rsidRPr="00711A17">
        <w:rPr>
          <w:rFonts w:eastAsia="Times New Roman" w:cs="Calibri"/>
          <w:szCs w:val="24"/>
          <w:lang w:val="en-GB"/>
        </w:rPr>
        <w:t xml:space="preserve"> </w:t>
      </w:r>
      <w:hyperlink r:id="rId13">
        <w:r w:rsidRPr="00711A17">
          <w:rPr>
            <w:rFonts w:eastAsia="Times New Roman" w:cs="Calibri"/>
            <w:color w:val="1155CC"/>
            <w:szCs w:val="24"/>
            <w:u w:val="single"/>
            <w:lang w:val="en-GB"/>
          </w:rPr>
          <w:t>https://www.nature.com/articles/s41598-026-40145-x_reference.pdf</w:t>
        </w:r>
      </w:hyperlink>
      <w:r w:rsidRPr="00711A17">
        <w:rPr>
          <w:rFonts w:eastAsia="Times New Roman" w:cs="Calibri"/>
          <w:szCs w:val="24"/>
          <w:lang w:val="en-GB"/>
        </w:rPr>
        <w:t xml:space="preserve"> </w:t>
      </w:r>
    </w:p>
    <w:p w14:paraId="0FB449B8" w14:textId="12678C93" w:rsidR="001E38FF" w:rsidRPr="00711A17" w:rsidRDefault="001E38FF">
      <w:pPr>
        <w:rPr>
          <w:rFonts w:eastAsia="Times New Roman" w:cs="Calibri"/>
          <w:szCs w:val="24"/>
          <w:lang w:val="en-GB"/>
        </w:rPr>
      </w:pPr>
      <w:r w:rsidRPr="00711A17">
        <w:rPr>
          <w:rFonts w:eastAsia="Times New Roman" w:cs="Calibri"/>
          <w:color w:val="222222"/>
          <w:szCs w:val="24"/>
          <w:highlight w:val="white"/>
          <w:lang w:val="en-GB"/>
        </w:rPr>
        <w:t xml:space="preserve">Braun, V. and Clarke, V., (2021). To saturate or not to saturate? Questioning data saturation as a useful concept for thematic analysis and sample-size rationales. </w:t>
      </w:r>
      <w:r w:rsidRPr="00711A17">
        <w:rPr>
          <w:rFonts w:eastAsia="Times New Roman" w:cs="Calibri"/>
          <w:i/>
          <w:iCs/>
          <w:color w:val="222222"/>
          <w:szCs w:val="24"/>
          <w:highlight w:val="white"/>
          <w:lang w:val="en-GB"/>
        </w:rPr>
        <w:t>Qualitative research in sport, exercise and health</w:t>
      </w:r>
      <w:r w:rsidRPr="00711A17">
        <w:rPr>
          <w:rFonts w:eastAsia="Times New Roman" w:cs="Calibri"/>
          <w:color w:val="222222"/>
          <w:szCs w:val="24"/>
          <w:highlight w:val="white"/>
          <w:lang w:val="en-GB"/>
        </w:rPr>
        <w:t xml:space="preserve">, </w:t>
      </w:r>
      <w:r w:rsidR="00EE159C">
        <w:rPr>
          <w:rFonts w:eastAsia="Times New Roman" w:cs="Calibri"/>
          <w:color w:val="222222"/>
          <w:szCs w:val="24"/>
          <w:highlight w:val="white"/>
          <w:lang w:val="en-GB"/>
        </w:rPr>
        <w:t xml:space="preserve">vol. </w:t>
      </w:r>
      <w:r w:rsidRPr="00711A17">
        <w:rPr>
          <w:rFonts w:eastAsia="Times New Roman" w:cs="Calibri"/>
          <w:i/>
          <w:iCs/>
          <w:color w:val="222222"/>
          <w:szCs w:val="24"/>
          <w:highlight w:val="white"/>
          <w:lang w:val="en-GB"/>
        </w:rPr>
        <w:t>13</w:t>
      </w:r>
      <w:r w:rsidR="00EE159C">
        <w:rPr>
          <w:rFonts w:eastAsia="Times New Roman" w:cs="Calibri"/>
          <w:color w:val="222222"/>
          <w:szCs w:val="24"/>
          <w:highlight w:val="white"/>
          <w:lang w:val="en-GB"/>
        </w:rPr>
        <w:t xml:space="preserve">, no. </w:t>
      </w:r>
      <w:r w:rsidRPr="00711A17">
        <w:rPr>
          <w:rFonts w:eastAsia="Times New Roman" w:cs="Calibri"/>
          <w:color w:val="222222"/>
          <w:szCs w:val="24"/>
          <w:highlight w:val="white"/>
          <w:lang w:val="en-GB"/>
        </w:rPr>
        <w:t>2, pp.</w:t>
      </w:r>
      <w:r w:rsidR="00C62156">
        <w:rPr>
          <w:rFonts w:eastAsia="Times New Roman" w:cs="Calibri"/>
          <w:color w:val="222222"/>
          <w:szCs w:val="24"/>
          <w:highlight w:val="white"/>
          <w:lang w:val="en-GB"/>
        </w:rPr>
        <w:t xml:space="preserve"> </w:t>
      </w:r>
      <w:r w:rsidRPr="00711A17">
        <w:rPr>
          <w:rFonts w:eastAsia="Times New Roman" w:cs="Calibri"/>
          <w:color w:val="222222"/>
          <w:szCs w:val="24"/>
          <w:highlight w:val="white"/>
          <w:lang w:val="en-GB"/>
        </w:rPr>
        <w:t>201-216.</w:t>
      </w:r>
      <w:r w:rsidRPr="00711A17">
        <w:rPr>
          <w:rFonts w:eastAsia="Times New Roman" w:cs="Calibri"/>
          <w:szCs w:val="24"/>
          <w:lang w:val="en-GB"/>
        </w:rPr>
        <w:t xml:space="preserve"> </w:t>
      </w:r>
      <w:hyperlink r:id="rId14">
        <w:r w:rsidRPr="00711A17">
          <w:rPr>
            <w:rFonts w:eastAsia="Times New Roman" w:cs="Calibri"/>
            <w:color w:val="1155CC"/>
            <w:szCs w:val="24"/>
            <w:u w:val="single"/>
            <w:lang w:val="en-GB"/>
          </w:rPr>
          <w:t>https://www.researchgate.net/profile/Nur-Afifah-Binti-Abas/post/How_many_interviews_are_needed_in_a_qualitative_research_Is_there_any_rule_or_popular_practice/attachment/66265a7653d234443fee0401/AS:11431281237994677@1713789401005/download/Saturation+commentary+Braun+Clarke.pdf</w:t>
        </w:r>
      </w:hyperlink>
      <w:r w:rsidRPr="00711A17">
        <w:rPr>
          <w:rFonts w:eastAsia="Times New Roman" w:cs="Calibri"/>
          <w:szCs w:val="24"/>
          <w:lang w:val="en-GB"/>
        </w:rPr>
        <w:t xml:space="preserve"> </w:t>
      </w:r>
    </w:p>
    <w:p w14:paraId="127CBF09" w14:textId="054C5C11" w:rsidR="001E38FF" w:rsidRPr="00711A17" w:rsidRDefault="001E38FF">
      <w:pPr>
        <w:rPr>
          <w:rFonts w:eastAsia="Times New Roman" w:cs="Calibri"/>
          <w:szCs w:val="24"/>
          <w:lang w:val="en-GB"/>
        </w:rPr>
      </w:pPr>
      <w:r w:rsidRPr="00711A17">
        <w:rPr>
          <w:rFonts w:eastAsia="Times New Roman" w:cs="Calibri"/>
          <w:color w:val="222222"/>
          <w:szCs w:val="24"/>
          <w:highlight w:val="white"/>
          <w:lang w:val="en-GB"/>
        </w:rPr>
        <w:t xml:space="preserve">Coman, C., Bucs, A., Gherheș, V., Rad, D. and Alexandrescu, M.B., (2025). The influence of social media platforms on promoting sustainable consumption in the food industry: A bibliometric review. </w:t>
      </w:r>
      <w:r w:rsidRPr="00711A17">
        <w:rPr>
          <w:rFonts w:eastAsia="Times New Roman" w:cs="Calibri"/>
          <w:i/>
          <w:iCs/>
          <w:color w:val="222222"/>
          <w:szCs w:val="24"/>
          <w:highlight w:val="white"/>
          <w:lang w:val="en-GB"/>
        </w:rPr>
        <w:t>Sustainability</w:t>
      </w:r>
      <w:r w:rsidRPr="00711A17">
        <w:rPr>
          <w:rFonts w:eastAsia="Times New Roman" w:cs="Calibri"/>
          <w:color w:val="222222"/>
          <w:szCs w:val="24"/>
          <w:highlight w:val="white"/>
          <w:lang w:val="en-GB"/>
        </w:rPr>
        <w:t xml:space="preserve">, </w:t>
      </w:r>
      <w:r w:rsidR="003D5481">
        <w:rPr>
          <w:rFonts w:eastAsia="Times New Roman" w:cs="Calibri"/>
          <w:color w:val="222222"/>
          <w:szCs w:val="24"/>
          <w:highlight w:val="white"/>
          <w:lang w:val="en-GB"/>
        </w:rPr>
        <w:t xml:space="preserve">vol. </w:t>
      </w:r>
      <w:r w:rsidRPr="00711A17">
        <w:rPr>
          <w:rFonts w:eastAsia="Times New Roman" w:cs="Calibri"/>
          <w:i/>
          <w:iCs/>
          <w:color w:val="222222"/>
          <w:szCs w:val="24"/>
          <w:highlight w:val="white"/>
          <w:lang w:val="en-GB"/>
        </w:rPr>
        <w:t>17</w:t>
      </w:r>
      <w:r w:rsidR="003D5481">
        <w:rPr>
          <w:rFonts w:eastAsia="Times New Roman" w:cs="Calibri"/>
          <w:color w:val="222222"/>
          <w:szCs w:val="24"/>
          <w:highlight w:val="white"/>
          <w:lang w:val="en-GB"/>
        </w:rPr>
        <w:t xml:space="preserve">, no. </w:t>
      </w:r>
      <w:r w:rsidRPr="00711A17">
        <w:rPr>
          <w:rFonts w:eastAsia="Times New Roman" w:cs="Calibri"/>
          <w:color w:val="222222"/>
          <w:szCs w:val="24"/>
          <w:highlight w:val="white"/>
          <w:lang w:val="en-GB"/>
        </w:rPr>
        <w:t>13, p.5960.</w:t>
      </w:r>
      <w:r w:rsidRPr="00711A17">
        <w:rPr>
          <w:rFonts w:eastAsia="Times New Roman" w:cs="Calibri"/>
          <w:szCs w:val="24"/>
          <w:lang w:val="en-GB"/>
        </w:rPr>
        <w:t xml:space="preserve"> </w:t>
      </w:r>
      <w:hyperlink r:id="rId15">
        <w:r w:rsidRPr="00711A17">
          <w:rPr>
            <w:rFonts w:eastAsia="Times New Roman" w:cs="Calibri"/>
            <w:color w:val="1155CC"/>
            <w:szCs w:val="24"/>
            <w:u w:val="single"/>
            <w:lang w:val="en-GB"/>
          </w:rPr>
          <w:t>https://www.mdpi.com/2071-1050/17/13/5960</w:t>
        </w:r>
      </w:hyperlink>
      <w:r w:rsidRPr="00711A17">
        <w:rPr>
          <w:rFonts w:eastAsia="Times New Roman" w:cs="Calibri"/>
          <w:szCs w:val="24"/>
          <w:lang w:val="en-GB"/>
        </w:rPr>
        <w:t xml:space="preserve"> </w:t>
      </w:r>
    </w:p>
    <w:p w14:paraId="56B96FAB" w14:textId="031CEA9A" w:rsidR="001E38FF" w:rsidRPr="00711A17" w:rsidRDefault="001E38FF">
      <w:pPr>
        <w:spacing w:after="240"/>
        <w:rPr>
          <w:rFonts w:eastAsia="Times New Roman" w:cs="Calibri"/>
          <w:szCs w:val="24"/>
          <w:lang w:val="en-GB"/>
        </w:rPr>
      </w:pPr>
      <w:r w:rsidRPr="00711A17">
        <w:rPr>
          <w:rFonts w:eastAsia="Times New Roman" w:cs="Calibri"/>
          <w:szCs w:val="24"/>
          <w:lang w:val="en-GB"/>
        </w:rPr>
        <w:t xml:space="preserve">Corbin, T. (2026). </w:t>
      </w:r>
      <w:r w:rsidRPr="00711A17">
        <w:rPr>
          <w:rFonts w:eastAsia="Times New Roman" w:cs="Calibri"/>
          <w:i/>
          <w:iCs/>
          <w:szCs w:val="24"/>
          <w:lang w:val="en-GB"/>
        </w:rPr>
        <w:t>UK shoppers still favour sustainable packaging despite cost pressures, data shows</w:t>
      </w:r>
      <w:r w:rsidRPr="00711A17">
        <w:rPr>
          <w:rFonts w:eastAsia="Times New Roman" w:cs="Calibri"/>
          <w:szCs w:val="24"/>
          <w:lang w:val="en-GB"/>
        </w:rPr>
        <w:t xml:space="preserve">. [online] Packaging news. Available at: </w:t>
      </w:r>
      <w:hyperlink r:id="rId16">
        <w:r w:rsidRPr="00711A17">
          <w:rPr>
            <w:rFonts w:eastAsia="Times New Roman" w:cs="Calibri"/>
            <w:color w:val="1155CC"/>
            <w:szCs w:val="24"/>
            <w:u w:val="single"/>
            <w:lang w:val="en-GB"/>
          </w:rPr>
          <w:t>https://www.packagingnews.co.uk/news/environment/uk-shoppers-still-favour-sustainable-packaging-despite-cost-pressures-data-shows-03-07-2026</w:t>
        </w:r>
      </w:hyperlink>
      <w:r w:rsidRPr="00711A17">
        <w:rPr>
          <w:rFonts w:eastAsia="Times New Roman" w:cs="Calibri"/>
          <w:szCs w:val="24"/>
          <w:lang w:val="en-GB"/>
        </w:rPr>
        <w:t xml:space="preserve"> [Accessed </w:t>
      </w:r>
      <w:r w:rsidR="00CE6510">
        <w:rPr>
          <w:rFonts w:eastAsia="Times New Roman" w:cs="Calibri"/>
          <w:szCs w:val="24"/>
          <w:lang w:val="en-GB"/>
        </w:rPr>
        <w:t>17</w:t>
      </w:r>
      <w:r w:rsidRPr="00711A17">
        <w:rPr>
          <w:rFonts w:eastAsia="Times New Roman" w:cs="Calibri"/>
          <w:szCs w:val="24"/>
          <w:lang w:val="en-GB"/>
        </w:rPr>
        <w:t xml:space="preserve"> July 2026].</w:t>
      </w:r>
    </w:p>
    <w:p w14:paraId="22FDE431" w14:textId="37D4AB3C" w:rsidR="001E38FF" w:rsidRPr="00711A17" w:rsidRDefault="001E38FF">
      <w:pPr>
        <w:spacing w:after="240"/>
        <w:rPr>
          <w:rFonts w:eastAsia="Times New Roman" w:cs="Calibri"/>
          <w:szCs w:val="24"/>
          <w:lang w:val="en-GB"/>
        </w:rPr>
      </w:pPr>
      <w:r w:rsidRPr="00711A17">
        <w:rPr>
          <w:rFonts w:eastAsia="Times New Roman" w:cs="Calibri"/>
          <w:szCs w:val="24"/>
          <w:lang w:val="en-GB"/>
        </w:rPr>
        <w:t xml:space="preserve">Department of Health and Social Care (2025). </w:t>
      </w:r>
      <w:r w:rsidRPr="00711A17">
        <w:rPr>
          <w:rFonts w:eastAsia="Times New Roman" w:cs="Calibri"/>
          <w:i/>
          <w:iCs/>
          <w:szCs w:val="24"/>
          <w:lang w:val="en-GB"/>
        </w:rPr>
        <w:t>Healthy food revolution to tackle obesity epidemic</w:t>
      </w:r>
      <w:r w:rsidRPr="00711A17">
        <w:rPr>
          <w:rFonts w:eastAsia="Times New Roman" w:cs="Calibri"/>
          <w:szCs w:val="24"/>
          <w:lang w:val="en-GB"/>
        </w:rPr>
        <w:t xml:space="preserve">. [online] GOV.UK. Available at: </w:t>
      </w:r>
      <w:hyperlink r:id="rId17">
        <w:r w:rsidRPr="00711A17">
          <w:rPr>
            <w:rFonts w:eastAsia="Times New Roman" w:cs="Calibri"/>
            <w:color w:val="1155CC"/>
            <w:szCs w:val="24"/>
            <w:u w:val="single"/>
            <w:lang w:val="en-GB"/>
          </w:rPr>
          <w:t>https://www.gov.uk/government/news/healthy-food-revolution-to-tackle-obesity-epidemic</w:t>
        </w:r>
      </w:hyperlink>
      <w:r w:rsidRPr="00711A17">
        <w:rPr>
          <w:rFonts w:eastAsia="Times New Roman" w:cs="Calibri"/>
          <w:szCs w:val="24"/>
          <w:lang w:val="en-GB"/>
        </w:rPr>
        <w:t xml:space="preserve"> [Accessed 2</w:t>
      </w:r>
      <w:r w:rsidR="00CD3F6D">
        <w:rPr>
          <w:rFonts w:eastAsia="Times New Roman" w:cs="Calibri"/>
          <w:szCs w:val="24"/>
          <w:lang w:val="en-GB"/>
        </w:rPr>
        <w:t>4</w:t>
      </w:r>
      <w:r w:rsidRPr="00711A17">
        <w:rPr>
          <w:rFonts w:eastAsia="Times New Roman" w:cs="Calibri"/>
          <w:szCs w:val="24"/>
          <w:lang w:val="en-GB"/>
        </w:rPr>
        <w:t xml:space="preserve"> July 2026].</w:t>
      </w:r>
    </w:p>
    <w:p w14:paraId="0127E2F4" w14:textId="3370DD4F" w:rsidR="001E38FF" w:rsidRPr="00711A17" w:rsidRDefault="001E38FF">
      <w:pPr>
        <w:spacing w:after="240"/>
        <w:rPr>
          <w:rFonts w:eastAsia="Times New Roman" w:cs="Calibri"/>
          <w:szCs w:val="24"/>
          <w:lang w:val="en-GB"/>
        </w:rPr>
      </w:pPr>
      <w:r w:rsidRPr="00711A17">
        <w:rPr>
          <w:rFonts w:eastAsia="Times New Roman" w:cs="Calibri"/>
          <w:szCs w:val="24"/>
          <w:lang w:val="en-GB"/>
        </w:rPr>
        <w:t xml:space="preserve">GOV.UK (2025). </w:t>
      </w:r>
      <w:r w:rsidRPr="00711A17">
        <w:rPr>
          <w:rFonts w:eastAsia="Times New Roman" w:cs="Calibri"/>
          <w:i/>
          <w:iCs/>
          <w:szCs w:val="24"/>
          <w:lang w:val="en-GB"/>
        </w:rPr>
        <w:t>Food safety act 1990</w:t>
      </w:r>
      <w:r w:rsidRPr="00711A17">
        <w:rPr>
          <w:rFonts w:eastAsia="Times New Roman" w:cs="Calibri"/>
          <w:szCs w:val="24"/>
          <w:lang w:val="en-GB"/>
        </w:rPr>
        <w:t xml:space="preserve">. [online] </w:t>
      </w:r>
      <w:r w:rsidRPr="00711A17">
        <w:rPr>
          <w:rFonts w:eastAsia="Times New Roman" w:cs="Calibri"/>
          <w:i/>
          <w:iCs/>
          <w:szCs w:val="24"/>
          <w:lang w:val="en-GB"/>
        </w:rPr>
        <w:t>Legislation.gov.uk</w:t>
      </w:r>
      <w:r w:rsidRPr="00711A17">
        <w:rPr>
          <w:rFonts w:eastAsia="Times New Roman" w:cs="Calibri"/>
          <w:szCs w:val="24"/>
          <w:lang w:val="en-GB"/>
        </w:rPr>
        <w:t xml:space="preserve">. Available at: </w:t>
      </w:r>
      <w:hyperlink r:id="rId18">
        <w:r w:rsidRPr="00711A17">
          <w:rPr>
            <w:rFonts w:eastAsia="Times New Roman" w:cs="Calibri"/>
            <w:color w:val="1155CC"/>
            <w:szCs w:val="24"/>
            <w:u w:val="single"/>
            <w:lang w:val="en-GB"/>
          </w:rPr>
          <w:t>https://www.legislation.gov.uk/ukpga/1990/16/contents</w:t>
        </w:r>
      </w:hyperlink>
      <w:r w:rsidRPr="00711A17">
        <w:rPr>
          <w:rFonts w:eastAsia="Times New Roman" w:cs="Calibri"/>
          <w:szCs w:val="24"/>
          <w:lang w:val="en-GB"/>
        </w:rPr>
        <w:t xml:space="preserve"> [Accessed 2</w:t>
      </w:r>
      <w:r w:rsidR="00CD3F6D">
        <w:rPr>
          <w:rFonts w:eastAsia="Times New Roman" w:cs="Calibri"/>
          <w:szCs w:val="24"/>
          <w:lang w:val="en-GB"/>
        </w:rPr>
        <w:t>0</w:t>
      </w:r>
      <w:r w:rsidRPr="00711A17">
        <w:rPr>
          <w:rFonts w:eastAsia="Times New Roman" w:cs="Calibri"/>
          <w:szCs w:val="24"/>
          <w:lang w:val="en-GB"/>
        </w:rPr>
        <w:t xml:space="preserve"> July 2026].</w:t>
      </w:r>
    </w:p>
    <w:p w14:paraId="723A5220" w14:textId="77777777" w:rsidR="001E38FF" w:rsidRPr="00711A17" w:rsidRDefault="001E38FF">
      <w:pPr>
        <w:rPr>
          <w:rFonts w:eastAsia="Times New Roman" w:cs="Calibri"/>
          <w:szCs w:val="24"/>
          <w:lang w:val="en-GB"/>
        </w:rPr>
      </w:pPr>
      <w:r w:rsidRPr="00711A17">
        <w:rPr>
          <w:rFonts w:eastAsia="Times New Roman" w:cs="Calibri"/>
          <w:color w:val="222222"/>
          <w:szCs w:val="24"/>
          <w:highlight w:val="white"/>
          <w:lang w:val="en-GB"/>
        </w:rPr>
        <w:t>Harianto, E. and Soenardi, E., (2022). Creating new strategy for business sustainability through business model canvas (BMC) evaluation in paper manufacturing.</w:t>
      </w:r>
      <w:r w:rsidRPr="00711A17">
        <w:rPr>
          <w:rFonts w:eastAsia="Times New Roman" w:cs="Calibri"/>
          <w:szCs w:val="24"/>
          <w:lang w:val="en-GB"/>
        </w:rPr>
        <w:t xml:space="preserve"> </w:t>
      </w:r>
      <w:hyperlink r:id="rId19">
        <w:r w:rsidRPr="00711A17">
          <w:rPr>
            <w:rFonts w:eastAsia="Times New Roman" w:cs="Calibri"/>
            <w:color w:val="1155CC"/>
            <w:szCs w:val="24"/>
            <w:u w:val="single"/>
            <w:lang w:val="en-GB"/>
          </w:rPr>
          <w:t>https://jurnal.stie-aas.ac.id/index.php/IJEBAR/article/download/3025/2250</w:t>
        </w:r>
      </w:hyperlink>
      <w:r w:rsidRPr="00711A17">
        <w:rPr>
          <w:rFonts w:eastAsia="Times New Roman" w:cs="Calibri"/>
          <w:szCs w:val="24"/>
          <w:lang w:val="en-GB"/>
        </w:rPr>
        <w:t xml:space="preserve"> </w:t>
      </w:r>
    </w:p>
    <w:p w14:paraId="426D8B44" w14:textId="1E5BE33C" w:rsidR="001E38FF" w:rsidRPr="00711A17" w:rsidRDefault="001E38FF">
      <w:pPr>
        <w:spacing w:after="240"/>
        <w:rPr>
          <w:rFonts w:eastAsia="Times New Roman" w:cs="Calibri"/>
          <w:szCs w:val="24"/>
          <w:lang w:val="en-GB"/>
        </w:rPr>
      </w:pPr>
      <w:r w:rsidRPr="00711A17">
        <w:rPr>
          <w:rFonts w:eastAsia="Times New Roman" w:cs="Calibri"/>
          <w:szCs w:val="24"/>
          <w:lang w:val="en-GB"/>
        </w:rPr>
        <w:t xml:space="preserve">Hickey, S. (2024). </w:t>
      </w:r>
      <w:r w:rsidRPr="00711A17">
        <w:rPr>
          <w:rFonts w:eastAsia="Times New Roman" w:cs="Calibri"/>
          <w:i/>
          <w:iCs/>
          <w:szCs w:val="24"/>
          <w:lang w:val="en-GB"/>
        </w:rPr>
        <w:t>Revealed: How ‘convenient’ recipe boxes really measure up on price</w:t>
      </w:r>
      <w:r w:rsidRPr="00711A17">
        <w:rPr>
          <w:rFonts w:eastAsia="Times New Roman" w:cs="Calibri"/>
          <w:szCs w:val="24"/>
          <w:lang w:val="en-GB"/>
        </w:rPr>
        <w:t xml:space="preserve">. [online] The guardian. Available at: </w:t>
      </w:r>
      <w:hyperlink r:id="rId20">
        <w:r w:rsidRPr="00711A17">
          <w:rPr>
            <w:rFonts w:eastAsia="Times New Roman" w:cs="Calibri"/>
            <w:color w:val="1155CC"/>
            <w:szCs w:val="24"/>
            <w:u w:val="single"/>
            <w:lang w:val="en-GB"/>
          </w:rPr>
          <w:t>https://www.theguardian.com/money/article/2024/may/27/revealed-how-convenient-recipe-boxes-really-measure-up-on-price</w:t>
        </w:r>
      </w:hyperlink>
      <w:r w:rsidRPr="00711A17">
        <w:rPr>
          <w:rFonts w:eastAsia="Times New Roman" w:cs="Calibri"/>
          <w:szCs w:val="24"/>
          <w:lang w:val="en-GB"/>
        </w:rPr>
        <w:t xml:space="preserve"> [Accessed 2</w:t>
      </w:r>
      <w:r w:rsidR="00CD3F6D">
        <w:rPr>
          <w:rFonts w:eastAsia="Times New Roman" w:cs="Calibri"/>
          <w:szCs w:val="24"/>
          <w:lang w:val="en-GB"/>
        </w:rPr>
        <w:t>1</w:t>
      </w:r>
      <w:r w:rsidRPr="00711A17">
        <w:rPr>
          <w:rFonts w:eastAsia="Times New Roman" w:cs="Calibri"/>
          <w:szCs w:val="24"/>
          <w:lang w:val="en-GB"/>
        </w:rPr>
        <w:t xml:space="preserve"> July 2026].</w:t>
      </w:r>
    </w:p>
    <w:p w14:paraId="7F847575" w14:textId="77777777" w:rsidR="001E38FF" w:rsidRPr="00711A17" w:rsidRDefault="001E38FF">
      <w:pPr>
        <w:rPr>
          <w:rFonts w:eastAsia="Times New Roman" w:cs="Calibri"/>
          <w:szCs w:val="24"/>
          <w:lang w:val="en-GB"/>
        </w:rPr>
      </w:pPr>
      <w:r w:rsidRPr="00711A17">
        <w:rPr>
          <w:rFonts w:eastAsia="Times New Roman" w:cs="Calibri"/>
          <w:color w:val="222222"/>
          <w:szCs w:val="24"/>
          <w:highlight w:val="white"/>
          <w:lang w:val="en-GB"/>
        </w:rPr>
        <w:t xml:space="preserve">Ibeh, C.V., Asuzu, O.F., Olorunsogo, T., Elufioye, O.A., Nduubuisi, N.L. and Daraojimba, A.I., (2024). Business analytics and decision science: A review of techniques in strategic business decision making. </w:t>
      </w:r>
      <w:r w:rsidRPr="00711A17">
        <w:rPr>
          <w:rFonts w:eastAsia="Times New Roman" w:cs="Calibri"/>
          <w:i/>
          <w:iCs/>
          <w:color w:val="222222"/>
          <w:szCs w:val="24"/>
          <w:highlight w:val="white"/>
          <w:lang w:val="en-GB"/>
        </w:rPr>
        <w:t>World Journal of Advanced Research and Reviews</w:t>
      </w:r>
      <w:r w:rsidRPr="00711A17">
        <w:rPr>
          <w:rFonts w:eastAsia="Times New Roman" w:cs="Calibri"/>
          <w:color w:val="222222"/>
          <w:szCs w:val="24"/>
          <w:highlight w:val="white"/>
          <w:lang w:val="en-GB"/>
        </w:rPr>
        <w:t xml:space="preserve">, </w:t>
      </w:r>
      <w:r w:rsidRPr="00711A17">
        <w:rPr>
          <w:rFonts w:eastAsia="Times New Roman" w:cs="Calibri"/>
          <w:i/>
          <w:iCs/>
          <w:color w:val="222222"/>
          <w:szCs w:val="24"/>
          <w:highlight w:val="white"/>
          <w:lang w:val="en-GB"/>
        </w:rPr>
        <w:t>21</w:t>
      </w:r>
      <w:r w:rsidRPr="00711A17">
        <w:rPr>
          <w:rFonts w:eastAsia="Times New Roman" w:cs="Calibri"/>
          <w:color w:val="222222"/>
          <w:szCs w:val="24"/>
          <w:highlight w:val="white"/>
          <w:lang w:val="en-GB"/>
        </w:rPr>
        <w:t>(2), pp.1761-1769.</w:t>
      </w:r>
      <w:r w:rsidRPr="00711A17">
        <w:rPr>
          <w:rFonts w:eastAsia="Times New Roman" w:cs="Calibri"/>
          <w:szCs w:val="24"/>
          <w:lang w:val="en-GB"/>
        </w:rPr>
        <w:t xml:space="preserve"> </w:t>
      </w:r>
      <w:hyperlink r:id="rId21">
        <w:r w:rsidRPr="00711A17">
          <w:rPr>
            <w:rFonts w:eastAsia="Times New Roman" w:cs="Calibri"/>
            <w:color w:val="1155CC"/>
            <w:szCs w:val="24"/>
            <w:u w:val="single"/>
            <w:lang w:val="en-GB"/>
          </w:rPr>
          <w:t>https://www.academia.edu/download/120419621/WJARR-2024-0247.pdf</w:t>
        </w:r>
      </w:hyperlink>
      <w:r w:rsidRPr="00711A17">
        <w:rPr>
          <w:rFonts w:eastAsia="Times New Roman" w:cs="Calibri"/>
          <w:szCs w:val="24"/>
          <w:lang w:val="en-GB"/>
        </w:rPr>
        <w:t xml:space="preserve"> </w:t>
      </w:r>
    </w:p>
    <w:p w14:paraId="179B0DD4" w14:textId="5333444D" w:rsidR="001E38FF" w:rsidRPr="00711A17" w:rsidRDefault="003E6DDC">
      <w:pPr>
        <w:spacing w:after="240"/>
        <w:rPr>
          <w:rFonts w:eastAsia="Times New Roman" w:cs="Calibri"/>
          <w:szCs w:val="24"/>
          <w:lang w:val="en-GB"/>
        </w:rPr>
      </w:pPr>
      <w:r>
        <w:rPr>
          <w:rFonts w:eastAsia="Times New Roman" w:cs="Calibri"/>
          <w:szCs w:val="24"/>
          <w:lang w:val="en-GB"/>
        </w:rPr>
        <w:t>I</w:t>
      </w:r>
      <w:r w:rsidR="001E38FF" w:rsidRPr="00711A17">
        <w:rPr>
          <w:rFonts w:eastAsia="Times New Roman" w:cs="Calibri"/>
          <w:szCs w:val="24"/>
          <w:lang w:val="en-GB"/>
        </w:rPr>
        <w:t xml:space="preserve">marcgroup (2025). </w:t>
      </w:r>
      <w:r w:rsidR="001E38FF" w:rsidRPr="00711A17">
        <w:rPr>
          <w:rFonts w:eastAsia="Times New Roman" w:cs="Calibri"/>
          <w:i/>
          <w:iCs/>
          <w:szCs w:val="24"/>
          <w:lang w:val="en-GB"/>
        </w:rPr>
        <w:t>UK food delivery market size share forecast growth report 2033</w:t>
      </w:r>
      <w:r w:rsidR="001E38FF" w:rsidRPr="00711A17">
        <w:rPr>
          <w:rFonts w:eastAsia="Times New Roman" w:cs="Calibri"/>
          <w:szCs w:val="24"/>
          <w:lang w:val="en-GB"/>
        </w:rPr>
        <w:t xml:space="preserve">. [online] </w:t>
      </w:r>
      <w:r w:rsidR="001E38FF" w:rsidRPr="00711A17">
        <w:rPr>
          <w:rFonts w:eastAsia="Times New Roman" w:cs="Calibri"/>
          <w:i/>
          <w:iCs/>
          <w:szCs w:val="24"/>
          <w:lang w:val="en-GB"/>
        </w:rPr>
        <w:t>Imarcgroup.com</w:t>
      </w:r>
      <w:r w:rsidR="001E38FF" w:rsidRPr="00711A17">
        <w:rPr>
          <w:rFonts w:eastAsia="Times New Roman" w:cs="Calibri"/>
          <w:szCs w:val="24"/>
          <w:lang w:val="en-GB"/>
        </w:rPr>
        <w:t xml:space="preserve">. Available at: </w:t>
      </w:r>
      <w:hyperlink r:id="rId22">
        <w:r w:rsidR="001E38FF" w:rsidRPr="00711A17">
          <w:rPr>
            <w:rFonts w:eastAsia="Times New Roman" w:cs="Calibri"/>
            <w:color w:val="1155CC"/>
            <w:szCs w:val="24"/>
            <w:u w:val="single"/>
            <w:lang w:val="en-GB"/>
          </w:rPr>
          <w:t>https://www.imarcgroup.com/uk-food-delivery-market</w:t>
        </w:r>
      </w:hyperlink>
      <w:r w:rsidR="001E38FF" w:rsidRPr="00711A17">
        <w:rPr>
          <w:rFonts w:eastAsia="Times New Roman" w:cs="Calibri"/>
          <w:szCs w:val="24"/>
          <w:lang w:val="en-GB"/>
        </w:rPr>
        <w:t xml:space="preserve"> [Accessed 2</w:t>
      </w:r>
      <w:r w:rsidR="009D3A4F">
        <w:rPr>
          <w:rFonts w:eastAsia="Times New Roman" w:cs="Calibri"/>
          <w:szCs w:val="24"/>
          <w:lang w:val="en-GB"/>
        </w:rPr>
        <w:t>0</w:t>
      </w:r>
      <w:r w:rsidR="001E38FF" w:rsidRPr="00711A17">
        <w:rPr>
          <w:rFonts w:eastAsia="Times New Roman" w:cs="Calibri"/>
          <w:szCs w:val="24"/>
          <w:lang w:val="en-GB"/>
        </w:rPr>
        <w:t xml:space="preserve"> July 2026].</w:t>
      </w:r>
    </w:p>
    <w:p w14:paraId="326E4F77" w14:textId="77777777" w:rsidR="001E38FF" w:rsidRPr="00711A17" w:rsidRDefault="001E38FF">
      <w:pPr>
        <w:rPr>
          <w:rFonts w:eastAsia="Times New Roman" w:cs="Calibri"/>
          <w:szCs w:val="24"/>
          <w:lang w:val="en-GB"/>
        </w:rPr>
      </w:pPr>
      <w:r w:rsidRPr="00711A17">
        <w:rPr>
          <w:rFonts w:eastAsia="Times New Roman" w:cs="Calibri"/>
          <w:color w:val="222222"/>
          <w:szCs w:val="24"/>
          <w:highlight w:val="white"/>
          <w:lang w:val="en-GB"/>
        </w:rPr>
        <w:t>Kamolsiri, S., (2026). From Convenience to Commitment: Designing a Personalised and Sustainable Meal Delivery Business Model in Finland.</w:t>
      </w:r>
      <w:r w:rsidRPr="00711A17">
        <w:rPr>
          <w:rFonts w:eastAsia="Times New Roman" w:cs="Calibri"/>
          <w:szCs w:val="24"/>
          <w:lang w:val="en-GB"/>
        </w:rPr>
        <w:t xml:space="preserve"> </w:t>
      </w:r>
      <w:hyperlink r:id="rId23">
        <w:r w:rsidRPr="00711A17">
          <w:rPr>
            <w:rFonts w:eastAsia="Times New Roman" w:cs="Calibri"/>
            <w:color w:val="1155CC"/>
            <w:szCs w:val="24"/>
            <w:u w:val="single"/>
            <w:lang w:val="en-GB"/>
          </w:rPr>
          <w:t>https://www.theseus.fi/bitstream/handle/10024/913741/Kamolsiri_Shatcha.pdf?sequence=2</w:t>
        </w:r>
      </w:hyperlink>
    </w:p>
    <w:p w14:paraId="4CEB4CB7" w14:textId="2B132414" w:rsidR="001E38FF" w:rsidRPr="00711A17" w:rsidRDefault="001E38FF">
      <w:pPr>
        <w:spacing w:after="240"/>
        <w:rPr>
          <w:rFonts w:eastAsia="Times New Roman" w:cs="Calibri"/>
          <w:szCs w:val="24"/>
          <w:lang w:val="en-GB"/>
        </w:rPr>
      </w:pPr>
      <w:r w:rsidRPr="00711A17">
        <w:rPr>
          <w:rFonts w:eastAsia="Times New Roman" w:cs="Calibri"/>
          <w:szCs w:val="24"/>
          <w:lang w:val="en-GB"/>
        </w:rPr>
        <w:t xml:space="preserve">NHS England (2023). </w:t>
      </w:r>
      <w:r w:rsidRPr="00711A17">
        <w:rPr>
          <w:rFonts w:eastAsia="Times New Roman" w:cs="Calibri"/>
          <w:i/>
          <w:iCs/>
          <w:szCs w:val="24"/>
          <w:lang w:val="en-GB"/>
        </w:rPr>
        <w:t>NHS England » obesity</w:t>
      </w:r>
      <w:r w:rsidRPr="00711A17">
        <w:rPr>
          <w:rFonts w:eastAsia="Times New Roman" w:cs="Calibri"/>
          <w:szCs w:val="24"/>
          <w:lang w:val="en-GB"/>
        </w:rPr>
        <w:t xml:space="preserve">. [online] </w:t>
      </w:r>
      <w:r w:rsidRPr="00711A17">
        <w:rPr>
          <w:rFonts w:eastAsia="Times New Roman" w:cs="Calibri"/>
          <w:i/>
          <w:iCs/>
          <w:szCs w:val="24"/>
          <w:lang w:val="en-GB"/>
        </w:rPr>
        <w:t>England.nhs.uk</w:t>
      </w:r>
      <w:r w:rsidRPr="00711A17">
        <w:rPr>
          <w:rFonts w:eastAsia="Times New Roman" w:cs="Calibri"/>
          <w:szCs w:val="24"/>
          <w:lang w:val="en-GB"/>
        </w:rPr>
        <w:t xml:space="preserve">. Available at: </w:t>
      </w:r>
      <w:hyperlink r:id="rId24" w:history="1">
        <w:r w:rsidR="009D3A4F" w:rsidRPr="00D6278D">
          <w:rPr>
            <w:rStyle w:val="Hyperlink"/>
            <w:rFonts w:eastAsia="Times New Roman" w:cs="Calibri"/>
            <w:szCs w:val="24"/>
            <w:lang w:val="en-GB"/>
          </w:rPr>
          <w:t>https://www.england.nhs.uk/ourwork/prevention/obesity/</w:t>
        </w:r>
      </w:hyperlink>
      <w:r w:rsidR="009D3A4F">
        <w:rPr>
          <w:rFonts w:eastAsia="Times New Roman" w:cs="Calibri"/>
          <w:szCs w:val="24"/>
          <w:lang w:val="en-GB"/>
        </w:rPr>
        <w:t xml:space="preserve"> </w:t>
      </w:r>
      <w:r w:rsidRPr="00711A17">
        <w:rPr>
          <w:rFonts w:eastAsia="Times New Roman" w:cs="Calibri"/>
          <w:szCs w:val="24"/>
          <w:lang w:val="en-GB"/>
        </w:rPr>
        <w:t xml:space="preserve">[Accessed </w:t>
      </w:r>
      <w:r w:rsidR="009D3A4F">
        <w:rPr>
          <w:rFonts w:eastAsia="Times New Roman" w:cs="Calibri"/>
          <w:szCs w:val="24"/>
          <w:lang w:val="en-GB"/>
        </w:rPr>
        <w:t>19</w:t>
      </w:r>
      <w:r w:rsidRPr="00711A17">
        <w:rPr>
          <w:rFonts w:eastAsia="Times New Roman" w:cs="Calibri"/>
          <w:szCs w:val="24"/>
          <w:lang w:val="en-GB"/>
        </w:rPr>
        <w:t xml:space="preserve"> July 2026].</w:t>
      </w:r>
    </w:p>
    <w:p w14:paraId="79EAE311" w14:textId="0C98A699" w:rsidR="001E38FF" w:rsidRPr="00711A17" w:rsidRDefault="001E38FF">
      <w:pPr>
        <w:rPr>
          <w:rFonts w:eastAsia="Times New Roman" w:cs="Calibri"/>
          <w:szCs w:val="24"/>
          <w:lang w:val="it-IT"/>
        </w:rPr>
      </w:pPr>
      <w:r w:rsidRPr="00711A17">
        <w:rPr>
          <w:rFonts w:eastAsia="Times New Roman" w:cs="Calibri"/>
          <w:color w:val="222222"/>
          <w:szCs w:val="24"/>
          <w:highlight w:val="white"/>
          <w:lang w:val="en-GB"/>
        </w:rPr>
        <w:t xml:space="preserve">Ociepa-Kubicka, A., (2024). The value proposition-The basis of an effective business model. </w:t>
      </w:r>
      <w:r w:rsidRPr="00711A17">
        <w:rPr>
          <w:rFonts w:eastAsia="Times New Roman" w:cs="Calibri"/>
          <w:i/>
          <w:iCs/>
          <w:color w:val="222222"/>
          <w:szCs w:val="24"/>
          <w:highlight w:val="white"/>
          <w:lang w:val="en-GB"/>
        </w:rPr>
        <w:t xml:space="preserve">Scientific Papers of Silesian University of Technology. Organization &amp; Management/Zeszyty Naukowe Politechniki Slaskiej. </w:t>
      </w:r>
      <w:r w:rsidRPr="00711A17">
        <w:rPr>
          <w:rFonts w:eastAsia="Times New Roman" w:cs="Calibri"/>
          <w:i/>
          <w:iCs/>
          <w:color w:val="222222"/>
          <w:szCs w:val="24"/>
          <w:highlight w:val="white"/>
          <w:lang w:val="it-IT"/>
        </w:rPr>
        <w:t>Seria Organizacji i Zarzadzanie</w:t>
      </w:r>
      <w:r w:rsidRPr="00711A17">
        <w:rPr>
          <w:rFonts w:eastAsia="Times New Roman" w:cs="Calibri"/>
          <w:color w:val="222222"/>
          <w:szCs w:val="24"/>
          <w:highlight w:val="white"/>
          <w:lang w:val="it-IT"/>
        </w:rPr>
        <w:t xml:space="preserve">, </w:t>
      </w:r>
      <w:r w:rsidR="00F04A27">
        <w:rPr>
          <w:rFonts w:eastAsia="Times New Roman" w:cs="Calibri"/>
          <w:color w:val="222222"/>
          <w:szCs w:val="24"/>
          <w:highlight w:val="white"/>
          <w:lang w:val="it-IT"/>
        </w:rPr>
        <w:t xml:space="preserve">pp. </w:t>
      </w:r>
      <w:r w:rsidRPr="00711A17">
        <w:rPr>
          <w:rFonts w:eastAsia="Times New Roman" w:cs="Calibri"/>
          <w:i/>
          <w:iCs/>
          <w:color w:val="222222"/>
          <w:szCs w:val="24"/>
          <w:highlight w:val="white"/>
          <w:lang w:val="it-IT"/>
        </w:rPr>
        <w:t>209</w:t>
      </w:r>
      <w:r w:rsidRPr="00711A17">
        <w:rPr>
          <w:rFonts w:eastAsia="Times New Roman" w:cs="Calibri"/>
          <w:color w:val="222222"/>
          <w:szCs w:val="24"/>
          <w:highlight w:val="white"/>
          <w:lang w:val="it-IT"/>
        </w:rPr>
        <w:t>.</w:t>
      </w:r>
      <w:r w:rsidRPr="00711A17">
        <w:rPr>
          <w:rFonts w:eastAsia="Times New Roman" w:cs="Calibri"/>
          <w:szCs w:val="24"/>
          <w:lang w:val="it-IT"/>
        </w:rPr>
        <w:t xml:space="preserve"> </w:t>
      </w:r>
      <w:hyperlink r:id="rId25">
        <w:r w:rsidRPr="00711A17">
          <w:rPr>
            <w:rFonts w:eastAsia="Times New Roman" w:cs="Calibri"/>
            <w:color w:val="1155CC"/>
            <w:szCs w:val="24"/>
            <w:u w:val="single"/>
            <w:lang w:val="it-IT"/>
          </w:rPr>
          <w:t>https://managementpapers.polsl.pl/wp-content/uploads/2025/01/209-Ociepa-Kubicka.pdf</w:t>
        </w:r>
      </w:hyperlink>
      <w:r w:rsidRPr="00711A17">
        <w:rPr>
          <w:rFonts w:eastAsia="Times New Roman" w:cs="Calibri"/>
          <w:szCs w:val="24"/>
          <w:lang w:val="it-IT"/>
        </w:rPr>
        <w:t xml:space="preserve"> </w:t>
      </w:r>
    </w:p>
    <w:p w14:paraId="4315F42B" w14:textId="573C0636" w:rsidR="001E38FF" w:rsidRPr="00711A17" w:rsidRDefault="001E38FF">
      <w:pPr>
        <w:rPr>
          <w:rFonts w:eastAsia="Times New Roman" w:cs="Calibri"/>
          <w:szCs w:val="24"/>
          <w:lang w:val="en-GB"/>
        </w:rPr>
      </w:pPr>
      <w:r w:rsidRPr="00711A17">
        <w:rPr>
          <w:rFonts w:eastAsia="Times New Roman" w:cs="Calibri"/>
          <w:color w:val="222222"/>
          <w:szCs w:val="24"/>
          <w:highlight w:val="white"/>
          <w:lang w:val="it-IT"/>
        </w:rPr>
        <w:t xml:space="preserve">Omowole, B.M., Olufemi-Philips, A.Q., Ofadile, O.C., Eyo-Udo, N.L. and Ewim, S.E., (2024). </w:t>
      </w:r>
      <w:r w:rsidRPr="00711A17">
        <w:rPr>
          <w:rFonts w:eastAsia="Times New Roman" w:cs="Calibri"/>
          <w:color w:val="222222"/>
          <w:szCs w:val="24"/>
          <w:highlight w:val="white"/>
          <w:lang w:val="en-GB"/>
        </w:rPr>
        <w:t xml:space="preserve">Big data for SMEs: A review of utilization strategies for market analysis and customer insight. </w:t>
      </w:r>
      <w:r w:rsidRPr="00711A17">
        <w:rPr>
          <w:rFonts w:eastAsia="Times New Roman" w:cs="Calibri"/>
          <w:i/>
          <w:iCs/>
          <w:color w:val="222222"/>
          <w:szCs w:val="24"/>
          <w:highlight w:val="white"/>
          <w:lang w:val="en-GB"/>
        </w:rPr>
        <w:t>International Journal of Frontline Research in Multidisciplinary Studies</w:t>
      </w:r>
      <w:r w:rsidRPr="00711A17">
        <w:rPr>
          <w:rFonts w:eastAsia="Times New Roman" w:cs="Calibri"/>
          <w:color w:val="222222"/>
          <w:szCs w:val="24"/>
          <w:highlight w:val="white"/>
          <w:lang w:val="en-GB"/>
        </w:rPr>
        <w:t xml:space="preserve">, </w:t>
      </w:r>
      <w:r w:rsidR="00F04A27">
        <w:rPr>
          <w:rFonts w:eastAsia="Times New Roman" w:cs="Calibri"/>
          <w:color w:val="222222"/>
          <w:szCs w:val="24"/>
          <w:highlight w:val="white"/>
          <w:lang w:val="en-GB"/>
        </w:rPr>
        <w:t xml:space="preserve">vol. </w:t>
      </w:r>
      <w:r w:rsidRPr="00711A17">
        <w:rPr>
          <w:rFonts w:eastAsia="Times New Roman" w:cs="Calibri"/>
          <w:i/>
          <w:iCs/>
          <w:color w:val="222222"/>
          <w:szCs w:val="24"/>
          <w:highlight w:val="white"/>
          <w:lang w:val="en-GB"/>
        </w:rPr>
        <w:t>5</w:t>
      </w:r>
      <w:r w:rsidR="00F04A27">
        <w:rPr>
          <w:rFonts w:eastAsia="Times New Roman" w:cs="Calibri"/>
          <w:color w:val="222222"/>
          <w:szCs w:val="24"/>
          <w:highlight w:val="white"/>
          <w:lang w:val="en-GB"/>
        </w:rPr>
        <w:t xml:space="preserve">, no. </w:t>
      </w:r>
      <w:r w:rsidRPr="00711A17">
        <w:rPr>
          <w:rFonts w:eastAsia="Times New Roman" w:cs="Calibri"/>
          <w:color w:val="222222"/>
          <w:szCs w:val="24"/>
          <w:highlight w:val="white"/>
          <w:lang w:val="en-GB"/>
        </w:rPr>
        <w:t>1, pp.</w:t>
      </w:r>
      <w:r w:rsidR="00F04A27">
        <w:rPr>
          <w:rFonts w:eastAsia="Times New Roman" w:cs="Calibri"/>
          <w:color w:val="222222"/>
          <w:szCs w:val="24"/>
          <w:highlight w:val="white"/>
          <w:lang w:val="en-GB"/>
        </w:rPr>
        <w:t xml:space="preserve"> </w:t>
      </w:r>
      <w:r w:rsidRPr="00711A17">
        <w:rPr>
          <w:rFonts w:eastAsia="Times New Roman" w:cs="Calibri"/>
          <w:color w:val="222222"/>
          <w:szCs w:val="24"/>
          <w:highlight w:val="white"/>
          <w:lang w:val="en-GB"/>
        </w:rPr>
        <w:t>001-018.</w:t>
      </w:r>
      <w:r w:rsidRPr="00711A17">
        <w:rPr>
          <w:rFonts w:eastAsia="Times New Roman" w:cs="Calibri"/>
          <w:szCs w:val="24"/>
          <w:lang w:val="en-GB"/>
        </w:rPr>
        <w:t xml:space="preserve"> </w:t>
      </w:r>
      <w:hyperlink r:id="rId26">
        <w:r w:rsidRPr="00711A17">
          <w:rPr>
            <w:rFonts w:eastAsia="Times New Roman" w:cs="Calibri"/>
            <w:color w:val="1155CC"/>
            <w:szCs w:val="24"/>
            <w:u w:val="single"/>
            <w:lang w:val="en-GB"/>
          </w:rPr>
          <w:t>https://www.researchgate.net/profile/Bamidele-Omowole/publication/386276685_Big_data_for_SMEs_A_review_of_utilization_strategies_for_market_analysis_and_customer_insight/links/6762265e2d60b863e279ef60/Big-data-for-SMEs-A-review-of-utilization-strategies-for-market-analysis-and-customer-insight.pdf</w:t>
        </w:r>
      </w:hyperlink>
      <w:r w:rsidRPr="00711A17">
        <w:rPr>
          <w:rFonts w:eastAsia="Times New Roman" w:cs="Calibri"/>
          <w:szCs w:val="24"/>
          <w:lang w:val="en-GB"/>
        </w:rPr>
        <w:t xml:space="preserve"> </w:t>
      </w:r>
    </w:p>
    <w:p w14:paraId="3C44EC2A" w14:textId="0A5775B9" w:rsidR="001E38FF" w:rsidRPr="00711A17" w:rsidRDefault="001E38FF">
      <w:pPr>
        <w:rPr>
          <w:rFonts w:eastAsia="Times New Roman" w:cs="Calibri"/>
          <w:szCs w:val="24"/>
          <w:lang w:val="en-GB"/>
        </w:rPr>
      </w:pPr>
      <w:r w:rsidRPr="00711A17">
        <w:rPr>
          <w:rFonts w:eastAsia="Times New Roman" w:cs="Calibri"/>
          <w:szCs w:val="24"/>
          <w:lang w:val="en-GB"/>
        </w:rPr>
        <w:t xml:space="preserve">ONS, 2025. Labour market overview, UK: October (2024). Available at: </w:t>
      </w:r>
      <w:hyperlink r:id="rId27">
        <w:r w:rsidRPr="00711A17">
          <w:rPr>
            <w:rFonts w:eastAsia="Times New Roman" w:cs="Calibri"/>
            <w:color w:val="1155CC"/>
            <w:szCs w:val="24"/>
            <w:u w:val="single"/>
            <w:lang w:val="en-GB"/>
          </w:rPr>
          <w:t>https://backup.ons.gov.uk/wp-content/uploads/sites/3/2024/10/Labour-market-overview-UK-October-2024.pdf</w:t>
        </w:r>
      </w:hyperlink>
      <w:r w:rsidRPr="00711A17">
        <w:rPr>
          <w:rFonts w:eastAsia="Times New Roman" w:cs="Calibri"/>
          <w:szCs w:val="24"/>
          <w:lang w:val="en-GB"/>
        </w:rPr>
        <w:t xml:space="preserve"> [Accessed 2</w:t>
      </w:r>
      <w:r w:rsidR="00F04A27">
        <w:rPr>
          <w:rFonts w:eastAsia="Times New Roman" w:cs="Calibri"/>
          <w:szCs w:val="24"/>
          <w:lang w:val="en-GB"/>
        </w:rPr>
        <w:t>1</w:t>
      </w:r>
      <w:r w:rsidRPr="00711A17">
        <w:rPr>
          <w:rFonts w:eastAsia="Times New Roman" w:cs="Calibri"/>
          <w:szCs w:val="24"/>
          <w:lang w:val="en-GB"/>
        </w:rPr>
        <w:t xml:space="preserve"> July 2026]</w:t>
      </w:r>
    </w:p>
    <w:p w14:paraId="3B24D93B" w14:textId="77777777" w:rsidR="001E38FF" w:rsidRPr="00711A17" w:rsidRDefault="001E38FF">
      <w:pPr>
        <w:rPr>
          <w:rFonts w:eastAsia="Times New Roman" w:cs="Calibri"/>
          <w:szCs w:val="24"/>
          <w:lang w:val="en-GB"/>
        </w:rPr>
      </w:pPr>
      <w:r w:rsidRPr="00711A17">
        <w:rPr>
          <w:rFonts w:eastAsia="Times New Roman" w:cs="Calibri"/>
          <w:color w:val="222222"/>
          <w:szCs w:val="24"/>
          <w:highlight w:val="white"/>
          <w:lang w:val="en-GB"/>
        </w:rPr>
        <w:t xml:space="preserve">Özal, E. and Münch, J., (2024), April. Unveiling customer needs: a comprehensive exploration of jobs to be done interviews. In </w:t>
      </w:r>
      <w:r w:rsidRPr="00711A17">
        <w:rPr>
          <w:rFonts w:eastAsia="Times New Roman" w:cs="Calibri"/>
          <w:i/>
          <w:iCs/>
          <w:color w:val="222222"/>
          <w:szCs w:val="24"/>
          <w:highlight w:val="white"/>
          <w:lang w:val="en-GB"/>
        </w:rPr>
        <w:t>Proceedings of the 7th ACM/IEEE International Workshop on Software-intensive Business</w:t>
      </w:r>
      <w:r w:rsidRPr="00711A17">
        <w:rPr>
          <w:rFonts w:eastAsia="Times New Roman" w:cs="Calibri"/>
          <w:color w:val="222222"/>
          <w:szCs w:val="24"/>
          <w:highlight w:val="white"/>
          <w:lang w:val="en-GB"/>
        </w:rPr>
        <w:t xml:space="preserve"> (pp. 48-55).</w:t>
      </w:r>
      <w:r w:rsidRPr="00711A17">
        <w:rPr>
          <w:rFonts w:eastAsia="Times New Roman" w:cs="Calibri"/>
          <w:szCs w:val="24"/>
          <w:lang w:val="en-GB"/>
        </w:rPr>
        <w:t xml:space="preserve"> </w:t>
      </w:r>
      <w:hyperlink r:id="rId28">
        <w:r w:rsidRPr="00711A17">
          <w:rPr>
            <w:rFonts w:eastAsia="Times New Roman" w:cs="Calibri"/>
            <w:color w:val="1155CC"/>
            <w:szCs w:val="24"/>
            <w:u w:val="single"/>
            <w:lang w:val="en-GB"/>
          </w:rPr>
          <w:t>https://dl.acm.org/doi/pdf/10.1145/3643690.3648240</w:t>
        </w:r>
      </w:hyperlink>
      <w:r w:rsidRPr="00711A17">
        <w:rPr>
          <w:rFonts w:eastAsia="Times New Roman" w:cs="Calibri"/>
          <w:szCs w:val="24"/>
          <w:lang w:val="en-GB"/>
        </w:rPr>
        <w:t xml:space="preserve"> </w:t>
      </w:r>
    </w:p>
    <w:p w14:paraId="5E53E2EE" w14:textId="6393B529" w:rsidR="00E64A65" w:rsidRPr="00711A17" w:rsidRDefault="00227775">
      <w:pPr>
        <w:spacing w:after="240"/>
        <w:rPr>
          <w:rFonts w:eastAsia="Times New Roman" w:cs="Calibri"/>
          <w:szCs w:val="24"/>
          <w:lang w:val="en-GB"/>
        </w:rPr>
      </w:pPr>
      <w:r w:rsidRPr="00711A17">
        <w:rPr>
          <w:rFonts w:eastAsia="Times New Roman" w:cs="Calibri"/>
          <w:szCs w:val="24"/>
          <w:lang w:val="en-GB"/>
        </w:rPr>
        <w:t xml:space="preserve">ONS (2026). </w:t>
      </w:r>
      <w:r w:rsidRPr="00711A17">
        <w:rPr>
          <w:rFonts w:eastAsia="Times New Roman" w:cs="Calibri"/>
          <w:i/>
          <w:iCs/>
          <w:szCs w:val="24"/>
          <w:lang w:val="en-GB"/>
        </w:rPr>
        <w:t>Consumer price inflation, UK</w:t>
      </w:r>
      <w:r w:rsidRPr="00711A17">
        <w:rPr>
          <w:rFonts w:eastAsia="Times New Roman" w:cs="Calibri"/>
          <w:szCs w:val="24"/>
          <w:lang w:val="en-GB"/>
        </w:rPr>
        <w:t xml:space="preserve">. [online] Ons.gov.uk. Available at: </w:t>
      </w:r>
      <w:hyperlink r:id="rId29">
        <w:r w:rsidR="00E64A65" w:rsidRPr="00711A17">
          <w:rPr>
            <w:rFonts w:eastAsia="Times New Roman" w:cs="Calibri"/>
            <w:color w:val="1155CC"/>
            <w:szCs w:val="24"/>
            <w:u w:val="single"/>
            <w:lang w:val="en-GB"/>
          </w:rPr>
          <w:t>https://www.ons.gov.uk/economy/inflationandpriceindices/bulletins/consumerpriceinflation/april2026</w:t>
        </w:r>
      </w:hyperlink>
      <w:r w:rsidRPr="00711A17">
        <w:rPr>
          <w:rFonts w:eastAsia="Times New Roman" w:cs="Calibri"/>
          <w:szCs w:val="24"/>
          <w:lang w:val="en-GB"/>
        </w:rPr>
        <w:t xml:space="preserve"> [Accessed </w:t>
      </w:r>
      <w:r w:rsidR="00F04A27">
        <w:rPr>
          <w:rFonts w:eastAsia="Times New Roman" w:cs="Calibri"/>
          <w:szCs w:val="24"/>
          <w:lang w:val="en-GB"/>
        </w:rPr>
        <w:t>17</w:t>
      </w:r>
      <w:r w:rsidRPr="00711A17">
        <w:rPr>
          <w:rFonts w:eastAsia="Times New Roman" w:cs="Calibri"/>
          <w:szCs w:val="24"/>
          <w:lang w:val="en-GB"/>
        </w:rPr>
        <w:t xml:space="preserve"> July 2026].</w:t>
      </w:r>
    </w:p>
    <w:p w14:paraId="5335B7ED" w14:textId="77777777" w:rsidR="00E64A65" w:rsidRPr="00711A17" w:rsidRDefault="00E64A65">
      <w:pPr>
        <w:rPr>
          <w:rFonts w:eastAsia="Times New Roman" w:cs="Calibri"/>
          <w:szCs w:val="24"/>
          <w:lang w:val="en-GB"/>
        </w:rPr>
      </w:pPr>
    </w:p>
    <w:p w14:paraId="4EDDD56A" w14:textId="77777777" w:rsidR="00E64A65" w:rsidRPr="00711A17" w:rsidRDefault="00E64A65">
      <w:pPr>
        <w:rPr>
          <w:rFonts w:eastAsia="Times New Roman" w:cs="Calibri"/>
          <w:szCs w:val="24"/>
          <w:lang w:val="en-GB"/>
        </w:rPr>
      </w:pPr>
    </w:p>
    <w:sectPr w:rsidR="00E64A65" w:rsidRPr="00711A17">
      <w:footerReference w:type="default" r:id="rId3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EB44D0" w14:textId="77777777" w:rsidR="00D55CD3" w:rsidRDefault="00D55CD3" w:rsidP="001E38FF">
      <w:pPr>
        <w:spacing w:line="240" w:lineRule="auto"/>
      </w:pPr>
      <w:r>
        <w:separator/>
      </w:r>
    </w:p>
  </w:endnote>
  <w:endnote w:type="continuationSeparator" w:id="0">
    <w:p w14:paraId="5575D4AC" w14:textId="77777777" w:rsidR="00D55CD3" w:rsidRDefault="00D55CD3" w:rsidP="001E38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B7624C72-3F73-4598-94A3-2951ECD40683}"/>
    <w:embedBold r:id="rId2" w:fontKey="{F1DC7FDB-7A60-46F9-AA2F-C81ACCCB84B7}"/>
    <w:embedItalic r:id="rId3" w:fontKey="{5DFD67AD-8DD3-40D0-AD0B-9DE9BF4571D3}"/>
    <w:embedBoldItalic r:id="rId4" w:fontKey="{298F3C06-D06A-441C-828A-69F717EBF905}"/>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5" w:fontKey="{1ABC79BE-BDC8-45F0-8193-33E8F3EA67A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8289255"/>
      <w:docPartObj>
        <w:docPartGallery w:val="Page Numbers (Bottom of Page)"/>
        <w:docPartUnique/>
      </w:docPartObj>
    </w:sdtPr>
    <w:sdtEndPr>
      <w:rPr>
        <w:rFonts w:ascii="Times New Roman" w:hAnsi="Times New Roman" w:cs="Times New Roman"/>
        <w:noProof/>
        <w:sz w:val="20"/>
        <w:szCs w:val="20"/>
      </w:rPr>
    </w:sdtEndPr>
    <w:sdtContent>
      <w:p w14:paraId="16672973" w14:textId="78F64267" w:rsidR="001E38FF" w:rsidRPr="001E38FF" w:rsidRDefault="001E38FF">
        <w:pPr>
          <w:pStyle w:val="Footer"/>
          <w:jc w:val="right"/>
          <w:rPr>
            <w:rFonts w:ascii="Times New Roman" w:hAnsi="Times New Roman" w:cs="Times New Roman"/>
            <w:sz w:val="20"/>
            <w:szCs w:val="20"/>
          </w:rPr>
        </w:pPr>
        <w:r w:rsidRPr="001E38FF">
          <w:rPr>
            <w:rFonts w:ascii="Times New Roman" w:hAnsi="Times New Roman" w:cs="Times New Roman"/>
            <w:sz w:val="20"/>
            <w:szCs w:val="20"/>
          </w:rPr>
          <w:fldChar w:fldCharType="begin"/>
        </w:r>
        <w:r w:rsidRPr="001E38FF">
          <w:rPr>
            <w:rFonts w:ascii="Times New Roman" w:hAnsi="Times New Roman" w:cs="Times New Roman"/>
            <w:sz w:val="20"/>
            <w:szCs w:val="20"/>
          </w:rPr>
          <w:instrText xml:space="preserve"> PAGE   \* MERGEFORMAT </w:instrText>
        </w:r>
        <w:r w:rsidRPr="001E38FF">
          <w:rPr>
            <w:rFonts w:ascii="Times New Roman" w:hAnsi="Times New Roman" w:cs="Times New Roman"/>
            <w:sz w:val="20"/>
            <w:szCs w:val="20"/>
          </w:rPr>
          <w:fldChar w:fldCharType="separate"/>
        </w:r>
        <w:r w:rsidR="00F5537D">
          <w:rPr>
            <w:rFonts w:ascii="Times New Roman" w:hAnsi="Times New Roman" w:cs="Times New Roman"/>
            <w:noProof/>
            <w:sz w:val="20"/>
            <w:szCs w:val="20"/>
          </w:rPr>
          <w:t>17</w:t>
        </w:r>
        <w:r w:rsidRPr="001E38FF">
          <w:rPr>
            <w:rFonts w:ascii="Times New Roman" w:hAnsi="Times New Roman" w:cs="Times New Roman"/>
            <w:noProof/>
            <w:sz w:val="20"/>
            <w:szCs w:val="20"/>
          </w:rPr>
          <w:fldChar w:fldCharType="end"/>
        </w:r>
      </w:p>
    </w:sdtContent>
  </w:sdt>
  <w:p w14:paraId="47A17812" w14:textId="77777777" w:rsidR="001E38FF" w:rsidRDefault="001E38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79C449" w14:textId="77777777" w:rsidR="00D55CD3" w:rsidRDefault="00D55CD3" w:rsidP="001E38FF">
      <w:pPr>
        <w:spacing w:line="240" w:lineRule="auto"/>
      </w:pPr>
      <w:r>
        <w:separator/>
      </w:r>
    </w:p>
  </w:footnote>
  <w:footnote w:type="continuationSeparator" w:id="0">
    <w:p w14:paraId="161E0031" w14:textId="77777777" w:rsidR="00D55CD3" w:rsidRDefault="00D55CD3" w:rsidP="001E38F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26D7C"/>
    <w:multiLevelType w:val="multilevel"/>
    <w:tmpl w:val="EB3E27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105419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4A65"/>
    <w:rsid w:val="000952A4"/>
    <w:rsid w:val="000C5011"/>
    <w:rsid w:val="000E753C"/>
    <w:rsid w:val="00181ACA"/>
    <w:rsid w:val="00194A71"/>
    <w:rsid w:val="001A1357"/>
    <w:rsid w:val="001E38FF"/>
    <w:rsid w:val="001E52FA"/>
    <w:rsid w:val="00227775"/>
    <w:rsid w:val="00236358"/>
    <w:rsid w:val="00276D3D"/>
    <w:rsid w:val="002B7B37"/>
    <w:rsid w:val="002C2D8D"/>
    <w:rsid w:val="002E0D74"/>
    <w:rsid w:val="003D5481"/>
    <w:rsid w:val="003E6DDC"/>
    <w:rsid w:val="003F5D27"/>
    <w:rsid w:val="003F7D4D"/>
    <w:rsid w:val="0044578C"/>
    <w:rsid w:val="004B5BC8"/>
    <w:rsid w:val="004F0EC7"/>
    <w:rsid w:val="00515347"/>
    <w:rsid w:val="005A47BC"/>
    <w:rsid w:val="006262B7"/>
    <w:rsid w:val="006353C8"/>
    <w:rsid w:val="006452EC"/>
    <w:rsid w:val="00652AE9"/>
    <w:rsid w:val="006B05EB"/>
    <w:rsid w:val="00711A17"/>
    <w:rsid w:val="00713434"/>
    <w:rsid w:val="007B7A12"/>
    <w:rsid w:val="00813AEE"/>
    <w:rsid w:val="00857E59"/>
    <w:rsid w:val="009301D2"/>
    <w:rsid w:val="00964786"/>
    <w:rsid w:val="009D3A4F"/>
    <w:rsid w:val="00A02A8B"/>
    <w:rsid w:val="00A44796"/>
    <w:rsid w:val="00AE4B0A"/>
    <w:rsid w:val="00B17155"/>
    <w:rsid w:val="00B80E00"/>
    <w:rsid w:val="00BA62B4"/>
    <w:rsid w:val="00C15732"/>
    <w:rsid w:val="00C62156"/>
    <w:rsid w:val="00CD3F6D"/>
    <w:rsid w:val="00CE6510"/>
    <w:rsid w:val="00D20A35"/>
    <w:rsid w:val="00D55CD3"/>
    <w:rsid w:val="00D56200"/>
    <w:rsid w:val="00DC6513"/>
    <w:rsid w:val="00E236FF"/>
    <w:rsid w:val="00E64A65"/>
    <w:rsid w:val="00EE159C"/>
    <w:rsid w:val="00EE5751"/>
    <w:rsid w:val="00F04A27"/>
    <w:rsid w:val="00F13F96"/>
    <w:rsid w:val="00F5537D"/>
    <w:rsid w:val="00FB081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CD79C32"/>
  <w15:docId w15:val="{5121D2AE-0FD9-4DFE-BDBD-D68FB74D4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1A17"/>
    <w:pPr>
      <w:spacing w:line="360" w:lineRule="auto"/>
      <w:jc w:val="both"/>
    </w:pPr>
    <w:rPr>
      <w:rFonts w:ascii="Calibri" w:hAnsi="Calibri"/>
      <w:sz w:val="24"/>
    </w:rPr>
  </w:style>
  <w:style w:type="paragraph" w:styleId="Heading1">
    <w:name w:val="heading 1"/>
    <w:basedOn w:val="Normal"/>
    <w:next w:val="Normal"/>
    <w:autoRedefine/>
    <w:uiPriority w:val="9"/>
    <w:qFormat/>
    <w:rsid w:val="00711A17"/>
    <w:pPr>
      <w:keepNext/>
      <w:keepLines/>
      <w:outlineLvl w:val="0"/>
    </w:pPr>
    <w:rPr>
      <w:rFonts w:eastAsia="Times New Roman" w:cs="Times New Roman"/>
      <w:b/>
      <w:bCs/>
      <w:szCs w:val="24"/>
    </w:rPr>
  </w:style>
  <w:style w:type="paragraph" w:styleId="Heading2">
    <w:name w:val="heading 2"/>
    <w:basedOn w:val="Normal"/>
    <w:next w:val="Normal"/>
    <w:autoRedefine/>
    <w:uiPriority w:val="9"/>
    <w:unhideWhenUsed/>
    <w:qFormat/>
    <w:rsid w:val="00711A17"/>
    <w:pPr>
      <w:keepNext/>
      <w:keepLines/>
      <w:outlineLvl w:val="1"/>
    </w:pPr>
    <w:rPr>
      <w:rFonts w:eastAsia="Times New Roman" w:cs="Times New Roman"/>
      <w:b/>
      <w:bCs/>
      <w:szCs w:val="24"/>
    </w:rPr>
  </w:style>
  <w:style w:type="paragraph" w:styleId="Heading3">
    <w:name w:val="heading 3"/>
    <w:basedOn w:val="Normal"/>
    <w:next w:val="Normal"/>
    <w:autoRedefine/>
    <w:uiPriority w:val="9"/>
    <w:semiHidden/>
    <w:unhideWhenUsed/>
    <w:qFormat/>
    <w:rsid w:val="00711A17"/>
    <w:pPr>
      <w:keepNext/>
      <w:keepLines/>
      <w:spacing w:before="320" w:after="80"/>
      <w:outlineLvl w:val="2"/>
    </w:pPr>
    <w:rPr>
      <w:b/>
      <w:color w:val="000000" w:themeColor="text1"/>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TOCHeading">
    <w:name w:val="TOC Heading"/>
    <w:basedOn w:val="Heading1"/>
    <w:next w:val="Normal"/>
    <w:uiPriority w:val="39"/>
    <w:unhideWhenUsed/>
    <w:qFormat/>
    <w:rsid w:val="001E38FF"/>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1E38FF"/>
    <w:pPr>
      <w:spacing w:after="100"/>
    </w:pPr>
  </w:style>
  <w:style w:type="paragraph" w:styleId="TOC2">
    <w:name w:val="toc 2"/>
    <w:basedOn w:val="Normal"/>
    <w:next w:val="Normal"/>
    <w:autoRedefine/>
    <w:uiPriority w:val="39"/>
    <w:unhideWhenUsed/>
    <w:rsid w:val="001E38FF"/>
    <w:pPr>
      <w:spacing w:after="100"/>
      <w:ind w:left="220"/>
    </w:pPr>
  </w:style>
  <w:style w:type="character" w:styleId="Hyperlink">
    <w:name w:val="Hyperlink"/>
    <w:basedOn w:val="DefaultParagraphFont"/>
    <w:uiPriority w:val="99"/>
    <w:unhideWhenUsed/>
    <w:rsid w:val="001E38FF"/>
    <w:rPr>
      <w:color w:val="0000FF" w:themeColor="hyperlink"/>
      <w:u w:val="single"/>
    </w:rPr>
  </w:style>
  <w:style w:type="paragraph" w:styleId="Header">
    <w:name w:val="header"/>
    <w:basedOn w:val="Normal"/>
    <w:link w:val="HeaderChar"/>
    <w:uiPriority w:val="99"/>
    <w:unhideWhenUsed/>
    <w:rsid w:val="001E38FF"/>
    <w:pPr>
      <w:tabs>
        <w:tab w:val="center" w:pos="4513"/>
        <w:tab w:val="right" w:pos="9026"/>
      </w:tabs>
      <w:spacing w:line="240" w:lineRule="auto"/>
    </w:pPr>
  </w:style>
  <w:style w:type="character" w:customStyle="1" w:styleId="HeaderChar">
    <w:name w:val="Header Char"/>
    <w:basedOn w:val="DefaultParagraphFont"/>
    <w:link w:val="Header"/>
    <w:uiPriority w:val="99"/>
    <w:rsid w:val="001E38FF"/>
  </w:style>
  <w:style w:type="paragraph" w:styleId="Footer">
    <w:name w:val="footer"/>
    <w:basedOn w:val="Normal"/>
    <w:link w:val="FooterChar"/>
    <w:uiPriority w:val="99"/>
    <w:unhideWhenUsed/>
    <w:rsid w:val="001E38FF"/>
    <w:pPr>
      <w:tabs>
        <w:tab w:val="center" w:pos="4513"/>
        <w:tab w:val="right" w:pos="9026"/>
      </w:tabs>
      <w:spacing w:line="240" w:lineRule="auto"/>
    </w:pPr>
  </w:style>
  <w:style w:type="character" w:customStyle="1" w:styleId="FooterChar">
    <w:name w:val="Footer Char"/>
    <w:basedOn w:val="DefaultParagraphFont"/>
    <w:link w:val="Footer"/>
    <w:uiPriority w:val="99"/>
    <w:rsid w:val="001E38FF"/>
  </w:style>
  <w:style w:type="character" w:customStyle="1" w:styleId="UnresolvedMention1">
    <w:name w:val="Unresolved Mention1"/>
    <w:basedOn w:val="DefaultParagraphFont"/>
    <w:uiPriority w:val="99"/>
    <w:semiHidden/>
    <w:unhideWhenUsed/>
    <w:rsid w:val="009D3A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 /><Relationship Id="rId13" Type="http://schemas.openxmlformats.org/officeDocument/2006/relationships/hyperlink" Target="https://www.nature.com/articles/s41598-026-40145-x_reference.pdf" TargetMode="External" /><Relationship Id="rId18" Type="http://schemas.openxmlformats.org/officeDocument/2006/relationships/hyperlink" Target="https://www.legislation.gov.uk/ukpga/1990/16/contents" TargetMode="External" /><Relationship Id="rId26" Type="http://schemas.openxmlformats.org/officeDocument/2006/relationships/hyperlink" Target="https://www.researchgate.net/profile/Bamidele-Omowole/publication/386276685_Big_data_for_SMEs_A_review_of_utilization_strategies_for_market_analysis_and_customer_insight/links/6762265e2d60b863e279ef60/Big-data-for-SMEs-A-review-of-utilization-strategies-for-market-analysis-and-customer-insight.pdf" TargetMode="External" /><Relationship Id="rId3" Type="http://schemas.openxmlformats.org/officeDocument/2006/relationships/styles" Target="styles.xml" /><Relationship Id="rId21" Type="http://schemas.openxmlformats.org/officeDocument/2006/relationships/hyperlink" Target="https://www.academia.edu/download/120419621/WJARR-2024-0247.pdf"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www.gov.uk/government/news/healthy-food-revolution-to-tackle-obesity-epidemic" TargetMode="External" /><Relationship Id="rId25" Type="http://schemas.openxmlformats.org/officeDocument/2006/relationships/hyperlink" Target="https://managementpapers.polsl.pl/wp-content/uploads/2025/01/209-Ociepa-Kubicka.pdf" TargetMode="External" /><Relationship Id="rId2" Type="http://schemas.openxmlformats.org/officeDocument/2006/relationships/numbering" Target="numbering.xml" /><Relationship Id="rId16" Type="http://schemas.openxmlformats.org/officeDocument/2006/relationships/hyperlink" Target="https://www.packagingnews.co.uk/news/environment/uk-shoppers-still-favour-sustainable-packaging-despite-cost-pressures-data-shows-03-07-2026" TargetMode="External" /><Relationship Id="rId20" Type="http://schemas.openxmlformats.org/officeDocument/2006/relationships/hyperlink" Target="https://www.theguardian.com/money/article/2024/may/27/revealed-how-convenient-recipe-boxes-really-measure-up-on-price" TargetMode="External" /><Relationship Id="rId29" Type="http://schemas.openxmlformats.org/officeDocument/2006/relationships/hyperlink" Target="https://www.ons.gov.uk/economy/inflationandpriceindices/bulletins/consumerpriceinflation/april2026"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england.nhs.uk/ourwork/prevention/obesity/" TargetMode="External" /><Relationship Id="rId32"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www.mdpi.com/2071-1050/17/13/5960" TargetMode="External" /><Relationship Id="rId23" Type="http://schemas.openxmlformats.org/officeDocument/2006/relationships/hyperlink" Target="https://www.theseus.fi/bitstream/handle/10024/913741/Kamolsiri_Shatcha.pdf?sequence=2" TargetMode="External" /><Relationship Id="rId28" Type="http://schemas.openxmlformats.org/officeDocument/2006/relationships/hyperlink" Target="https://dl.acm.org/doi/pdf/10.1145/3643690.3648240" TargetMode="External" /><Relationship Id="rId10" Type="http://schemas.openxmlformats.org/officeDocument/2006/relationships/image" Target="media/image3.png" /><Relationship Id="rId19" Type="http://schemas.openxmlformats.org/officeDocument/2006/relationships/hyperlink" Target="https://jurnal.stie-aas.ac.id/index.php/IJEBAR/article/download/3025/2250" TargetMode="External" /><Relationship Id="rId31"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researchgate.net/profile/Nur-Afifah-Binti-Abas/post/How_many_interviews_are_needed_in_a_qualitative_research_Is_there_any_rule_or_popular_practice/attachment/66265a7653d234443fee0401/AS:11431281237994677@1713789401005/download/Saturation+commentary+Braun+Clarke.pdf" TargetMode="External" /><Relationship Id="rId22" Type="http://schemas.openxmlformats.org/officeDocument/2006/relationships/hyperlink" Target="https://www.imarcgroup.com/uk-food-delivery-market" TargetMode="External" /><Relationship Id="rId27" Type="http://schemas.openxmlformats.org/officeDocument/2006/relationships/hyperlink" Target="https://backup.ons.gov.uk/wp-content/uploads/sites/3/2024/10/Labour-market-overview-UK-October-2024.pdf" TargetMode="External" /><Relationship Id="rId30" Type="http://schemas.openxmlformats.org/officeDocument/2006/relationships/footer" Target="footer1.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5" Type="http://schemas.openxmlformats.org/officeDocument/2006/relationships/font" Target="fonts/font5.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D81BCF-C7B6-4D03-948A-54575E708B7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4247</Words>
  <Characters>24208</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Savaliya Ak</cp:lastModifiedBy>
  <cp:revision>2</cp:revision>
  <dcterms:created xsi:type="dcterms:W3CDTF">2026-07-31T22:28:00Z</dcterms:created>
  <dcterms:modified xsi:type="dcterms:W3CDTF">2026-07-31T22:28:00Z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77d0606f-0654-4f72-bf6d-4149edf0b65f</vt:lpwstr>
  </property>
</Properties>
</file>