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60B43" w14:textId="02E09D68" w:rsidR="003C386A" w:rsidRDefault="00FD6BF2">
      <w:r>
        <w:t xml:space="preserve">Student name: </w:t>
      </w:r>
      <w:r w:rsidR="00C426D4">
        <w:t>Alexander Rees</w:t>
      </w:r>
    </w:p>
    <w:p w14:paraId="18A1E595" w14:textId="5E27687C" w:rsidR="006E291B" w:rsidRDefault="00FD6BF2">
      <w:r>
        <w:t>Student ID numbe</w:t>
      </w:r>
      <w:r w:rsidR="003C386A">
        <w:t>r</w:t>
      </w:r>
      <w:r>
        <w:t>:</w:t>
      </w:r>
      <w:r w:rsidR="00F30FC9">
        <w:t xml:space="preserve"> </w:t>
      </w:r>
      <w:r w:rsidR="003660B4">
        <w:t>22</w:t>
      </w:r>
      <w:r w:rsidR="00F30FC9">
        <w:t xml:space="preserve">22263 </w:t>
      </w:r>
    </w:p>
    <w:p w14:paraId="7E4D8329" w14:textId="15F13DDA" w:rsidR="003C386A" w:rsidRDefault="00FD6BF2">
      <w:r>
        <w:t xml:space="preserve">Programme: BSc Professional Policing Practice </w:t>
      </w:r>
    </w:p>
    <w:p w14:paraId="6A4F5A3D" w14:textId="77777777" w:rsidR="003C386A" w:rsidRDefault="00FD6BF2">
      <w:r>
        <w:t xml:space="preserve">Module: Operational Police Practice 2 </w:t>
      </w:r>
    </w:p>
    <w:p w14:paraId="570191C0" w14:textId="77777777" w:rsidR="006E291B" w:rsidRDefault="00FD6BF2">
      <w:r>
        <w:t>Module code: BMPP5002D</w:t>
      </w:r>
    </w:p>
    <w:p w14:paraId="5436954F" w14:textId="1D6FF74F" w:rsidR="00FD6BF2" w:rsidRDefault="00FD6BF2">
      <w:r>
        <w:t xml:space="preserve">Tutor Dr Rhiannon Sandy </w:t>
      </w:r>
    </w:p>
    <w:p w14:paraId="327D13A9" w14:textId="77777777" w:rsidR="00FD6BF2" w:rsidRDefault="00FD6BF2"/>
    <w:p w14:paraId="4908888C" w14:textId="77777777" w:rsidR="00FD6BF2" w:rsidRDefault="00FD6BF2"/>
    <w:p w14:paraId="1AE16FB9" w14:textId="77777777" w:rsidR="00FD6BF2" w:rsidRDefault="00FD6BF2"/>
    <w:p w14:paraId="573E26CD" w14:textId="77777777" w:rsidR="00FD6BF2" w:rsidRDefault="00FD6BF2"/>
    <w:p w14:paraId="2EBD3FDD" w14:textId="77777777" w:rsidR="00FD6BF2" w:rsidRDefault="00FD6BF2"/>
    <w:p w14:paraId="3694A47B" w14:textId="77777777" w:rsidR="00FD6BF2" w:rsidRDefault="00FD6BF2"/>
    <w:p w14:paraId="0E66ED50" w14:textId="77777777" w:rsidR="00FD6BF2" w:rsidRDefault="00FD6BF2"/>
    <w:p w14:paraId="3ADD51FF" w14:textId="77777777" w:rsidR="00FD6BF2" w:rsidRDefault="00FD6BF2"/>
    <w:p w14:paraId="1C4D069E" w14:textId="77777777" w:rsidR="00FD6BF2" w:rsidRDefault="00FD6BF2"/>
    <w:p w14:paraId="6D87394E" w14:textId="77777777" w:rsidR="00FD6BF2" w:rsidRDefault="00FD6BF2"/>
    <w:p w14:paraId="73E565A4" w14:textId="77777777" w:rsidR="00FD6BF2" w:rsidRDefault="00FD6BF2"/>
    <w:p w14:paraId="41507E67" w14:textId="77777777" w:rsidR="00FD6BF2" w:rsidRDefault="00FD6BF2"/>
    <w:p w14:paraId="5F663D65" w14:textId="77777777" w:rsidR="00FD6BF2" w:rsidRDefault="00FD6BF2"/>
    <w:p w14:paraId="04B45989" w14:textId="77777777" w:rsidR="00FD6BF2" w:rsidRDefault="00FD6BF2"/>
    <w:p w14:paraId="213429D7" w14:textId="77777777" w:rsidR="00FD6BF2" w:rsidRDefault="00FD6BF2"/>
    <w:p w14:paraId="526CE055" w14:textId="77777777" w:rsidR="00FD6BF2" w:rsidRDefault="00FD6BF2"/>
    <w:p w14:paraId="7979B82B" w14:textId="77777777" w:rsidR="00FD6BF2" w:rsidRDefault="00FD6BF2"/>
    <w:p w14:paraId="55F0DD7D" w14:textId="77777777" w:rsidR="00FD6BF2" w:rsidRDefault="00FD6BF2"/>
    <w:p w14:paraId="58A8CFC1" w14:textId="77777777" w:rsidR="00FD6BF2" w:rsidRDefault="00FD6BF2"/>
    <w:p w14:paraId="5B8C13B7" w14:textId="77777777" w:rsidR="00FD6BF2" w:rsidRDefault="00FD6BF2"/>
    <w:p w14:paraId="6E0EB2B4" w14:textId="77777777" w:rsidR="00FD6BF2" w:rsidRDefault="00FD6BF2"/>
    <w:p w14:paraId="6EFB88F3" w14:textId="77777777" w:rsidR="00FD6BF2" w:rsidRDefault="00FD6BF2"/>
    <w:p w14:paraId="402133A7" w14:textId="77777777" w:rsidR="00D73BD4" w:rsidRDefault="00D73BD4"/>
    <w:p w14:paraId="3EB530BA" w14:textId="77777777" w:rsidR="00F30FC9" w:rsidRDefault="00F30FC9"/>
    <w:p w14:paraId="5B7F785D" w14:textId="77777777" w:rsidR="00FD6BF2" w:rsidRDefault="00FD6BF2"/>
    <w:p w14:paraId="57A6909F" w14:textId="581FEACC" w:rsidR="008364A8" w:rsidRDefault="008364A8">
      <w:r>
        <w:lastRenderedPageBreak/>
        <w:t>Essay one:</w:t>
      </w:r>
    </w:p>
    <w:p w14:paraId="241EFB68" w14:textId="647DE45F" w:rsidR="008364A8" w:rsidRPr="008364A8" w:rsidRDefault="008364A8">
      <w:pPr>
        <w:rPr>
          <w:b/>
          <w:bCs/>
        </w:rPr>
      </w:pPr>
      <w:r w:rsidRPr="008364A8">
        <w:rPr>
          <w:b/>
          <w:bCs/>
        </w:rPr>
        <w:t xml:space="preserve">Assess the impact that cultural diversity has had on policing practice (e.g. neighbourhood policing) and professional policies and standards (e.g. PACE, Code of Ethics). Support your answer with relevant evidence drawn from academic sources. </w:t>
      </w:r>
    </w:p>
    <w:p w14:paraId="052BF656" w14:textId="10D6F54B" w:rsidR="00EC2CC1" w:rsidRDefault="008364A8">
      <w:r>
        <w:t>Word limit: 1000 words.</w:t>
      </w:r>
    </w:p>
    <w:p w14:paraId="3AE289BD" w14:textId="77777777" w:rsidR="00FB739A" w:rsidRDefault="00FB739A"/>
    <w:p w14:paraId="379334D3" w14:textId="21BB01BE" w:rsidR="00E166BC" w:rsidRPr="00022AEE" w:rsidRDefault="0084323A">
      <w:pPr>
        <w:rPr>
          <w:rFonts w:cstheme="minorHAnsi"/>
        </w:rPr>
      </w:pPr>
      <w:r w:rsidRPr="00022AEE">
        <w:rPr>
          <w:rFonts w:cstheme="minorHAnsi"/>
        </w:rPr>
        <w:t>The United Kingdom is a diverse society and p</w:t>
      </w:r>
      <w:r w:rsidR="00D77E73" w:rsidRPr="00022AEE">
        <w:rPr>
          <w:rFonts w:cstheme="minorHAnsi"/>
        </w:rPr>
        <w:t>olicing practice in the UK has transformed throughout the decades into the current policing model</w:t>
      </w:r>
      <w:r w:rsidRPr="00022AEE">
        <w:rPr>
          <w:rFonts w:cstheme="minorHAnsi"/>
        </w:rPr>
        <w:t xml:space="preserve"> to reflect this. However,</w:t>
      </w:r>
      <w:r w:rsidR="00F74A4B" w:rsidRPr="00022AEE">
        <w:rPr>
          <w:rFonts w:cstheme="minorHAnsi"/>
        </w:rPr>
        <w:t xml:space="preserve"> policing</w:t>
      </w:r>
      <w:r w:rsidRPr="00022AEE">
        <w:rPr>
          <w:rFonts w:cstheme="minorHAnsi"/>
        </w:rPr>
        <w:t xml:space="preserve"> in the UK</w:t>
      </w:r>
      <w:r w:rsidR="00F74A4B" w:rsidRPr="00022AEE">
        <w:rPr>
          <w:rFonts w:cstheme="minorHAnsi"/>
        </w:rPr>
        <w:t xml:space="preserve"> still has a long way to go</w:t>
      </w:r>
      <w:r w:rsidR="001E1065" w:rsidRPr="00022AEE">
        <w:rPr>
          <w:rFonts w:cstheme="minorHAnsi"/>
        </w:rPr>
        <w:t xml:space="preserve"> to gain the </w:t>
      </w:r>
      <w:r w:rsidRPr="00022AEE">
        <w:rPr>
          <w:rFonts w:cstheme="minorHAnsi"/>
        </w:rPr>
        <w:t xml:space="preserve">trust of the communities </w:t>
      </w:r>
      <w:r w:rsidR="00FE56EC" w:rsidRPr="00022AEE">
        <w:rPr>
          <w:rFonts w:cstheme="minorHAnsi"/>
        </w:rPr>
        <w:t xml:space="preserve">it serves. </w:t>
      </w:r>
      <w:r w:rsidR="00C8035B" w:rsidRPr="00022AEE">
        <w:rPr>
          <w:rFonts w:cstheme="minorHAnsi"/>
        </w:rPr>
        <w:t xml:space="preserve">The introduction of PACE in 1984, multiple enquires </w:t>
      </w:r>
      <w:r w:rsidR="00E9333B" w:rsidRPr="00022AEE">
        <w:rPr>
          <w:rFonts w:cstheme="minorHAnsi"/>
        </w:rPr>
        <w:t>into policing practice have helped shaped change however even in 2023 some police chiefs were still referring to forces as “Institutionally racist”</w:t>
      </w:r>
      <w:r w:rsidR="00516EE3" w:rsidRPr="00022AEE">
        <w:rPr>
          <w:rFonts w:cstheme="minorHAnsi"/>
        </w:rPr>
        <w:t xml:space="preserve"> (The Guardian, 2023). </w:t>
      </w:r>
      <w:r w:rsidR="00930118" w:rsidRPr="00022AEE">
        <w:rPr>
          <w:rFonts w:cstheme="minorHAnsi"/>
        </w:rPr>
        <w:t xml:space="preserve"> This highlights that further change in policing practice is required. In this essay I will assess the </w:t>
      </w:r>
      <w:r w:rsidR="00630A27" w:rsidRPr="00022AEE">
        <w:rPr>
          <w:rFonts w:cstheme="minorHAnsi"/>
        </w:rPr>
        <w:t>impact diversity in this country has had.</w:t>
      </w:r>
    </w:p>
    <w:p w14:paraId="6A2198B6" w14:textId="77777777" w:rsidR="00851800" w:rsidRPr="00022AEE" w:rsidRDefault="00851800">
      <w:pPr>
        <w:rPr>
          <w:rFonts w:cstheme="minorHAnsi"/>
        </w:rPr>
      </w:pPr>
    </w:p>
    <w:p w14:paraId="568EDD27" w14:textId="311B7DAA" w:rsidR="00F836C4" w:rsidRPr="00022AEE" w:rsidRDefault="000A2AE7">
      <w:pPr>
        <w:rPr>
          <w:rFonts w:eastAsia="Times New Roman" w:cstheme="minorHAnsi"/>
          <w:kern w:val="0"/>
          <w:lang w:eastAsia="en-GB"/>
          <w14:ligatures w14:val="none"/>
        </w:rPr>
      </w:pPr>
      <w:r w:rsidRPr="00022AEE">
        <w:rPr>
          <w:rFonts w:cstheme="minorHAnsi"/>
        </w:rPr>
        <w:t>Cultural d</w:t>
      </w:r>
      <w:r w:rsidR="00851800" w:rsidRPr="00022AEE">
        <w:rPr>
          <w:rFonts w:cstheme="minorHAnsi"/>
        </w:rPr>
        <w:t xml:space="preserve">iversity in any workplace is important. </w:t>
      </w:r>
      <w:r w:rsidRPr="00022AEE">
        <w:rPr>
          <w:rFonts w:cstheme="minorHAnsi"/>
        </w:rPr>
        <w:t xml:space="preserve">Diversity </w:t>
      </w:r>
      <w:r w:rsidR="00AB0575" w:rsidRPr="00022AEE">
        <w:rPr>
          <w:rFonts w:cstheme="minorHAnsi"/>
        </w:rPr>
        <w:t xml:space="preserve">is known to boost creativity, </w:t>
      </w:r>
      <w:r w:rsidR="00D574D8" w:rsidRPr="00022AEE">
        <w:rPr>
          <w:rFonts w:cstheme="minorHAnsi"/>
        </w:rPr>
        <w:t>innovation and can help improve decision making as persons involved have varied life experiences</w:t>
      </w:r>
      <w:r w:rsidR="0020673B" w:rsidRPr="00022AEE">
        <w:rPr>
          <w:rFonts w:cstheme="minorHAnsi"/>
        </w:rPr>
        <w:t xml:space="preserve"> (Stahl, 2023</w:t>
      </w:r>
      <w:r w:rsidR="00EC2CC1" w:rsidRPr="00022AEE">
        <w:rPr>
          <w:rFonts w:cstheme="minorHAnsi"/>
        </w:rPr>
        <w:t>).</w:t>
      </w:r>
      <w:r w:rsidR="00D574D8" w:rsidRPr="00022AEE">
        <w:rPr>
          <w:rFonts w:cstheme="minorHAnsi"/>
        </w:rPr>
        <w:t xml:space="preserve"> In a policing perspective</w:t>
      </w:r>
      <w:r w:rsidR="00173D57" w:rsidRPr="00022AEE">
        <w:rPr>
          <w:rFonts w:cstheme="minorHAnsi"/>
        </w:rPr>
        <w:t xml:space="preserve">, this is important </w:t>
      </w:r>
      <w:r w:rsidR="00256831" w:rsidRPr="00022AEE">
        <w:rPr>
          <w:rFonts w:cstheme="minorHAnsi"/>
        </w:rPr>
        <w:t xml:space="preserve">to improve relationships with communities, build trust which can help increase reporting and </w:t>
      </w:r>
      <w:r w:rsidR="000E7C96" w:rsidRPr="00022AEE">
        <w:rPr>
          <w:rFonts w:cstheme="minorHAnsi"/>
        </w:rPr>
        <w:t xml:space="preserve">co-operation with police investigations. </w:t>
      </w:r>
      <w:r w:rsidR="00686D24" w:rsidRPr="00022AEE">
        <w:rPr>
          <w:rFonts w:cstheme="minorHAnsi"/>
        </w:rPr>
        <w:t xml:space="preserve">The UK Government website </w:t>
      </w:r>
      <w:r w:rsidR="00B410DA" w:rsidRPr="00022AEE">
        <w:rPr>
          <w:rFonts w:cstheme="minorHAnsi"/>
        </w:rPr>
        <w:t xml:space="preserve">(2023) </w:t>
      </w:r>
      <w:r w:rsidR="00686D24" w:rsidRPr="00022AEE">
        <w:rPr>
          <w:rFonts w:cstheme="minorHAnsi"/>
        </w:rPr>
        <w:t xml:space="preserve">states that </w:t>
      </w:r>
      <w:r w:rsidR="00415BD6" w:rsidRPr="00022AEE">
        <w:rPr>
          <w:rFonts w:cstheme="minorHAnsi"/>
        </w:rPr>
        <w:t xml:space="preserve">96.2% of </w:t>
      </w:r>
      <w:r w:rsidR="002346A4" w:rsidRPr="00022AEE">
        <w:rPr>
          <w:rFonts w:cstheme="minorHAnsi"/>
        </w:rPr>
        <w:t xml:space="preserve">current </w:t>
      </w:r>
      <w:r w:rsidR="00686D24" w:rsidRPr="00022AEE">
        <w:rPr>
          <w:rFonts w:cstheme="minorHAnsi"/>
        </w:rPr>
        <w:t>S</w:t>
      </w:r>
      <w:r w:rsidR="002346A4" w:rsidRPr="00022AEE">
        <w:rPr>
          <w:rFonts w:cstheme="minorHAnsi"/>
        </w:rPr>
        <w:t xml:space="preserve">outh </w:t>
      </w:r>
      <w:r w:rsidR="00686D24" w:rsidRPr="00022AEE">
        <w:rPr>
          <w:rFonts w:cstheme="minorHAnsi"/>
        </w:rPr>
        <w:t>W</w:t>
      </w:r>
      <w:r w:rsidR="002346A4" w:rsidRPr="00022AEE">
        <w:rPr>
          <w:rFonts w:cstheme="minorHAnsi"/>
        </w:rPr>
        <w:t xml:space="preserve">ales </w:t>
      </w:r>
      <w:r w:rsidR="00686D24" w:rsidRPr="00022AEE">
        <w:rPr>
          <w:rFonts w:cstheme="minorHAnsi"/>
        </w:rPr>
        <w:t>P</w:t>
      </w:r>
      <w:r w:rsidR="002346A4" w:rsidRPr="00022AEE">
        <w:rPr>
          <w:rFonts w:cstheme="minorHAnsi"/>
        </w:rPr>
        <w:t xml:space="preserve">olice officers are white. </w:t>
      </w:r>
      <w:r w:rsidR="003D4F18" w:rsidRPr="00022AEE">
        <w:rPr>
          <w:rFonts w:cstheme="minorHAnsi"/>
        </w:rPr>
        <w:t xml:space="preserve">This </w:t>
      </w:r>
      <w:r w:rsidR="00686D24" w:rsidRPr="00022AEE">
        <w:rPr>
          <w:rFonts w:cstheme="minorHAnsi"/>
        </w:rPr>
        <w:t>means that</w:t>
      </w:r>
      <w:r w:rsidR="003D4F18" w:rsidRPr="00022AEE">
        <w:rPr>
          <w:rFonts w:cstheme="minorHAnsi"/>
        </w:rPr>
        <w:t xml:space="preserve"> only 3.8% </w:t>
      </w:r>
      <w:r w:rsidR="00686D24" w:rsidRPr="00022AEE">
        <w:rPr>
          <w:rFonts w:cstheme="minorHAnsi"/>
        </w:rPr>
        <w:t>of officers are</w:t>
      </w:r>
      <w:r w:rsidR="006C1E59" w:rsidRPr="00022AEE">
        <w:rPr>
          <w:rFonts w:cstheme="minorHAnsi"/>
        </w:rPr>
        <w:t xml:space="preserve"> from a mixed, </w:t>
      </w:r>
      <w:r w:rsidR="00B16685" w:rsidRPr="00022AEE">
        <w:rPr>
          <w:rFonts w:cstheme="minorHAnsi"/>
        </w:rPr>
        <w:t>black,</w:t>
      </w:r>
      <w:r w:rsidR="006C1E59" w:rsidRPr="00022AEE">
        <w:rPr>
          <w:rFonts w:cstheme="minorHAnsi"/>
        </w:rPr>
        <w:t xml:space="preserve"> or </w:t>
      </w:r>
      <w:r w:rsidR="00686D24" w:rsidRPr="00022AEE">
        <w:rPr>
          <w:rFonts w:cstheme="minorHAnsi"/>
        </w:rPr>
        <w:t>Asian</w:t>
      </w:r>
      <w:r w:rsidR="006B37D4" w:rsidRPr="00022AEE">
        <w:rPr>
          <w:rFonts w:cstheme="minorHAnsi"/>
        </w:rPr>
        <w:t xml:space="preserve"> background. South </w:t>
      </w:r>
      <w:r w:rsidR="00686D24" w:rsidRPr="00022AEE">
        <w:rPr>
          <w:rFonts w:cstheme="minorHAnsi"/>
        </w:rPr>
        <w:t>Wales</w:t>
      </w:r>
      <w:r w:rsidR="006B37D4" w:rsidRPr="00022AEE">
        <w:rPr>
          <w:rFonts w:cstheme="minorHAnsi"/>
        </w:rPr>
        <w:t xml:space="preserve"> police currently have a positive action department to attempt to encourage </w:t>
      </w:r>
      <w:r w:rsidR="00C91FD0" w:rsidRPr="00022AEE">
        <w:rPr>
          <w:rFonts w:cstheme="minorHAnsi"/>
        </w:rPr>
        <w:t xml:space="preserve">applications from </w:t>
      </w:r>
      <w:r w:rsidR="00AE1CC3" w:rsidRPr="00022AEE">
        <w:rPr>
          <w:rFonts w:cstheme="minorHAnsi"/>
        </w:rPr>
        <w:t>underrepresented</w:t>
      </w:r>
      <w:r w:rsidR="00C91FD0" w:rsidRPr="00022AEE">
        <w:rPr>
          <w:rFonts w:cstheme="minorHAnsi"/>
        </w:rPr>
        <w:t xml:space="preserve"> groups</w:t>
      </w:r>
      <w:r w:rsidR="00686D24" w:rsidRPr="00022AEE">
        <w:rPr>
          <w:rFonts w:cstheme="minorHAnsi"/>
        </w:rPr>
        <w:t>, to increase representation</w:t>
      </w:r>
      <w:r w:rsidR="001B09CF" w:rsidRPr="00022AEE">
        <w:rPr>
          <w:rFonts w:cstheme="minorHAnsi"/>
        </w:rPr>
        <w:t xml:space="preserve"> (South Wales</w:t>
      </w:r>
      <w:r w:rsidR="00B16685" w:rsidRPr="00022AEE">
        <w:rPr>
          <w:rFonts w:cstheme="minorHAnsi"/>
        </w:rPr>
        <w:t xml:space="preserve"> Police, no date)</w:t>
      </w:r>
      <w:r w:rsidR="00E97FA8" w:rsidRPr="00022AEE">
        <w:rPr>
          <w:rFonts w:cstheme="minorHAnsi"/>
        </w:rPr>
        <w:t>. Positive actio</w:t>
      </w:r>
      <w:r w:rsidR="00050E0A" w:rsidRPr="00022AEE">
        <w:rPr>
          <w:rFonts w:cstheme="minorHAnsi"/>
        </w:rPr>
        <w:t xml:space="preserve">n is something which was recommended by Lord Scarman </w:t>
      </w:r>
      <w:r w:rsidR="008F5F95" w:rsidRPr="00022AEE">
        <w:rPr>
          <w:rFonts w:cstheme="minorHAnsi"/>
        </w:rPr>
        <w:t>in the Scarman report following the</w:t>
      </w:r>
      <w:r w:rsidR="00F836C4" w:rsidRPr="00022AEE">
        <w:rPr>
          <w:rFonts w:cstheme="minorHAnsi"/>
        </w:rPr>
        <w:t xml:space="preserve"> </w:t>
      </w:r>
      <w:r w:rsidR="00E964C9" w:rsidRPr="00022AEE">
        <w:rPr>
          <w:rFonts w:cstheme="minorHAnsi"/>
        </w:rPr>
        <w:t>1981</w:t>
      </w:r>
      <w:r w:rsidR="008C218E" w:rsidRPr="00022AEE">
        <w:rPr>
          <w:rFonts w:cstheme="minorHAnsi"/>
        </w:rPr>
        <w:t xml:space="preserve"> </w:t>
      </w:r>
      <w:r w:rsidR="00E964C9" w:rsidRPr="00022AEE">
        <w:rPr>
          <w:rFonts w:cstheme="minorHAnsi"/>
        </w:rPr>
        <w:t>Brixton Riots</w:t>
      </w:r>
      <w:r w:rsidR="00782157" w:rsidRPr="00022AEE">
        <w:rPr>
          <w:rFonts w:cstheme="minorHAnsi"/>
        </w:rPr>
        <w:t xml:space="preserve"> (Williams, 1982)</w:t>
      </w:r>
      <w:r w:rsidR="00F56DEF" w:rsidRPr="00022AEE">
        <w:rPr>
          <w:rFonts w:cstheme="minorHAnsi"/>
        </w:rPr>
        <w:t xml:space="preserve">. </w:t>
      </w:r>
      <w:r w:rsidR="000F609F" w:rsidRPr="00022AEE">
        <w:rPr>
          <w:rFonts w:cstheme="minorHAnsi"/>
        </w:rPr>
        <w:t xml:space="preserve">The Scarman report suggests that a reason behind these riots were partially caused by the social and economic problems </w:t>
      </w:r>
      <w:r w:rsidR="00F814BA" w:rsidRPr="00022AEE">
        <w:rPr>
          <w:rFonts w:cstheme="minorHAnsi"/>
        </w:rPr>
        <w:t xml:space="preserve">that </w:t>
      </w:r>
      <w:r w:rsidR="005732D1" w:rsidRPr="00022AEE">
        <w:rPr>
          <w:rFonts w:cstheme="minorHAnsi"/>
        </w:rPr>
        <w:t>ethnically diverse communities of the area suffered</w:t>
      </w:r>
      <w:r w:rsidR="005A2359" w:rsidRPr="00022AEE">
        <w:rPr>
          <w:rFonts w:cstheme="minorHAnsi"/>
        </w:rPr>
        <w:t xml:space="preserve">, and the </w:t>
      </w:r>
      <w:r w:rsidR="00473503" w:rsidRPr="00022AEE">
        <w:rPr>
          <w:rFonts w:cstheme="minorHAnsi"/>
        </w:rPr>
        <w:t>poor relationship between these communities and the police</w:t>
      </w:r>
      <w:r w:rsidR="00516EE3" w:rsidRPr="00022AEE">
        <w:rPr>
          <w:rFonts w:cstheme="minorHAnsi"/>
        </w:rPr>
        <w:t xml:space="preserve"> </w:t>
      </w:r>
      <w:r w:rsidR="00473503" w:rsidRPr="00022AEE">
        <w:rPr>
          <w:rFonts w:cstheme="minorHAnsi"/>
        </w:rPr>
        <w:t xml:space="preserve">(Williams, 1982). </w:t>
      </w:r>
      <w:r w:rsidR="00CC5867" w:rsidRPr="00022AEE">
        <w:rPr>
          <w:rFonts w:cstheme="minorHAnsi"/>
        </w:rPr>
        <w:t>In a way to tackle this issue, a</w:t>
      </w:r>
      <w:r w:rsidR="00862C03" w:rsidRPr="00022AEE">
        <w:rPr>
          <w:rFonts w:cstheme="minorHAnsi"/>
        </w:rPr>
        <w:t xml:space="preserve">nother </w:t>
      </w:r>
      <w:r w:rsidR="00782157" w:rsidRPr="00022AEE">
        <w:rPr>
          <w:rFonts w:cstheme="minorHAnsi"/>
        </w:rPr>
        <w:t>recommendation</w:t>
      </w:r>
      <w:r w:rsidR="00862C03" w:rsidRPr="00022AEE">
        <w:rPr>
          <w:rFonts w:cstheme="minorHAnsi"/>
        </w:rPr>
        <w:t xml:space="preserve"> from th</w:t>
      </w:r>
      <w:r w:rsidR="00CC5867" w:rsidRPr="00022AEE">
        <w:rPr>
          <w:rFonts w:cstheme="minorHAnsi"/>
        </w:rPr>
        <w:t>e Scarman Report</w:t>
      </w:r>
      <w:r w:rsidR="00595BCC" w:rsidRPr="00022AEE">
        <w:rPr>
          <w:rFonts w:cstheme="minorHAnsi"/>
        </w:rPr>
        <w:t xml:space="preserve"> were his proposals for community policing to improve </w:t>
      </w:r>
      <w:r w:rsidR="00FA4191" w:rsidRPr="00022AEE">
        <w:rPr>
          <w:rFonts w:cstheme="minorHAnsi"/>
        </w:rPr>
        <w:t>co-operation</w:t>
      </w:r>
      <w:r w:rsidR="00A7005B" w:rsidRPr="00022AEE">
        <w:rPr>
          <w:rFonts w:cstheme="minorHAnsi"/>
        </w:rPr>
        <w:t xml:space="preserve"> between both the community and the police (Cain &amp; Sadigh, 1982). I believe the aftermath of these recommendations can be seen in modern policing with the </w:t>
      </w:r>
      <w:r w:rsidR="00A1232B" w:rsidRPr="00022AEE">
        <w:rPr>
          <w:rFonts w:cstheme="minorHAnsi"/>
        </w:rPr>
        <w:t>changing structure and role</w:t>
      </w:r>
      <w:r w:rsidR="00960084" w:rsidRPr="00022AEE">
        <w:rPr>
          <w:rFonts w:cstheme="minorHAnsi"/>
        </w:rPr>
        <w:t xml:space="preserve"> of neighbourhood policing teams. Neighbourhood policing teams </w:t>
      </w:r>
      <w:r w:rsidR="00EC2CC1" w:rsidRPr="00022AEE">
        <w:rPr>
          <w:rFonts w:cstheme="minorHAnsi"/>
        </w:rPr>
        <w:t>have gone through rigo</w:t>
      </w:r>
      <w:r w:rsidR="00F73FA0" w:rsidRPr="00022AEE">
        <w:rPr>
          <w:rFonts w:cstheme="minorHAnsi"/>
        </w:rPr>
        <w:t>rous changes since the Scarman report, significantly the introduction of Police Community Support Officers in 2002</w:t>
      </w:r>
      <w:r w:rsidR="00634A2A" w:rsidRPr="00022AEE">
        <w:rPr>
          <w:rFonts w:cstheme="minorHAnsi"/>
        </w:rPr>
        <w:t>, and the</w:t>
      </w:r>
      <w:r w:rsidR="000977F0" w:rsidRPr="00022AEE">
        <w:rPr>
          <w:rFonts w:cstheme="minorHAnsi"/>
        </w:rPr>
        <w:t xml:space="preserve"> increasing</w:t>
      </w:r>
      <w:r w:rsidR="00634A2A" w:rsidRPr="00022AEE">
        <w:rPr>
          <w:rFonts w:cstheme="minorHAnsi"/>
        </w:rPr>
        <w:t xml:space="preserve"> levels of </w:t>
      </w:r>
      <w:r w:rsidR="00CC7195" w:rsidRPr="00022AEE">
        <w:rPr>
          <w:rFonts w:cstheme="minorHAnsi"/>
        </w:rPr>
        <w:t xml:space="preserve">collaborative work with partner agencies and community groups. </w:t>
      </w:r>
      <w:r w:rsidR="006077E4" w:rsidRPr="00022AEE">
        <w:rPr>
          <w:rFonts w:cstheme="minorHAnsi"/>
        </w:rPr>
        <w:t>(</w:t>
      </w:r>
      <w:r w:rsidR="006077E4" w:rsidRPr="00022AEE">
        <w:rPr>
          <w:rFonts w:eastAsia="Times New Roman" w:cstheme="minorHAnsi"/>
          <w:kern w:val="0"/>
          <w:lang w:eastAsia="en-GB"/>
          <w14:ligatures w14:val="none"/>
        </w:rPr>
        <w:t>O’Neill, M. 2015)</w:t>
      </w:r>
      <w:r w:rsidR="001B3DBB" w:rsidRPr="00022AEE">
        <w:rPr>
          <w:rFonts w:eastAsia="Times New Roman" w:cstheme="minorHAnsi"/>
          <w:kern w:val="0"/>
          <w:lang w:eastAsia="en-GB"/>
          <w14:ligatures w14:val="none"/>
        </w:rPr>
        <w:t>.</w:t>
      </w:r>
      <w:r w:rsidR="005E750D" w:rsidRPr="00022AEE">
        <w:rPr>
          <w:rFonts w:eastAsia="Times New Roman" w:cstheme="minorHAnsi"/>
          <w:kern w:val="0"/>
          <w:lang w:eastAsia="en-GB"/>
          <w14:ligatures w14:val="none"/>
        </w:rPr>
        <w:t xml:space="preserve"> </w:t>
      </w:r>
      <w:r w:rsidR="000852F7" w:rsidRPr="00022AEE">
        <w:rPr>
          <w:rFonts w:eastAsia="Times New Roman" w:cstheme="minorHAnsi"/>
          <w:kern w:val="0"/>
          <w:lang w:eastAsia="en-GB"/>
          <w14:ligatures w14:val="none"/>
        </w:rPr>
        <w:t xml:space="preserve">This shows how cultural diversity in the UK has played a role in </w:t>
      </w:r>
      <w:r w:rsidR="005E750D" w:rsidRPr="00022AEE">
        <w:rPr>
          <w:rFonts w:eastAsia="Times New Roman" w:cstheme="minorHAnsi"/>
          <w:kern w:val="0"/>
          <w:lang w:eastAsia="en-GB"/>
          <w14:ligatures w14:val="none"/>
        </w:rPr>
        <w:t>neighbourhood policing</w:t>
      </w:r>
      <w:r w:rsidR="000977F0" w:rsidRPr="00022AEE">
        <w:rPr>
          <w:rFonts w:eastAsia="Times New Roman" w:cstheme="minorHAnsi"/>
          <w:kern w:val="0"/>
          <w:lang w:eastAsia="en-GB"/>
          <w14:ligatures w14:val="none"/>
        </w:rPr>
        <w:t xml:space="preserve">. </w:t>
      </w:r>
      <w:r w:rsidR="00CC7195" w:rsidRPr="00022AEE">
        <w:rPr>
          <w:rFonts w:eastAsia="Times New Roman" w:cstheme="minorHAnsi"/>
          <w:kern w:val="0"/>
          <w:lang w:eastAsia="en-GB"/>
          <w14:ligatures w14:val="none"/>
        </w:rPr>
        <w:t xml:space="preserve">In my opinion, </w:t>
      </w:r>
      <w:r w:rsidR="005A28CA" w:rsidRPr="00022AEE">
        <w:rPr>
          <w:rFonts w:eastAsia="Times New Roman" w:cstheme="minorHAnsi"/>
          <w:kern w:val="0"/>
          <w:lang w:eastAsia="en-GB"/>
          <w14:ligatures w14:val="none"/>
        </w:rPr>
        <w:t>this change in community policing can only be seen as a good thing, sharing ideas, working together</w:t>
      </w:r>
      <w:r w:rsidR="00B410DA" w:rsidRPr="00022AEE">
        <w:rPr>
          <w:rFonts w:eastAsia="Times New Roman" w:cstheme="minorHAnsi"/>
          <w:kern w:val="0"/>
          <w:lang w:eastAsia="en-GB"/>
          <w14:ligatures w14:val="none"/>
        </w:rPr>
        <w:t xml:space="preserve"> with culturally diverse communities so that the police can tackle problems and improve the service </w:t>
      </w:r>
      <w:r w:rsidR="008354CD" w:rsidRPr="00022AEE">
        <w:rPr>
          <w:rFonts w:eastAsia="Times New Roman" w:cstheme="minorHAnsi"/>
          <w:kern w:val="0"/>
          <w:lang w:eastAsia="en-GB"/>
          <w14:ligatures w14:val="none"/>
        </w:rPr>
        <w:t>they</w:t>
      </w:r>
      <w:r w:rsidR="00B410DA" w:rsidRPr="00022AEE">
        <w:rPr>
          <w:rFonts w:eastAsia="Times New Roman" w:cstheme="minorHAnsi"/>
          <w:kern w:val="0"/>
          <w:lang w:eastAsia="en-GB"/>
          <w14:ligatures w14:val="none"/>
        </w:rPr>
        <w:t xml:space="preserve"> provide, to everybody they serve.</w:t>
      </w:r>
    </w:p>
    <w:p w14:paraId="300BA4A6" w14:textId="77777777" w:rsidR="00A86E9D" w:rsidRPr="00022AEE" w:rsidRDefault="00A86E9D">
      <w:pPr>
        <w:rPr>
          <w:rFonts w:eastAsia="Times New Roman" w:cstheme="minorHAnsi"/>
          <w:kern w:val="0"/>
          <w:lang w:eastAsia="en-GB"/>
          <w14:ligatures w14:val="none"/>
        </w:rPr>
      </w:pPr>
    </w:p>
    <w:p w14:paraId="4DC08D14" w14:textId="785CD627" w:rsidR="00AC1B49" w:rsidRPr="00022AEE" w:rsidRDefault="00AC1B49">
      <w:pPr>
        <w:rPr>
          <w:rFonts w:cstheme="minorHAnsi"/>
        </w:rPr>
      </w:pPr>
      <w:r w:rsidRPr="00022AEE">
        <w:rPr>
          <w:rFonts w:eastAsia="Times New Roman" w:cstheme="minorHAnsi"/>
          <w:kern w:val="0"/>
          <w:lang w:eastAsia="en-GB"/>
          <w14:ligatures w14:val="none"/>
        </w:rPr>
        <w:t xml:space="preserve">The Police and Criminal Evidence Act 1984 was introduced </w:t>
      </w:r>
      <w:r w:rsidR="00835EDF" w:rsidRPr="00022AEE">
        <w:rPr>
          <w:rFonts w:eastAsia="Times New Roman" w:cstheme="minorHAnsi"/>
          <w:kern w:val="0"/>
          <w:lang w:eastAsia="en-GB"/>
          <w14:ligatures w14:val="none"/>
        </w:rPr>
        <w:t>to</w:t>
      </w:r>
      <w:r w:rsidRPr="00022AEE">
        <w:rPr>
          <w:rFonts w:eastAsia="Times New Roman" w:cstheme="minorHAnsi"/>
          <w:kern w:val="0"/>
          <w:lang w:eastAsia="en-GB"/>
          <w14:ligatures w14:val="none"/>
        </w:rPr>
        <w:t xml:space="preserve"> improve public confidenc</w:t>
      </w:r>
      <w:r w:rsidR="00223FCB" w:rsidRPr="00022AEE">
        <w:rPr>
          <w:rFonts w:eastAsia="Times New Roman" w:cstheme="minorHAnsi"/>
          <w:kern w:val="0"/>
          <w:lang w:eastAsia="en-GB"/>
          <w14:ligatures w14:val="none"/>
        </w:rPr>
        <w:t xml:space="preserve">e due to the perception the public was </w:t>
      </w:r>
      <w:r w:rsidR="00AA1C59" w:rsidRPr="00022AEE">
        <w:rPr>
          <w:rFonts w:eastAsia="Times New Roman" w:cstheme="minorHAnsi"/>
          <w:kern w:val="0"/>
          <w:lang w:eastAsia="en-GB"/>
          <w14:ligatures w14:val="none"/>
        </w:rPr>
        <w:t>losing</w:t>
      </w:r>
      <w:r w:rsidR="00223FCB" w:rsidRPr="00022AEE">
        <w:rPr>
          <w:rFonts w:eastAsia="Times New Roman" w:cstheme="minorHAnsi"/>
          <w:kern w:val="0"/>
          <w:lang w:eastAsia="en-GB"/>
          <w14:ligatures w14:val="none"/>
        </w:rPr>
        <w:t xml:space="preserve"> faith</w:t>
      </w:r>
      <w:r w:rsidR="009847AC" w:rsidRPr="00022AEE">
        <w:rPr>
          <w:rFonts w:eastAsia="Times New Roman" w:cstheme="minorHAnsi"/>
          <w:kern w:val="0"/>
          <w:lang w:eastAsia="en-GB"/>
          <w14:ligatures w14:val="none"/>
        </w:rPr>
        <w:t xml:space="preserve"> and to strike a balance </w:t>
      </w:r>
      <w:r w:rsidR="00ED1FA8" w:rsidRPr="00022AEE">
        <w:rPr>
          <w:rFonts w:eastAsia="Times New Roman" w:cstheme="minorHAnsi"/>
          <w:kern w:val="0"/>
          <w:lang w:eastAsia="en-GB"/>
          <w14:ligatures w14:val="none"/>
        </w:rPr>
        <w:t>between police power and rights of the individuals being investigated or detained</w:t>
      </w:r>
      <w:r w:rsidR="00E10471" w:rsidRPr="00022AEE">
        <w:rPr>
          <w:rFonts w:eastAsia="Times New Roman" w:cstheme="minorHAnsi"/>
          <w:kern w:val="0"/>
          <w:lang w:eastAsia="en-GB"/>
          <w14:ligatures w14:val="none"/>
        </w:rPr>
        <w:t xml:space="preserve"> (Norfolk, G.A. 1996). Cultural diversity has had a profound effect on PACE in the 40 years since it</w:t>
      </w:r>
      <w:r w:rsidR="007335B8" w:rsidRPr="00022AEE">
        <w:rPr>
          <w:rFonts w:eastAsia="Times New Roman" w:cstheme="minorHAnsi"/>
          <w:kern w:val="0"/>
          <w:lang w:eastAsia="en-GB"/>
          <w14:ligatures w14:val="none"/>
        </w:rPr>
        <w:t>s introduction in the 1980’s</w:t>
      </w:r>
      <w:r w:rsidR="0054090D" w:rsidRPr="00022AEE">
        <w:rPr>
          <w:rFonts w:eastAsia="Times New Roman" w:cstheme="minorHAnsi"/>
          <w:kern w:val="0"/>
          <w:lang w:eastAsia="en-GB"/>
          <w14:ligatures w14:val="none"/>
        </w:rPr>
        <w:t xml:space="preserve">, and the current policing code of ethics. </w:t>
      </w:r>
      <w:r w:rsidR="00901DF4" w:rsidRPr="00022AEE">
        <w:rPr>
          <w:rFonts w:eastAsia="Times New Roman" w:cstheme="minorHAnsi"/>
          <w:kern w:val="0"/>
          <w:lang w:eastAsia="en-GB"/>
          <w14:ligatures w14:val="none"/>
        </w:rPr>
        <w:t>The M</w:t>
      </w:r>
      <w:r w:rsidR="007668A8" w:rsidRPr="00022AEE">
        <w:rPr>
          <w:rFonts w:eastAsia="Times New Roman" w:cstheme="minorHAnsi"/>
          <w:kern w:val="0"/>
          <w:lang w:eastAsia="en-GB"/>
          <w14:ligatures w14:val="none"/>
        </w:rPr>
        <w:t>a</w:t>
      </w:r>
      <w:r w:rsidR="00901DF4" w:rsidRPr="00022AEE">
        <w:rPr>
          <w:rFonts w:eastAsia="Times New Roman" w:cstheme="minorHAnsi"/>
          <w:kern w:val="0"/>
          <w:lang w:eastAsia="en-GB"/>
          <w14:ligatures w14:val="none"/>
        </w:rPr>
        <w:t>c</w:t>
      </w:r>
      <w:r w:rsidR="007668A8" w:rsidRPr="00022AEE">
        <w:rPr>
          <w:rFonts w:eastAsia="Times New Roman" w:cstheme="minorHAnsi"/>
          <w:kern w:val="0"/>
          <w:lang w:eastAsia="en-GB"/>
          <w14:ligatures w14:val="none"/>
        </w:rPr>
        <w:t>p</w:t>
      </w:r>
      <w:r w:rsidR="00901DF4" w:rsidRPr="00022AEE">
        <w:rPr>
          <w:rFonts w:eastAsia="Times New Roman" w:cstheme="minorHAnsi"/>
          <w:kern w:val="0"/>
          <w:lang w:eastAsia="en-GB"/>
          <w14:ligatures w14:val="none"/>
        </w:rPr>
        <w:t xml:space="preserve">herson report was published </w:t>
      </w:r>
      <w:r w:rsidR="00B71FB1" w:rsidRPr="00022AEE">
        <w:rPr>
          <w:rFonts w:eastAsia="Times New Roman" w:cstheme="minorHAnsi"/>
          <w:kern w:val="0"/>
          <w:lang w:eastAsia="en-GB"/>
          <w14:ligatures w14:val="none"/>
        </w:rPr>
        <w:t>in 1999 and was an enquiry into the death of Steven</w:t>
      </w:r>
      <w:r w:rsidR="00C3328D" w:rsidRPr="00022AEE">
        <w:rPr>
          <w:rFonts w:eastAsia="Times New Roman" w:cstheme="minorHAnsi"/>
          <w:kern w:val="0"/>
          <w:lang w:eastAsia="en-GB"/>
          <w14:ligatures w14:val="none"/>
        </w:rPr>
        <w:t xml:space="preserve"> </w:t>
      </w:r>
      <w:r w:rsidR="00B71FB1" w:rsidRPr="00022AEE">
        <w:rPr>
          <w:rFonts w:eastAsia="Times New Roman" w:cstheme="minorHAnsi"/>
          <w:kern w:val="0"/>
          <w:lang w:eastAsia="en-GB"/>
          <w14:ligatures w14:val="none"/>
        </w:rPr>
        <w:t>Lawrence</w:t>
      </w:r>
      <w:r w:rsidR="004A158D" w:rsidRPr="00022AEE">
        <w:rPr>
          <w:rFonts w:eastAsia="Times New Roman" w:cstheme="minorHAnsi"/>
          <w:kern w:val="0"/>
          <w:lang w:eastAsia="en-GB"/>
          <w14:ligatures w14:val="none"/>
        </w:rPr>
        <w:t xml:space="preserve">. The result of this report </w:t>
      </w:r>
      <w:r w:rsidR="004A362A" w:rsidRPr="00022AEE">
        <w:rPr>
          <w:rFonts w:eastAsia="Times New Roman" w:cstheme="minorHAnsi"/>
          <w:kern w:val="0"/>
          <w:lang w:eastAsia="en-GB"/>
          <w14:ligatures w14:val="none"/>
        </w:rPr>
        <w:t>brandished</w:t>
      </w:r>
      <w:r w:rsidR="004A158D" w:rsidRPr="00022AEE">
        <w:rPr>
          <w:rFonts w:eastAsia="Times New Roman" w:cstheme="minorHAnsi"/>
          <w:kern w:val="0"/>
          <w:lang w:eastAsia="en-GB"/>
          <w14:ligatures w14:val="none"/>
        </w:rPr>
        <w:t xml:space="preserve"> the </w:t>
      </w:r>
      <w:r w:rsidR="004A362A" w:rsidRPr="00022AEE">
        <w:rPr>
          <w:rFonts w:eastAsia="Times New Roman" w:cstheme="minorHAnsi"/>
          <w:kern w:val="0"/>
          <w:lang w:eastAsia="en-GB"/>
          <w14:ligatures w14:val="none"/>
        </w:rPr>
        <w:t>Metropolitan</w:t>
      </w:r>
      <w:r w:rsidR="004A158D" w:rsidRPr="00022AEE">
        <w:rPr>
          <w:rFonts w:eastAsia="Times New Roman" w:cstheme="minorHAnsi"/>
          <w:kern w:val="0"/>
          <w:lang w:eastAsia="en-GB"/>
          <w14:ligatures w14:val="none"/>
        </w:rPr>
        <w:t xml:space="preserve"> police “Institutionally </w:t>
      </w:r>
      <w:r w:rsidR="00196566" w:rsidRPr="00022AEE">
        <w:rPr>
          <w:rFonts w:eastAsia="Times New Roman" w:cstheme="minorHAnsi"/>
          <w:kern w:val="0"/>
          <w:lang w:eastAsia="en-GB"/>
          <w14:ligatures w14:val="none"/>
        </w:rPr>
        <w:t>racist”.</w:t>
      </w:r>
      <w:r w:rsidR="004A158D" w:rsidRPr="00022AEE">
        <w:rPr>
          <w:rFonts w:eastAsia="Times New Roman" w:cstheme="minorHAnsi"/>
          <w:kern w:val="0"/>
          <w:lang w:eastAsia="en-GB"/>
          <w14:ligatures w14:val="none"/>
        </w:rPr>
        <w:t xml:space="preserve"> </w:t>
      </w:r>
      <w:r w:rsidR="00585297" w:rsidRPr="00022AEE">
        <w:rPr>
          <w:rFonts w:cstheme="minorHAnsi"/>
        </w:rPr>
        <w:lastRenderedPageBreak/>
        <w:t>(Pyper, 2019)</w:t>
      </w:r>
      <w:r w:rsidR="00C3328D" w:rsidRPr="00022AEE">
        <w:rPr>
          <w:rFonts w:cstheme="minorHAnsi"/>
        </w:rPr>
        <w:t xml:space="preserve">. </w:t>
      </w:r>
      <w:r w:rsidR="00FA0290" w:rsidRPr="00022AEE">
        <w:rPr>
          <w:rFonts w:cstheme="minorHAnsi"/>
        </w:rPr>
        <w:t>The Mac</w:t>
      </w:r>
      <w:r w:rsidR="007668A8" w:rsidRPr="00022AEE">
        <w:rPr>
          <w:rFonts w:cstheme="minorHAnsi"/>
        </w:rPr>
        <w:t xml:space="preserve">pherson report (1999) went further to make multiple recommendations </w:t>
      </w:r>
      <w:r w:rsidR="00076E63" w:rsidRPr="00022AEE">
        <w:rPr>
          <w:rFonts w:cstheme="minorHAnsi"/>
        </w:rPr>
        <w:t xml:space="preserve">to the police service to improve their practices. </w:t>
      </w:r>
      <w:r w:rsidR="00F37AD8" w:rsidRPr="00022AEE">
        <w:rPr>
          <w:rFonts w:cstheme="minorHAnsi"/>
        </w:rPr>
        <w:t xml:space="preserve">The first recommendation from this report </w:t>
      </w:r>
      <w:r w:rsidR="00097C21" w:rsidRPr="00022AEE">
        <w:rPr>
          <w:rFonts w:cstheme="minorHAnsi"/>
        </w:rPr>
        <w:t>was “</w:t>
      </w:r>
      <w:r w:rsidR="00190F9D" w:rsidRPr="00022AEE">
        <w:rPr>
          <w:rFonts w:cstheme="minorHAnsi"/>
        </w:rPr>
        <w:t xml:space="preserve">"To increase trust and confidence in policing amongst minority ethnic communities", this is another example of how cultural diversity has </w:t>
      </w:r>
      <w:r w:rsidR="00370111" w:rsidRPr="00022AEE">
        <w:rPr>
          <w:rFonts w:cstheme="minorHAnsi"/>
        </w:rPr>
        <w:t xml:space="preserve">had an impact on policing practices, that they are actively </w:t>
      </w:r>
      <w:r w:rsidR="003C43E4" w:rsidRPr="00022AEE">
        <w:rPr>
          <w:rFonts w:cstheme="minorHAnsi"/>
        </w:rPr>
        <w:t xml:space="preserve">trying to increase trust and confidence. The recommendations go further </w:t>
      </w:r>
      <w:r w:rsidR="007F060C" w:rsidRPr="00022AEE">
        <w:rPr>
          <w:rFonts w:cstheme="minorHAnsi"/>
        </w:rPr>
        <w:t xml:space="preserve">to define a racist incident as </w:t>
      </w:r>
      <w:r w:rsidR="007F75B0" w:rsidRPr="00022AEE">
        <w:rPr>
          <w:rFonts w:cstheme="minorHAnsi"/>
        </w:rPr>
        <w:t xml:space="preserve">"A racist incident is any incident which is perceived to be racist by the victim or any other person” (Macpherson, 1999). This definition </w:t>
      </w:r>
      <w:r w:rsidR="00494F9B" w:rsidRPr="00022AEE">
        <w:rPr>
          <w:rFonts w:cstheme="minorHAnsi"/>
        </w:rPr>
        <w:t xml:space="preserve">has been broadly adopted by the college of </w:t>
      </w:r>
      <w:r w:rsidR="007D62B1" w:rsidRPr="00022AEE">
        <w:rPr>
          <w:rFonts w:cstheme="minorHAnsi"/>
        </w:rPr>
        <w:t>policing (College of policing, 2020)</w:t>
      </w:r>
      <w:r w:rsidR="00F028F0" w:rsidRPr="00022AEE">
        <w:rPr>
          <w:rFonts w:cstheme="minorHAnsi"/>
        </w:rPr>
        <w:t>.</w:t>
      </w:r>
      <w:r w:rsidR="00FF7BF3" w:rsidRPr="00022AEE">
        <w:rPr>
          <w:rFonts w:cstheme="minorHAnsi"/>
        </w:rPr>
        <w:t xml:space="preserve"> Another recommendation of the Macpherson report (1999) is that all officers should receive </w:t>
      </w:r>
      <w:r w:rsidR="00040803" w:rsidRPr="00022AEE">
        <w:rPr>
          <w:rFonts w:cstheme="minorHAnsi"/>
        </w:rPr>
        <w:t>racism awareness training. Developments of this can be seen in the current</w:t>
      </w:r>
      <w:r w:rsidR="005C6A37" w:rsidRPr="00022AEE">
        <w:rPr>
          <w:rFonts w:cstheme="minorHAnsi"/>
        </w:rPr>
        <w:t xml:space="preserve"> Police Race Action Plan </w:t>
      </w:r>
      <w:r w:rsidR="00301ED8" w:rsidRPr="00022AEE">
        <w:rPr>
          <w:rFonts w:cstheme="minorHAnsi"/>
        </w:rPr>
        <w:t xml:space="preserve">published by the College of Policing (2022). This plan </w:t>
      </w:r>
      <w:r w:rsidR="00B348E8" w:rsidRPr="00022AEE">
        <w:rPr>
          <w:rFonts w:cstheme="minorHAnsi"/>
        </w:rPr>
        <w:t xml:space="preserve">aims to address </w:t>
      </w:r>
      <w:r w:rsidR="004E6132" w:rsidRPr="00022AEE">
        <w:rPr>
          <w:rFonts w:cstheme="minorHAnsi"/>
        </w:rPr>
        <w:t>disparities</w:t>
      </w:r>
      <w:r w:rsidR="00B348E8" w:rsidRPr="00022AEE">
        <w:rPr>
          <w:rFonts w:cstheme="minorHAnsi"/>
        </w:rPr>
        <w:t xml:space="preserve"> affecting black people</w:t>
      </w:r>
      <w:r w:rsidR="004E6132" w:rsidRPr="00022AEE">
        <w:rPr>
          <w:rFonts w:cstheme="minorHAnsi"/>
        </w:rPr>
        <w:t xml:space="preserve"> and the lower trust levels amongst the black community towards the police service. </w:t>
      </w:r>
    </w:p>
    <w:p w14:paraId="4B46EDD2" w14:textId="77777777" w:rsidR="00373A10" w:rsidRPr="00022AEE" w:rsidRDefault="00373A10">
      <w:pPr>
        <w:rPr>
          <w:rFonts w:cstheme="minorHAnsi"/>
        </w:rPr>
      </w:pPr>
    </w:p>
    <w:p w14:paraId="121A7021" w14:textId="24D73102" w:rsidR="00555362" w:rsidRPr="00022AEE" w:rsidRDefault="00373A10">
      <w:pPr>
        <w:rPr>
          <w:rFonts w:eastAsia="Times New Roman" w:cstheme="minorHAnsi"/>
          <w:color w:val="222222"/>
          <w:kern w:val="0"/>
          <w:lang w:eastAsia="en-GB"/>
          <w14:ligatures w14:val="none"/>
        </w:rPr>
      </w:pPr>
      <w:r w:rsidRPr="00022AEE">
        <w:rPr>
          <w:rFonts w:cstheme="minorHAnsi"/>
        </w:rPr>
        <w:t>Stop and search has been a controversial tool for the police service over many years</w:t>
      </w:r>
      <w:r w:rsidR="00DE1308" w:rsidRPr="00022AEE">
        <w:rPr>
          <w:rFonts w:cstheme="minorHAnsi"/>
        </w:rPr>
        <w:t>, especially due to the</w:t>
      </w:r>
      <w:r w:rsidR="002F6B13" w:rsidRPr="00022AEE">
        <w:rPr>
          <w:rFonts w:cstheme="minorHAnsi"/>
        </w:rPr>
        <w:t xml:space="preserve"> </w:t>
      </w:r>
      <w:r w:rsidR="00A95397" w:rsidRPr="00022AEE">
        <w:rPr>
          <w:rFonts w:cstheme="minorHAnsi"/>
        </w:rPr>
        <w:t xml:space="preserve">statistics surrounding its use. </w:t>
      </w:r>
      <w:r w:rsidR="00FF7145" w:rsidRPr="00022AEE">
        <w:rPr>
          <w:rFonts w:cstheme="minorHAnsi"/>
        </w:rPr>
        <w:t xml:space="preserve"> </w:t>
      </w:r>
      <w:r w:rsidR="00A6018C" w:rsidRPr="00022AEE">
        <w:rPr>
          <w:rFonts w:cstheme="minorHAnsi"/>
        </w:rPr>
        <w:t xml:space="preserve">The Police Race Action Plan (College of Policing, 2022) states that 55 per 1000 </w:t>
      </w:r>
      <w:r w:rsidR="00CD6440" w:rsidRPr="00022AEE">
        <w:rPr>
          <w:rFonts w:cstheme="minorHAnsi"/>
        </w:rPr>
        <w:t xml:space="preserve">black persons are stop and searched, compared to only 6 per 1000 white people. This disparity can cause tension and </w:t>
      </w:r>
      <w:r w:rsidR="00A3525F" w:rsidRPr="00022AEE">
        <w:rPr>
          <w:rFonts w:cstheme="minorHAnsi"/>
        </w:rPr>
        <w:t xml:space="preserve">distrust amongst culturally diverse communities. </w:t>
      </w:r>
      <w:r w:rsidR="008A250C" w:rsidRPr="00022AEE">
        <w:rPr>
          <w:rFonts w:cstheme="minorHAnsi"/>
        </w:rPr>
        <w:t xml:space="preserve">This is shown historically </w:t>
      </w:r>
      <w:r w:rsidR="00532454" w:rsidRPr="00022AEE">
        <w:rPr>
          <w:rFonts w:cstheme="minorHAnsi"/>
        </w:rPr>
        <w:t xml:space="preserve">following the Brixton riots and “operation Swamp” which allowed officers </w:t>
      </w:r>
      <w:r w:rsidR="007A3B4E" w:rsidRPr="00022AEE">
        <w:rPr>
          <w:rFonts w:cstheme="minorHAnsi"/>
        </w:rPr>
        <w:t xml:space="preserve">to search persons due to </w:t>
      </w:r>
      <w:r w:rsidR="008F1326" w:rsidRPr="00022AEE">
        <w:rPr>
          <w:rFonts w:cstheme="minorHAnsi"/>
        </w:rPr>
        <w:t xml:space="preserve">‘suspicion’ and the lack of need for proper </w:t>
      </w:r>
      <w:r w:rsidR="005645A1" w:rsidRPr="00022AEE">
        <w:rPr>
          <w:rFonts w:cstheme="minorHAnsi"/>
        </w:rPr>
        <w:t>recording</w:t>
      </w:r>
      <w:r w:rsidR="00EC2BBE" w:rsidRPr="00022AEE">
        <w:rPr>
          <w:rFonts w:cstheme="minorHAnsi"/>
        </w:rPr>
        <w:t xml:space="preserve"> (</w:t>
      </w:r>
      <w:r w:rsidR="00EC2BBE" w:rsidRPr="00022AEE">
        <w:rPr>
          <w:rFonts w:eastAsia="Times New Roman" w:cstheme="minorHAnsi"/>
          <w:color w:val="222222"/>
          <w:kern w:val="0"/>
          <w:lang w:eastAsia="en-GB"/>
          <w14:ligatures w14:val="none"/>
        </w:rPr>
        <w:t>James and Hester, 2022</w:t>
      </w:r>
      <w:r w:rsidR="00701A65" w:rsidRPr="00022AEE">
        <w:rPr>
          <w:rFonts w:eastAsia="Times New Roman" w:cstheme="minorHAnsi"/>
          <w:color w:val="222222"/>
          <w:kern w:val="0"/>
          <w:lang w:eastAsia="en-GB"/>
          <w14:ligatures w14:val="none"/>
        </w:rPr>
        <w:t>, p49</w:t>
      </w:r>
      <w:r w:rsidR="00EC2BBE" w:rsidRPr="00022AEE">
        <w:rPr>
          <w:rFonts w:eastAsia="Times New Roman" w:cstheme="minorHAnsi"/>
          <w:color w:val="222222"/>
          <w:kern w:val="0"/>
          <w:lang w:eastAsia="en-GB"/>
          <w14:ligatures w14:val="none"/>
        </w:rPr>
        <w:t xml:space="preserve">). </w:t>
      </w:r>
      <w:r w:rsidR="00462583" w:rsidRPr="00022AEE">
        <w:rPr>
          <w:rFonts w:eastAsia="Times New Roman" w:cstheme="minorHAnsi"/>
          <w:color w:val="222222"/>
          <w:kern w:val="0"/>
          <w:lang w:eastAsia="en-GB"/>
          <w14:ligatures w14:val="none"/>
        </w:rPr>
        <w:t xml:space="preserve">The Scarman report further stated the need for stop and search in policing however </w:t>
      </w:r>
      <w:r w:rsidR="009D1E96" w:rsidRPr="00022AEE">
        <w:rPr>
          <w:rFonts w:eastAsia="Times New Roman" w:cstheme="minorHAnsi"/>
          <w:color w:val="222222"/>
          <w:kern w:val="0"/>
          <w:lang w:eastAsia="en-GB"/>
          <w14:ligatures w14:val="none"/>
        </w:rPr>
        <w:t>recommended</w:t>
      </w:r>
      <w:r w:rsidR="00462583" w:rsidRPr="00022AEE">
        <w:rPr>
          <w:rFonts w:eastAsia="Times New Roman" w:cstheme="minorHAnsi"/>
          <w:color w:val="222222"/>
          <w:kern w:val="0"/>
          <w:lang w:eastAsia="en-GB"/>
          <w14:ligatures w14:val="none"/>
        </w:rPr>
        <w:t xml:space="preserve"> reform which resulted in the </w:t>
      </w:r>
      <w:r w:rsidR="009D1E96" w:rsidRPr="00022AEE">
        <w:rPr>
          <w:rFonts w:eastAsia="Times New Roman" w:cstheme="minorHAnsi"/>
          <w:color w:val="222222"/>
          <w:kern w:val="0"/>
          <w:lang w:eastAsia="en-GB"/>
          <w14:ligatures w14:val="none"/>
        </w:rPr>
        <w:t xml:space="preserve">creation of PACE 1984 (James and Hester, 2022, p49). </w:t>
      </w:r>
      <w:r w:rsidR="00F32BB7" w:rsidRPr="00022AEE">
        <w:rPr>
          <w:rFonts w:eastAsia="Times New Roman" w:cstheme="minorHAnsi"/>
          <w:color w:val="222222"/>
          <w:kern w:val="0"/>
          <w:lang w:eastAsia="en-GB"/>
          <w14:ligatures w14:val="none"/>
        </w:rPr>
        <w:t xml:space="preserve">Police stop and search </w:t>
      </w:r>
      <w:r w:rsidR="00DD079D" w:rsidRPr="00022AEE">
        <w:rPr>
          <w:rFonts w:eastAsia="Times New Roman" w:cstheme="minorHAnsi"/>
          <w:color w:val="222222"/>
          <w:kern w:val="0"/>
          <w:lang w:eastAsia="en-GB"/>
          <w14:ligatures w14:val="none"/>
        </w:rPr>
        <w:t xml:space="preserve">now can only be done in line with PACE code A </w:t>
      </w:r>
      <w:r w:rsidR="00B5340C" w:rsidRPr="00022AEE">
        <w:rPr>
          <w:rFonts w:eastAsia="Times New Roman" w:cstheme="minorHAnsi"/>
          <w:color w:val="222222"/>
          <w:kern w:val="0"/>
          <w:lang w:eastAsia="en-GB"/>
          <w14:ligatures w14:val="none"/>
        </w:rPr>
        <w:t>(GOV.UK</w:t>
      </w:r>
      <w:r w:rsidR="007E3ED9" w:rsidRPr="00022AEE">
        <w:rPr>
          <w:rFonts w:eastAsia="Times New Roman" w:cstheme="minorHAnsi"/>
          <w:color w:val="222222"/>
          <w:kern w:val="0"/>
          <w:lang w:eastAsia="en-GB"/>
          <w14:ligatures w14:val="none"/>
        </w:rPr>
        <w:t>, 2023)</w:t>
      </w:r>
      <w:r w:rsidR="000A7399" w:rsidRPr="00022AEE">
        <w:rPr>
          <w:rFonts w:eastAsia="Times New Roman" w:cstheme="minorHAnsi"/>
          <w:color w:val="222222"/>
          <w:kern w:val="0"/>
          <w:lang w:eastAsia="en-GB"/>
          <w14:ligatures w14:val="none"/>
        </w:rPr>
        <w:t xml:space="preserve"> which covers all things from reasonable grounds to correct recording </w:t>
      </w:r>
      <w:r w:rsidR="00A46206" w:rsidRPr="00022AEE">
        <w:rPr>
          <w:rFonts w:eastAsia="Times New Roman" w:cstheme="minorHAnsi"/>
          <w:color w:val="222222"/>
          <w:kern w:val="0"/>
          <w:lang w:eastAsia="en-GB"/>
          <w14:ligatures w14:val="none"/>
        </w:rPr>
        <w:t>of searches. This further shows how policing has been heavily influenced by Cultural diversity in the UK.</w:t>
      </w:r>
    </w:p>
    <w:p w14:paraId="664E010F" w14:textId="77777777" w:rsidR="00DD3F47" w:rsidRPr="00022AEE" w:rsidRDefault="00DD3F47">
      <w:pPr>
        <w:rPr>
          <w:rFonts w:eastAsia="Times New Roman" w:cstheme="minorHAnsi"/>
          <w:color w:val="222222"/>
          <w:kern w:val="0"/>
          <w:lang w:eastAsia="en-GB"/>
          <w14:ligatures w14:val="none"/>
        </w:rPr>
      </w:pPr>
    </w:p>
    <w:p w14:paraId="5ACC326F" w14:textId="4CB72E77" w:rsidR="00DD3F47" w:rsidRPr="00022AEE" w:rsidRDefault="00DD3F47">
      <w:pPr>
        <w:rPr>
          <w:rFonts w:eastAsia="Times New Roman" w:cstheme="minorHAnsi"/>
          <w:color w:val="222222"/>
          <w:kern w:val="0"/>
          <w:lang w:eastAsia="en-GB"/>
          <w14:ligatures w14:val="none"/>
        </w:rPr>
      </w:pPr>
      <w:r w:rsidRPr="00022AEE">
        <w:rPr>
          <w:rFonts w:eastAsia="Times New Roman" w:cstheme="minorHAnsi"/>
          <w:color w:val="222222"/>
          <w:kern w:val="0"/>
          <w:lang w:eastAsia="en-GB"/>
          <w14:ligatures w14:val="none"/>
        </w:rPr>
        <w:t xml:space="preserve">It is clear to me that cultural diversity has had </w:t>
      </w:r>
      <w:r w:rsidR="00D478C2" w:rsidRPr="00022AEE">
        <w:rPr>
          <w:rFonts w:eastAsia="Times New Roman" w:cstheme="minorHAnsi"/>
          <w:color w:val="222222"/>
          <w:kern w:val="0"/>
          <w:lang w:eastAsia="en-GB"/>
          <w14:ligatures w14:val="none"/>
        </w:rPr>
        <w:t xml:space="preserve">an impact on policing throughout history and will continue to do so. Policing will have challenges to address </w:t>
      </w:r>
      <w:r w:rsidR="00022AEE" w:rsidRPr="00022AEE">
        <w:rPr>
          <w:rFonts w:eastAsia="Times New Roman" w:cstheme="minorHAnsi"/>
          <w:color w:val="222222"/>
          <w:kern w:val="0"/>
          <w:lang w:eastAsia="en-GB"/>
          <w14:ligatures w14:val="none"/>
        </w:rPr>
        <w:t>to</w:t>
      </w:r>
      <w:r w:rsidR="00D478C2" w:rsidRPr="00022AEE">
        <w:rPr>
          <w:rFonts w:eastAsia="Times New Roman" w:cstheme="minorHAnsi"/>
          <w:color w:val="222222"/>
          <w:kern w:val="0"/>
          <w:lang w:eastAsia="en-GB"/>
          <w14:ligatures w14:val="none"/>
        </w:rPr>
        <w:t xml:space="preserve"> gain further trust from diverse communities, none more than </w:t>
      </w:r>
      <w:r w:rsidR="001F7AFE" w:rsidRPr="00022AEE">
        <w:rPr>
          <w:rFonts w:eastAsia="Times New Roman" w:cstheme="minorHAnsi"/>
          <w:color w:val="222222"/>
          <w:kern w:val="0"/>
          <w:lang w:eastAsia="en-GB"/>
          <w14:ligatures w14:val="none"/>
        </w:rPr>
        <w:t xml:space="preserve">tackling stop search disparities between </w:t>
      </w:r>
      <w:r w:rsidR="007A4BEA" w:rsidRPr="00022AEE">
        <w:rPr>
          <w:rFonts w:eastAsia="Times New Roman" w:cstheme="minorHAnsi"/>
          <w:color w:val="222222"/>
          <w:kern w:val="0"/>
          <w:lang w:eastAsia="en-GB"/>
          <w14:ligatures w14:val="none"/>
        </w:rPr>
        <w:t>minority</w:t>
      </w:r>
      <w:r w:rsidR="001F7AFE" w:rsidRPr="00022AEE">
        <w:rPr>
          <w:rFonts w:eastAsia="Times New Roman" w:cstheme="minorHAnsi"/>
          <w:color w:val="222222"/>
          <w:kern w:val="0"/>
          <w:lang w:eastAsia="en-GB"/>
          <w14:ligatures w14:val="none"/>
        </w:rPr>
        <w:t xml:space="preserve"> communities. However, the police services appear eager to implement training </w:t>
      </w:r>
      <w:r w:rsidR="007A4BEA" w:rsidRPr="00022AEE">
        <w:rPr>
          <w:rFonts w:eastAsia="Times New Roman" w:cstheme="minorHAnsi"/>
          <w:color w:val="222222"/>
          <w:kern w:val="0"/>
          <w:lang w:eastAsia="en-GB"/>
          <w14:ligatures w14:val="none"/>
        </w:rPr>
        <w:t xml:space="preserve">and continually learn how to improve the service they provide, especially to diverse communities. </w:t>
      </w:r>
    </w:p>
    <w:p w14:paraId="3234B698" w14:textId="7EEB27BE" w:rsidR="008354CD" w:rsidRDefault="008354CD"/>
    <w:p w14:paraId="23CC3DB7" w14:textId="77777777" w:rsidR="00A63F60" w:rsidRDefault="00A63F60"/>
    <w:p w14:paraId="2E2AEE22" w14:textId="77777777" w:rsidR="005C7389" w:rsidRDefault="005C7389"/>
    <w:p w14:paraId="1AC835D1" w14:textId="77777777" w:rsidR="005C7389" w:rsidRDefault="005C7389"/>
    <w:p w14:paraId="652A8394" w14:textId="77777777" w:rsidR="005C7389" w:rsidRDefault="005C7389"/>
    <w:p w14:paraId="3A74F5A9" w14:textId="77777777" w:rsidR="005C7389" w:rsidRDefault="005C7389"/>
    <w:p w14:paraId="6F43896D" w14:textId="77777777" w:rsidR="005C7389" w:rsidRDefault="005C7389"/>
    <w:p w14:paraId="3E7D5D91" w14:textId="77777777" w:rsidR="005C7389" w:rsidRDefault="005C7389"/>
    <w:p w14:paraId="34499C20" w14:textId="77777777" w:rsidR="000C65A3" w:rsidRDefault="000C65A3"/>
    <w:p w14:paraId="44D5FB9E" w14:textId="77777777" w:rsidR="00782556" w:rsidRDefault="00782556"/>
    <w:p w14:paraId="4A061EEA" w14:textId="4E208FC8" w:rsidR="001A1C36" w:rsidRPr="00D73BD4" w:rsidRDefault="000C65A3" w:rsidP="001A1C36">
      <w:pPr>
        <w:pStyle w:val="NormalWeb"/>
        <w:ind w:left="567" w:hanging="567"/>
        <w:rPr>
          <w:rFonts w:asciiTheme="minorHAnsi" w:hAnsiTheme="minorHAnsi" w:cstheme="minorHAnsi"/>
          <w:sz w:val="22"/>
          <w:szCs w:val="22"/>
        </w:rPr>
      </w:pPr>
      <w:r>
        <w:rPr>
          <w:rFonts w:asciiTheme="minorHAnsi" w:hAnsiTheme="minorHAnsi" w:cstheme="minorHAnsi"/>
          <w:sz w:val="22"/>
          <w:szCs w:val="22"/>
        </w:rPr>
        <w:lastRenderedPageBreak/>
        <w:t>References:</w:t>
      </w:r>
    </w:p>
    <w:p w14:paraId="67DCD318" w14:textId="5238D71A" w:rsidR="001A1C36" w:rsidRPr="00D73BD4" w:rsidRDefault="001A1C36" w:rsidP="001A1C36">
      <w:pPr>
        <w:spacing w:after="0" w:line="240" w:lineRule="auto"/>
        <w:rPr>
          <w:rFonts w:eastAsia="Times New Roman" w:cstheme="minorHAnsi"/>
          <w:kern w:val="0"/>
          <w:lang w:eastAsia="en-GB"/>
          <w14:ligatures w14:val="none"/>
        </w:rPr>
      </w:pPr>
    </w:p>
    <w:p w14:paraId="1D9B22A0" w14:textId="77777777" w:rsidR="001A1C36" w:rsidRDefault="001A1C36" w:rsidP="00FC4177">
      <w:pPr>
        <w:pStyle w:val="NormalWeb"/>
        <w:ind w:left="567" w:hanging="567"/>
        <w:rPr>
          <w:rFonts w:asciiTheme="minorHAnsi" w:hAnsiTheme="minorHAnsi" w:cstheme="minorHAnsi"/>
          <w:sz w:val="22"/>
          <w:szCs w:val="22"/>
        </w:rPr>
      </w:pPr>
      <w:r w:rsidRPr="00D73BD4">
        <w:rPr>
          <w:rFonts w:asciiTheme="minorHAnsi" w:hAnsiTheme="minorHAnsi" w:cstheme="minorHAnsi"/>
          <w:sz w:val="22"/>
          <w:szCs w:val="22"/>
        </w:rPr>
        <w:t xml:space="preserve">Cain, M. and Sadigh, S. (1982) ‘Racism, the police and community policing: A comment on the Scarman report’, </w:t>
      </w:r>
      <w:r w:rsidRPr="00D73BD4">
        <w:rPr>
          <w:rFonts w:asciiTheme="minorHAnsi" w:hAnsiTheme="minorHAnsi" w:cstheme="minorHAnsi"/>
          <w:i/>
          <w:iCs/>
          <w:sz w:val="22"/>
          <w:szCs w:val="22"/>
        </w:rPr>
        <w:t>Journal of Law and Society</w:t>
      </w:r>
      <w:r w:rsidRPr="00D73BD4">
        <w:rPr>
          <w:rFonts w:asciiTheme="minorHAnsi" w:hAnsiTheme="minorHAnsi" w:cstheme="minorHAnsi"/>
          <w:sz w:val="22"/>
          <w:szCs w:val="22"/>
        </w:rPr>
        <w:t xml:space="preserve">, 9(1), p. 87. doi:10.2307/1410347. </w:t>
      </w:r>
    </w:p>
    <w:p w14:paraId="1B6E4EC1" w14:textId="77777777" w:rsidR="001A1C36" w:rsidRPr="00D73BD4" w:rsidRDefault="001A1C36" w:rsidP="00FC4177">
      <w:pPr>
        <w:pStyle w:val="NormalWeb"/>
        <w:ind w:left="567" w:hanging="567"/>
        <w:rPr>
          <w:rFonts w:asciiTheme="minorHAnsi" w:hAnsiTheme="minorHAnsi" w:cstheme="minorHAnsi"/>
          <w:sz w:val="22"/>
          <w:szCs w:val="22"/>
        </w:rPr>
      </w:pPr>
    </w:p>
    <w:p w14:paraId="638C24F9" w14:textId="77777777" w:rsidR="001A1C36" w:rsidRDefault="001A1C36" w:rsidP="00D73BD4">
      <w:pPr>
        <w:pStyle w:val="NormalWeb"/>
        <w:ind w:left="567" w:hanging="567"/>
        <w:rPr>
          <w:rFonts w:asciiTheme="minorHAnsi" w:hAnsiTheme="minorHAnsi" w:cstheme="minorHAnsi"/>
          <w:sz w:val="22"/>
          <w:szCs w:val="22"/>
        </w:rPr>
      </w:pPr>
      <w:r w:rsidRPr="00D73BD4">
        <w:rPr>
          <w:rFonts w:asciiTheme="minorHAnsi" w:hAnsiTheme="minorHAnsi" w:cstheme="minorHAnsi"/>
          <w:sz w:val="22"/>
          <w:szCs w:val="22"/>
        </w:rPr>
        <w:t>College of Policing (2020)</w:t>
      </w:r>
      <w:r>
        <w:rPr>
          <w:rFonts w:asciiTheme="minorHAnsi" w:hAnsiTheme="minorHAnsi" w:cstheme="minorHAnsi"/>
          <w:i/>
          <w:iCs/>
          <w:sz w:val="22"/>
          <w:szCs w:val="22"/>
        </w:rPr>
        <w:t xml:space="preserve"> </w:t>
      </w:r>
      <w:r w:rsidRPr="00D73BD4">
        <w:rPr>
          <w:rFonts w:asciiTheme="minorHAnsi" w:hAnsiTheme="minorHAnsi" w:cstheme="minorHAnsi"/>
          <w:i/>
          <w:iCs/>
          <w:sz w:val="22"/>
          <w:szCs w:val="22"/>
        </w:rPr>
        <w:t>Responding to hate</w:t>
      </w:r>
      <w:r w:rsidRPr="00D73BD4">
        <w:rPr>
          <w:rFonts w:asciiTheme="minorHAnsi" w:hAnsiTheme="minorHAnsi" w:cstheme="minorHAnsi"/>
          <w:sz w:val="22"/>
          <w:szCs w:val="22"/>
        </w:rPr>
        <w:t xml:space="preserve">. Available at: https://www.college.police.uk/app/major-investigation-and-public-protection/hate-crime/responding-hate (Accessed: 17 January 2024). </w:t>
      </w:r>
    </w:p>
    <w:p w14:paraId="5693DF68" w14:textId="77777777" w:rsidR="001A1C36" w:rsidRDefault="001A1C36" w:rsidP="00D73BD4">
      <w:pPr>
        <w:pStyle w:val="NormalWeb"/>
        <w:ind w:left="567" w:hanging="567"/>
        <w:rPr>
          <w:rFonts w:asciiTheme="minorHAnsi" w:hAnsiTheme="minorHAnsi" w:cstheme="minorHAnsi"/>
          <w:sz w:val="22"/>
          <w:szCs w:val="22"/>
        </w:rPr>
      </w:pPr>
    </w:p>
    <w:p w14:paraId="12733DED" w14:textId="77777777" w:rsidR="001A1C36" w:rsidRDefault="001A1C36" w:rsidP="00D73BD4">
      <w:pPr>
        <w:pStyle w:val="NormalWeb"/>
        <w:ind w:left="567" w:hanging="567"/>
        <w:rPr>
          <w:rFonts w:asciiTheme="minorHAnsi" w:hAnsiTheme="minorHAnsi" w:cstheme="minorHAnsi"/>
          <w:sz w:val="22"/>
          <w:szCs w:val="22"/>
        </w:rPr>
      </w:pPr>
      <w:r w:rsidRPr="00D73BD4">
        <w:rPr>
          <w:rFonts w:asciiTheme="minorHAnsi" w:hAnsiTheme="minorHAnsi" w:cstheme="minorHAnsi"/>
          <w:sz w:val="22"/>
          <w:szCs w:val="22"/>
        </w:rPr>
        <w:t>College Of Policing (202</w:t>
      </w:r>
      <w:r>
        <w:rPr>
          <w:rFonts w:asciiTheme="minorHAnsi" w:hAnsiTheme="minorHAnsi" w:cstheme="minorHAnsi"/>
          <w:sz w:val="22"/>
          <w:szCs w:val="22"/>
        </w:rPr>
        <w:t>2)</w:t>
      </w:r>
      <w:r>
        <w:rPr>
          <w:rFonts w:asciiTheme="minorHAnsi" w:hAnsiTheme="minorHAnsi" w:cstheme="minorHAnsi"/>
          <w:i/>
          <w:iCs/>
          <w:sz w:val="22"/>
          <w:szCs w:val="22"/>
        </w:rPr>
        <w:t xml:space="preserve"> </w:t>
      </w:r>
      <w:r w:rsidRPr="00D73BD4">
        <w:rPr>
          <w:rFonts w:asciiTheme="minorHAnsi" w:hAnsiTheme="minorHAnsi" w:cstheme="minorHAnsi"/>
          <w:i/>
          <w:iCs/>
          <w:sz w:val="22"/>
          <w:szCs w:val="22"/>
        </w:rPr>
        <w:t>Police race action pla</w:t>
      </w:r>
      <w:r>
        <w:rPr>
          <w:rFonts w:asciiTheme="minorHAnsi" w:hAnsiTheme="minorHAnsi" w:cstheme="minorHAnsi"/>
          <w:i/>
          <w:iCs/>
          <w:sz w:val="22"/>
          <w:szCs w:val="22"/>
        </w:rPr>
        <w:t>n</w:t>
      </w:r>
      <w:r w:rsidRPr="00D73BD4">
        <w:rPr>
          <w:rFonts w:asciiTheme="minorHAnsi" w:hAnsiTheme="minorHAnsi" w:cstheme="minorHAnsi"/>
          <w:sz w:val="22"/>
          <w:szCs w:val="22"/>
        </w:rPr>
        <w:t xml:space="preserve"> Available at: https://www.college.police.uk/support-forces/diversity-and-inclusion/action-plan (Accessed: 17 January 2024). </w:t>
      </w:r>
    </w:p>
    <w:p w14:paraId="37B52123" w14:textId="77777777" w:rsidR="001A1C36" w:rsidRDefault="001A1C36" w:rsidP="00D73BD4">
      <w:pPr>
        <w:pStyle w:val="NormalWeb"/>
        <w:ind w:left="567" w:hanging="567"/>
        <w:rPr>
          <w:rFonts w:asciiTheme="minorHAnsi" w:hAnsiTheme="minorHAnsi" w:cstheme="minorHAnsi"/>
          <w:sz w:val="22"/>
          <w:szCs w:val="22"/>
        </w:rPr>
      </w:pPr>
    </w:p>
    <w:p w14:paraId="6A1B5BED" w14:textId="77777777" w:rsidR="001A1C36" w:rsidRDefault="001A1C36" w:rsidP="000C65A3">
      <w:pPr>
        <w:pStyle w:val="NormalWeb"/>
        <w:ind w:left="567" w:hanging="567"/>
        <w:rPr>
          <w:rFonts w:asciiTheme="minorHAnsi" w:hAnsiTheme="minorHAnsi" w:cstheme="minorHAnsi"/>
          <w:sz w:val="22"/>
          <w:szCs w:val="22"/>
        </w:rPr>
      </w:pPr>
      <w:r w:rsidRPr="00D73BD4">
        <w:rPr>
          <w:rFonts w:asciiTheme="minorHAnsi" w:hAnsiTheme="minorHAnsi" w:cstheme="minorHAnsi"/>
          <w:sz w:val="22"/>
          <w:szCs w:val="22"/>
        </w:rPr>
        <w:t xml:space="preserve">Dodd, Vickram (2024) </w:t>
      </w:r>
      <w:r w:rsidRPr="00D73BD4">
        <w:rPr>
          <w:rFonts w:asciiTheme="minorHAnsi" w:hAnsiTheme="minorHAnsi" w:cstheme="minorHAnsi"/>
          <w:i/>
          <w:iCs/>
          <w:sz w:val="22"/>
          <w:szCs w:val="22"/>
        </w:rPr>
        <w:t>Head of Britain’s Police Chiefs says force ‘institutionally racist’</w:t>
      </w:r>
      <w:r w:rsidRPr="00D73BD4">
        <w:rPr>
          <w:rFonts w:asciiTheme="minorHAnsi" w:hAnsiTheme="minorHAnsi" w:cstheme="minorHAnsi"/>
          <w:sz w:val="22"/>
          <w:szCs w:val="22"/>
        </w:rPr>
        <w:t xml:space="preserve">, </w:t>
      </w:r>
      <w:r w:rsidRPr="00D73BD4">
        <w:rPr>
          <w:rFonts w:asciiTheme="minorHAnsi" w:hAnsiTheme="minorHAnsi" w:cstheme="minorHAnsi"/>
          <w:i/>
          <w:iCs/>
          <w:sz w:val="22"/>
          <w:szCs w:val="22"/>
        </w:rPr>
        <w:t>The Guardian</w:t>
      </w:r>
      <w:r w:rsidRPr="00D73BD4">
        <w:rPr>
          <w:rFonts w:asciiTheme="minorHAnsi" w:hAnsiTheme="minorHAnsi" w:cstheme="minorHAnsi"/>
          <w:sz w:val="22"/>
          <w:szCs w:val="22"/>
        </w:rPr>
        <w:t xml:space="preserve">. Available at: https://www.theguardian.com/uk-news/2024/jan/05/head-of-britains-police-chiefs-says-force-is-institutionally-racist-gavin-stephens?share=facebook (Accessed: 18 January 2024). </w:t>
      </w:r>
    </w:p>
    <w:p w14:paraId="3326F04D" w14:textId="77777777" w:rsidR="001A1C36" w:rsidRPr="00D73BD4" w:rsidRDefault="001A1C36" w:rsidP="000C65A3">
      <w:pPr>
        <w:pStyle w:val="NormalWeb"/>
        <w:ind w:left="567" w:hanging="567"/>
        <w:rPr>
          <w:rFonts w:asciiTheme="minorHAnsi" w:hAnsiTheme="minorHAnsi" w:cstheme="minorHAnsi"/>
          <w:sz w:val="22"/>
          <w:szCs w:val="22"/>
        </w:rPr>
      </w:pPr>
    </w:p>
    <w:p w14:paraId="36A28118" w14:textId="77777777" w:rsidR="001A1C36" w:rsidRDefault="001A1C36" w:rsidP="00D73BD4">
      <w:pPr>
        <w:pStyle w:val="NormalWeb"/>
        <w:ind w:left="567" w:hanging="567"/>
        <w:rPr>
          <w:rFonts w:asciiTheme="minorHAnsi" w:hAnsiTheme="minorHAnsi" w:cstheme="minorHAnsi"/>
          <w:sz w:val="22"/>
          <w:szCs w:val="22"/>
        </w:rPr>
      </w:pPr>
      <w:r>
        <w:rPr>
          <w:rFonts w:asciiTheme="minorHAnsi" w:hAnsiTheme="minorHAnsi" w:cstheme="minorHAnsi"/>
          <w:sz w:val="22"/>
          <w:szCs w:val="22"/>
        </w:rPr>
        <w:t xml:space="preserve">Gov.UK (2023) </w:t>
      </w:r>
      <w:r>
        <w:rPr>
          <w:rFonts w:asciiTheme="minorHAnsi" w:hAnsiTheme="minorHAnsi" w:cstheme="minorHAnsi"/>
          <w:i/>
          <w:iCs/>
          <w:sz w:val="22"/>
          <w:szCs w:val="22"/>
        </w:rPr>
        <w:t xml:space="preserve">Pace code a (accessible). </w:t>
      </w:r>
      <w:r>
        <w:rPr>
          <w:rFonts w:asciiTheme="minorHAnsi" w:hAnsiTheme="minorHAnsi" w:cstheme="minorHAnsi"/>
          <w:sz w:val="22"/>
          <w:szCs w:val="22"/>
        </w:rPr>
        <w:t xml:space="preserve">Available at: </w:t>
      </w:r>
      <w:r w:rsidRPr="00D73BD4">
        <w:rPr>
          <w:rFonts w:asciiTheme="minorHAnsi" w:hAnsiTheme="minorHAnsi" w:cstheme="minorHAnsi"/>
          <w:sz w:val="22"/>
          <w:szCs w:val="22"/>
        </w:rPr>
        <w:t>https://www.gov.uk/government/publications/pace-code-a-december-2023/pace-code-a-2023-accessible (Accessed: 18 January 2024).</w:t>
      </w:r>
    </w:p>
    <w:p w14:paraId="07CD6326" w14:textId="77777777" w:rsidR="001A1C36" w:rsidRPr="001A1C36" w:rsidRDefault="001A1C36" w:rsidP="00D73BD4">
      <w:pPr>
        <w:pStyle w:val="NormalWeb"/>
        <w:ind w:left="567" w:hanging="567"/>
        <w:rPr>
          <w:rFonts w:asciiTheme="minorHAnsi" w:hAnsiTheme="minorHAnsi" w:cstheme="minorHAnsi"/>
          <w:sz w:val="28"/>
          <w:szCs w:val="28"/>
        </w:rPr>
      </w:pPr>
    </w:p>
    <w:p w14:paraId="133F4213" w14:textId="77777777" w:rsidR="001A1C36" w:rsidRDefault="001A1C36" w:rsidP="001A1C36">
      <w:pPr>
        <w:spacing w:after="0" w:line="240" w:lineRule="auto"/>
        <w:ind w:left="720" w:hanging="720"/>
        <w:rPr>
          <w:rFonts w:eastAsia="Times New Roman" w:cstheme="minorHAnsi"/>
          <w:kern w:val="0"/>
          <w:lang w:eastAsia="en-GB"/>
          <w14:ligatures w14:val="none"/>
        </w:rPr>
      </w:pPr>
      <w:r w:rsidRPr="00D73BD4">
        <w:rPr>
          <w:rFonts w:eastAsia="Times New Roman" w:cstheme="minorHAnsi"/>
          <w:kern w:val="0"/>
          <w:lang w:eastAsia="en-GB"/>
          <w14:ligatures w14:val="none"/>
        </w:rPr>
        <w:t xml:space="preserve">James, J. and Hester, R., </w:t>
      </w:r>
      <w:r>
        <w:rPr>
          <w:rFonts w:eastAsia="Times New Roman" w:cstheme="minorHAnsi"/>
          <w:kern w:val="0"/>
          <w:lang w:eastAsia="en-GB"/>
          <w14:ligatures w14:val="none"/>
        </w:rPr>
        <w:t>(</w:t>
      </w:r>
      <w:r w:rsidRPr="00D73BD4">
        <w:rPr>
          <w:rFonts w:eastAsia="Times New Roman" w:cstheme="minorHAnsi"/>
          <w:kern w:val="0"/>
          <w:lang w:eastAsia="en-GB"/>
          <w14:ligatures w14:val="none"/>
        </w:rPr>
        <w:t>2022</w:t>
      </w:r>
      <w:r>
        <w:rPr>
          <w:rFonts w:eastAsia="Times New Roman" w:cstheme="minorHAnsi"/>
          <w:kern w:val="0"/>
          <w:lang w:eastAsia="en-GB"/>
          <w14:ligatures w14:val="none"/>
        </w:rPr>
        <w:t>)</w:t>
      </w:r>
      <w:r w:rsidRPr="00D73BD4">
        <w:rPr>
          <w:rFonts w:eastAsia="Times New Roman" w:cstheme="minorHAnsi"/>
          <w:kern w:val="0"/>
          <w:lang w:eastAsia="en-GB"/>
          <w14:ligatures w14:val="none"/>
        </w:rPr>
        <w:t xml:space="preserve"> Stop and Search Powers in England &amp; Wales. </w:t>
      </w:r>
      <w:r w:rsidRPr="00D73BD4">
        <w:rPr>
          <w:rFonts w:eastAsia="Times New Roman" w:cstheme="minorHAnsi"/>
          <w:i/>
          <w:iCs/>
          <w:kern w:val="0"/>
          <w:lang w:eastAsia="en-GB"/>
          <w14:ligatures w14:val="none"/>
        </w:rPr>
        <w:t>Contemporary Issues in Global Criminal Justice</w:t>
      </w:r>
      <w:r w:rsidRPr="00D73BD4">
        <w:rPr>
          <w:rFonts w:eastAsia="Times New Roman" w:cstheme="minorHAnsi"/>
          <w:kern w:val="0"/>
          <w:lang w:eastAsia="en-GB"/>
          <w14:ligatures w14:val="none"/>
        </w:rPr>
        <w:t>, p.49.</w:t>
      </w:r>
    </w:p>
    <w:p w14:paraId="492F9E12" w14:textId="77777777" w:rsidR="001A1C36" w:rsidRDefault="001A1C36" w:rsidP="001A1C36">
      <w:pPr>
        <w:spacing w:after="0" w:line="240" w:lineRule="auto"/>
        <w:ind w:left="720" w:hanging="720"/>
        <w:rPr>
          <w:rFonts w:eastAsia="Times New Roman" w:cstheme="minorHAnsi"/>
          <w:kern w:val="0"/>
          <w:lang w:eastAsia="en-GB"/>
          <w14:ligatures w14:val="none"/>
        </w:rPr>
      </w:pPr>
    </w:p>
    <w:p w14:paraId="414425DF" w14:textId="77777777" w:rsidR="001A1C36" w:rsidRPr="00D73BD4" w:rsidRDefault="001A1C36" w:rsidP="001A1C36">
      <w:pPr>
        <w:spacing w:after="0" w:line="240" w:lineRule="auto"/>
        <w:ind w:left="720" w:hanging="720"/>
        <w:rPr>
          <w:rFonts w:eastAsia="Times New Roman" w:cstheme="minorHAnsi"/>
          <w:kern w:val="0"/>
          <w:lang w:eastAsia="en-GB"/>
          <w14:ligatures w14:val="none"/>
        </w:rPr>
      </w:pPr>
    </w:p>
    <w:p w14:paraId="7CD689E5" w14:textId="77777777" w:rsidR="001A1C36" w:rsidRDefault="001A1C36" w:rsidP="00D73BD4">
      <w:pPr>
        <w:spacing w:after="0" w:line="240" w:lineRule="auto"/>
        <w:ind w:left="720" w:hanging="720"/>
        <w:rPr>
          <w:rFonts w:eastAsia="Times New Roman" w:cstheme="minorHAnsi"/>
          <w:kern w:val="0"/>
          <w:lang w:eastAsia="en-GB"/>
          <w14:ligatures w14:val="none"/>
        </w:rPr>
      </w:pPr>
      <w:r w:rsidRPr="00D73BD4">
        <w:rPr>
          <w:rFonts w:eastAsia="Times New Roman" w:cstheme="minorHAnsi"/>
          <w:kern w:val="0"/>
          <w:lang w:eastAsia="en-GB"/>
          <w14:ligatures w14:val="none"/>
        </w:rPr>
        <w:t xml:space="preserve">Macpherson, W (1999) </w:t>
      </w:r>
      <w:r w:rsidRPr="00D73BD4">
        <w:rPr>
          <w:rFonts w:eastAsia="Times New Roman" w:cstheme="minorHAnsi"/>
          <w:i/>
          <w:iCs/>
          <w:kern w:val="0"/>
          <w:lang w:eastAsia="en-GB"/>
          <w14:ligatures w14:val="none"/>
        </w:rPr>
        <w:t>‘The Stephen Lawrence enquiry’</w:t>
      </w:r>
      <w:r w:rsidRPr="00D73BD4">
        <w:rPr>
          <w:rFonts w:eastAsia="Times New Roman" w:cstheme="minorHAnsi"/>
          <w:kern w:val="0"/>
          <w:lang w:eastAsia="en-GB"/>
          <w14:ligatures w14:val="none"/>
        </w:rPr>
        <w:t xml:space="preserve">. Available at: </w:t>
      </w:r>
      <w:hyperlink r:id="rId8" w:history="1">
        <w:r w:rsidRPr="00D73BD4">
          <w:rPr>
            <w:rStyle w:val="Hyperlink"/>
            <w:rFonts w:eastAsia="Times New Roman" w:cstheme="minorHAnsi"/>
            <w:color w:val="auto"/>
            <w:kern w:val="0"/>
            <w:u w:val="none"/>
            <w:lang w:eastAsia="en-GB"/>
            <w14:ligatures w14:val="none"/>
          </w:rPr>
          <w:t>https://assets.publishing.service.gov.uk/media/5a7c2af540f0b645ba3c7202/4262.pdf</w:t>
        </w:r>
      </w:hyperlink>
      <w:r w:rsidRPr="00D73BD4">
        <w:rPr>
          <w:rFonts w:eastAsia="Times New Roman" w:cstheme="minorHAnsi"/>
          <w:kern w:val="0"/>
          <w:lang w:eastAsia="en-GB"/>
          <w14:ligatures w14:val="none"/>
        </w:rPr>
        <w:t xml:space="preserve"> (Accessed: 18/01/2024) </w:t>
      </w:r>
    </w:p>
    <w:p w14:paraId="0316F02A" w14:textId="77777777" w:rsidR="001A1C36" w:rsidRDefault="001A1C36" w:rsidP="00D73BD4">
      <w:pPr>
        <w:spacing w:after="0" w:line="240" w:lineRule="auto"/>
        <w:ind w:left="720" w:hanging="720"/>
        <w:rPr>
          <w:rFonts w:eastAsia="Times New Roman" w:cstheme="minorHAnsi"/>
          <w:kern w:val="0"/>
          <w:lang w:eastAsia="en-GB"/>
          <w14:ligatures w14:val="none"/>
        </w:rPr>
      </w:pPr>
    </w:p>
    <w:p w14:paraId="2CAB4E5B" w14:textId="77777777" w:rsidR="001A1C36" w:rsidRPr="00D73BD4" w:rsidRDefault="001A1C36" w:rsidP="00D73BD4">
      <w:pPr>
        <w:spacing w:after="0" w:line="240" w:lineRule="auto"/>
        <w:ind w:left="720" w:hanging="720"/>
        <w:rPr>
          <w:rFonts w:eastAsia="Times New Roman" w:cstheme="minorHAnsi"/>
          <w:kern w:val="0"/>
          <w:lang w:eastAsia="en-GB"/>
          <w14:ligatures w14:val="none"/>
        </w:rPr>
      </w:pPr>
    </w:p>
    <w:p w14:paraId="4D7522D5" w14:textId="77777777" w:rsidR="001A1C36" w:rsidRDefault="001A1C36" w:rsidP="00D73BD4">
      <w:pPr>
        <w:spacing w:after="0" w:line="240" w:lineRule="auto"/>
        <w:ind w:left="720" w:hanging="720"/>
        <w:rPr>
          <w:rFonts w:eastAsia="Times New Roman" w:cstheme="minorHAnsi"/>
          <w:kern w:val="0"/>
          <w:lang w:eastAsia="en-GB"/>
          <w14:ligatures w14:val="none"/>
        </w:rPr>
      </w:pPr>
      <w:r w:rsidRPr="00D73BD4">
        <w:rPr>
          <w:rFonts w:eastAsia="Times New Roman" w:cstheme="minorHAnsi"/>
          <w:kern w:val="0"/>
          <w:lang w:eastAsia="en-GB"/>
          <w14:ligatures w14:val="none"/>
        </w:rPr>
        <w:t xml:space="preserve">Norfolk, G.A. (1996) ‘A PACE in the right direction? The effectiveness of safeguards in the Police and Criminal Evidence Act 1984 for mentally disordered and mentally handicapped suspects — A South Yorkshire study’, </w:t>
      </w:r>
      <w:r w:rsidRPr="00D73BD4">
        <w:rPr>
          <w:rFonts w:eastAsia="Times New Roman" w:cstheme="minorHAnsi"/>
          <w:i/>
          <w:iCs/>
          <w:kern w:val="0"/>
          <w:lang w:eastAsia="en-GB"/>
          <w14:ligatures w14:val="none"/>
        </w:rPr>
        <w:t>Journal of clinical forensic medicine</w:t>
      </w:r>
      <w:r w:rsidRPr="00D73BD4">
        <w:rPr>
          <w:rFonts w:eastAsia="Times New Roman" w:cstheme="minorHAnsi"/>
          <w:kern w:val="0"/>
          <w:lang w:eastAsia="en-GB"/>
          <w14:ligatures w14:val="none"/>
        </w:rPr>
        <w:t xml:space="preserve">, 3(2), pp. 111-. Available at: </w:t>
      </w:r>
      <w:hyperlink r:id="rId9" w:history="1">
        <w:r w:rsidRPr="00D73BD4">
          <w:rPr>
            <w:rStyle w:val="Hyperlink"/>
            <w:rFonts w:eastAsia="Times New Roman" w:cstheme="minorHAnsi"/>
            <w:color w:val="auto"/>
            <w:kern w:val="0"/>
            <w:u w:val="none"/>
            <w:lang w:eastAsia="en-GB"/>
            <w14:ligatures w14:val="none"/>
          </w:rPr>
          <w:t>https://doi.org/10.1016/S1353-1131(96)90017-6</w:t>
        </w:r>
      </w:hyperlink>
      <w:r w:rsidRPr="00D73BD4">
        <w:rPr>
          <w:rFonts w:eastAsia="Times New Roman" w:cstheme="minorHAnsi"/>
          <w:kern w:val="0"/>
          <w:lang w:eastAsia="en-GB"/>
          <w14:ligatures w14:val="none"/>
        </w:rPr>
        <w:t>.</w:t>
      </w:r>
    </w:p>
    <w:p w14:paraId="1C6F9435" w14:textId="77777777" w:rsidR="001A1C36" w:rsidRDefault="001A1C36" w:rsidP="00D73BD4">
      <w:pPr>
        <w:spacing w:after="0" w:line="240" w:lineRule="auto"/>
        <w:ind w:left="720" w:hanging="720"/>
        <w:rPr>
          <w:rFonts w:eastAsia="Times New Roman" w:cstheme="minorHAnsi"/>
          <w:kern w:val="0"/>
          <w:lang w:eastAsia="en-GB"/>
          <w14:ligatures w14:val="none"/>
        </w:rPr>
      </w:pPr>
    </w:p>
    <w:p w14:paraId="24102664" w14:textId="77777777" w:rsidR="001A1C36" w:rsidRPr="00D73BD4" w:rsidRDefault="001A1C36" w:rsidP="00D73BD4">
      <w:pPr>
        <w:spacing w:after="0" w:line="240" w:lineRule="auto"/>
        <w:ind w:left="720" w:hanging="720"/>
        <w:rPr>
          <w:rFonts w:eastAsia="Times New Roman" w:cstheme="minorHAnsi"/>
          <w:kern w:val="0"/>
          <w:lang w:eastAsia="en-GB"/>
          <w14:ligatures w14:val="none"/>
        </w:rPr>
      </w:pPr>
    </w:p>
    <w:p w14:paraId="21C61CF9" w14:textId="77777777" w:rsidR="001A1C36" w:rsidRDefault="001A1C36" w:rsidP="00D73BD4">
      <w:pPr>
        <w:spacing w:after="0" w:line="240" w:lineRule="auto"/>
        <w:ind w:left="720" w:hanging="720"/>
        <w:rPr>
          <w:rFonts w:eastAsia="Times New Roman" w:cstheme="minorHAnsi"/>
          <w:kern w:val="0"/>
          <w:lang w:eastAsia="en-GB"/>
          <w14:ligatures w14:val="none"/>
        </w:rPr>
      </w:pPr>
      <w:bookmarkStart w:id="0" w:name="_Hlk156337347"/>
      <w:r w:rsidRPr="00D73BD4">
        <w:rPr>
          <w:rFonts w:eastAsia="Times New Roman" w:cstheme="minorHAnsi"/>
          <w:kern w:val="0"/>
          <w:lang w:eastAsia="en-GB"/>
          <w14:ligatures w14:val="none"/>
        </w:rPr>
        <w:lastRenderedPageBreak/>
        <w:t xml:space="preserve">O’Neill, M. (2015) </w:t>
      </w:r>
      <w:bookmarkEnd w:id="0"/>
      <w:r w:rsidRPr="00D73BD4">
        <w:rPr>
          <w:rFonts w:eastAsia="Times New Roman" w:cstheme="minorHAnsi"/>
          <w:kern w:val="0"/>
          <w:lang w:eastAsia="en-GB"/>
          <w14:ligatures w14:val="none"/>
        </w:rPr>
        <w:t xml:space="preserve">‘The Case for the Acceptable “Other”: The Impact of Partnerships, PCSOs, and Neighbourhood Policing on Diversity in Policing’, </w:t>
      </w:r>
      <w:r w:rsidRPr="00D73BD4">
        <w:rPr>
          <w:rFonts w:eastAsia="Times New Roman" w:cstheme="minorHAnsi"/>
          <w:i/>
          <w:iCs/>
          <w:kern w:val="0"/>
          <w:lang w:eastAsia="en-GB"/>
          <w14:ligatures w14:val="none"/>
        </w:rPr>
        <w:t>Policing : a journal of policy and practice</w:t>
      </w:r>
      <w:r w:rsidRPr="00D73BD4">
        <w:rPr>
          <w:rFonts w:eastAsia="Times New Roman" w:cstheme="minorHAnsi"/>
          <w:kern w:val="0"/>
          <w:lang w:eastAsia="en-GB"/>
          <w14:ligatures w14:val="none"/>
        </w:rPr>
        <w:t xml:space="preserve">, 9(1), pp. 77–88. Available at: </w:t>
      </w:r>
      <w:hyperlink r:id="rId10" w:history="1">
        <w:r w:rsidRPr="00D73BD4">
          <w:rPr>
            <w:rStyle w:val="Hyperlink"/>
            <w:rFonts w:eastAsia="Times New Roman" w:cstheme="minorHAnsi"/>
            <w:color w:val="auto"/>
            <w:kern w:val="0"/>
            <w:u w:val="none"/>
            <w:lang w:eastAsia="en-GB"/>
            <w14:ligatures w14:val="none"/>
          </w:rPr>
          <w:t>https://doi.org/10.1093/police/pau026</w:t>
        </w:r>
      </w:hyperlink>
      <w:r w:rsidRPr="00D73BD4">
        <w:rPr>
          <w:rFonts w:eastAsia="Times New Roman" w:cstheme="minorHAnsi"/>
          <w:kern w:val="0"/>
          <w:lang w:eastAsia="en-GB"/>
          <w14:ligatures w14:val="none"/>
        </w:rPr>
        <w:t>.</w:t>
      </w:r>
    </w:p>
    <w:p w14:paraId="3B1867FF" w14:textId="77777777" w:rsidR="001A1C36" w:rsidRPr="00D73BD4" w:rsidRDefault="001A1C36" w:rsidP="00D73BD4">
      <w:pPr>
        <w:spacing w:after="0" w:line="240" w:lineRule="auto"/>
        <w:ind w:left="720" w:hanging="720"/>
        <w:rPr>
          <w:rFonts w:eastAsia="Times New Roman" w:cstheme="minorHAnsi"/>
          <w:kern w:val="0"/>
          <w:lang w:eastAsia="en-GB"/>
          <w14:ligatures w14:val="none"/>
        </w:rPr>
      </w:pPr>
    </w:p>
    <w:p w14:paraId="48523CE5" w14:textId="77777777" w:rsidR="001A1C36" w:rsidRDefault="001A1C36" w:rsidP="00A31A61">
      <w:pPr>
        <w:pStyle w:val="NormalWeb"/>
        <w:ind w:left="567" w:hanging="567"/>
        <w:rPr>
          <w:rFonts w:asciiTheme="minorHAnsi" w:hAnsiTheme="minorHAnsi" w:cstheme="minorHAnsi"/>
          <w:sz w:val="22"/>
          <w:szCs w:val="22"/>
        </w:rPr>
      </w:pPr>
      <w:r w:rsidRPr="00D73BD4">
        <w:rPr>
          <w:rFonts w:asciiTheme="minorHAnsi" w:hAnsiTheme="minorHAnsi" w:cstheme="minorHAnsi"/>
          <w:i/>
          <w:iCs/>
          <w:sz w:val="22"/>
          <w:szCs w:val="22"/>
        </w:rPr>
        <w:t>Police workforce</w:t>
      </w:r>
      <w:r w:rsidRPr="00D73BD4">
        <w:rPr>
          <w:rFonts w:asciiTheme="minorHAnsi" w:hAnsiTheme="minorHAnsi" w:cstheme="minorHAnsi"/>
          <w:sz w:val="22"/>
          <w:szCs w:val="22"/>
        </w:rPr>
        <w:t xml:space="preserve"> (2023) </w:t>
      </w:r>
      <w:r w:rsidRPr="00D73BD4">
        <w:rPr>
          <w:rFonts w:asciiTheme="minorHAnsi" w:hAnsiTheme="minorHAnsi" w:cstheme="minorHAnsi"/>
          <w:i/>
          <w:iCs/>
          <w:sz w:val="22"/>
          <w:szCs w:val="22"/>
        </w:rPr>
        <w:t>GOV.UK Ethnicity facts and figures</w:t>
      </w:r>
      <w:r w:rsidRPr="00D73BD4">
        <w:rPr>
          <w:rFonts w:asciiTheme="minorHAnsi" w:hAnsiTheme="minorHAnsi" w:cstheme="minorHAnsi"/>
          <w:sz w:val="22"/>
          <w:szCs w:val="22"/>
        </w:rPr>
        <w:t xml:space="preserve">. Available at: https://www.ethnicity-facts-figures.service.gov.uk/workforce-and-business/workforce-diversity/police-workforce/latest/#by-ethnicity-and-area-police-officers (Accessed: 16 January 2024). </w:t>
      </w:r>
    </w:p>
    <w:p w14:paraId="64F4A4CB" w14:textId="77777777" w:rsidR="001A1C36" w:rsidRPr="00D73BD4" w:rsidRDefault="001A1C36" w:rsidP="00A31A61">
      <w:pPr>
        <w:pStyle w:val="NormalWeb"/>
        <w:ind w:left="567" w:hanging="567"/>
        <w:rPr>
          <w:rFonts w:asciiTheme="minorHAnsi" w:hAnsiTheme="minorHAnsi" w:cstheme="minorHAnsi"/>
          <w:sz w:val="22"/>
          <w:szCs w:val="22"/>
        </w:rPr>
      </w:pPr>
    </w:p>
    <w:p w14:paraId="15F6FF20" w14:textId="77777777" w:rsidR="001A1C36" w:rsidRDefault="001A1C36" w:rsidP="00F54271">
      <w:pPr>
        <w:pStyle w:val="NormalWeb"/>
        <w:ind w:left="567" w:hanging="567"/>
        <w:rPr>
          <w:rFonts w:asciiTheme="minorHAnsi" w:hAnsiTheme="minorHAnsi" w:cstheme="minorHAnsi"/>
          <w:sz w:val="22"/>
          <w:szCs w:val="22"/>
        </w:rPr>
      </w:pPr>
      <w:r w:rsidRPr="00D73BD4">
        <w:rPr>
          <w:rFonts w:asciiTheme="minorHAnsi" w:hAnsiTheme="minorHAnsi" w:cstheme="minorHAnsi"/>
          <w:sz w:val="22"/>
          <w:szCs w:val="22"/>
        </w:rPr>
        <w:t xml:space="preserve">Pyper, D. (2019) </w:t>
      </w:r>
      <w:r w:rsidRPr="00D73BD4">
        <w:rPr>
          <w:rFonts w:asciiTheme="minorHAnsi" w:hAnsiTheme="minorHAnsi" w:cstheme="minorHAnsi"/>
          <w:i/>
          <w:iCs/>
          <w:sz w:val="22"/>
          <w:szCs w:val="22"/>
        </w:rPr>
        <w:t xml:space="preserve">The twentieth anniversary of the </w:t>
      </w:r>
      <w:proofErr w:type="spellStart"/>
      <w:r w:rsidRPr="00D73BD4">
        <w:rPr>
          <w:rFonts w:asciiTheme="minorHAnsi" w:hAnsiTheme="minorHAnsi" w:cstheme="minorHAnsi"/>
          <w:i/>
          <w:iCs/>
          <w:sz w:val="22"/>
          <w:szCs w:val="22"/>
        </w:rPr>
        <w:t>macpherson</w:t>
      </w:r>
      <w:proofErr w:type="spellEnd"/>
      <w:r w:rsidRPr="00D73BD4">
        <w:rPr>
          <w:rFonts w:asciiTheme="minorHAnsi" w:hAnsiTheme="minorHAnsi" w:cstheme="minorHAnsi"/>
          <w:i/>
          <w:iCs/>
          <w:sz w:val="22"/>
          <w:szCs w:val="22"/>
        </w:rPr>
        <w:t xml:space="preserve"> report</w:t>
      </w:r>
      <w:r w:rsidRPr="00D73BD4">
        <w:rPr>
          <w:rFonts w:asciiTheme="minorHAnsi" w:hAnsiTheme="minorHAnsi" w:cstheme="minorHAnsi"/>
          <w:sz w:val="22"/>
          <w:szCs w:val="22"/>
        </w:rPr>
        <w:t xml:space="preserve">, </w:t>
      </w:r>
      <w:r w:rsidRPr="00D73BD4">
        <w:rPr>
          <w:rFonts w:asciiTheme="minorHAnsi" w:hAnsiTheme="minorHAnsi" w:cstheme="minorHAnsi"/>
          <w:i/>
          <w:iCs/>
          <w:sz w:val="22"/>
          <w:szCs w:val="22"/>
        </w:rPr>
        <w:t>The Twentieth Anniversary of the Macpherson Report</w:t>
      </w:r>
      <w:r w:rsidRPr="00D73BD4">
        <w:rPr>
          <w:rFonts w:asciiTheme="minorHAnsi" w:hAnsiTheme="minorHAnsi" w:cstheme="minorHAnsi"/>
          <w:sz w:val="22"/>
          <w:szCs w:val="22"/>
        </w:rPr>
        <w:t xml:space="preserve">. Available at: https://commonslibrary.parliament.uk/research-briefings/cdp-2019-0052/ (Accessed: 17 January 2024). </w:t>
      </w:r>
    </w:p>
    <w:p w14:paraId="022683EC" w14:textId="77777777" w:rsidR="001A1C36" w:rsidRPr="00D73BD4" w:rsidRDefault="001A1C36" w:rsidP="00F54271">
      <w:pPr>
        <w:pStyle w:val="NormalWeb"/>
        <w:ind w:left="567" w:hanging="567"/>
        <w:rPr>
          <w:rFonts w:asciiTheme="minorHAnsi" w:hAnsiTheme="minorHAnsi" w:cstheme="minorHAnsi"/>
          <w:sz w:val="22"/>
          <w:szCs w:val="22"/>
        </w:rPr>
      </w:pPr>
    </w:p>
    <w:p w14:paraId="3FA6319C" w14:textId="77777777" w:rsidR="001A1C36" w:rsidRDefault="001A1C36" w:rsidP="001B09CF">
      <w:pPr>
        <w:pStyle w:val="NormalWeb"/>
        <w:ind w:left="567" w:hanging="567"/>
        <w:rPr>
          <w:rFonts w:asciiTheme="minorHAnsi" w:hAnsiTheme="minorHAnsi" w:cstheme="minorHAnsi"/>
          <w:sz w:val="22"/>
          <w:szCs w:val="22"/>
        </w:rPr>
      </w:pPr>
      <w:r>
        <w:rPr>
          <w:rFonts w:asciiTheme="minorHAnsi" w:hAnsiTheme="minorHAnsi" w:cstheme="minorHAnsi"/>
          <w:sz w:val="22"/>
          <w:szCs w:val="22"/>
        </w:rPr>
        <w:t xml:space="preserve">South Wales Police </w:t>
      </w:r>
      <w:r w:rsidRPr="00D73BD4">
        <w:rPr>
          <w:rFonts w:asciiTheme="minorHAnsi" w:hAnsiTheme="minorHAnsi" w:cstheme="minorHAnsi"/>
          <w:sz w:val="22"/>
          <w:szCs w:val="22"/>
        </w:rPr>
        <w:t xml:space="preserve">(No date) </w:t>
      </w:r>
      <w:r w:rsidRPr="00D73BD4">
        <w:rPr>
          <w:rFonts w:asciiTheme="minorHAnsi" w:hAnsiTheme="minorHAnsi" w:cstheme="minorHAnsi"/>
          <w:i/>
          <w:iCs/>
          <w:sz w:val="22"/>
          <w:szCs w:val="22"/>
        </w:rPr>
        <w:t>Positive action support | south Wales police</w:t>
      </w:r>
      <w:r w:rsidRPr="00D73BD4">
        <w:rPr>
          <w:rFonts w:asciiTheme="minorHAnsi" w:hAnsiTheme="minorHAnsi" w:cstheme="minorHAnsi"/>
          <w:sz w:val="22"/>
          <w:szCs w:val="22"/>
        </w:rPr>
        <w:t xml:space="preserve">. Available at: https://www.south-wales.police.uk/police-forces/south-wales-police/areas/careers/careers/positive-action/ (Accessed: 16 January 2024). </w:t>
      </w:r>
    </w:p>
    <w:p w14:paraId="109A3A33" w14:textId="77777777" w:rsidR="001A1C36" w:rsidRPr="00D73BD4" w:rsidRDefault="001A1C36" w:rsidP="001B09CF">
      <w:pPr>
        <w:pStyle w:val="NormalWeb"/>
        <w:ind w:left="567" w:hanging="567"/>
        <w:rPr>
          <w:rFonts w:asciiTheme="minorHAnsi" w:hAnsiTheme="minorHAnsi" w:cstheme="minorHAnsi"/>
          <w:sz w:val="22"/>
          <w:szCs w:val="22"/>
        </w:rPr>
      </w:pPr>
    </w:p>
    <w:p w14:paraId="65CA1658" w14:textId="77777777" w:rsidR="001A1C36" w:rsidRDefault="001A1C36" w:rsidP="00D723EB">
      <w:pPr>
        <w:pStyle w:val="NormalWeb"/>
        <w:ind w:left="567" w:hanging="567"/>
        <w:rPr>
          <w:rFonts w:asciiTheme="minorHAnsi" w:hAnsiTheme="minorHAnsi" w:cstheme="minorHAnsi"/>
          <w:sz w:val="22"/>
          <w:szCs w:val="22"/>
        </w:rPr>
      </w:pPr>
      <w:r w:rsidRPr="00D73BD4">
        <w:rPr>
          <w:rFonts w:asciiTheme="minorHAnsi" w:hAnsiTheme="minorHAnsi" w:cstheme="minorHAnsi"/>
          <w:sz w:val="22"/>
          <w:szCs w:val="22"/>
        </w:rPr>
        <w:t xml:space="preserve">Stahl, A. (2023) </w:t>
      </w:r>
      <w:r w:rsidRPr="00D73BD4">
        <w:rPr>
          <w:rFonts w:asciiTheme="minorHAnsi" w:hAnsiTheme="minorHAnsi" w:cstheme="minorHAnsi"/>
          <w:i/>
          <w:iCs/>
          <w:sz w:val="22"/>
          <w:szCs w:val="22"/>
        </w:rPr>
        <w:t>3 benefits of diversity in the workplace</w:t>
      </w:r>
      <w:r w:rsidRPr="00D73BD4">
        <w:rPr>
          <w:rFonts w:asciiTheme="minorHAnsi" w:hAnsiTheme="minorHAnsi" w:cstheme="minorHAnsi"/>
          <w:sz w:val="22"/>
          <w:szCs w:val="22"/>
        </w:rPr>
        <w:t xml:space="preserve">, </w:t>
      </w:r>
      <w:r w:rsidRPr="00D73BD4">
        <w:rPr>
          <w:rFonts w:asciiTheme="minorHAnsi" w:hAnsiTheme="minorHAnsi" w:cstheme="minorHAnsi"/>
          <w:i/>
          <w:iCs/>
          <w:sz w:val="22"/>
          <w:szCs w:val="22"/>
        </w:rPr>
        <w:t>Forbes</w:t>
      </w:r>
      <w:r w:rsidRPr="00D73BD4">
        <w:rPr>
          <w:rFonts w:asciiTheme="minorHAnsi" w:hAnsiTheme="minorHAnsi" w:cstheme="minorHAnsi"/>
          <w:sz w:val="22"/>
          <w:szCs w:val="22"/>
        </w:rPr>
        <w:t xml:space="preserve">. Available at: https://www.forbes.com/sites/ashleystahl/2021/12/17/3-benefits-of-diversity-in-the-workplace/ (Accessed: 16 January 2024). </w:t>
      </w:r>
    </w:p>
    <w:p w14:paraId="24B1FFC9" w14:textId="77777777" w:rsidR="001A1C36" w:rsidRPr="00D73BD4" w:rsidRDefault="001A1C36" w:rsidP="00D723EB">
      <w:pPr>
        <w:pStyle w:val="NormalWeb"/>
        <w:ind w:left="567" w:hanging="567"/>
        <w:rPr>
          <w:rFonts w:asciiTheme="minorHAnsi" w:hAnsiTheme="minorHAnsi" w:cstheme="minorHAnsi"/>
          <w:sz w:val="22"/>
          <w:szCs w:val="22"/>
        </w:rPr>
      </w:pPr>
    </w:p>
    <w:p w14:paraId="14C824A8" w14:textId="77777777" w:rsidR="001A1C36" w:rsidRPr="00D73BD4" w:rsidRDefault="001A1C36" w:rsidP="005C6A3F">
      <w:pPr>
        <w:pStyle w:val="NormalWeb"/>
        <w:ind w:left="567" w:hanging="567"/>
        <w:rPr>
          <w:rFonts w:asciiTheme="minorHAnsi" w:hAnsiTheme="minorHAnsi" w:cstheme="minorHAnsi"/>
          <w:sz w:val="22"/>
          <w:szCs w:val="22"/>
        </w:rPr>
      </w:pPr>
      <w:r w:rsidRPr="00D73BD4">
        <w:rPr>
          <w:rFonts w:asciiTheme="minorHAnsi" w:hAnsiTheme="minorHAnsi" w:cstheme="minorHAnsi"/>
          <w:sz w:val="22"/>
          <w:szCs w:val="22"/>
        </w:rPr>
        <w:t xml:space="preserve">Williams, D.G. (1982) ‘The </w:t>
      </w:r>
      <w:proofErr w:type="spellStart"/>
      <w:r w:rsidRPr="00D73BD4">
        <w:rPr>
          <w:rFonts w:asciiTheme="minorHAnsi" w:hAnsiTheme="minorHAnsi" w:cstheme="minorHAnsi"/>
          <w:sz w:val="22"/>
          <w:szCs w:val="22"/>
        </w:rPr>
        <w:t>brixton</w:t>
      </w:r>
      <w:proofErr w:type="spellEnd"/>
      <w:r w:rsidRPr="00D73BD4">
        <w:rPr>
          <w:rFonts w:asciiTheme="minorHAnsi" w:hAnsiTheme="minorHAnsi" w:cstheme="minorHAnsi"/>
          <w:sz w:val="22"/>
          <w:szCs w:val="22"/>
        </w:rPr>
        <w:t xml:space="preserve"> disorders’, </w:t>
      </w:r>
      <w:r w:rsidRPr="00D73BD4">
        <w:rPr>
          <w:rFonts w:asciiTheme="minorHAnsi" w:hAnsiTheme="minorHAnsi" w:cstheme="minorHAnsi"/>
          <w:i/>
          <w:iCs/>
          <w:sz w:val="22"/>
          <w:szCs w:val="22"/>
        </w:rPr>
        <w:t>The Cambridge Law Journal</w:t>
      </w:r>
      <w:r w:rsidRPr="00D73BD4">
        <w:rPr>
          <w:rFonts w:asciiTheme="minorHAnsi" w:hAnsiTheme="minorHAnsi" w:cstheme="minorHAnsi"/>
          <w:sz w:val="22"/>
          <w:szCs w:val="22"/>
        </w:rPr>
        <w:t xml:space="preserve">, 41(1), pp. 1–6. doi:10.1017/s0008197300107718. </w:t>
      </w:r>
    </w:p>
    <w:p w14:paraId="62E80D49" w14:textId="77777777" w:rsidR="00BB5032" w:rsidRDefault="00BB5032" w:rsidP="00C04A26">
      <w:pPr>
        <w:pStyle w:val="NormalWeb"/>
        <w:ind w:left="567" w:hanging="567"/>
      </w:pPr>
    </w:p>
    <w:p w14:paraId="555BCAC3" w14:textId="77777777" w:rsidR="000C65A3" w:rsidRDefault="000C65A3" w:rsidP="00C04A26">
      <w:pPr>
        <w:pStyle w:val="NormalWeb"/>
        <w:ind w:left="567" w:hanging="567"/>
      </w:pPr>
    </w:p>
    <w:p w14:paraId="35EA98EC" w14:textId="77777777" w:rsidR="000C65A3" w:rsidRDefault="000C65A3" w:rsidP="00C04A26">
      <w:pPr>
        <w:pStyle w:val="NormalWeb"/>
        <w:ind w:left="567" w:hanging="567"/>
      </w:pPr>
    </w:p>
    <w:p w14:paraId="0F4099DC" w14:textId="77777777" w:rsidR="000C65A3" w:rsidRDefault="000C65A3" w:rsidP="00C04A26">
      <w:pPr>
        <w:pStyle w:val="NormalWeb"/>
        <w:ind w:left="567" w:hanging="567"/>
      </w:pPr>
    </w:p>
    <w:p w14:paraId="13D959B2" w14:textId="77777777" w:rsidR="000C65A3" w:rsidRDefault="000C65A3" w:rsidP="00C04A26">
      <w:pPr>
        <w:pStyle w:val="NormalWeb"/>
        <w:ind w:left="567" w:hanging="567"/>
      </w:pPr>
    </w:p>
    <w:p w14:paraId="44B9AF37" w14:textId="77777777" w:rsidR="000C65A3" w:rsidRDefault="000C65A3" w:rsidP="00C04A26">
      <w:pPr>
        <w:pStyle w:val="NormalWeb"/>
        <w:ind w:left="567" w:hanging="567"/>
      </w:pPr>
    </w:p>
    <w:p w14:paraId="2FA792B0" w14:textId="77777777" w:rsidR="000C65A3" w:rsidRDefault="000C65A3" w:rsidP="00C04A26">
      <w:pPr>
        <w:pStyle w:val="NormalWeb"/>
        <w:ind w:left="567" w:hanging="567"/>
      </w:pPr>
    </w:p>
    <w:p w14:paraId="57C95728" w14:textId="77777777" w:rsidR="000C65A3" w:rsidRDefault="000C65A3" w:rsidP="00C04A26">
      <w:pPr>
        <w:pStyle w:val="NormalWeb"/>
        <w:ind w:left="567" w:hanging="567"/>
      </w:pPr>
    </w:p>
    <w:p w14:paraId="2438FD39" w14:textId="77777777" w:rsidR="001A1C36" w:rsidRDefault="001A1C36" w:rsidP="000C65A3">
      <w:pPr>
        <w:rPr>
          <w:rFonts w:cstheme="minorHAnsi"/>
        </w:rPr>
      </w:pPr>
    </w:p>
    <w:p w14:paraId="647D8E95" w14:textId="77777777" w:rsidR="001A1C36" w:rsidRDefault="001A1C36" w:rsidP="000C65A3">
      <w:pPr>
        <w:rPr>
          <w:rFonts w:cstheme="minorHAnsi"/>
        </w:rPr>
      </w:pPr>
    </w:p>
    <w:p w14:paraId="14D7C91D" w14:textId="3957484D" w:rsidR="000C65A3" w:rsidRDefault="000C65A3" w:rsidP="000C65A3">
      <w:pPr>
        <w:rPr>
          <w:rFonts w:cstheme="minorHAnsi"/>
        </w:rPr>
      </w:pPr>
      <w:r w:rsidRPr="009E5BFB">
        <w:rPr>
          <w:rFonts w:cstheme="minorHAnsi"/>
        </w:rPr>
        <w:lastRenderedPageBreak/>
        <w:t xml:space="preserve">Essay two: </w:t>
      </w:r>
    </w:p>
    <w:p w14:paraId="354B2637" w14:textId="77777777" w:rsidR="000C65A3" w:rsidRPr="009E5BFB" w:rsidRDefault="000C65A3" w:rsidP="000C65A3">
      <w:pPr>
        <w:rPr>
          <w:rFonts w:cstheme="minorHAnsi"/>
        </w:rPr>
      </w:pPr>
    </w:p>
    <w:p w14:paraId="1F05ED2A" w14:textId="77777777" w:rsidR="000C65A3" w:rsidRPr="009E5BFB" w:rsidRDefault="000C65A3" w:rsidP="000C65A3">
      <w:pPr>
        <w:rPr>
          <w:rFonts w:cstheme="minorHAnsi"/>
          <w:b/>
          <w:bCs/>
        </w:rPr>
      </w:pPr>
      <w:r w:rsidRPr="009E5BFB">
        <w:rPr>
          <w:rFonts w:cstheme="minorHAnsi"/>
          <w:b/>
          <w:bCs/>
        </w:rPr>
        <w:t xml:space="preserve">Examine the various socio-economic and psychological characteristics which can make people vulnerable to exploitation by criminal gangs. Your answer must be based on academic research. </w:t>
      </w:r>
    </w:p>
    <w:p w14:paraId="41682E4A" w14:textId="77777777" w:rsidR="000C65A3" w:rsidRPr="009E5BFB" w:rsidRDefault="000C65A3" w:rsidP="000C65A3">
      <w:pPr>
        <w:rPr>
          <w:rFonts w:cstheme="minorHAnsi"/>
        </w:rPr>
      </w:pPr>
    </w:p>
    <w:p w14:paraId="54C4920A" w14:textId="77777777" w:rsidR="000C65A3" w:rsidRPr="009E5BFB" w:rsidRDefault="000C65A3" w:rsidP="000C65A3">
      <w:pPr>
        <w:rPr>
          <w:rFonts w:cstheme="minorHAnsi"/>
        </w:rPr>
      </w:pPr>
      <w:r w:rsidRPr="009E5BFB">
        <w:rPr>
          <w:rFonts w:cstheme="minorHAnsi"/>
        </w:rPr>
        <w:t>In this essay I will examine the ways in which criminals, gangs and organised crime groups target and exploit people due to their characteristics. There are multiple reasons and characteristics which can make an individual vulnerable often linked to their socio-economic situation and psychological characteristics and gangs can look to exploit this for their own gain. I will define vulnerability and exploitation and look to understand how individuals can find themselves exposed to these gangs.</w:t>
      </w:r>
    </w:p>
    <w:p w14:paraId="14237C93" w14:textId="77777777" w:rsidR="000C65A3" w:rsidRPr="009E5BFB" w:rsidRDefault="000C65A3" w:rsidP="000C65A3">
      <w:pPr>
        <w:rPr>
          <w:rFonts w:cstheme="minorHAnsi"/>
        </w:rPr>
      </w:pPr>
    </w:p>
    <w:p w14:paraId="306EDF4E" w14:textId="77777777" w:rsidR="000C65A3" w:rsidRPr="009E5BFB" w:rsidRDefault="000C65A3" w:rsidP="000C65A3">
      <w:pPr>
        <w:rPr>
          <w:rFonts w:cstheme="minorHAnsi"/>
        </w:rPr>
      </w:pPr>
      <w:r w:rsidRPr="009E5BFB">
        <w:rPr>
          <w:rFonts w:cstheme="minorHAnsi"/>
        </w:rPr>
        <w:t xml:space="preserve">Vulnerability is term which is widely used in policing. Blackstone’s policing handbook states that vulnerable people include those with a mental health condition, may have difficulty communicating effectively, prone to confusion and readily agree to suggestions without protest. (2022) This shows that under the broad definition of ‘vulnerability’ are characteristics that may appear to criminal gangs as an opportunity to exploit. </w:t>
      </w:r>
    </w:p>
    <w:p w14:paraId="28798D40" w14:textId="77777777" w:rsidR="000C65A3" w:rsidRPr="009E5BFB" w:rsidRDefault="000C65A3" w:rsidP="000C65A3">
      <w:pPr>
        <w:rPr>
          <w:rFonts w:cstheme="minorHAnsi"/>
        </w:rPr>
      </w:pPr>
    </w:p>
    <w:p w14:paraId="5A2CA8E4" w14:textId="77777777" w:rsidR="000C65A3" w:rsidRPr="009E5BFB" w:rsidRDefault="000C65A3" w:rsidP="000C65A3">
      <w:pPr>
        <w:rPr>
          <w:rFonts w:cstheme="minorHAnsi"/>
        </w:rPr>
      </w:pPr>
      <w:r w:rsidRPr="009E5BFB">
        <w:rPr>
          <w:rFonts w:cstheme="minorHAnsi"/>
        </w:rPr>
        <w:t xml:space="preserve">There are various socio-economic factors that can make a person vulnerable to being exploited by criminal gangs. A study by Annan et al (2021) looked at the reasons in which young people get involved in street gangs, and one of the reasons was community deprivation. The participants believed that young people turned to crime due to lack of income, to earn money. This study went further to suggest that due to the potential earnings in drug dealing, for those of poor socio-economic backgrounds its seen as a legitimate way to make money. Money being a vital factor in any person’s life, a lack of, or a lack of opportunity to make money legally has collated with an increase in crime rates (TARLING, R. and DENNIS, R. (2016)). Pratt and Culled (2005) also found poverty to be a factor in persons turning to crime. This shows that a person’s economic status, or lack of, may make crime an attractive means of making money, and therefore a potential target for criminal gangs to exploit. </w:t>
      </w:r>
    </w:p>
    <w:p w14:paraId="7E580818" w14:textId="77777777" w:rsidR="000C65A3" w:rsidRPr="009E5BFB" w:rsidRDefault="000C65A3" w:rsidP="000C65A3">
      <w:pPr>
        <w:rPr>
          <w:rFonts w:cstheme="minorHAnsi"/>
        </w:rPr>
      </w:pPr>
    </w:p>
    <w:p w14:paraId="123B75AF" w14:textId="77777777" w:rsidR="000C65A3" w:rsidRPr="009E5BFB" w:rsidRDefault="000C65A3" w:rsidP="000C65A3">
      <w:pPr>
        <w:rPr>
          <w:rFonts w:cstheme="minorHAnsi"/>
        </w:rPr>
      </w:pPr>
      <w:r w:rsidRPr="009E5BFB">
        <w:rPr>
          <w:rFonts w:cstheme="minorHAnsi"/>
        </w:rPr>
        <w:t xml:space="preserve">Family and an individual’s social network are another socio-economic factor which can make an individual susceptible to be targeted and exploited by a criminal gang. A paper by Ashton and </w:t>
      </w:r>
      <w:proofErr w:type="spellStart"/>
      <w:r w:rsidRPr="009E5BFB">
        <w:rPr>
          <w:rFonts w:cstheme="minorHAnsi"/>
        </w:rPr>
        <w:t>Bussu</w:t>
      </w:r>
      <w:proofErr w:type="spellEnd"/>
      <w:r w:rsidRPr="009E5BFB">
        <w:rPr>
          <w:rFonts w:cstheme="minorHAnsi"/>
        </w:rPr>
        <w:t xml:space="preserve"> (2020) states that family are a risk factor to participation in gang crime, along with an individual having been exposed to adverse childhood experiences (ACE’s).  The charity Young Minds (no date) defines an adverse childhood experience as a “highly</w:t>
      </w:r>
      <w:r w:rsidRPr="009E5BFB">
        <w:rPr>
          <w:rFonts w:cstheme="minorHAnsi"/>
          <w:shd w:val="clear" w:color="auto" w:fill="FFFFFF"/>
        </w:rPr>
        <w:t xml:space="preserve"> stressful and potentially traumatic events or situations that occur during childhood and/or adolescence”. The presence of ACEs amongst an individual could therefore make a person vulnerable to exploitation. </w:t>
      </w:r>
      <w:r w:rsidRPr="009E5BFB">
        <w:rPr>
          <w:rFonts w:cstheme="minorHAnsi"/>
        </w:rPr>
        <w:t xml:space="preserve">Barra et al., (2022) also state that not only are ACEs common amongst young offenders, but they are also an indicator of reoffending.  The study by Annan et al (2021) also found that participants cited lack of family support and supervision as a reason young people became involved in gangs. It states that without parental support with school money or general life, it makes them vulnerable to turn to criminal activity. This would appear to be attractive for criminal gangs to exploit, as with little supervision and gangs could attract members as they may create a feeling of belonging to something whilst earning money. </w:t>
      </w:r>
    </w:p>
    <w:p w14:paraId="0E1E82E2" w14:textId="77777777" w:rsidR="000C65A3" w:rsidRPr="009E5BFB" w:rsidRDefault="000C65A3" w:rsidP="000C65A3">
      <w:pPr>
        <w:rPr>
          <w:rFonts w:cstheme="minorHAnsi"/>
        </w:rPr>
      </w:pPr>
    </w:p>
    <w:p w14:paraId="438FD671" w14:textId="77777777" w:rsidR="000C65A3" w:rsidRPr="009E5BFB" w:rsidRDefault="000C65A3" w:rsidP="000C65A3">
      <w:pPr>
        <w:rPr>
          <w:rFonts w:cstheme="minorHAnsi"/>
        </w:rPr>
      </w:pPr>
      <w:r w:rsidRPr="009E5BFB">
        <w:rPr>
          <w:rFonts w:cstheme="minorHAnsi"/>
        </w:rPr>
        <w:t xml:space="preserve">Another characteristic that may make a person susceptible to exploitation is age, or more specifically, lack of it. Criminal gangs, specifically organized crime groups target younger people to carry out acts for them (Ashton &amp; </w:t>
      </w:r>
      <w:proofErr w:type="spellStart"/>
      <w:r w:rsidRPr="009E5BFB">
        <w:rPr>
          <w:rFonts w:cstheme="minorHAnsi"/>
        </w:rPr>
        <w:t>Bussu</w:t>
      </w:r>
      <w:proofErr w:type="spellEnd"/>
      <w:r w:rsidRPr="009E5BFB">
        <w:rPr>
          <w:rFonts w:cstheme="minorHAnsi"/>
        </w:rPr>
        <w:t xml:space="preserve">, 2020). This study by Ashton and </w:t>
      </w:r>
      <w:proofErr w:type="spellStart"/>
      <w:r w:rsidRPr="009E5BFB">
        <w:rPr>
          <w:rFonts w:cstheme="minorHAnsi"/>
        </w:rPr>
        <w:t>Bussu</w:t>
      </w:r>
      <w:proofErr w:type="spellEnd"/>
      <w:r w:rsidRPr="009E5BFB">
        <w:rPr>
          <w:rFonts w:cstheme="minorHAnsi"/>
        </w:rPr>
        <w:t xml:space="preserve"> (2020) found that members of organised crime groups would spot vulnerability and lure them into the group by using the promise of gifts and money. Participants would reference that </w:t>
      </w:r>
      <w:proofErr w:type="spellStart"/>
      <w:r w:rsidRPr="009E5BFB">
        <w:rPr>
          <w:rFonts w:cstheme="minorHAnsi"/>
        </w:rPr>
        <w:t>hey</w:t>
      </w:r>
      <w:proofErr w:type="spellEnd"/>
      <w:r w:rsidRPr="009E5BFB">
        <w:rPr>
          <w:rFonts w:cstheme="minorHAnsi"/>
        </w:rPr>
        <w:t xml:space="preserve"> were groomed. It is worth considering there are potentially other factors linking to this vulnerability here, as along with age potentially making a person susceptible, one participant referenced needing to fund their drug use (Ashton &amp; </w:t>
      </w:r>
      <w:proofErr w:type="spellStart"/>
      <w:r w:rsidRPr="009E5BFB">
        <w:rPr>
          <w:rFonts w:cstheme="minorHAnsi"/>
        </w:rPr>
        <w:t>Bussu</w:t>
      </w:r>
      <w:proofErr w:type="spellEnd"/>
      <w:r w:rsidRPr="009E5BFB">
        <w:rPr>
          <w:rFonts w:cstheme="minorHAnsi"/>
        </w:rPr>
        <w:t xml:space="preserve">, 2020). </w:t>
      </w:r>
    </w:p>
    <w:p w14:paraId="00228BB0" w14:textId="77777777" w:rsidR="000C65A3" w:rsidRPr="009E5BFB" w:rsidRDefault="000C65A3" w:rsidP="000C65A3">
      <w:pPr>
        <w:rPr>
          <w:rFonts w:cstheme="minorHAnsi"/>
        </w:rPr>
      </w:pPr>
    </w:p>
    <w:p w14:paraId="4855A239" w14:textId="77777777" w:rsidR="000C65A3" w:rsidRPr="009E5BFB" w:rsidRDefault="000C65A3" w:rsidP="000C65A3">
      <w:pPr>
        <w:rPr>
          <w:rFonts w:cstheme="minorHAnsi"/>
        </w:rPr>
      </w:pPr>
      <w:r w:rsidRPr="009E5BFB">
        <w:rPr>
          <w:rFonts w:cstheme="minorHAnsi"/>
        </w:rPr>
        <w:t xml:space="preserve">Furthermore, young persons can become vulnerable to exploitation and are targeted by members of county lines drug gangs with the lure of money, gifts, and the belonging of being a part of a gang and believing they can achieve ‘success’ by making reasonable sums of money despite potentially coming from disadvantaged backgrounds (Robinson et al., 2018). The desire of young person’s wanting to make money despite knowing that it is illegal suggests to me that naivety and desperation are factors here, and crime groups can target this and fill the void among these young persons that may be left by poor family relations and life prospects. </w:t>
      </w:r>
    </w:p>
    <w:p w14:paraId="183D42E5" w14:textId="77777777" w:rsidR="000C65A3" w:rsidRPr="009E5BFB" w:rsidRDefault="000C65A3" w:rsidP="000C65A3">
      <w:pPr>
        <w:rPr>
          <w:rFonts w:cstheme="minorHAnsi"/>
        </w:rPr>
      </w:pPr>
    </w:p>
    <w:p w14:paraId="013C196C" w14:textId="77777777" w:rsidR="000C65A3" w:rsidRPr="009E5BFB" w:rsidRDefault="000C65A3" w:rsidP="000C65A3">
      <w:pPr>
        <w:rPr>
          <w:rFonts w:cstheme="minorHAnsi"/>
        </w:rPr>
      </w:pPr>
      <w:r w:rsidRPr="009E5BFB">
        <w:rPr>
          <w:rFonts w:cstheme="minorHAnsi"/>
        </w:rPr>
        <w:t xml:space="preserve">Another socio-economic factor of drug use making a person vulnerable to exploitation is an individual’s drug use. In a study by Robinson et al (2018), it was found that many of the persons involved in criminality for a gang were also drug users themselves and would be used by the gangs to work for them to pay of drug debts they had. This vulnerability of drug use being targeted is further emphasized by Spicer et al. (2019) who state that due to some drug addicts’ habit, despite not wanting to be facilitating drug gangs, did so to have a reliable source of drugs to use themselves. This would appear to show that criminal gangs specifically drug gangs involved in county lines are aware that the nature of drug addiction is a perfect situation on which to exploit. </w:t>
      </w:r>
    </w:p>
    <w:p w14:paraId="79A7E99F" w14:textId="77777777" w:rsidR="000C65A3" w:rsidRPr="009E5BFB" w:rsidRDefault="000C65A3" w:rsidP="000C65A3">
      <w:pPr>
        <w:rPr>
          <w:rFonts w:cstheme="minorHAnsi"/>
        </w:rPr>
      </w:pPr>
    </w:p>
    <w:p w14:paraId="39BA6B1B" w14:textId="77777777" w:rsidR="000C65A3" w:rsidRPr="009E5BFB" w:rsidRDefault="000C65A3" w:rsidP="000C65A3">
      <w:pPr>
        <w:rPr>
          <w:rFonts w:cstheme="minorHAnsi"/>
        </w:rPr>
      </w:pPr>
      <w:r w:rsidRPr="009E5BFB">
        <w:rPr>
          <w:rFonts w:cstheme="minorHAnsi"/>
        </w:rPr>
        <w:t xml:space="preserve">There are also mental characteristics that can make a person a target for exploitation. Spicer et al (2019) found that crime groups would target persons with mental health issues and use his property as a base for illegal activity. Mental incompetence was found to be a risk factor is exposure to criminal exploitation (Wilson et al. (1996). This would suggest crime groups find they can assert influence more easy over persons suffering mentally and use their presence to intimidate them to assist in their criminal activities. </w:t>
      </w:r>
    </w:p>
    <w:p w14:paraId="3FABB0DE" w14:textId="77777777" w:rsidR="000C65A3" w:rsidRPr="009E5BFB" w:rsidRDefault="000C65A3" w:rsidP="000C65A3">
      <w:pPr>
        <w:rPr>
          <w:rFonts w:cstheme="minorHAnsi"/>
          <w:color w:val="70AD47" w:themeColor="accent6"/>
        </w:rPr>
      </w:pPr>
    </w:p>
    <w:p w14:paraId="38AD081F" w14:textId="77777777" w:rsidR="000C65A3" w:rsidRPr="009E5BFB" w:rsidRDefault="000C65A3" w:rsidP="000C65A3">
      <w:pPr>
        <w:rPr>
          <w:rFonts w:cstheme="minorHAnsi"/>
        </w:rPr>
      </w:pPr>
      <w:r w:rsidRPr="009E5BFB">
        <w:rPr>
          <w:rFonts w:cstheme="minorHAnsi"/>
        </w:rPr>
        <w:t xml:space="preserve">From my research and reading various academic papers and studies it is clear to me there are many characteristics that criminal groups can look to exploit. It is therefore important that public services are aware of this to effectively safeguard persons at risk and use this knowledge to disrupt these crime groups. </w:t>
      </w:r>
    </w:p>
    <w:p w14:paraId="611D4E13" w14:textId="77777777" w:rsidR="000C65A3" w:rsidRDefault="000C65A3" w:rsidP="000C65A3">
      <w:pPr>
        <w:rPr>
          <w:rFonts w:cstheme="minorHAnsi"/>
          <w:color w:val="70AD47" w:themeColor="accent6"/>
        </w:rPr>
      </w:pPr>
    </w:p>
    <w:p w14:paraId="3C490D50" w14:textId="77777777" w:rsidR="000C65A3" w:rsidRPr="009E5BFB" w:rsidRDefault="000C65A3" w:rsidP="000C65A3">
      <w:pPr>
        <w:rPr>
          <w:rFonts w:cstheme="minorHAnsi"/>
        </w:rPr>
      </w:pPr>
      <w:r w:rsidRPr="009E5BFB">
        <w:rPr>
          <w:rFonts w:cstheme="minorHAnsi"/>
        </w:rPr>
        <w:t>Word Count: 1002</w:t>
      </w:r>
    </w:p>
    <w:p w14:paraId="515C4B07" w14:textId="77777777" w:rsidR="00F30FC9" w:rsidRDefault="00F30FC9" w:rsidP="000C65A3">
      <w:pPr>
        <w:rPr>
          <w:rFonts w:cstheme="minorHAnsi"/>
        </w:rPr>
      </w:pPr>
    </w:p>
    <w:p w14:paraId="158C3554" w14:textId="3E5B586E" w:rsidR="000C65A3" w:rsidRDefault="000C65A3" w:rsidP="000C65A3">
      <w:pPr>
        <w:rPr>
          <w:rFonts w:cstheme="minorHAnsi"/>
        </w:rPr>
      </w:pPr>
      <w:r w:rsidRPr="009E5BFB">
        <w:rPr>
          <w:rFonts w:cstheme="minorHAnsi"/>
        </w:rPr>
        <w:lastRenderedPageBreak/>
        <w:t>References:</w:t>
      </w:r>
    </w:p>
    <w:p w14:paraId="6F5760DD" w14:textId="77777777" w:rsidR="001A1C36" w:rsidRPr="009E5BFB" w:rsidRDefault="001A1C36" w:rsidP="000C65A3">
      <w:pPr>
        <w:rPr>
          <w:rFonts w:cstheme="minorHAnsi"/>
        </w:rPr>
      </w:pPr>
    </w:p>
    <w:p w14:paraId="062BF068" w14:textId="77777777" w:rsidR="001A1C36" w:rsidRDefault="001A1C36" w:rsidP="000C65A3">
      <w:pPr>
        <w:pStyle w:val="NormalWeb"/>
        <w:ind w:left="567" w:hanging="567"/>
        <w:rPr>
          <w:rFonts w:asciiTheme="minorHAnsi" w:hAnsiTheme="minorHAnsi" w:cstheme="minorHAnsi"/>
          <w:sz w:val="22"/>
          <w:szCs w:val="22"/>
        </w:rPr>
      </w:pPr>
      <w:r w:rsidRPr="009E5BFB">
        <w:rPr>
          <w:rFonts w:asciiTheme="minorHAnsi" w:hAnsiTheme="minorHAnsi" w:cstheme="minorHAnsi"/>
          <w:sz w:val="22"/>
          <w:szCs w:val="22"/>
        </w:rPr>
        <w:t xml:space="preserve">Annan, L.G. </w:t>
      </w:r>
      <w:r w:rsidRPr="009E5BFB">
        <w:rPr>
          <w:rFonts w:asciiTheme="minorHAnsi" w:hAnsiTheme="minorHAnsi" w:cstheme="minorHAnsi"/>
          <w:i/>
          <w:iCs/>
          <w:sz w:val="22"/>
          <w:szCs w:val="22"/>
        </w:rPr>
        <w:t>et al.</w:t>
      </w:r>
      <w:r w:rsidRPr="009E5BFB">
        <w:rPr>
          <w:rFonts w:asciiTheme="minorHAnsi" w:hAnsiTheme="minorHAnsi" w:cstheme="minorHAnsi"/>
          <w:sz w:val="22"/>
          <w:szCs w:val="22"/>
        </w:rPr>
        <w:t xml:space="preserve"> (2021) ‘What makes young people get involved with street gangs in London? A study of the perceived risk factors’, </w:t>
      </w:r>
      <w:r w:rsidRPr="009E5BFB">
        <w:rPr>
          <w:rFonts w:asciiTheme="minorHAnsi" w:hAnsiTheme="minorHAnsi" w:cstheme="minorHAnsi"/>
          <w:i/>
          <w:iCs/>
          <w:sz w:val="22"/>
          <w:szCs w:val="22"/>
        </w:rPr>
        <w:t>Journal of Community Psychology</w:t>
      </w:r>
      <w:r w:rsidRPr="009E5BFB">
        <w:rPr>
          <w:rFonts w:asciiTheme="minorHAnsi" w:hAnsiTheme="minorHAnsi" w:cstheme="minorHAnsi"/>
          <w:sz w:val="22"/>
          <w:szCs w:val="22"/>
        </w:rPr>
        <w:t xml:space="preserve">, 50(5), pp. 2198–2213. doi:10.1002/jcop.22767. </w:t>
      </w:r>
    </w:p>
    <w:p w14:paraId="3FECD482" w14:textId="77777777" w:rsidR="001A1C36" w:rsidRPr="009E5BFB" w:rsidRDefault="001A1C36" w:rsidP="000C65A3">
      <w:pPr>
        <w:pStyle w:val="NormalWeb"/>
        <w:ind w:left="567" w:hanging="567"/>
        <w:rPr>
          <w:rFonts w:asciiTheme="minorHAnsi" w:hAnsiTheme="minorHAnsi" w:cstheme="minorHAnsi"/>
          <w:sz w:val="22"/>
          <w:szCs w:val="22"/>
        </w:rPr>
      </w:pPr>
    </w:p>
    <w:p w14:paraId="5EB26B78" w14:textId="77777777" w:rsidR="001A1C36" w:rsidRDefault="001A1C36" w:rsidP="000C65A3">
      <w:pPr>
        <w:pStyle w:val="NormalWeb"/>
        <w:ind w:left="567" w:hanging="567"/>
        <w:rPr>
          <w:rFonts w:asciiTheme="minorHAnsi" w:hAnsiTheme="minorHAnsi" w:cstheme="minorHAnsi"/>
          <w:sz w:val="22"/>
          <w:szCs w:val="22"/>
        </w:rPr>
      </w:pPr>
      <w:r w:rsidRPr="009E5BFB">
        <w:rPr>
          <w:rFonts w:asciiTheme="minorHAnsi" w:hAnsiTheme="minorHAnsi" w:cstheme="minorHAnsi"/>
          <w:sz w:val="22"/>
          <w:szCs w:val="22"/>
        </w:rPr>
        <w:t xml:space="preserve">Ashton, S.-A. and </w:t>
      </w:r>
      <w:proofErr w:type="spellStart"/>
      <w:r w:rsidRPr="009E5BFB">
        <w:rPr>
          <w:rFonts w:asciiTheme="minorHAnsi" w:hAnsiTheme="minorHAnsi" w:cstheme="minorHAnsi"/>
          <w:sz w:val="22"/>
          <w:szCs w:val="22"/>
        </w:rPr>
        <w:t>Bussu</w:t>
      </w:r>
      <w:proofErr w:type="spellEnd"/>
      <w:r w:rsidRPr="009E5BFB">
        <w:rPr>
          <w:rFonts w:asciiTheme="minorHAnsi" w:hAnsiTheme="minorHAnsi" w:cstheme="minorHAnsi"/>
          <w:sz w:val="22"/>
          <w:szCs w:val="22"/>
        </w:rPr>
        <w:t xml:space="preserve">, A. (2020) ‘Peer groups, street gangs and organised crime in the narratives of adolescent male offenders’, </w:t>
      </w:r>
      <w:r w:rsidRPr="009E5BFB">
        <w:rPr>
          <w:rFonts w:asciiTheme="minorHAnsi" w:hAnsiTheme="minorHAnsi" w:cstheme="minorHAnsi"/>
          <w:i/>
          <w:iCs/>
          <w:sz w:val="22"/>
          <w:szCs w:val="22"/>
        </w:rPr>
        <w:t>Journal of Criminal Psychology</w:t>
      </w:r>
      <w:r w:rsidRPr="009E5BFB">
        <w:rPr>
          <w:rFonts w:asciiTheme="minorHAnsi" w:hAnsiTheme="minorHAnsi" w:cstheme="minorHAnsi"/>
          <w:sz w:val="22"/>
          <w:szCs w:val="22"/>
        </w:rPr>
        <w:t xml:space="preserve">, 10(4), pp. 277–292. doi:10.1108/jcp-06-2020-0020. </w:t>
      </w:r>
    </w:p>
    <w:p w14:paraId="75B50BEF" w14:textId="77777777" w:rsidR="001A1C36" w:rsidRPr="009E5BFB" w:rsidRDefault="001A1C36" w:rsidP="000C65A3">
      <w:pPr>
        <w:pStyle w:val="NormalWeb"/>
        <w:ind w:left="567" w:hanging="567"/>
        <w:rPr>
          <w:rFonts w:asciiTheme="minorHAnsi" w:hAnsiTheme="minorHAnsi" w:cstheme="minorHAnsi"/>
          <w:sz w:val="22"/>
          <w:szCs w:val="22"/>
        </w:rPr>
      </w:pPr>
    </w:p>
    <w:p w14:paraId="7DD1C271" w14:textId="77777777" w:rsidR="001A1C36" w:rsidRDefault="001A1C36" w:rsidP="000C65A3">
      <w:pPr>
        <w:pStyle w:val="NormalWeb"/>
        <w:ind w:left="567" w:hanging="567"/>
        <w:rPr>
          <w:rFonts w:asciiTheme="minorHAnsi" w:hAnsiTheme="minorHAnsi" w:cstheme="minorHAnsi"/>
          <w:sz w:val="22"/>
          <w:szCs w:val="22"/>
        </w:rPr>
      </w:pPr>
      <w:r w:rsidRPr="009E5BFB">
        <w:rPr>
          <w:rFonts w:asciiTheme="minorHAnsi" w:hAnsiTheme="minorHAnsi" w:cstheme="minorHAnsi"/>
          <w:sz w:val="22"/>
          <w:szCs w:val="22"/>
        </w:rPr>
        <w:t xml:space="preserve">Barra, S. </w:t>
      </w:r>
      <w:r w:rsidRPr="009E5BFB">
        <w:rPr>
          <w:rFonts w:asciiTheme="minorHAnsi" w:hAnsiTheme="minorHAnsi" w:cstheme="minorHAnsi"/>
          <w:i/>
          <w:iCs/>
          <w:sz w:val="22"/>
          <w:szCs w:val="22"/>
        </w:rPr>
        <w:t>et al.</w:t>
      </w:r>
      <w:r w:rsidRPr="009E5BFB">
        <w:rPr>
          <w:rFonts w:asciiTheme="minorHAnsi" w:hAnsiTheme="minorHAnsi" w:cstheme="minorHAnsi"/>
          <w:sz w:val="22"/>
          <w:szCs w:val="22"/>
        </w:rPr>
        <w:t xml:space="preserve"> (2022) ‘Adverse childhood experiences, personality, and crime: Distinct associations among a high-risk sample of institutionalized youth’, </w:t>
      </w:r>
      <w:r w:rsidRPr="009E5BFB">
        <w:rPr>
          <w:rFonts w:asciiTheme="minorHAnsi" w:hAnsiTheme="minorHAnsi" w:cstheme="minorHAnsi"/>
          <w:i/>
          <w:iCs/>
          <w:sz w:val="22"/>
          <w:szCs w:val="22"/>
        </w:rPr>
        <w:t>International Journal of Environmental Research and Public Health</w:t>
      </w:r>
      <w:r w:rsidRPr="009E5BFB">
        <w:rPr>
          <w:rFonts w:asciiTheme="minorHAnsi" w:hAnsiTheme="minorHAnsi" w:cstheme="minorHAnsi"/>
          <w:sz w:val="22"/>
          <w:szCs w:val="22"/>
        </w:rPr>
        <w:t xml:space="preserve">, 19(3), p. 1227. doi:10.3390/ijerph19031227. </w:t>
      </w:r>
    </w:p>
    <w:p w14:paraId="031779AD" w14:textId="77777777" w:rsidR="001A1C36" w:rsidRPr="009E5BFB" w:rsidRDefault="001A1C36" w:rsidP="000C65A3">
      <w:pPr>
        <w:pStyle w:val="NormalWeb"/>
        <w:ind w:left="567" w:hanging="567"/>
        <w:rPr>
          <w:rFonts w:asciiTheme="minorHAnsi" w:hAnsiTheme="minorHAnsi" w:cstheme="minorHAnsi"/>
          <w:sz w:val="22"/>
          <w:szCs w:val="22"/>
        </w:rPr>
      </w:pPr>
    </w:p>
    <w:p w14:paraId="731D5FCF" w14:textId="77777777" w:rsidR="001A1C36" w:rsidRDefault="001A1C36" w:rsidP="000C65A3">
      <w:pPr>
        <w:pStyle w:val="NormalWeb"/>
        <w:ind w:left="567" w:hanging="567"/>
        <w:rPr>
          <w:rFonts w:asciiTheme="minorHAnsi" w:hAnsiTheme="minorHAnsi" w:cstheme="minorHAnsi"/>
          <w:sz w:val="22"/>
          <w:szCs w:val="22"/>
        </w:rPr>
      </w:pPr>
      <w:r w:rsidRPr="009E5BFB">
        <w:rPr>
          <w:rFonts w:asciiTheme="minorHAnsi" w:hAnsiTheme="minorHAnsi" w:cstheme="minorHAnsi"/>
          <w:sz w:val="22"/>
          <w:szCs w:val="22"/>
        </w:rPr>
        <w:t xml:space="preserve">Pratt, T.C. and Cullen, F.T. (2005) ‘Assessing macro-level predictors and theories of crime: A meta-analysis’, </w:t>
      </w:r>
      <w:r w:rsidRPr="009E5BFB">
        <w:rPr>
          <w:rFonts w:asciiTheme="minorHAnsi" w:hAnsiTheme="minorHAnsi" w:cstheme="minorHAnsi"/>
          <w:i/>
          <w:iCs/>
          <w:sz w:val="22"/>
          <w:szCs w:val="22"/>
        </w:rPr>
        <w:t>Crime and Justice</w:t>
      </w:r>
      <w:r w:rsidRPr="009E5BFB">
        <w:rPr>
          <w:rFonts w:asciiTheme="minorHAnsi" w:hAnsiTheme="minorHAnsi" w:cstheme="minorHAnsi"/>
          <w:sz w:val="22"/>
          <w:szCs w:val="22"/>
        </w:rPr>
        <w:t xml:space="preserve">, 32, pp. 373–450. doi:10.1086/655357. </w:t>
      </w:r>
    </w:p>
    <w:p w14:paraId="3A799BC9" w14:textId="77777777" w:rsidR="001A1C36" w:rsidRPr="009E5BFB" w:rsidRDefault="001A1C36" w:rsidP="000C65A3">
      <w:pPr>
        <w:pStyle w:val="NormalWeb"/>
        <w:ind w:left="567" w:hanging="567"/>
        <w:rPr>
          <w:rFonts w:asciiTheme="minorHAnsi" w:hAnsiTheme="minorHAnsi" w:cstheme="minorHAnsi"/>
          <w:sz w:val="22"/>
          <w:szCs w:val="22"/>
        </w:rPr>
      </w:pPr>
    </w:p>
    <w:p w14:paraId="325AFF63" w14:textId="77777777" w:rsidR="001A1C36" w:rsidRDefault="001A1C36" w:rsidP="001A1C36">
      <w:pPr>
        <w:pStyle w:val="NormalWeb"/>
        <w:ind w:left="720" w:hanging="720"/>
        <w:rPr>
          <w:rFonts w:asciiTheme="minorHAnsi" w:hAnsiTheme="minorHAnsi" w:cstheme="minorHAnsi"/>
          <w:sz w:val="22"/>
          <w:szCs w:val="22"/>
        </w:rPr>
      </w:pPr>
      <w:r w:rsidRPr="009E5BFB">
        <w:rPr>
          <w:rFonts w:asciiTheme="minorHAnsi" w:hAnsiTheme="minorHAnsi" w:cstheme="minorHAnsi"/>
          <w:sz w:val="22"/>
          <w:szCs w:val="22"/>
        </w:rPr>
        <w:t xml:space="preserve">Robinson, G., McLean, R. and Densley, J. (2018) ‘Working County Lines: Child criminal exploitation and illicit drug dealing in Glasgow and Merseyside’, </w:t>
      </w:r>
      <w:r w:rsidRPr="009E5BFB">
        <w:rPr>
          <w:rFonts w:asciiTheme="minorHAnsi" w:hAnsiTheme="minorHAnsi" w:cstheme="minorHAnsi"/>
          <w:i/>
          <w:iCs/>
          <w:sz w:val="22"/>
          <w:szCs w:val="22"/>
        </w:rPr>
        <w:t>International Journal of Offender Therapy and Comparative Criminology</w:t>
      </w:r>
      <w:r w:rsidRPr="009E5BFB">
        <w:rPr>
          <w:rFonts w:asciiTheme="minorHAnsi" w:hAnsiTheme="minorHAnsi" w:cstheme="minorHAnsi"/>
          <w:sz w:val="22"/>
          <w:szCs w:val="22"/>
        </w:rPr>
        <w:t xml:space="preserve">, 63(5), pp. 694–711. doi:10.1177/0306624x18806742.    </w:t>
      </w:r>
    </w:p>
    <w:p w14:paraId="48F184A8" w14:textId="665A5425" w:rsidR="001A1C36" w:rsidRPr="009E5BFB" w:rsidRDefault="001A1C36" w:rsidP="001A1C36">
      <w:pPr>
        <w:pStyle w:val="NormalWeb"/>
        <w:ind w:left="720" w:hanging="720"/>
        <w:rPr>
          <w:rFonts w:asciiTheme="minorHAnsi" w:hAnsiTheme="minorHAnsi" w:cstheme="minorHAnsi"/>
          <w:sz w:val="22"/>
          <w:szCs w:val="22"/>
        </w:rPr>
      </w:pPr>
      <w:r w:rsidRPr="009E5BFB">
        <w:rPr>
          <w:rFonts w:asciiTheme="minorHAnsi" w:hAnsiTheme="minorHAnsi" w:cstheme="minorHAnsi"/>
          <w:sz w:val="22"/>
          <w:szCs w:val="22"/>
        </w:rPr>
        <w:t xml:space="preserve">      </w:t>
      </w:r>
    </w:p>
    <w:p w14:paraId="054BE428" w14:textId="77777777" w:rsidR="001A1C36" w:rsidRDefault="001A1C36" w:rsidP="000C65A3">
      <w:pPr>
        <w:pStyle w:val="NormalWeb"/>
        <w:ind w:left="567" w:hanging="567"/>
        <w:rPr>
          <w:rFonts w:asciiTheme="minorHAnsi" w:hAnsiTheme="minorHAnsi" w:cstheme="minorHAnsi"/>
          <w:sz w:val="22"/>
          <w:szCs w:val="22"/>
        </w:rPr>
      </w:pPr>
      <w:r w:rsidRPr="009E5BFB">
        <w:rPr>
          <w:rFonts w:asciiTheme="minorHAnsi" w:hAnsiTheme="minorHAnsi" w:cstheme="minorHAnsi"/>
          <w:sz w:val="22"/>
          <w:szCs w:val="22"/>
        </w:rPr>
        <w:t xml:space="preserve">Spicer, J., Moyle, L. and Coomber, R. (2019) ‘The variable and evolving nature of “cuckooing” as a form of criminal exploitation in street level drug markets’, </w:t>
      </w:r>
      <w:r w:rsidRPr="009E5BFB">
        <w:rPr>
          <w:rFonts w:asciiTheme="minorHAnsi" w:hAnsiTheme="minorHAnsi" w:cstheme="minorHAnsi"/>
          <w:i/>
          <w:iCs/>
          <w:sz w:val="22"/>
          <w:szCs w:val="22"/>
        </w:rPr>
        <w:t>Trends in Organized Crime</w:t>
      </w:r>
      <w:r w:rsidRPr="009E5BFB">
        <w:rPr>
          <w:rFonts w:asciiTheme="minorHAnsi" w:hAnsiTheme="minorHAnsi" w:cstheme="minorHAnsi"/>
          <w:sz w:val="22"/>
          <w:szCs w:val="22"/>
        </w:rPr>
        <w:t xml:space="preserve">, 23(4), pp. 301–323. doi:10.1007/s12117-019-09368-5. </w:t>
      </w:r>
    </w:p>
    <w:p w14:paraId="747AEFA1" w14:textId="68043AAD" w:rsidR="001A1C36" w:rsidRPr="009E5BFB" w:rsidRDefault="001A1C36" w:rsidP="000C65A3">
      <w:pPr>
        <w:pStyle w:val="NormalWeb"/>
        <w:ind w:left="567" w:hanging="567"/>
        <w:rPr>
          <w:rFonts w:asciiTheme="minorHAnsi" w:hAnsiTheme="minorHAnsi" w:cstheme="minorHAnsi"/>
          <w:sz w:val="22"/>
          <w:szCs w:val="22"/>
        </w:rPr>
      </w:pPr>
      <w:r w:rsidRPr="009E5BFB">
        <w:rPr>
          <w:rFonts w:asciiTheme="minorHAnsi" w:hAnsiTheme="minorHAnsi" w:cstheme="minorHAnsi"/>
          <w:sz w:val="22"/>
          <w:szCs w:val="22"/>
        </w:rPr>
        <w:t xml:space="preserve">     </w:t>
      </w:r>
    </w:p>
    <w:p w14:paraId="2B47E216" w14:textId="77777777" w:rsidR="001A1C36" w:rsidRDefault="001A1C36" w:rsidP="000C65A3">
      <w:pPr>
        <w:pStyle w:val="NormalWeb"/>
        <w:ind w:left="567" w:hanging="567"/>
        <w:rPr>
          <w:rFonts w:asciiTheme="minorHAnsi" w:hAnsiTheme="minorHAnsi" w:cstheme="minorHAnsi"/>
          <w:sz w:val="22"/>
          <w:szCs w:val="22"/>
        </w:rPr>
      </w:pPr>
      <w:bookmarkStart w:id="1" w:name="_Hlk157453065"/>
      <w:r w:rsidRPr="009E5BFB">
        <w:rPr>
          <w:rFonts w:asciiTheme="minorHAnsi" w:hAnsiTheme="minorHAnsi" w:cstheme="minorHAnsi"/>
          <w:sz w:val="22"/>
          <w:szCs w:val="22"/>
        </w:rPr>
        <w:t xml:space="preserve">TARLING, R. and DENNIS, R. (2016) </w:t>
      </w:r>
      <w:bookmarkEnd w:id="1"/>
      <w:r w:rsidRPr="009E5BFB">
        <w:rPr>
          <w:rFonts w:asciiTheme="minorHAnsi" w:hAnsiTheme="minorHAnsi" w:cstheme="minorHAnsi"/>
          <w:sz w:val="22"/>
          <w:szCs w:val="22"/>
        </w:rPr>
        <w:t xml:space="preserve">‘Socio-economic determinants of crime rates: Modelling Local Area Police-recorded crime’, </w:t>
      </w:r>
      <w:r w:rsidRPr="009E5BFB">
        <w:rPr>
          <w:rFonts w:asciiTheme="minorHAnsi" w:hAnsiTheme="minorHAnsi" w:cstheme="minorHAnsi"/>
          <w:i/>
          <w:iCs/>
          <w:sz w:val="22"/>
          <w:szCs w:val="22"/>
        </w:rPr>
        <w:t>The Howard Journal of Crime and Justice</w:t>
      </w:r>
      <w:r w:rsidRPr="009E5BFB">
        <w:rPr>
          <w:rFonts w:asciiTheme="minorHAnsi" w:hAnsiTheme="minorHAnsi" w:cstheme="minorHAnsi"/>
          <w:sz w:val="22"/>
          <w:szCs w:val="22"/>
        </w:rPr>
        <w:t xml:space="preserve">, 55(1–2), pp. 207–225. doi:10.1111/hojo.12157. </w:t>
      </w:r>
    </w:p>
    <w:p w14:paraId="00C0E856" w14:textId="77777777" w:rsidR="001A1C36" w:rsidRPr="009E5BFB" w:rsidRDefault="001A1C36" w:rsidP="000C65A3">
      <w:pPr>
        <w:pStyle w:val="NormalWeb"/>
        <w:ind w:left="567" w:hanging="567"/>
        <w:rPr>
          <w:rFonts w:asciiTheme="minorHAnsi" w:hAnsiTheme="minorHAnsi" w:cstheme="minorHAnsi"/>
          <w:sz w:val="22"/>
          <w:szCs w:val="22"/>
        </w:rPr>
      </w:pPr>
    </w:p>
    <w:p w14:paraId="3DA9CECF" w14:textId="77777777" w:rsidR="001A1C36" w:rsidRDefault="001A1C36" w:rsidP="001A1C36">
      <w:pPr>
        <w:pStyle w:val="NormalWeb"/>
        <w:ind w:left="567" w:hanging="567"/>
        <w:rPr>
          <w:rFonts w:asciiTheme="minorHAnsi" w:hAnsiTheme="minorHAnsi" w:cstheme="minorHAnsi"/>
          <w:sz w:val="22"/>
          <w:szCs w:val="22"/>
        </w:rPr>
      </w:pPr>
      <w:r w:rsidRPr="009E5BFB">
        <w:rPr>
          <w:rFonts w:asciiTheme="minorHAnsi" w:hAnsiTheme="minorHAnsi" w:cstheme="minorHAnsi"/>
          <w:i/>
          <w:iCs/>
          <w:sz w:val="22"/>
          <w:szCs w:val="22"/>
        </w:rPr>
        <w:t>Understanding trauma and adversity: Resources</w:t>
      </w:r>
      <w:r w:rsidRPr="009E5BFB">
        <w:rPr>
          <w:rFonts w:asciiTheme="minorHAnsi" w:hAnsiTheme="minorHAnsi" w:cstheme="minorHAnsi"/>
          <w:sz w:val="22"/>
          <w:szCs w:val="22"/>
        </w:rPr>
        <w:t xml:space="preserve"> (no date) </w:t>
      </w:r>
      <w:proofErr w:type="spellStart"/>
      <w:r w:rsidRPr="009E5BFB">
        <w:rPr>
          <w:rFonts w:asciiTheme="minorHAnsi" w:hAnsiTheme="minorHAnsi" w:cstheme="minorHAnsi"/>
          <w:i/>
          <w:iCs/>
          <w:sz w:val="22"/>
          <w:szCs w:val="22"/>
        </w:rPr>
        <w:t>YoungMinds</w:t>
      </w:r>
      <w:proofErr w:type="spellEnd"/>
      <w:r w:rsidRPr="009E5BFB">
        <w:rPr>
          <w:rFonts w:asciiTheme="minorHAnsi" w:hAnsiTheme="minorHAnsi" w:cstheme="minorHAnsi"/>
          <w:sz w:val="22"/>
          <w:szCs w:val="22"/>
        </w:rPr>
        <w:t xml:space="preserve">. Available at: https://www.youngminds.org.uk/professional/resources/understanding-trauma-and-adversity/ (Accessed: 29 January 2024). </w:t>
      </w:r>
    </w:p>
    <w:p w14:paraId="76A390C0" w14:textId="77777777" w:rsidR="001A1C36" w:rsidRDefault="001A1C36" w:rsidP="001A1C36">
      <w:pPr>
        <w:pStyle w:val="NormalWeb"/>
        <w:ind w:left="567" w:hanging="567"/>
        <w:rPr>
          <w:rFonts w:asciiTheme="minorHAnsi" w:hAnsiTheme="minorHAnsi" w:cstheme="minorHAnsi"/>
          <w:sz w:val="22"/>
          <w:szCs w:val="22"/>
        </w:rPr>
      </w:pPr>
    </w:p>
    <w:p w14:paraId="7BA85B8A" w14:textId="366FB5F0" w:rsidR="001A1C36" w:rsidRDefault="001A1C36" w:rsidP="001A1C36">
      <w:pPr>
        <w:pStyle w:val="NormalWeb"/>
        <w:ind w:left="567" w:hanging="567"/>
        <w:rPr>
          <w:rFonts w:asciiTheme="minorHAnsi" w:hAnsiTheme="minorHAnsi" w:cstheme="minorHAnsi"/>
          <w:sz w:val="22"/>
          <w:szCs w:val="22"/>
        </w:rPr>
      </w:pPr>
      <w:r w:rsidRPr="009E5BFB">
        <w:rPr>
          <w:rFonts w:asciiTheme="minorHAnsi" w:hAnsiTheme="minorHAnsi" w:cstheme="minorHAnsi"/>
          <w:sz w:val="22"/>
          <w:szCs w:val="22"/>
        </w:rPr>
        <w:lastRenderedPageBreak/>
        <w:t xml:space="preserve">Wilson, C., Seaman, L. and </w:t>
      </w:r>
      <w:proofErr w:type="spellStart"/>
      <w:r w:rsidRPr="009E5BFB">
        <w:rPr>
          <w:rFonts w:asciiTheme="minorHAnsi" w:hAnsiTheme="minorHAnsi" w:cstheme="minorHAnsi"/>
          <w:sz w:val="22"/>
          <w:szCs w:val="22"/>
        </w:rPr>
        <w:t>Nettelbeck</w:t>
      </w:r>
      <w:proofErr w:type="spellEnd"/>
      <w:r w:rsidRPr="009E5BFB">
        <w:rPr>
          <w:rFonts w:asciiTheme="minorHAnsi" w:hAnsiTheme="minorHAnsi" w:cstheme="minorHAnsi"/>
          <w:sz w:val="22"/>
          <w:szCs w:val="22"/>
        </w:rPr>
        <w:t xml:space="preserve">, T. (1996) ‘Vulnerability to criminal exploitation: Influence of interpersonal competence differences among people with mental retardation’, </w:t>
      </w:r>
      <w:r w:rsidRPr="009E5BFB">
        <w:rPr>
          <w:rFonts w:asciiTheme="minorHAnsi" w:hAnsiTheme="minorHAnsi" w:cstheme="minorHAnsi"/>
          <w:i/>
          <w:iCs/>
          <w:sz w:val="22"/>
          <w:szCs w:val="22"/>
        </w:rPr>
        <w:t>Journal of Intellectual Disability Research</w:t>
      </w:r>
      <w:r w:rsidRPr="009E5BFB">
        <w:rPr>
          <w:rFonts w:asciiTheme="minorHAnsi" w:hAnsiTheme="minorHAnsi" w:cstheme="minorHAnsi"/>
          <w:sz w:val="22"/>
          <w:szCs w:val="22"/>
        </w:rPr>
        <w:t xml:space="preserve">, 40(1), pp. 8–16. doi:10.1111/j.1365-2788.1996.tb00597.x.     </w:t>
      </w:r>
    </w:p>
    <w:p w14:paraId="359A53E8" w14:textId="77777777" w:rsidR="001A1C36" w:rsidRPr="009E5BFB" w:rsidRDefault="001A1C36" w:rsidP="00F30FC9">
      <w:pPr>
        <w:pStyle w:val="NormalWeb"/>
        <w:rPr>
          <w:rFonts w:asciiTheme="minorHAnsi" w:hAnsiTheme="minorHAnsi" w:cstheme="minorHAnsi"/>
          <w:sz w:val="22"/>
          <w:szCs w:val="22"/>
        </w:rPr>
      </w:pPr>
    </w:p>
    <w:p w14:paraId="04CCA690" w14:textId="77777777" w:rsidR="001A1C36" w:rsidRPr="006A38BB" w:rsidRDefault="001A1C36" w:rsidP="000C65A3">
      <w:pPr>
        <w:rPr>
          <w:rFonts w:cstheme="minorHAnsi"/>
        </w:rPr>
      </w:pPr>
      <w:r>
        <w:rPr>
          <w:rFonts w:cstheme="minorHAnsi"/>
        </w:rPr>
        <w:t xml:space="preserve">Wood, D. (2021) </w:t>
      </w:r>
      <w:r>
        <w:rPr>
          <w:rFonts w:cstheme="minorHAnsi"/>
          <w:i/>
          <w:iCs/>
        </w:rPr>
        <w:t xml:space="preserve">Blackstone’s Handbook for Policing Students 2022. </w:t>
      </w:r>
      <w:r>
        <w:rPr>
          <w:rFonts w:cstheme="minorHAnsi"/>
        </w:rPr>
        <w:t xml:space="preserve">Oxford: Oxford University Press. </w:t>
      </w:r>
    </w:p>
    <w:p w14:paraId="6BAB4F7F" w14:textId="77777777" w:rsidR="000C65A3" w:rsidRDefault="000C65A3" w:rsidP="000C65A3">
      <w:pPr>
        <w:pStyle w:val="NormalWeb"/>
        <w:ind w:left="567" w:hanging="567"/>
      </w:pPr>
    </w:p>
    <w:p w14:paraId="2615A59D" w14:textId="77777777" w:rsidR="000C65A3" w:rsidRDefault="000C65A3" w:rsidP="000C65A3">
      <w:pPr>
        <w:pStyle w:val="NormalWeb"/>
        <w:ind w:left="567" w:hanging="567"/>
      </w:pPr>
    </w:p>
    <w:p w14:paraId="3D60689C" w14:textId="77777777" w:rsidR="00C04A26" w:rsidRDefault="00C04A26" w:rsidP="00F028F0">
      <w:pPr>
        <w:pStyle w:val="NormalWeb"/>
        <w:ind w:left="567" w:hanging="567"/>
      </w:pPr>
    </w:p>
    <w:p w14:paraId="7B13D82B" w14:textId="77777777" w:rsidR="001A1C36" w:rsidRDefault="001A1C36" w:rsidP="00F028F0">
      <w:pPr>
        <w:pStyle w:val="NormalWeb"/>
        <w:ind w:left="567" w:hanging="567"/>
      </w:pPr>
    </w:p>
    <w:p w14:paraId="45655185" w14:textId="77777777" w:rsidR="001A1C36" w:rsidRDefault="001A1C36" w:rsidP="00F028F0">
      <w:pPr>
        <w:pStyle w:val="NormalWeb"/>
        <w:ind w:left="567" w:hanging="567"/>
      </w:pPr>
    </w:p>
    <w:p w14:paraId="0BB774B3" w14:textId="77777777" w:rsidR="001A1C36" w:rsidRDefault="001A1C36" w:rsidP="00F028F0">
      <w:pPr>
        <w:pStyle w:val="NormalWeb"/>
        <w:ind w:left="567" w:hanging="567"/>
      </w:pPr>
    </w:p>
    <w:p w14:paraId="056A0FE9" w14:textId="77777777" w:rsidR="001A1C36" w:rsidRDefault="001A1C36" w:rsidP="00F028F0">
      <w:pPr>
        <w:pStyle w:val="NormalWeb"/>
        <w:ind w:left="567" w:hanging="567"/>
      </w:pPr>
    </w:p>
    <w:p w14:paraId="4BCE7C90" w14:textId="77777777" w:rsidR="001A1C36" w:rsidRDefault="001A1C36" w:rsidP="00F028F0">
      <w:pPr>
        <w:pStyle w:val="NormalWeb"/>
        <w:ind w:left="567" w:hanging="567"/>
      </w:pPr>
    </w:p>
    <w:p w14:paraId="0CCDA4C4" w14:textId="77777777" w:rsidR="001A1C36" w:rsidRDefault="001A1C36" w:rsidP="00F028F0">
      <w:pPr>
        <w:pStyle w:val="NormalWeb"/>
        <w:ind w:left="567" w:hanging="567"/>
      </w:pPr>
    </w:p>
    <w:p w14:paraId="75F2785E" w14:textId="77777777" w:rsidR="001A1C36" w:rsidRDefault="001A1C36" w:rsidP="00F028F0">
      <w:pPr>
        <w:pStyle w:val="NormalWeb"/>
        <w:ind w:left="567" w:hanging="567"/>
      </w:pPr>
    </w:p>
    <w:p w14:paraId="1EFCA6B8" w14:textId="77777777" w:rsidR="001A1C36" w:rsidRDefault="001A1C36" w:rsidP="00F028F0">
      <w:pPr>
        <w:pStyle w:val="NormalWeb"/>
        <w:ind w:left="567" w:hanging="567"/>
      </w:pPr>
    </w:p>
    <w:p w14:paraId="29135391" w14:textId="77777777" w:rsidR="001A1C36" w:rsidRDefault="001A1C36" w:rsidP="00F028F0">
      <w:pPr>
        <w:pStyle w:val="NormalWeb"/>
        <w:ind w:left="567" w:hanging="567"/>
      </w:pPr>
    </w:p>
    <w:p w14:paraId="04F703DC" w14:textId="77777777" w:rsidR="001A1C36" w:rsidRDefault="001A1C36" w:rsidP="00F028F0">
      <w:pPr>
        <w:pStyle w:val="NormalWeb"/>
        <w:ind w:left="567" w:hanging="567"/>
      </w:pPr>
    </w:p>
    <w:p w14:paraId="43518850" w14:textId="77777777" w:rsidR="001A1C36" w:rsidRDefault="001A1C36" w:rsidP="00F028F0">
      <w:pPr>
        <w:pStyle w:val="NormalWeb"/>
        <w:ind w:left="567" w:hanging="567"/>
      </w:pPr>
    </w:p>
    <w:p w14:paraId="67EE69BC" w14:textId="77777777" w:rsidR="00F54271" w:rsidRDefault="00F54271" w:rsidP="00E10471">
      <w:pPr>
        <w:pStyle w:val="NormalWeb"/>
      </w:pPr>
    </w:p>
    <w:p w14:paraId="6C0C7F19" w14:textId="77777777" w:rsidR="001A1C36" w:rsidRDefault="001A1C36" w:rsidP="00B61DB7"/>
    <w:p w14:paraId="3CE61E98" w14:textId="77777777" w:rsidR="001A1C36" w:rsidRDefault="001A1C36" w:rsidP="00B61DB7"/>
    <w:p w14:paraId="58527544" w14:textId="77777777" w:rsidR="001A1C36" w:rsidRDefault="001A1C36" w:rsidP="00B61DB7"/>
    <w:p w14:paraId="63CD31A3" w14:textId="77777777" w:rsidR="001A1C36" w:rsidRDefault="001A1C36" w:rsidP="00B61DB7"/>
    <w:p w14:paraId="6CD8BBCD" w14:textId="77777777" w:rsidR="001A1C36" w:rsidRDefault="001A1C36" w:rsidP="00B61DB7"/>
    <w:p w14:paraId="425AFC3F" w14:textId="77777777" w:rsidR="00F30FC9" w:rsidRDefault="00F30FC9" w:rsidP="00B61DB7"/>
    <w:p w14:paraId="34E85A15" w14:textId="690D67FB" w:rsidR="00F30FC9" w:rsidRDefault="00B61DB7" w:rsidP="00B61DB7">
      <w:r w:rsidRPr="00B61DB7">
        <w:t>Essay three:</w:t>
      </w:r>
    </w:p>
    <w:p w14:paraId="0CC0F1DE" w14:textId="50D4961E" w:rsidR="00B61DB7" w:rsidRPr="00F30FC9" w:rsidRDefault="00B61DB7" w:rsidP="00B61DB7">
      <w:r w:rsidRPr="00B61DB7">
        <w:rPr>
          <w:b/>
          <w:bCs/>
        </w:rPr>
        <w:lastRenderedPageBreak/>
        <w:t>Is MAPPA an effective means of managing violent and sexual offenders? What increases or detracts from its effectiveness? Your answer must be based on academic research.</w:t>
      </w:r>
    </w:p>
    <w:p w14:paraId="610B765D" w14:textId="77777777" w:rsidR="00B61DB7" w:rsidRDefault="00B61DB7" w:rsidP="00B61DB7">
      <w:r w:rsidRPr="00B61DB7">
        <w:t xml:space="preserve">In this essay I will evaluate the effectiveness of MAPPA. Firstly, defining what it is and how it works, followed by critical evaluation of its effectiveness and what factors work well, and what factors need to be re considered. </w:t>
      </w:r>
    </w:p>
    <w:p w14:paraId="7983ADE0" w14:textId="77777777" w:rsidR="00F30FC9" w:rsidRPr="00B61DB7" w:rsidRDefault="00F30FC9" w:rsidP="00B61DB7"/>
    <w:p w14:paraId="0FC8A7C7" w14:textId="70A11921" w:rsidR="00B61DB7" w:rsidRDefault="00B61DB7" w:rsidP="00B61DB7">
      <w:r w:rsidRPr="00B61DB7">
        <w:t xml:space="preserve">MAPPA stands for Multi Agency Public Protection Arrangements (GOV.UK, 2019). MAPPA has been in place in England and Wales for 24 years since its introduction in 2000 (Taylor &amp; </w:t>
      </w:r>
      <w:proofErr w:type="spellStart"/>
      <w:r w:rsidRPr="00B61DB7">
        <w:t>Yakeley</w:t>
      </w:r>
      <w:proofErr w:type="spellEnd"/>
      <w:r w:rsidRPr="00B61DB7">
        <w:t xml:space="preserve">, 2019). MAPPA is not an agency but a set way of working for the Police, Prison, and probation service to identify and high-risk offenders and by information sharing manage the risk of them in the community with the aim of preventing/decreasing their reoffending/ risk to the public. (Taylor &amp; </w:t>
      </w:r>
      <w:proofErr w:type="spellStart"/>
      <w:r w:rsidRPr="00B61DB7">
        <w:t>Yakeley</w:t>
      </w:r>
      <w:proofErr w:type="spellEnd"/>
      <w:r w:rsidRPr="00B61DB7">
        <w:t xml:space="preserve">, 2019). The purpose of MAPPA is to assess and manage the risk from sexual and violent offenders by implementing arrangements, reviewing, monitoring, and reporting on such arrangements yearly (Sutherland &amp; Baker, 2009 p. 16). This would appear an effective way to ensure that any required changes to an offender’s risk can be implemented following review to ensure safe management. </w:t>
      </w:r>
    </w:p>
    <w:p w14:paraId="12DE2D7C" w14:textId="77777777" w:rsidR="00F30FC9" w:rsidRPr="00B61DB7" w:rsidRDefault="00F30FC9" w:rsidP="00B61DB7"/>
    <w:p w14:paraId="1FD9368A" w14:textId="77777777" w:rsidR="00B61DB7" w:rsidRDefault="00B61DB7" w:rsidP="00B61DB7">
      <w:r w:rsidRPr="00B61DB7">
        <w:t xml:space="preserve">MAPPA has three management levels: Level 1, Level 2, and Level 3 (Wood, 2012). MAPPA level one is the lowest level of offender management with limited agency involvement and in most cases only one taking the lead (Wood, 2012). Wood (2012) also states that Level 2 MAPPA involves more agencies as these offenders pose a higher risk than those in level 1. Level 3 is for offenders that pose a serious threat and risk to the public, and therefore require a high level of resources to try and mitigate this risk. Only 3% of MAPPA offenders are managed at level 3 (Wood, 2012). These different levels appear to be a way to effectively manage limited resources between agencies. Without these levels, in my opinion, the risk posed to the public would be higher as spreading resources evenly would not be effective. This is because some offenders may only require low level management whereas the high risk and serious offenders who require substantial resources, may not get that without this system which in turn could lead to further harm.  </w:t>
      </w:r>
    </w:p>
    <w:p w14:paraId="08D4D572" w14:textId="77777777" w:rsidR="00F30FC9" w:rsidRPr="00B61DB7" w:rsidRDefault="00F30FC9" w:rsidP="00B61DB7"/>
    <w:p w14:paraId="6B0E1D47" w14:textId="77777777" w:rsidR="00B61DB7" w:rsidRDefault="00B61DB7" w:rsidP="00B61DB7">
      <w:r w:rsidRPr="00B61DB7">
        <w:t xml:space="preserve">The purpose of MAPPA is to manage risk and within the Criminal Justice Act 2003, agencies have a duty to co-operate with each other. (Taylor &amp; </w:t>
      </w:r>
      <w:proofErr w:type="spellStart"/>
      <w:r w:rsidRPr="00B61DB7">
        <w:t>Yakeley</w:t>
      </w:r>
      <w:proofErr w:type="spellEnd"/>
      <w:r w:rsidRPr="00B61DB7">
        <w:t>, 2019). This would also appear effective in offender management to avoid information that could be vital in mitigating risk being missed.</w:t>
      </w:r>
    </w:p>
    <w:p w14:paraId="5B382B12" w14:textId="77777777" w:rsidR="00F30FC9" w:rsidRPr="00B61DB7" w:rsidRDefault="00F30FC9" w:rsidP="00B61DB7"/>
    <w:p w14:paraId="17862222" w14:textId="34798174" w:rsidR="00B61DB7" w:rsidRDefault="00B61DB7" w:rsidP="00B61DB7">
      <w:r w:rsidRPr="00B61DB7">
        <w:t>To assess whether MAPPA is an effective way of managing violent and sexual offenders I will look at re-offending rates. According to GOV.UK (2024) there was a reoffending rate of 25.5% between January and March 2022. This compared with the MAPPA one year re-offending rate of 12.12% (Lundrigan et al., 2023). These statistics would suggest MAPPA is effective, however as MAPPA offenders are higher risk as they are managed, I would see the fact they are not readily re offending as a significant positive, given the threat of more serious threat as opposed to ‘all’ offenders who may be committing very low level/ low risk crime. Wood (2012) draws the conclusion that the</w:t>
      </w:r>
      <w:r w:rsidR="00F30FC9">
        <w:t xml:space="preserve"> </w:t>
      </w:r>
      <w:r w:rsidRPr="00B61DB7">
        <w:t>difference in re offending rates proves MAPPA is effective in preventing crimes as without the intervention statistically they would be committed.</w:t>
      </w:r>
    </w:p>
    <w:p w14:paraId="6A05FE0C" w14:textId="77777777" w:rsidR="00F30FC9" w:rsidRPr="00B61DB7" w:rsidRDefault="00F30FC9" w:rsidP="00B61DB7"/>
    <w:p w14:paraId="0FD83737" w14:textId="52F7B5C0" w:rsidR="00B61DB7" w:rsidRDefault="00B61DB7" w:rsidP="00B61DB7">
      <w:r w:rsidRPr="00B61DB7">
        <w:t>Aside from these raw statistics as a sign of success, the perceptions of those persons involved in the mechanics of MAPPA could prove important signs of its ability to effectively manage violent and sexual offenders. Research by Lundrigan and Mann (2023) found that MAPPA is well-thought of amongst the varied partner</w:t>
      </w:r>
      <w:r>
        <w:t xml:space="preserve"> agencies</w:t>
      </w:r>
      <w:r w:rsidRPr="00B61DB7">
        <w:t xml:space="preserve"> despite their organisational differences. There was found to be a shared view that the different agencies all want MAPPA to be successful. Another positive for MAPPA as concluded by Taylor and </w:t>
      </w:r>
      <w:proofErr w:type="spellStart"/>
      <w:r w:rsidRPr="00B61DB7">
        <w:t>Yakeley</w:t>
      </w:r>
      <w:proofErr w:type="spellEnd"/>
      <w:r w:rsidRPr="00B61DB7">
        <w:t xml:space="preserve"> (2019) is that it is an ethical way of sharing information about individuals who pose a risk, especially those who are sex offenders and are open to mental health practitioners, information which otherwise would not be disclosed to other agencies. Taylor and </w:t>
      </w:r>
      <w:proofErr w:type="spellStart"/>
      <w:r w:rsidRPr="00B61DB7">
        <w:t>Yakeley</w:t>
      </w:r>
      <w:proofErr w:type="spellEnd"/>
      <w:r w:rsidRPr="00B61DB7">
        <w:t xml:space="preserve"> (2016) do however state that despite these arrangements there is not clear legal guidelines regarding these disclosures</w:t>
      </w:r>
      <w:r>
        <w:t xml:space="preserve"> from mental health practitioners</w:t>
      </w:r>
      <w:r w:rsidRPr="00B61DB7">
        <w:t xml:space="preserve">, which is a possible downfall of MAPPA. This could leave practitioners with tough choices on disclosure and confidentiality. </w:t>
      </w:r>
    </w:p>
    <w:p w14:paraId="4BB7D601" w14:textId="77777777" w:rsidR="00F30FC9" w:rsidRPr="00B61DB7" w:rsidRDefault="00F30FC9" w:rsidP="00B61DB7"/>
    <w:p w14:paraId="74CAE9AE" w14:textId="56FC8925" w:rsidR="00B61DB7" w:rsidRDefault="00B61DB7" w:rsidP="00B61DB7">
      <w:r w:rsidRPr="00B61DB7">
        <w:t xml:space="preserve">Furthermore, </w:t>
      </w:r>
      <w:r>
        <w:t>looking at</w:t>
      </w:r>
      <w:r w:rsidRPr="00B61DB7">
        <w:t xml:space="preserve"> potential downfalls of MAPPA, a report by Higgins et al (2016) found that despite this multi-agency approach being seen as best practice, concerns over its effectiveness remain, stating there is limited evidence to suggest it </w:t>
      </w:r>
      <w:r>
        <w:t>effectiveness</w:t>
      </w:r>
      <w:r w:rsidRPr="00B61DB7">
        <w:t>. MAPPA may also not effectively be managing those offenders who pose the highest risk, Lundrigan et al (2023) report that level three MAPPA offenders reoffending rates were considerably higher than those in level one or two. MAPPA offenders at level three after one year were found to have a 41.9% reoffending rate compared to only 11.9% for those at level one. To me, this shows that there are failings in the management of these individuals which potentially shows that heavily managing these offenders with a wide range of agencies supporting may not be enough to ensure public safety. These reoffending rates</w:t>
      </w:r>
      <w:r>
        <w:t xml:space="preserve"> despite extensive agency involvement</w:t>
      </w:r>
      <w:r w:rsidRPr="00B61DB7">
        <w:t xml:space="preserve"> can damage public image a</w:t>
      </w:r>
      <w:r>
        <w:t>n</w:t>
      </w:r>
      <w:r w:rsidRPr="00B61DB7">
        <w:t xml:space="preserve">d faith in services (Wood, 2012). </w:t>
      </w:r>
    </w:p>
    <w:p w14:paraId="366A13CE" w14:textId="77777777" w:rsidR="00F30FC9" w:rsidRPr="00B61DB7" w:rsidRDefault="00F30FC9" w:rsidP="00B61DB7"/>
    <w:p w14:paraId="2773BAF6" w14:textId="77777777" w:rsidR="00B61DB7" w:rsidRDefault="00B61DB7" w:rsidP="00B61DB7">
      <w:r w:rsidRPr="00B61DB7">
        <w:t xml:space="preserve">Another issue which was risen in the report by Lundrigan et al (2023) was when offenders move from Youth services to Probation seen as going from substantial support to being suddenly cut at the age of 18. Sutherland and Baker (2009) also express concern about how and where Youth Offending Teams fit into the MAPPA process. </w:t>
      </w:r>
    </w:p>
    <w:p w14:paraId="2A1F0A42" w14:textId="77777777" w:rsidR="00F30FC9" w:rsidRPr="00B61DB7" w:rsidRDefault="00F30FC9" w:rsidP="00B61DB7"/>
    <w:p w14:paraId="1DD847DC" w14:textId="0BEC9971" w:rsidR="00B61DB7" w:rsidRDefault="00B61DB7" w:rsidP="00B61DB7">
      <w:r w:rsidRPr="00B61DB7">
        <w:t>Finally, within the Serious Case Review Report by Mann et al (2023) there were many recommendations made following their review. It was also found that many of the management plans were outdated, information was not always effectively shared and there was poor transfer between MAPPA agencies when an offender moved location. I see this as a significant</w:t>
      </w:r>
      <w:r>
        <w:t xml:space="preserve"> failing</w:t>
      </w:r>
      <w:r w:rsidRPr="00B61DB7">
        <w:t xml:space="preserve"> as the </w:t>
      </w:r>
      <w:r>
        <w:t xml:space="preserve">whole </w:t>
      </w:r>
      <w:r w:rsidRPr="00B61DB7">
        <w:t>purpose of MAPPA is to ensure that offenders are managed</w:t>
      </w:r>
      <w:r>
        <w:t xml:space="preserve"> safely</w:t>
      </w:r>
      <w:r w:rsidRPr="00B61DB7">
        <w:t xml:space="preserve">, and information is shared with purpose to prevent further offending and safeguard communities. </w:t>
      </w:r>
    </w:p>
    <w:p w14:paraId="443DD21C" w14:textId="77777777" w:rsidR="00F30FC9" w:rsidRPr="00B61DB7" w:rsidRDefault="00F30FC9" w:rsidP="00B61DB7"/>
    <w:p w14:paraId="64B6E6D1" w14:textId="77777777" w:rsidR="00F30FC9" w:rsidRDefault="00B61DB7" w:rsidP="00B61DB7">
      <w:r w:rsidRPr="00B61DB7">
        <w:t>To conclude, there appears to be many positives from MAPPA to effectively manage violent and sexual offenders, with overall lower reoffending rates than those not managed via MAPPA. However, there is significant room for improvement to prevent level three offenders causing further harm/ offending</w:t>
      </w:r>
      <w:r>
        <w:t>.</w:t>
      </w:r>
    </w:p>
    <w:p w14:paraId="567202E9" w14:textId="77777777" w:rsidR="00F30FC9" w:rsidRDefault="00F30FC9" w:rsidP="00B61DB7"/>
    <w:p w14:paraId="00D21444" w14:textId="77777777" w:rsidR="00F30FC9" w:rsidRDefault="00B61DB7" w:rsidP="00B61DB7">
      <w:r w:rsidRPr="00B61DB7">
        <w:t>Word count: 10</w:t>
      </w:r>
      <w:r>
        <w:t>43</w:t>
      </w:r>
    </w:p>
    <w:p w14:paraId="543FDFA8" w14:textId="5D28C9C9" w:rsidR="00B61DB7" w:rsidRDefault="00B61DB7" w:rsidP="00B61DB7">
      <w:r w:rsidRPr="00B61DB7">
        <w:lastRenderedPageBreak/>
        <w:t>References:</w:t>
      </w:r>
    </w:p>
    <w:p w14:paraId="1115CFDB" w14:textId="77777777" w:rsidR="00F30FC9" w:rsidRPr="00B61DB7" w:rsidRDefault="00F30FC9" w:rsidP="00B61DB7"/>
    <w:p w14:paraId="72EC37E9" w14:textId="77777777" w:rsid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r w:rsidRPr="001A1C36">
        <w:rPr>
          <w:rFonts w:eastAsia="Times New Roman" w:cstheme="minorHAnsi"/>
          <w:kern w:val="0"/>
          <w:lang w:eastAsia="en-GB"/>
          <w14:ligatures w14:val="none"/>
        </w:rPr>
        <w:t xml:space="preserve">Higgins, A., Hales, G. and Chapman, J. (2016) </w:t>
      </w:r>
      <w:r w:rsidRPr="001A1C36">
        <w:rPr>
          <w:rFonts w:eastAsia="Times New Roman" w:cstheme="minorHAnsi"/>
          <w:i/>
          <w:iCs/>
          <w:kern w:val="0"/>
          <w:lang w:eastAsia="en-GB"/>
          <w14:ligatures w14:val="none"/>
        </w:rPr>
        <w:t>Multi-agency case management: evidence and orthodoxy</w:t>
      </w:r>
      <w:r w:rsidRPr="001A1C36">
        <w:rPr>
          <w:rFonts w:eastAsia="Times New Roman" w:cstheme="minorHAnsi"/>
          <w:kern w:val="0"/>
          <w:lang w:eastAsia="en-GB"/>
          <w14:ligatures w14:val="none"/>
        </w:rPr>
        <w:t xml:space="preserve">. rep. The police foundation. </w:t>
      </w:r>
    </w:p>
    <w:p w14:paraId="723E73AD" w14:textId="77777777" w:rsidR="001A1C36" w:rsidRP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p>
    <w:p w14:paraId="6B29CDB8" w14:textId="77777777" w:rsidR="001A1C36" w:rsidRDefault="001A1C36" w:rsidP="001A1C36">
      <w:pPr>
        <w:ind w:left="720" w:hanging="720"/>
        <w:rPr>
          <w:rFonts w:cstheme="minorHAnsi"/>
        </w:rPr>
      </w:pPr>
      <w:r w:rsidRPr="001A1C36">
        <w:rPr>
          <w:rFonts w:cstheme="minorHAnsi"/>
        </w:rPr>
        <w:t xml:space="preserve">Justice, M. of (2019) </w:t>
      </w:r>
      <w:r w:rsidRPr="001A1C36">
        <w:rPr>
          <w:rFonts w:cstheme="minorHAnsi"/>
          <w:i/>
          <w:iCs/>
        </w:rPr>
        <w:t>Multi-agency Public Protection Arrangements (MAPPA) Annual reports 2018 to 2019</w:t>
      </w:r>
      <w:r w:rsidRPr="001A1C36">
        <w:rPr>
          <w:rFonts w:cstheme="minorHAnsi"/>
        </w:rPr>
        <w:t xml:space="preserve">, </w:t>
      </w:r>
      <w:r w:rsidRPr="001A1C36">
        <w:rPr>
          <w:rFonts w:cstheme="minorHAnsi"/>
          <w:i/>
          <w:iCs/>
        </w:rPr>
        <w:t>GOV.UK</w:t>
      </w:r>
      <w:r w:rsidRPr="001A1C36">
        <w:rPr>
          <w:rFonts w:cstheme="minorHAnsi"/>
        </w:rPr>
        <w:t xml:space="preserve">. Available at: https://www.gov.uk/government/publications/multi-agency-public-protection-arrangements-mappa-annual-reports-2018-to-2019 (Accessed: 31 January 2024). </w:t>
      </w:r>
    </w:p>
    <w:p w14:paraId="560339ED" w14:textId="77777777" w:rsidR="001A1C36" w:rsidRPr="001A1C36" w:rsidRDefault="001A1C36" w:rsidP="001A1C36">
      <w:pPr>
        <w:ind w:left="720" w:hanging="720"/>
        <w:rPr>
          <w:rFonts w:cstheme="minorHAnsi"/>
        </w:rPr>
      </w:pPr>
    </w:p>
    <w:p w14:paraId="3DC60826" w14:textId="77777777" w:rsid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r w:rsidRPr="001A1C36">
        <w:rPr>
          <w:rFonts w:eastAsia="Times New Roman" w:cstheme="minorHAnsi"/>
          <w:kern w:val="0"/>
          <w:lang w:eastAsia="en-GB"/>
          <w14:ligatures w14:val="none"/>
        </w:rPr>
        <w:t xml:space="preserve">Lundrigan, S., Mann, N. and Specht, D. (2023) </w:t>
      </w:r>
      <w:r w:rsidRPr="001A1C36">
        <w:rPr>
          <w:rFonts w:eastAsia="Times New Roman" w:cstheme="minorHAnsi"/>
          <w:i/>
          <w:iCs/>
          <w:kern w:val="0"/>
          <w:lang w:eastAsia="en-GB"/>
          <w14:ligatures w14:val="none"/>
        </w:rPr>
        <w:t>The National MAPPA Research:  Proven Reoffending Report</w:t>
      </w:r>
      <w:r w:rsidRPr="001A1C36">
        <w:rPr>
          <w:rFonts w:eastAsia="Times New Roman" w:cstheme="minorHAnsi"/>
          <w:kern w:val="0"/>
          <w:lang w:eastAsia="en-GB"/>
          <w14:ligatures w14:val="none"/>
        </w:rPr>
        <w:t xml:space="preserve">. rep. East Anglia, United Kingdom: The Policing Institute for the  Eastern Region, Anglia Ruskin University , pp. 6–6. </w:t>
      </w:r>
    </w:p>
    <w:p w14:paraId="1AEDEA32" w14:textId="77777777" w:rsidR="001A1C36" w:rsidRP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p>
    <w:p w14:paraId="713380D4" w14:textId="77777777" w:rsid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r w:rsidRPr="001A1C36">
        <w:rPr>
          <w:rFonts w:eastAsia="Times New Roman" w:cstheme="minorHAnsi"/>
          <w:kern w:val="0"/>
          <w:lang w:eastAsia="en-GB"/>
          <w14:ligatures w14:val="none"/>
        </w:rPr>
        <w:t xml:space="preserve">Mann, N. and Lundrigan, S. (2023) </w:t>
      </w:r>
      <w:r w:rsidRPr="001A1C36">
        <w:rPr>
          <w:rFonts w:eastAsia="Times New Roman" w:cstheme="minorHAnsi"/>
          <w:i/>
          <w:iCs/>
          <w:kern w:val="0"/>
          <w:lang w:eastAsia="en-GB"/>
          <w14:ligatures w14:val="none"/>
        </w:rPr>
        <w:t>The National MAPPA Research:  Process  Effectiveness Report</w:t>
      </w:r>
      <w:r w:rsidRPr="001A1C36">
        <w:rPr>
          <w:rFonts w:eastAsia="Times New Roman" w:cstheme="minorHAnsi"/>
          <w:kern w:val="0"/>
          <w:lang w:eastAsia="en-GB"/>
          <w14:ligatures w14:val="none"/>
        </w:rPr>
        <w:t xml:space="preserve">. rep. East Anglia, United Kingdom: The Policing Institute for the  Eastern Region, Anglia Ruskin University . </w:t>
      </w:r>
    </w:p>
    <w:p w14:paraId="55DC17DF" w14:textId="77777777" w:rsidR="001A1C36" w:rsidRP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p>
    <w:p w14:paraId="5FE23BDA" w14:textId="1C5C31AF" w:rsid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r w:rsidRPr="001A1C36">
        <w:rPr>
          <w:rFonts w:eastAsia="Times New Roman" w:cstheme="minorHAnsi"/>
          <w:kern w:val="0"/>
          <w:lang w:eastAsia="en-GB"/>
          <w14:ligatures w14:val="none"/>
        </w:rPr>
        <w:t xml:space="preserve">Mann, N., Lundrigan, S. and Kress, S. (2023) </w:t>
      </w:r>
      <w:r w:rsidRPr="001A1C36">
        <w:rPr>
          <w:rFonts w:eastAsia="Times New Roman" w:cstheme="minorHAnsi"/>
          <w:i/>
          <w:iCs/>
          <w:kern w:val="0"/>
          <w:lang w:eastAsia="en-GB"/>
          <w14:ligatures w14:val="none"/>
        </w:rPr>
        <w:t>The National MAPPA Research:  Serious Case  Review Report</w:t>
      </w:r>
      <w:r w:rsidRPr="001A1C36">
        <w:rPr>
          <w:rFonts w:eastAsia="Times New Roman" w:cstheme="minorHAnsi"/>
          <w:kern w:val="0"/>
          <w:lang w:eastAsia="en-GB"/>
          <w14:ligatures w14:val="none"/>
        </w:rPr>
        <w:t>. rep. East Anglia, United Kingdom: The Policing Institute for the  Eastern Region, Anglia Ruskin University</w:t>
      </w:r>
      <w:r>
        <w:rPr>
          <w:rFonts w:eastAsia="Times New Roman" w:cstheme="minorHAnsi"/>
          <w:kern w:val="0"/>
          <w:lang w:eastAsia="en-GB"/>
          <w14:ligatures w14:val="none"/>
        </w:rPr>
        <w:t>.</w:t>
      </w:r>
    </w:p>
    <w:p w14:paraId="6BA33FEC" w14:textId="77777777" w:rsidR="001A1C36" w:rsidRP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p>
    <w:p w14:paraId="051EF756" w14:textId="77777777" w:rsid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r w:rsidRPr="001A1C36">
        <w:rPr>
          <w:rFonts w:eastAsia="Times New Roman" w:cstheme="minorHAnsi"/>
          <w:i/>
          <w:iCs/>
          <w:kern w:val="0"/>
          <w:lang w:eastAsia="en-GB"/>
          <w14:ligatures w14:val="none"/>
        </w:rPr>
        <w:t>Proven reoffending statistics: January to March 2022</w:t>
      </w:r>
      <w:r w:rsidRPr="001A1C36">
        <w:rPr>
          <w:rFonts w:eastAsia="Times New Roman" w:cstheme="minorHAnsi"/>
          <w:kern w:val="0"/>
          <w:lang w:eastAsia="en-GB"/>
          <w14:ligatures w14:val="none"/>
        </w:rPr>
        <w:t xml:space="preserve"> (2024) </w:t>
      </w:r>
      <w:r w:rsidRPr="001A1C36">
        <w:rPr>
          <w:rFonts w:eastAsia="Times New Roman" w:cstheme="minorHAnsi"/>
          <w:i/>
          <w:iCs/>
          <w:kern w:val="0"/>
          <w:lang w:eastAsia="en-GB"/>
          <w14:ligatures w14:val="none"/>
        </w:rPr>
        <w:t>GOV.UK</w:t>
      </w:r>
      <w:r w:rsidRPr="001A1C36">
        <w:rPr>
          <w:rFonts w:eastAsia="Times New Roman" w:cstheme="minorHAnsi"/>
          <w:kern w:val="0"/>
          <w:lang w:eastAsia="en-GB"/>
          <w14:ligatures w14:val="none"/>
        </w:rPr>
        <w:t xml:space="preserve">. Available at: </w:t>
      </w:r>
      <w:hyperlink r:id="rId11" w:history="1">
        <w:r w:rsidRPr="001A1C36">
          <w:rPr>
            <w:rFonts w:eastAsia="Times New Roman" w:cstheme="minorHAnsi"/>
            <w:kern w:val="0"/>
            <w:lang w:eastAsia="en-GB"/>
            <w14:ligatures w14:val="none"/>
          </w:rPr>
          <w:t>https://www.gov.uk/government/statistics/proven-reoffending-statistics-january-to-march-</w:t>
        </w:r>
      </w:hyperlink>
      <w:r w:rsidRPr="001A1C36">
        <w:rPr>
          <w:rFonts w:eastAsia="Times New Roman" w:cstheme="minorHAnsi"/>
          <w:kern w:val="0"/>
          <w:lang w:eastAsia="en-GB"/>
          <w14:ligatures w14:val="none"/>
        </w:rPr>
        <w:t xml:space="preserve"> (accessed 31 January 2024)</w:t>
      </w:r>
    </w:p>
    <w:p w14:paraId="2340D2C7" w14:textId="77777777" w:rsidR="001A1C36" w:rsidRP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p>
    <w:p w14:paraId="10034941" w14:textId="77777777" w:rsid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r w:rsidRPr="001A1C36">
        <w:rPr>
          <w:rFonts w:eastAsia="Times New Roman" w:cstheme="minorHAnsi"/>
          <w:kern w:val="0"/>
          <w:lang w:eastAsia="en-GB"/>
          <w14:ligatures w14:val="none"/>
        </w:rPr>
        <w:t xml:space="preserve">Sutherland, A. and Baker, K. (2009) </w:t>
      </w:r>
      <w:r w:rsidRPr="001A1C36">
        <w:rPr>
          <w:rFonts w:eastAsia="Times New Roman" w:cstheme="minorHAnsi"/>
          <w:i/>
          <w:iCs/>
          <w:kern w:val="0"/>
          <w:lang w:eastAsia="en-GB"/>
          <w14:ligatures w14:val="none"/>
        </w:rPr>
        <w:t>Multi-agency Public Protection Arrangements and youth justice</w:t>
      </w:r>
      <w:r w:rsidRPr="001A1C36">
        <w:rPr>
          <w:rFonts w:eastAsia="Times New Roman" w:cstheme="minorHAnsi"/>
          <w:kern w:val="0"/>
          <w:lang w:eastAsia="en-GB"/>
          <w14:ligatures w14:val="none"/>
        </w:rPr>
        <w:t xml:space="preserve">. Bristol, </w:t>
      </w:r>
      <w:proofErr w:type="spellStart"/>
      <w:r w:rsidRPr="001A1C36">
        <w:rPr>
          <w:rFonts w:eastAsia="Times New Roman" w:cstheme="minorHAnsi"/>
          <w:kern w:val="0"/>
          <w:lang w:eastAsia="en-GB"/>
          <w14:ligatures w14:val="none"/>
        </w:rPr>
        <w:t>Untied</w:t>
      </w:r>
      <w:proofErr w:type="spellEnd"/>
      <w:r w:rsidRPr="001A1C36">
        <w:rPr>
          <w:rFonts w:eastAsia="Times New Roman" w:cstheme="minorHAnsi"/>
          <w:kern w:val="0"/>
          <w:lang w:eastAsia="en-GB"/>
          <w14:ligatures w14:val="none"/>
        </w:rPr>
        <w:t xml:space="preserve"> Kingdom: Policy Press. </w:t>
      </w:r>
    </w:p>
    <w:p w14:paraId="002CCB89" w14:textId="77777777" w:rsidR="001A1C36" w:rsidRP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p>
    <w:p w14:paraId="691E0021" w14:textId="77777777" w:rsid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r w:rsidRPr="001A1C36">
        <w:rPr>
          <w:rFonts w:eastAsia="Times New Roman" w:cstheme="minorHAnsi"/>
          <w:kern w:val="0"/>
          <w:lang w:eastAsia="en-GB"/>
          <w14:ligatures w14:val="none"/>
        </w:rPr>
        <w:t xml:space="preserve">Taylor, R. and </w:t>
      </w:r>
      <w:proofErr w:type="spellStart"/>
      <w:r w:rsidRPr="001A1C36">
        <w:rPr>
          <w:rFonts w:eastAsia="Times New Roman" w:cstheme="minorHAnsi"/>
          <w:kern w:val="0"/>
          <w:lang w:eastAsia="en-GB"/>
          <w14:ligatures w14:val="none"/>
        </w:rPr>
        <w:t>Yakeley</w:t>
      </w:r>
      <w:proofErr w:type="spellEnd"/>
      <w:r w:rsidRPr="001A1C36">
        <w:rPr>
          <w:rFonts w:eastAsia="Times New Roman" w:cstheme="minorHAnsi"/>
          <w:kern w:val="0"/>
          <w:lang w:eastAsia="en-GB"/>
          <w14:ligatures w14:val="none"/>
        </w:rPr>
        <w:t xml:space="preserve">, J. (2019) ‘Working with </w:t>
      </w:r>
      <w:proofErr w:type="spellStart"/>
      <w:r w:rsidRPr="001A1C36">
        <w:rPr>
          <w:rFonts w:eastAsia="Times New Roman" w:cstheme="minorHAnsi"/>
          <w:kern w:val="0"/>
          <w:lang w:eastAsia="en-GB"/>
          <w14:ligatures w14:val="none"/>
        </w:rPr>
        <w:t>mappa</w:t>
      </w:r>
      <w:proofErr w:type="spellEnd"/>
      <w:r w:rsidRPr="001A1C36">
        <w:rPr>
          <w:rFonts w:eastAsia="Times New Roman" w:cstheme="minorHAnsi"/>
          <w:kern w:val="0"/>
          <w:lang w:eastAsia="en-GB"/>
          <w14:ligatures w14:val="none"/>
        </w:rPr>
        <w:t xml:space="preserve">: Ethics and pragmatics’, </w:t>
      </w:r>
      <w:proofErr w:type="spellStart"/>
      <w:r w:rsidRPr="001A1C36">
        <w:rPr>
          <w:rFonts w:eastAsia="Times New Roman" w:cstheme="minorHAnsi"/>
          <w:i/>
          <w:iCs/>
          <w:kern w:val="0"/>
          <w:lang w:eastAsia="en-GB"/>
          <w14:ligatures w14:val="none"/>
        </w:rPr>
        <w:t>BJPsych</w:t>
      </w:r>
      <w:proofErr w:type="spellEnd"/>
      <w:r w:rsidRPr="001A1C36">
        <w:rPr>
          <w:rFonts w:eastAsia="Times New Roman" w:cstheme="minorHAnsi"/>
          <w:i/>
          <w:iCs/>
          <w:kern w:val="0"/>
          <w:lang w:eastAsia="en-GB"/>
          <w14:ligatures w14:val="none"/>
        </w:rPr>
        <w:t xml:space="preserve"> Advances</w:t>
      </w:r>
      <w:r w:rsidRPr="001A1C36">
        <w:rPr>
          <w:rFonts w:eastAsia="Times New Roman" w:cstheme="minorHAnsi"/>
          <w:kern w:val="0"/>
          <w:lang w:eastAsia="en-GB"/>
          <w14:ligatures w14:val="none"/>
        </w:rPr>
        <w:t xml:space="preserve">, 25(3), pp. 157–165. doi:10.1192/bja.2018.5. </w:t>
      </w:r>
    </w:p>
    <w:p w14:paraId="0F51106D" w14:textId="77777777" w:rsidR="001A1C36" w:rsidRP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p>
    <w:p w14:paraId="3EF7D0B3" w14:textId="77777777" w:rsidR="001A1C36" w:rsidRPr="001A1C36" w:rsidRDefault="001A1C36" w:rsidP="00B61DB7">
      <w:pPr>
        <w:spacing w:before="100" w:beforeAutospacing="1" w:after="100" w:afterAutospacing="1" w:line="240" w:lineRule="auto"/>
        <w:ind w:left="567" w:hanging="567"/>
        <w:rPr>
          <w:rFonts w:eastAsia="Times New Roman" w:cstheme="minorHAnsi"/>
          <w:kern w:val="0"/>
          <w:lang w:eastAsia="en-GB"/>
          <w14:ligatures w14:val="none"/>
        </w:rPr>
      </w:pPr>
      <w:r w:rsidRPr="001A1C36">
        <w:rPr>
          <w:rFonts w:eastAsia="Times New Roman" w:cstheme="minorHAnsi"/>
          <w:kern w:val="0"/>
          <w:lang w:eastAsia="en-GB"/>
          <w14:ligatures w14:val="none"/>
        </w:rPr>
        <w:lastRenderedPageBreak/>
        <w:t>Wood, J. (2012) ‘</w:t>
      </w:r>
      <w:proofErr w:type="spellStart"/>
      <w:r w:rsidRPr="001A1C36">
        <w:rPr>
          <w:rFonts w:eastAsia="Times New Roman" w:cstheme="minorHAnsi"/>
          <w:kern w:val="0"/>
          <w:lang w:eastAsia="en-GB"/>
          <w14:ligatures w14:val="none"/>
        </w:rPr>
        <w:t>Mappa</w:t>
      </w:r>
      <w:proofErr w:type="spellEnd"/>
      <w:r w:rsidRPr="001A1C36">
        <w:rPr>
          <w:rFonts w:eastAsia="Times New Roman" w:cstheme="minorHAnsi"/>
          <w:kern w:val="0"/>
          <w:lang w:eastAsia="en-GB"/>
          <w14:ligatures w14:val="none"/>
        </w:rPr>
        <w:t xml:space="preserve"> Level 3 offenders: Reconviction as a measure of effectiveness’, </w:t>
      </w:r>
      <w:r w:rsidRPr="001A1C36">
        <w:rPr>
          <w:rFonts w:eastAsia="Times New Roman" w:cstheme="minorHAnsi"/>
          <w:i/>
          <w:iCs/>
          <w:kern w:val="0"/>
          <w:lang w:eastAsia="en-GB"/>
          <w14:ligatures w14:val="none"/>
        </w:rPr>
        <w:t>Probation Journal</w:t>
      </w:r>
      <w:r w:rsidRPr="001A1C36">
        <w:rPr>
          <w:rFonts w:eastAsia="Times New Roman" w:cstheme="minorHAnsi"/>
          <w:kern w:val="0"/>
          <w:lang w:eastAsia="en-GB"/>
          <w14:ligatures w14:val="none"/>
        </w:rPr>
        <w:t xml:space="preserve">, 59(2), pp. 111–123. doi:10.1177/0264550512438254. </w:t>
      </w:r>
    </w:p>
    <w:p w14:paraId="132AD6F7" w14:textId="77777777" w:rsidR="001B09CF" w:rsidRDefault="001B09CF" w:rsidP="00A31A61">
      <w:pPr>
        <w:pStyle w:val="NormalWeb"/>
        <w:ind w:left="567" w:hanging="567"/>
      </w:pPr>
    </w:p>
    <w:p w14:paraId="372A77E2" w14:textId="77777777" w:rsidR="00D723EB" w:rsidRDefault="00D723EB"/>
    <w:p w14:paraId="554ACA99" w14:textId="77777777" w:rsidR="00A63F60" w:rsidRDefault="00A63F60"/>
    <w:p w14:paraId="12FA447E" w14:textId="77777777" w:rsidR="001A1C36" w:rsidRDefault="001A1C36"/>
    <w:p w14:paraId="0CC86945" w14:textId="77777777" w:rsidR="001A1C36" w:rsidRDefault="001A1C36"/>
    <w:p w14:paraId="348DF127" w14:textId="77777777" w:rsidR="001A1C36" w:rsidRDefault="001A1C36"/>
    <w:p w14:paraId="10C62DE4" w14:textId="77777777" w:rsidR="001A1C36" w:rsidRDefault="001A1C36"/>
    <w:p w14:paraId="7D8F40E2" w14:textId="77777777" w:rsidR="001A1C36" w:rsidRDefault="001A1C36"/>
    <w:p w14:paraId="0902DA1F" w14:textId="77777777" w:rsidR="001A1C36" w:rsidRDefault="001A1C36"/>
    <w:p w14:paraId="553CE2C8" w14:textId="77777777" w:rsidR="001A1C36" w:rsidRDefault="001A1C36"/>
    <w:p w14:paraId="5613ACAF" w14:textId="77777777" w:rsidR="001A1C36" w:rsidRDefault="001A1C36"/>
    <w:p w14:paraId="3391B290" w14:textId="77777777" w:rsidR="001A1C36" w:rsidRDefault="001A1C36"/>
    <w:p w14:paraId="6B8146D3" w14:textId="77777777" w:rsidR="001A1C36" w:rsidRDefault="001A1C36"/>
    <w:p w14:paraId="2B5B9272" w14:textId="77777777" w:rsidR="001A1C36" w:rsidRDefault="001A1C36"/>
    <w:p w14:paraId="7A849FC1" w14:textId="77777777" w:rsidR="001A1C36" w:rsidRDefault="001A1C36"/>
    <w:p w14:paraId="7032B8E9" w14:textId="77777777" w:rsidR="001A1C36" w:rsidRDefault="001A1C36"/>
    <w:p w14:paraId="671351FF" w14:textId="77777777" w:rsidR="001A1C36" w:rsidRDefault="001A1C36"/>
    <w:p w14:paraId="35AC6D53" w14:textId="77777777" w:rsidR="001A1C36" w:rsidRDefault="001A1C36"/>
    <w:p w14:paraId="74AEE300" w14:textId="77777777" w:rsidR="001A1C36" w:rsidRDefault="001A1C36"/>
    <w:p w14:paraId="716D7D66" w14:textId="77777777" w:rsidR="001A1C36" w:rsidRDefault="001A1C36"/>
    <w:p w14:paraId="4BCCFE3E" w14:textId="77777777" w:rsidR="001A1C36" w:rsidRDefault="001A1C36"/>
    <w:p w14:paraId="1BF6C0EE" w14:textId="77777777" w:rsidR="001A1C36" w:rsidRDefault="001A1C36"/>
    <w:p w14:paraId="0BD09D8F" w14:textId="77777777" w:rsidR="001A1C36" w:rsidRDefault="001A1C36"/>
    <w:p w14:paraId="75D2811E" w14:textId="77777777" w:rsidR="001A1C36" w:rsidRDefault="001A1C36"/>
    <w:p w14:paraId="350EF481" w14:textId="77777777" w:rsidR="001A1C36" w:rsidRDefault="001A1C36"/>
    <w:p w14:paraId="7AB0BF04" w14:textId="77777777" w:rsidR="001A1C36" w:rsidRDefault="001A1C36"/>
    <w:p w14:paraId="4813D981" w14:textId="77777777" w:rsidR="001A1C36" w:rsidRDefault="001A1C36"/>
    <w:p w14:paraId="36DAF744" w14:textId="77777777" w:rsidR="00F30FC9" w:rsidRDefault="00F30FC9" w:rsidP="005964B3"/>
    <w:p w14:paraId="0281F7EC" w14:textId="77777777" w:rsidR="00F30FC9" w:rsidRDefault="00F30FC9" w:rsidP="005964B3"/>
    <w:p w14:paraId="11928B6E" w14:textId="16602BEE" w:rsidR="005964B3" w:rsidRPr="005964B3" w:rsidRDefault="005964B3" w:rsidP="005964B3">
      <w:r w:rsidRPr="005964B3">
        <w:lastRenderedPageBreak/>
        <w:t>Essay four:</w:t>
      </w:r>
    </w:p>
    <w:p w14:paraId="3DFBB209" w14:textId="77777777" w:rsidR="005964B3" w:rsidRPr="005964B3" w:rsidRDefault="005964B3" w:rsidP="005964B3">
      <w:pPr>
        <w:rPr>
          <w:b/>
          <w:bCs/>
        </w:rPr>
      </w:pPr>
      <w:r w:rsidRPr="005964B3">
        <w:rPr>
          <w:b/>
          <w:bCs/>
        </w:rPr>
        <w:t xml:space="preserve">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 </w:t>
      </w:r>
    </w:p>
    <w:p w14:paraId="52FD0D90" w14:textId="77777777" w:rsidR="005964B3" w:rsidRPr="005964B3" w:rsidRDefault="005964B3" w:rsidP="005964B3">
      <w:pPr>
        <w:rPr>
          <w:rFonts w:cstheme="minorHAnsi"/>
        </w:rPr>
      </w:pPr>
    </w:p>
    <w:p w14:paraId="422809B8" w14:textId="210CD9FC" w:rsidR="005964B3" w:rsidRDefault="005964B3" w:rsidP="005964B3">
      <w:pPr>
        <w:rPr>
          <w:rFonts w:cstheme="minorHAnsi"/>
        </w:rPr>
      </w:pPr>
      <w:r w:rsidRPr="005964B3">
        <w:rPr>
          <w:rFonts w:cstheme="minorHAnsi"/>
        </w:rPr>
        <w:t>Public confidence in policing is vital for a functioning police service within the United Kingdom. The police in the UK follow Robert Peels 9 policing principles of policing by consent (Home Office, 2016). This means that the public must overall consent to the work of the police and be supportive of them for there to be an effective policing service. The Institute for Government (2023) found that 51% of people believe that the police are doing a good or excellent job. This means that there is a large proportion of society who do not think</w:t>
      </w:r>
      <w:r w:rsidR="00D20E8E">
        <w:rPr>
          <w:rFonts w:cstheme="minorHAnsi"/>
        </w:rPr>
        <w:t xml:space="preserve"> </w:t>
      </w:r>
      <w:r w:rsidRPr="005964B3">
        <w:rPr>
          <w:rFonts w:cstheme="minorHAnsi"/>
        </w:rPr>
        <w:t xml:space="preserve">as highly of the police as would be desired. Given the recent scandals in policing worldwide such as the case involving George Floyd in the US and the horrific case involving the murder of Sarah Everard by serving Met police officer Wayne Couzens there is increased scrutiny on vetting and police misconduct procedures. In this essay I will look at the </w:t>
      </w:r>
      <w:r w:rsidR="00484890">
        <w:rPr>
          <w:rFonts w:cstheme="minorHAnsi"/>
        </w:rPr>
        <w:t xml:space="preserve">reasons impacting public confidence, the </w:t>
      </w:r>
      <w:r w:rsidRPr="005964B3">
        <w:rPr>
          <w:rFonts w:cstheme="minorHAnsi"/>
        </w:rPr>
        <w:t xml:space="preserve">functionality of </w:t>
      </w:r>
      <w:r w:rsidR="00484890">
        <w:rPr>
          <w:rFonts w:cstheme="minorHAnsi"/>
        </w:rPr>
        <w:t xml:space="preserve">misconduct and vetting </w:t>
      </w:r>
      <w:r w:rsidRPr="005964B3">
        <w:rPr>
          <w:rFonts w:cstheme="minorHAnsi"/>
        </w:rPr>
        <w:t xml:space="preserve">procedures and evaluate why </w:t>
      </w:r>
      <w:r w:rsidR="00484890">
        <w:rPr>
          <w:rFonts w:cstheme="minorHAnsi"/>
        </w:rPr>
        <w:t>independent scrutiny</w:t>
      </w:r>
      <w:r w:rsidRPr="005964B3">
        <w:rPr>
          <w:rFonts w:cstheme="minorHAnsi"/>
        </w:rPr>
        <w:t xml:space="preserve"> </w:t>
      </w:r>
      <w:r w:rsidR="00484890">
        <w:rPr>
          <w:rFonts w:cstheme="minorHAnsi"/>
        </w:rPr>
        <w:t xml:space="preserve">is </w:t>
      </w:r>
      <w:r w:rsidRPr="005964B3">
        <w:rPr>
          <w:rFonts w:cstheme="minorHAnsi"/>
        </w:rPr>
        <w:t xml:space="preserve">important. </w:t>
      </w:r>
    </w:p>
    <w:p w14:paraId="34D7FD1B" w14:textId="77777777" w:rsidR="00F30FC9" w:rsidRPr="005964B3" w:rsidRDefault="00F30FC9" w:rsidP="005964B3">
      <w:pPr>
        <w:rPr>
          <w:rFonts w:cstheme="minorHAnsi"/>
        </w:rPr>
      </w:pPr>
    </w:p>
    <w:p w14:paraId="2E8268CD" w14:textId="2524B054" w:rsidR="005964B3" w:rsidRDefault="005964B3" w:rsidP="005964B3">
      <w:pPr>
        <w:rPr>
          <w:rFonts w:cstheme="minorHAnsi"/>
        </w:rPr>
      </w:pPr>
      <w:r w:rsidRPr="005964B3">
        <w:rPr>
          <w:rFonts w:cstheme="minorHAnsi"/>
        </w:rPr>
        <w:t xml:space="preserve">There are multiple policing incidents which have hit world-wide and nationwide headlines. These incidents have the potential to and have likely caused significant mistrust and loss of public confidence in policing. From the George Floyd murder by a serving police officer in the US resulting in widespread Black Lives Matter protests in the UK (BBC News, 2022) which sparked debate over police use of force disparities between white persons compared to black persons. Further headlines relating to the murder of Sarah Everard (Morton, 2021) and the police tactics used at the vigil that followed (BBC News, 2022) further creating tension and possible loss of trust in policing in the UK. This along with a headline which stated that thousands of police officers were working without the correct level of vetting (Abbot &amp; Tucker, 2021) makes difficult reading for those aiming to improve public confidence in policing. </w:t>
      </w:r>
    </w:p>
    <w:p w14:paraId="46DC3594" w14:textId="77777777" w:rsidR="00F30FC9" w:rsidRPr="005964B3" w:rsidRDefault="00F30FC9" w:rsidP="005964B3">
      <w:pPr>
        <w:rPr>
          <w:rFonts w:cstheme="minorHAnsi"/>
        </w:rPr>
      </w:pPr>
    </w:p>
    <w:p w14:paraId="5BFB5045" w14:textId="333B8A48" w:rsidR="005964B3" w:rsidRDefault="005964B3" w:rsidP="005964B3">
      <w:pPr>
        <w:rPr>
          <w:rFonts w:cstheme="minorHAnsi"/>
        </w:rPr>
      </w:pPr>
      <w:r w:rsidRPr="005964B3">
        <w:rPr>
          <w:rFonts w:cstheme="minorHAnsi"/>
        </w:rPr>
        <w:t xml:space="preserve">There are many factors that contribute or undermine public confidence in policing. A study by Bradford &amp; Myhill (2014) concluded that public confidence </w:t>
      </w:r>
      <w:r w:rsidR="002F230C" w:rsidRPr="005964B3">
        <w:rPr>
          <w:rFonts w:cstheme="minorHAnsi"/>
        </w:rPr>
        <w:t>co</w:t>
      </w:r>
      <w:r w:rsidR="002F230C">
        <w:rPr>
          <w:rFonts w:cstheme="minorHAnsi"/>
        </w:rPr>
        <w:t>rrelated</w:t>
      </w:r>
      <w:r w:rsidRPr="005964B3">
        <w:rPr>
          <w:rFonts w:cstheme="minorHAnsi"/>
        </w:rPr>
        <w:t xml:space="preserve"> with the police services perceived ability to tackle crime and disorder. This would appear to suggest that the public accept that if the police do their key function, they are satisfied. However, due to public scandals involving serving police officers, this may imply that the police are not effective at tackling crime as there are serving officers within their rank guilty of offences, therefore potentially contributing to a lowering of trust and confidence. This is further backed up by Jackson &amp; Bradford (2009) who found that the public wanted to feel reassured by the police and socially safe within their communities.</w:t>
      </w:r>
    </w:p>
    <w:p w14:paraId="6C80A1DF" w14:textId="77777777" w:rsidR="00F30FC9" w:rsidRPr="005964B3" w:rsidRDefault="00F30FC9" w:rsidP="005964B3">
      <w:pPr>
        <w:rPr>
          <w:rFonts w:cstheme="minorHAnsi"/>
        </w:rPr>
      </w:pPr>
    </w:p>
    <w:p w14:paraId="6699D4AB" w14:textId="0E8E4C61" w:rsidR="00F30FC9" w:rsidRDefault="005964B3" w:rsidP="005964B3">
      <w:pPr>
        <w:rPr>
          <w:rFonts w:cstheme="minorHAnsi"/>
        </w:rPr>
      </w:pPr>
      <w:r w:rsidRPr="005964B3">
        <w:rPr>
          <w:rFonts w:cstheme="minorHAnsi"/>
        </w:rPr>
        <w:t xml:space="preserve">The police services interactions with members of the public must be considered as a factor in in the public’s confidence. Merry et al (2012) found that quality communication with the public, along with being visible improved confidence. It was also concluded that positive experiences from the police towards victims led to higher confidence </w:t>
      </w:r>
      <w:r w:rsidR="008565A8">
        <w:rPr>
          <w:rFonts w:cstheme="minorHAnsi"/>
        </w:rPr>
        <w:t xml:space="preserve">and trust in the service </w:t>
      </w:r>
      <w:r w:rsidRPr="005964B3">
        <w:rPr>
          <w:rFonts w:cstheme="minorHAnsi"/>
        </w:rPr>
        <w:t xml:space="preserve">(Merry et al., 2012). </w:t>
      </w:r>
    </w:p>
    <w:p w14:paraId="7B6CEC87" w14:textId="77777777" w:rsidR="00F30FC9" w:rsidRDefault="00F30FC9" w:rsidP="005964B3">
      <w:pPr>
        <w:rPr>
          <w:rFonts w:cstheme="minorHAnsi"/>
        </w:rPr>
      </w:pPr>
    </w:p>
    <w:p w14:paraId="76A283FD" w14:textId="18237DEF" w:rsidR="005964B3" w:rsidRDefault="005964B3" w:rsidP="005964B3">
      <w:pPr>
        <w:rPr>
          <w:rFonts w:cstheme="minorHAnsi"/>
        </w:rPr>
      </w:pPr>
      <w:r w:rsidRPr="005964B3">
        <w:rPr>
          <w:rFonts w:cstheme="minorHAnsi"/>
        </w:rPr>
        <w:t>Given the nature of policing it is important that actions are held accountable. In the UK there are processes in place regarding police accountability. Firstly, any decision a police officer makes must be made by them using the National Decision-Making Model (NDM) (College of Policing, 2013). This decision-making process is a way of ensuring an officer’s decisions are justified and in line with</w:t>
      </w:r>
      <w:r w:rsidR="00F30FC9">
        <w:rPr>
          <w:rFonts w:cstheme="minorHAnsi"/>
        </w:rPr>
        <w:t xml:space="preserve"> </w:t>
      </w:r>
      <w:r w:rsidRPr="005964B3">
        <w:rPr>
          <w:rFonts w:cstheme="minorHAnsi"/>
        </w:rPr>
        <w:t>operational procedure. However, there are times where an officer’s action must be scrutinised. There are procedures in place to deal with this</w:t>
      </w:r>
      <w:r w:rsidR="001538E2">
        <w:rPr>
          <w:rFonts w:cstheme="minorHAnsi"/>
        </w:rPr>
        <w:t>,</w:t>
      </w:r>
      <w:r w:rsidRPr="005964B3">
        <w:rPr>
          <w:rFonts w:cstheme="minorHAnsi"/>
        </w:rPr>
        <w:t xml:space="preserve"> including when there has been a complaint made. There is guidance from the Independent Office for Police Conduct (IOPC) (no date), which outlines how these should be dealt with. Within this guidance it states, “An investigation into a complaint will fall into one of four types: local, supervised, managed, or independent.”. This indicates that some complaints are dealt with by the local force however, some are dealt with independently. </w:t>
      </w:r>
      <w:r w:rsidR="001538E2">
        <w:rPr>
          <w:rFonts w:cstheme="minorHAnsi"/>
        </w:rPr>
        <w:t>That said</w:t>
      </w:r>
      <w:r w:rsidRPr="005964B3">
        <w:rPr>
          <w:rFonts w:cstheme="minorHAnsi"/>
        </w:rPr>
        <w:t>, the IOPC do oversee all complaints procedure</w:t>
      </w:r>
      <w:r w:rsidR="00275391">
        <w:rPr>
          <w:rFonts w:cstheme="minorHAnsi"/>
        </w:rPr>
        <w:t>s</w:t>
      </w:r>
      <w:r w:rsidRPr="005964B3">
        <w:rPr>
          <w:rFonts w:cstheme="minorHAnsi"/>
        </w:rPr>
        <w:t xml:space="preserve"> in the UK forces, adding further independence (Whiting, no date). I believe this independence is important to improve public confidence as the</w:t>
      </w:r>
      <w:r w:rsidR="00275391">
        <w:rPr>
          <w:rFonts w:cstheme="minorHAnsi"/>
        </w:rPr>
        <w:t xml:space="preserve"> public </w:t>
      </w:r>
      <w:r w:rsidRPr="005964B3">
        <w:rPr>
          <w:rFonts w:cstheme="minorHAnsi"/>
        </w:rPr>
        <w:t xml:space="preserve">may not trust the police service to investigate themselves. </w:t>
      </w:r>
    </w:p>
    <w:p w14:paraId="000E397C" w14:textId="77777777" w:rsidR="00F30FC9" w:rsidRPr="005964B3" w:rsidRDefault="00F30FC9" w:rsidP="005964B3">
      <w:pPr>
        <w:rPr>
          <w:rFonts w:cstheme="minorHAnsi"/>
        </w:rPr>
      </w:pPr>
    </w:p>
    <w:p w14:paraId="683A4BAD" w14:textId="3D229983" w:rsidR="005964B3" w:rsidRDefault="005964B3" w:rsidP="005964B3">
      <w:pPr>
        <w:rPr>
          <w:rFonts w:cstheme="minorHAnsi"/>
        </w:rPr>
      </w:pPr>
      <w:r w:rsidRPr="005964B3">
        <w:rPr>
          <w:rFonts w:cstheme="minorHAnsi"/>
        </w:rPr>
        <w:t xml:space="preserve">When it comes to police related deaths there is significant transparency in the UK with the IOPC’s investigations </w:t>
      </w:r>
      <w:r w:rsidR="00463AC7">
        <w:rPr>
          <w:rFonts w:cstheme="minorHAnsi"/>
        </w:rPr>
        <w:t xml:space="preserve">being </w:t>
      </w:r>
      <w:r w:rsidRPr="005964B3">
        <w:rPr>
          <w:rFonts w:cstheme="minorHAnsi"/>
        </w:rPr>
        <w:t>independent and Coroner investigations being done in the public eye (Baker, 2022). In terms of police misconduct, in 2022, there were 87,786 complaints made against police, with 414 officers found guilty of misconduct and 284 found guilty of gross misconduct (Gilder, 2023).</w:t>
      </w:r>
    </w:p>
    <w:p w14:paraId="2B4B7C6B" w14:textId="77777777" w:rsidR="00F30FC9" w:rsidRPr="005964B3" w:rsidRDefault="00F30FC9" w:rsidP="005964B3">
      <w:pPr>
        <w:rPr>
          <w:rFonts w:cstheme="minorHAnsi"/>
        </w:rPr>
      </w:pPr>
    </w:p>
    <w:p w14:paraId="127F2C2B" w14:textId="6E9C8E34" w:rsidR="005964B3" w:rsidRDefault="005964B3" w:rsidP="005964B3">
      <w:pPr>
        <w:rPr>
          <w:rFonts w:cstheme="minorHAnsi"/>
        </w:rPr>
      </w:pPr>
      <w:r w:rsidRPr="005964B3">
        <w:rPr>
          <w:rFonts w:cstheme="minorHAnsi"/>
        </w:rPr>
        <w:t xml:space="preserve">When it comes to misconduct, there is perhaps an argument that person guilty of misconduct should not have been allowed to serve as police officers. Recent scandals did highlight force vetting issues, which has resulted in the British Government </w:t>
      </w:r>
      <w:r w:rsidR="00463AC7">
        <w:rPr>
          <w:rFonts w:cstheme="minorHAnsi"/>
        </w:rPr>
        <w:t>ensuring that</w:t>
      </w:r>
      <w:r w:rsidRPr="005964B3">
        <w:rPr>
          <w:rFonts w:cstheme="minorHAnsi"/>
        </w:rPr>
        <w:t xml:space="preserve"> all police forces re vet their staff (BBC News, 2023). A paper by Cubitt (2023) found that there were 131 decisions </w:t>
      </w:r>
      <w:r w:rsidR="00CB24AA">
        <w:rPr>
          <w:rFonts w:cstheme="minorHAnsi"/>
        </w:rPr>
        <w:t>during the</w:t>
      </w:r>
      <w:r w:rsidRPr="005964B3">
        <w:rPr>
          <w:rFonts w:cstheme="minorHAnsi"/>
        </w:rPr>
        <w:t xml:space="preserve"> vetting of officers which were potentially flawed. This could have catastrophic effects should any of these officers commit offences in future as it would lower public confidence. Cubitt (2023) also suggests that there can be improvements made to these police vetting with use o</w:t>
      </w:r>
      <w:r w:rsidR="00CB24AA">
        <w:rPr>
          <w:rFonts w:cstheme="minorHAnsi"/>
        </w:rPr>
        <w:t>f</w:t>
      </w:r>
      <w:r w:rsidRPr="005964B3">
        <w:rPr>
          <w:rFonts w:cstheme="minorHAnsi"/>
        </w:rPr>
        <w:t xml:space="preserve"> police intelligence. </w:t>
      </w:r>
    </w:p>
    <w:p w14:paraId="765F6333" w14:textId="77777777" w:rsidR="00F30FC9" w:rsidRPr="005964B3" w:rsidRDefault="00F30FC9" w:rsidP="005964B3">
      <w:pPr>
        <w:rPr>
          <w:rFonts w:cstheme="minorHAnsi"/>
        </w:rPr>
      </w:pPr>
    </w:p>
    <w:p w14:paraId="33CE1808" w14:textId="77777777" w:rsidR="005964B3" w:rsidRDefault="005964B3" w:rsidP="005964B3">
      <w:pPr>
        <w:rPr>
          <w:rFonts w:cstheme="minorHAnsi"/>
        </w:rPr>
      </w:pPr>
      <w:r w:rsidRPr="005964B3">
        <w:rPr>
          <w:rFonts w:cstheme="minorHAnsi"/>
        </w:rPr>
        <w:t>Another potential issue is within the police service itself and the reporting of misconduct. Police officers were found not to always report misconduct by colleagues (</w:t>
      </w:r>
      <w:proofErr w:type="spellStart"/>
      <w:r w:rsidRPr="005964B3">
        <w:rPr>
          <w:rFonts w:cstheme="minorHAnsi"/>
        </w:rPr>
        <w:t>Westmarland</w:t>
      </w:r>
      <w:proofErr w:type="spellEnd"/>
      <w:r w:rsidRPr="005964B3">
        <w:rPr>
          <w:rFonts w:cstheme="minorHAnsi"/>
        </w:rPr>
        <w:t xml:space="preserve"> &amp; Rowe, 2016), this along with findings by Quispe-Torreblanca &amp; Stewart (2019) that observing peer misconduct can increase the likelihood of misconduct by themselves. This shows that independent scrutiny is important as issues being dealt with in force may not be adequate to prevent misconduct amongst officers which could later go on to lower public confidence. </w:t>
      </w:r>
    </w:p>
    <w:p w14:paraId="3844B16A" w14:textId="77777777" w:rsidR="00F30FC9" w:rsidRPr="005964B3" w:rsidRDefault="00F30FC9" w:rsidP="005964B3">
      <w:pPr>
        <w:rPr>
          <w:rFonts w:cstheme="minorHAnsi"/>
        </w:rPr>
      </w:pPr>
    </w:p>
    <w:p w14:paraId="407AF1BC" w14:textId="77777777" w:rsidR="005964B3" w:rsidRDefault="005964B3" w:rsidP="005964B3">
      <w:pPr>
        <w:rPr>
          <w:rFonts w:cstheme="minorHAnsi"/>
        </w:rPr>
      </w:pPr>
      <w:r w:rsidRPr="005964B3">
        <w:rPr>
          <w:rFonts w:cstheme="minorHAnsi"/>
        </w:rPr>
        <w:t xml:space="preserve">However, there is a noted downside to the accountability of police officers with the amount of paperwork required for officers to justify their decision making (Huey et al., 2022). This therefore could detract from officers’ availability to deploy to live incidents. </w:t>
      </w:r>
    </w:p>
    <w:p w14:paraId="2970AB23" w14:textId="77777777" w:rsidR="00F30FC9" w:rsidRPr="005964B3" w:rsidRDefault="00F30FC9" w:rsidP="005964B3">
      <w:pPr>
        <w:rPr>
          <w:rFonts w:cstheme="minorHAnsi"/>
        </w:rPr>
      </w:pPr>
    </w:p>
    <w:p w14:paraId="40889776" w14:textId="3E1243DC" w:rsidR="005964B3" w:rsidRDefault="005964B3" w:rsidP="005964B3">
      <w:pPr>
        <w:rPr>
          <w:rFonts w:cstheme="minorHAnsi"/>
        </w:rPr>
      </w:pPr>
      <w:r w:rsidRPr="005964B3">
        <w:rPr>
          <w:rFonts w:cstheme="minorHAnsi"/>
        </w:rPr>
        <w:t xml:space="preserve">In conclusion, there have been many high-profile scandals shining the light on police misconduct procedures and vetting, however they seem not to be the only key factor in public confidence. Independent scrutiny is important, and forces have a lot of work to do to improve </w:t>
      </w:r>
      <w:r w:rsidR="00C545EB">
        <w:rPr>
          <w:rFonts w:cstheme="minorHAnsi"/>
        </w:rPr>
        <w:t xml:space="preserve">this </w:t>
      </w:r>
      <w:r w:rsidRPr="005964B3">
        <w:rPr>
          <w:rFonts w:cstheme="minorHAnsi"/>
        </w:rPr>
        <w:t xml:space="preserve">moving </w:t>
      </w:r>
      <w:r w:rsidRPr="005964B3">
        <w:rPr>
          <w:rFonts w:cstheme="minorHAnsi"/>
        </w:rPr>
        <w:lastRenderedPageBreak/>
        <w:t xml:space="preserve">forward, however I see with the re-vetting and clear desire to root out officers committing misconduct this could be achieved. </w:t>
      </w:r>
    </w:p>
    <w:p w14:paraId="534DAC71" w14:textId="77777777" w:rsidR="00C426D4" w:rsidRDefault="00C426D4" w:rsidP="005964B3">
      <w:pPr>
        <w:rPr>
          <w:rFonts w:cstheme="minorHAnsi"/>
        </w:rPr>
      </w:pPr>
    </w:p>
    <w:p w14:paraId="78B0A212" w14:textId="5DE0E8B7" w:rsidR="00C426D4" w:rsidRDefault="00C426D4" w:rsidP="005964B3">
      <w:pPr>
        <w:rPr>
          <w:rFonts w:cstheme="minorHAnsi"/>
        </w:rPr>
      </w:pPr>
      <w:r>
        <w:rPr>
          <w:rFonts w:cstheme="minorHAnsi"/>
        </w:rPr>
        <w:t>Word count: 10</w:t>
      </w:r>
      <w:r w:rsidR="00A8049B">
        <w:rPr>
          <w:rFonts w:cstheme="minorHAnsi"/>
        </w:rPr>
        <w:t>63</w:t>
      </w:r>
    </w:p>
    <w:p w14:paraId="521F447D" w14:textId="77777777" w:rsidR="00C426D4" w:rsidRDefault="00C426D4" w:rsidP="005964B3">
      <w:pPr>
        <w:rPr>
          <w:rFonts w:cstheme="minorHAnsi"/>
        </w:rPr>
      </w:pPr>
    </w:p>
    <w:p w14:paraId="2D9AAB52" w14:textId="77777777" w:rsidR="00D20E8E" w:rsidRDefault="00D20E8E" w:rsidP="005964B3">
      <w:pPr>
        <w:rPr>
          <w:rFonts w:cstheme="minorHAnsi"/>
        </w:rPr>
      </w:pPr>
    </w:p>
    <w:p w14:paraId="2706C100" w14:textId="325A6D48" w:rsidR="005964B3" w:rsidRPr="005964B3" w:rsidRDefault="00C426D4" w:rsidP="005964B3">
      <w:pPr>
        <w:rPr>
          <w:rFonts w:cstheme="minorHAnsi"/>
        </w:rPr>
      </w:pPr>
      <w:r w:rsidRPr="005964B3">
        <w:rPr>
          <w:rFonts w:cstheme="minorHAnsi"/>
        </w:rPr>
        <w:t>References</w:t>
      </w:r>
      <w:r w:rsidR="005964B3" w:rsidRPr="005964B3">
        <w:rPr>
          <w:rFonts w:cstheme="minorHAnsi"/>
        </w:rPr>
        <w:t>:</w:t>
      </w:r>
    </w:p>
    <w:p w14:paraId="4926DFC3"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73630F9B"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Abbot, M. and Tucker, M. (2021) </w:t>
      </w:r>
      <w:r w:rsidRPr="005964B3">
        <w:rPr>
          <w:rFonts w:eastAsia="Times New Roman" w:cstheme="minorHAnsi"/>
          <w:i/>
          <w:iCs/>
          <w:kern w:val="0"/>
          <w:lang w:eastAsia="en-GB"/>
          <w14:ligatures w14:val="none"/>
        </w:rPr>
        <w:t>Police vetting: Thousands of staff members not properly checked</w:t>
      </w:r>
      <w:r w:rsidRPr="005964B3">
        <w:rPr>
          <w:rFonts w:eastAsia="Times New Roman" w:cstheme="minorHAnsi"/>
          <w:kern w:val="0"/>
          <w:lang w:eastAsia="en-GB"/>
          <w14:ligatures w14:val="none"/>
        </w:rPr>
        <w:t xml:space="preserve">, </w:t>
      </w:r>
      <w:r w:rsidRPr="005964B3">
        <w:rPr>
          <w:rFonts w:eastAsia="Times New Roman" w:cstheme="minorHAnsi"/>
          <w:i/>
          <w:iCs/>
          <w:kern w:val="0"/>
          <w:lang w:eastAsia="en-GB"/>
          <w14:ligatures w14:val="none"/>
        </w:rPr>
        <w:t>BBC News</w:t>
      </w:r>
      <w:r w:rsidRPr="005964B3">
        <w:rPr>
          <w:rFonts w:eastAsia="Times New Roman" w:cstheme="minorHAnsi"/>
          <w:kern w:val="0"/>
          <w:lang w:eastAsia="en-GB"/>
          <w14:ligatures w14:val="none"/>
        </w:rPr>
        <w:t xml:space="preserve">. Available at: https://www.bbc.co.uk/news/uk-59267652 (Accessed: 05 February 2024). </w:t>
      </w:r>
    </w:p>
    <w:p w14:paraId="3A5AB05C"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442C876C"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Baker, D. (2022a) ‘Accountability in the aftermath of police related deaths in the US and England and Wales: Processes and outcomes’, </w:t>
      </w:r>
      <w:r w:rsidRPr="005964B3">
        <w:rPr>
          <w:rFonts w:eastAsia="Times New Roman" w:cstheme="minorHAnsi"/>
          <w:i/>
          <w:iCs/>
          <w:kern w:val="0"/>
          <w:lang w:eastAsia="en-GB"/>
          <w14:ligatures w14:val="none"/>
        </w:rPr>
        <w:t>Policing: An International Journal</w:t>
      </w:r>
      <w:r w:rsidRPr="005964B3">
        <w:rPr>
          <w:rFonts w:eastAsia="Times New Roman" w:cstheme="minorHAnsi"/>
          <w:kern w:val="0"/>
          <w:lang w:eastAsia="en-GB"/>
          <w14:ligatures w14:val="none"/>
        </w:rPr>
        <w:t xml:space="preserve">, 45(4), pp. 556–569. doi:10.1108/pijpsm-08-2021-0115. </w:t>
      </w:r>
    </w:p>
    <w:p w14:paraId="7B541771"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641448C1"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Bradford, B. and Myhill, A. (2014) ‘Triggers of change to public confidence in the police and criminal justice system: Findings from the Crime Survey for England and Wales Panel Experiment’, </w:t>
      </w:r>
      <w:r w:rsidRPr="005964B3">
        <w:rPr>
          <w:rFonts w:eastAsia="Times New Roman" w:cstheme="minorHAnsi"/>
          <w:i/>
          <w:iCs/>
          <w:kern w:val="0"/>
          <w:lang w:eastAsia="en-GB"/>
          <w14:ligatures w14:val="none"/>
        </w:rPr>
        <w:t>Criminology &amp;amp; Criminal Justice</w:t>
      </w:r>
      <w:r w:rsidRPr="005964B3">
        <w:rPr>
          <w:rFonts w:eastAsia="Times New Roman" w:cstheme="minorHAnsi"/>
          <w:kern w:val="0"/>
          <w:lang w:eastAsia="en-GB"/>
          <w14:ligatures w14:val="none"/>
        </w:rPr>
        <w:t xml:space="preserve">, 15(1), pp. 23–43. doi:10.1177/1748895814521825. </w:t>
      </w:r>
    </w:p>
    <w:p w14:paraId="7937F3F2"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729670F7"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Cubitt, T.I. (2023) ‘The value of criminal history and police intelligence in vetting and selection of police’, </w:t>
      </w:r>
      <w:r w:rsidRPr="005964B3">
        <w:rPr>
          <w:rFonts w:eastAsia="Times New Roman" w:cstheme="minorHAnsi"/>
          <w:i/>
          <w:iCs/>
          <w:kern w:val="0"/>
          <w:lang w:eastAsia="en-GB"/>
          <w14:ligatures w14:val="none"/>
        </w:rPr>
        <w:t>Crime Science</w:t>
      </w:r>
      <w:r w:rsidRPr="005964B3">
        <w:rPr>
          <w:rFonts w:eastAsia="Times New Roman" w:cstheme="minorHAnsi"/>
          <w:kern w:val="0"/>
          <w:lang w:eastAsia="en-GB"/>
          <w14:ligatures w14:val="none"/>
        </w:rPr>
        <w:t xml:space="preserve">, 12(1). doi:10.1186/s40163-023-00186-3. </w:t>
      </w:r>
    </w:p>
    <w:p w14:paraId="10789CDC"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7E265166"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Gilder, L. (2023) </w:t>
      </w:r>
      <w:r w:rsidRPr="005964B3">
        <w:rPr>
          <w:rFonts w:eastAsia="Times New Roman" w:cstheme="minorHAnsi"/>
          <w:i/>
          <w:iCs/>
          <w:kern w:val="0"/>
          <w:lang w:eastAsia="en-GB"/>
          <w14:ligatures w14:val="none"/>
        </w:rPr>
        <w:t>How many complaints are made against police officers, and how many are sacked?,</w:t>
      </w:r>
      <w:r w:rsidRPr="005964B3">
        <w:rPr>
          <w:rFonts w:eastAsia="Times New Roman" w:cstheme="minorHAnsi"/>
          <w:kern w:val="0"/>
          <w:lang w:eastAsia="en-GB"/>
          <w14:ligatures w14:val="none"/>
        </w:rPr>
        <w:t xml:space="preserve"> </w:t>
      </w:r>
      <w:r w:rsidRPr="005964B3">
        <w:rPr>
          <w:rFonts w:eastAsia="Times New Roman" w:cstheme="minorHAnsi"/>
          <w:i/>
          <w:iCs/>
          <w:kern w:val="0"/>
          <w:lang w:eastAsia="en-GB"/>
          <w14:ligatures w14:val="none"/>
        </w:rPr>
        <w:t>BBC News</w:t>
      </w:r>
      <w:r w:rsidRPr="005964B3">
        <w:rPr>
          <w:rFonts w:eastAsia="Times New Roman" w:cstheme="minorHAnsi"/>
          <w:kern w:val="0"/>
          <w:lang w:eastAsia="en-GB"/>
          <w14:ligatures w14:val="none"/>
        </w:rPr>
        <w:t xml:space="preserve">. Available at: https://www.bbc.co.uk/news/uk-64469642 (Accessed: 05 February 2024). </w:t>
      </w:r>
    </w:p>
    <w:p w14:paraId="1F0DC013"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6D8E62DB"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Huey, L., Ferguson, L. and Ricciardelli, R. (2022) ‘“it’s all about covering </w:t>
      </w:r>
      <w:proofErr w:type="spellStart"/>
      <w:r w:rsidRPr="005964B3">
        <w:rPr>
          <w:rFonts w:eastAsia="Times New Roman" w:cstheme="minorHAnsi"/>
          <w:kern w:val="0"/>
          <w:lang w:eastAsia="en-GB"/>
          <w14:ligatures w14:val="none"/>
        </w:rPr>
        <w:t>your</w:t>
      </w:r>
      <w:proofErr w:type="spellEnd"/>
      <w:r w:rsidRPr="005964B3">
        <w:rPr>
          <w:rFonts w:eastAsia="Times New Roman" w:cstheme="minorHAnsi"/>
          <w:kern w:val="0"/>
          <w:lang w:eastAsia="en-GB"/>
          <w14:ligatures w14:val="none"/>
        </w:rPr>
        <w:t xml:space="preserve"> . . .”: The unintended consequences of police accountability measures’, </w:t>
      </w:r>
      <w:r w:rsidRPr="005964B3">
        <w:rPr>
          <w:rFonts w:eastAsia="Times New Roman" w:cstheme="minorHAnsi"/>
          <w:i/>
          <w:iCs/>
          <w:kern w:val="0"/>
          <w:lang w:eastAsia="en-GB"/>
          <w14:ligatures w14:val="none"/>
        </w:rPr>
        <w:t>Criminology &amp;amp; Criminal Justice</w:t>
      </w:r>
      <w:r w:rsidRPr="005964B3">
        <w:rPr>
          <w:rFonts w:eastAsia="Times New Roman" w:cstheme="minorHAnsi"/>
          <w:kern w:val="0"/>
          <w:lang w:eastAsia="en-GB"/>
          <w14:ligatures w14:val="none"/>
        </w:rPr>
        <w:t xml:space="preserve">, p. 174889582211405. doi:10.1177/17488958221140551. </w:t>
      </w:r>
    </w:p>
    <w:p w14:paraId="0A73501E"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04D53963" w14:textId="7280E264" w:rsidR="005964B3" w:rsidRPr="005964B3" w:rsidRDefault="005964B3" w:rsidP="005964B3">
      <w:pPr>
        <w:ind w:left="720" w:hanging="720"/>
        <w:rPr>
          <w:rFonts w:cstheme="minorHAnsi"/>
        </w:rPr>
      </w:pPr>
      <w:r w:rsidRPr="005964B3">
        <w:rPr>
          <w:rFonts w:cstheme="minorHAnsi"/>
        </w:rPr>
        <w:t xml:space="preserve">Institute for Government (2023) </w:t>
      </w:r>
      <w:r w:rsidRPr="005964B3">
        <w:rPr>
          <w:rFonts w:cstheme="minorHAnsi"/>
          <w:i/>
          <w:iCs/>
        </w:rPr>
        <w:t xml:space="preserve">Performance Tracker 2023 Public services as the UK approaches general election. </w:t>
      </w:r>
      <w:r w:rsidRPr="005964B3">
        <w:rPr>
          <w:rFonts w:cstheme="minorHAnsi"/>
        </w:rPr>
        <w:t xml:space="preserve">Available at: </w:t>
      </w:r>
      <w:hyperlink r:id="rId12" w:history="1">
        <w:r w:rsidRPr="005964B3">
          <w:rPr>
            <w:rStyle w:val="Hyperlink"/>
            <w:rFonts w:cstheme="minorHAnsi"/>
          </w:rPr>
          <w:t>https://www.instituteforgovernment.org.uk/sites/default/files/2024-01/performance-tracker-2023.pdf</w:t>
        </w:r>
      </w:hyperlink>
      <w:r w:rsidRPr="005964B3">
        <w:rPr>
          <w:rFonts w:cstheme="minorHAnsi"/>
        </w:rPr>
        <w:t xml:space="preserve"> (Accessed: 05 February 2024)</w:t>
      </w:r>
    </w:p>
    <w:p w14:paraId="03073E12" w14:textId="77777777" w:rsidR="005964B3" w:rsidRPr="005964B3" w:rsidRDefault="005964B3" w:rsidP="005964B3">
      <w:pPr>
        <w:ind w:left="720" w:hanging="720"/>
        <w:rPr>
          <w:rFonts w:cstheme="minorHAnsi"/>
          <w:i/>
          <w:iCs/>
        </w:rPr>
      </w:pPr>
    </w:p>
    <w:p w14:paraId="47E4E75E" w14:textId="77777777" w:rsidR="005964B3" w:rsidRPr="005964B3" w:rsidRDefault="005964B3" w:rsidP="005964B3">
      <w:pPr>
        <w:ind w:left="720" w:hanging="720"/>
        <w:rPr>
          <w:rFonts w:cstheme="minorHAnsi"/>
        </w:rPr>
      </w:pPr>
      <w:r w:rsidRPr="005964B3">
        <w:rPr>
          <w:rFonts w:cstheme="minorHAnsi"/>
        </w:rPr>
        <w:t xml:space="preserve">IOPC (no date) </w:t>
      </w:r>
      <w:r w:rsidRPr="005964B3">
        <w:rPr>
          <w:rFonts w:cstheme="minorHAnsi"/>
          <w:i/>
          <w:iCs/>
        </w:rPr>
        <w:t>Guidance on the recording of complaints under the Police Reform Act 2002</w:t>
      </w:r>
      <w:r w:rsidRPr="005964B3">
        <w:rPr>
          <w:rFonts w:cstheme="minorHAnsi"/>
        </w:rPr>
        <w:t>. Available at:</w:t>
      </w:r>
      <w:hyperlink r:id="rId13" w:history="1">
        <w:r w:rsidRPr="005964B3">
          <w:rPr>
            <w:rFonts w:cstheme="minorHAnsi"/>
          </w:rPr>
          <w:t>https://www.policeconduct.gov.uk/sites/default/files/documents/Guidance_on_recording_of_complaints_under_PRA_2002_Dec17update.PDF</w:t>
        </w:r>
      </w:hyperlink>
      <w:r w:rsidRPr="005964B3">
        <w:rPr>
          <w:rFonts w:cstheme="minorHAnsi"/>
        </w:rPr>
        <w:t xml:space="preserve"> (Accessed: 05 February 2024)</w:t>
      </w:r>
    </w:p>
    <w:p w14:paraId="338CEF26"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Jackson, J. and Bradford, B. (2009) ‘Crime, policing and social order: On the expressive nature of public confidence in policing’, </w:t>
      </w:r>
      <w:r w:rsidRPr="005964B3">
        <w:rPr>
          <w:rFonts w:eastAsia="Times New Roman" w:cstheme="minorHAnsi"/>
          <w:i/>
          <w:iCs/>
          <w:kern w:val="0"/>
          <w:lang w:eastAsia="en-GB"/>
          <w14:ligatures w14:val="none"/>
        </w:rPr>
        <w:t>The British Journal of Sociology</w:t>
      </w:r>
      <w:r w:rsidRPr="005964B3">
        <w:rPr>
          <w:rFonts w:eastAsia="Times New Roman" w:cstheme="minorHAnsi"/>
          <w:kern w:val="0"/>
          <w:lang w:eastAsia="en-GB"/>
          <w14:ligatures w14:val="none"/>
        </w:rPr>
        <w:t xml:space="preserve">, 60(3), pp. 493–521. doi:10.1111/j.1468-4446.2009.01253.x. </w:t>
      </w:r>
    </w:p>
    <w:p w14:paraId="40BF41CC"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044C0368"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Merry, S. </w:t>
      </w:r>
      <w:r w:rsidRPr="005964B3">
        <w:rPr>
          <w:rFonts w:eastAsia="Times New Roman" w:cstheme="minorHAnsi"/>
          <w:i/>
          <w:iCs/>
          <w:kern w:val="0"/>
          <w:lang w:eastAsia="en-GB"/>
          <w14:ligatures w14:val="none"/>
        </w:rPr>
        <w:t>et al.</w:t>
      </w:r>
      <w:r w:rsidRPr="005964B3">
        <w:rPr>
          <w:rFonts w:eastAsia="Times New Roman" w:cstheme="minorHAnsi"/>
          <w:kern w:val="0"/>
          <w:lang w:eastAsia="en-GB"/>
          <w14:ligatures w14:val="none"/>
        </w:rPr>
        <w:t xml:space="preserve"> (2012) ‘Drivers of Public Trust and confidence in police in the UK’, </w:t>
      </w:r>
      <w:r w:rsidRPr="005964B3">
        <w:rPr>
          <w:rFonts w:eastAsia="Times New Roman" w:cstheme="minorHAnsi"/>
          <w:i/>
          <w:iCs/>
          <w:kern w:val="0"/>
          <w:lang w:eastAsia="en-GB"/>
          <w14:ligatures w14:val="none"/>
        </w:rPr>
        <w:t>International Journal of Police Science &amp;amp; Management</w:t>
      </w:r>
      <w:r w:rsidRPr="005964B3">
        <w:rPr>
          <w:rFonts w:eastAsia="Times New Roman" w:cstheme="minorHAnsi"/>
          <w:kern w:val="0"/>
          <w:lang w:eastAsia="en-GB"/>
          <w14:ligatures w14:val="none"/>
        </w:rPr>
        <w:t xml:space="preserve">, 14(2), pp. 118–135. doi:10.1350/ijps.2012.14.2.268. </w:t>
      </w:r>
    </w:p>
    <w:p w14:paraId="732B6D84"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64155EC1"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Morton, B. (2021) </w:t>
      </w:r>
      <w:r w:rsidRPr="005964B3">
        <w:rPr>
          <w:rFonts w:eastAsia="Times New Roman" w:cstheme="minorHAnsi"/>
          <w:i/>
          <w:iCs/>
          <w:kern w:val="0"/>
          <w:lang w:eastAsia="en-GB"/>
          <w14:ligatures w14:val="none"/>
        </w:rPr>
        <w:t>Sarah Everard: How Wayne Couzens planned her murder</w:t>
      </w:r>
      <w:r w:rsidRPr="005964B3">
        <w:rPr>
          <w:rFonts w:eastAsia="Times New Roman" w:cstheme="minorHAnsi"/>
          <w:kern w:val="0"/>
          <w:lang w:eastAsia="en-GB"/>
          <w14:ligatures w14:val="none"/>
        </w:rPr>
        <w:t xml:space="preserve">, </w:t>
      </w:r>
      <w:r w:rsidRPr="005964B3">
        <w:rPr>
          <w:rFonts w:eastAsia="Times New Roman" w:cstheme="minorHAnsi"/>
          <w:i/>
          <w:iCs/>
          <w:kern w:val="0"/>
          <w:lang w:eastAsia="en-GB"/>
          <w14:ligatures w14:val="none"/>
        </w:rPr>
        <w:t>BBC News</w:t>
      </w:r>
      <w:r w:rsidRPr="005964B3">
        <w:rPr>
          <w:rFonts w:eastAsia="Times New Roman" w:cstheme="minorHAnsi"/>
          <w:kern w:val="0"/>
          <w:lang w:eastAsia="en-GB"/>
          <w14:ligatures w14:val="none"/>
        </w:rPr>
        <w:t xml:space="preserve">. Available at: https://www.bbc.co.uk/news/uk-58746108 (Accessed: 05 February 2024). </w:t>
      </w:r>
    </w:p>
    <w:p w14:paraId="22E1116B"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2F6600A7"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National decision model (2013) College of Policing. Available at: https://www.college.police.uk/app/national-decision-model/national-decision-model (Accessed: 05/02/2024).  </w:t>
      </w:r>
    </w:p>
    <w:p w14:paraId="7733C4C8"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18111CC0"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rPr>
      </w:pPr>
      <w:r w:rsidRPr="005964B3">
        <w:rPr>
          <w:rFonts w:eastAsia="Times New Roman" w:cstheme="minorHAnsi"/>
          <w:kern w:val="0"/>
          <w:lang w:eastAsia="en-GB"/>
        </w:rPr>
        <w:t xml:space="preserve">Office, H. (2016) </w:t>
      </w:r>
      <w:r w:rsidRPr="005964B3">
        <w:rPr>
          <w:rFonts w:eastAsia="Times New Roman" w:cstheme="minorHAnsi"/>
          <w:i/>
          <w:iCs/>
          <w:kern w:val="0"/>
          <w:lang w:eastAsia="en-GB"/>
        </w:rPr>
        <w:t>Definition of policing by consent</w:t>
      </w:r>
      <w:r w:rsidRPr="005964B3">
        <w:rPr>
          <w:rFonts w:eastAsia="Times New Roman" w:cstheme="minorHAnsi"/>
          <w:kern w:val="0"/>
          <w:lang w:eastAsia="en-GB"/>
        </w:rPr>
        <w:t xml:space="preserve">, </w:t>
      </w:r>
      <w:r w:rsidRPr="005964B3">
        <w:rPr>
          <w:rFonts w:eastAsia="Times New Roman" w:cstheme="minorHAnsi"/>
          <w:i/>
          <w:iCs/>
          <w:kern w:val="0"/>
          <w:lang w:eastAsia="en-GB"/>
        </w:rPr>
        <w:t>GOV.UK</w:t>
      </w:r>
      <w:r w:rsidRPr="005964B3">
        <w:rPr>
          <w:rFonts w:eastAsia="Times New Roman" w:cstheme="minorHAnsi"/>
          <w:kern w:val="0"/>
          <w:lang w:eastAsia="en-GB"/>
        </w:rPr>
        <w:t xml:space="preserve">. Available at: https://www.gov.uk/government/publications/policing-by-consent/definition-of-policing-by-consent (Accessed: 05 February 2024). </w:t>
      </w:r>
    </w:p>
    <w:p w14:paraId="6388C166"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rPr>
      </w:pPr>
    </w:p>
    <w:p w14:paraId="1070431E"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BBC News (2023) </w:t>
      </w:r>
      <w:r w:rsidRPr="005964B3">
        <w:rPr>
          <w:rFonts w:eastAsia="Times New Roman" w:cstheme="minorHAnsi"/>
          <w:i/>
          <w:iCs/>
          <w:kern w:val="0"/>
          <w:lang w:eastAsia="en-GB"/>
          <w14:ligatures w14:val="none"/>
        </w:rPr>
        <w:t>Police must check all officers and staff by end of march</w:t>
      </w:r>
      <w:r w:rsidRPr="005964B3">
        <w:rPr>
          <w:rFonts w:eastAsia="Times New Roman" w:cstheme="minorHAnsi"/>
          <w:kern w:val="0"/>
          <w:lang w:eastAsia="en-GB"/>
          <w14:ligatures w14:val="none"/>
        </w:rPr>
        <w:t xml:space="preserve">. Available at: https://www.bbc.co.uk/news/uk-64350230 (Accessed: 05 February 2024). </w:t>
      </w:r>
    </w:p>
    <w:p w14:paraId="3DCBA04D"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47D191F9"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Quispe-Torreblanca, E.G. and Stewart, N. (2019) ‘Causal peer effects in police misconduct’, </w:t>
      </w:r>
      <w:r w:rsidRPr="005964B3">
        <w:rPr>
          <w:rFonts w:eastAsia="Times New Roman" w:cstheme="minorHAnsi"/>
          <w:i/>
          <w:iCs/>
          <w:kern w:val="0"/>
          <w:lang w:eastAsia="en-GB"/>
          <w14:ligatures w14:val="none"/>
        </w:rPr>
        <w:t>Nature Human Behaviour</w:t>
      </w:r>
      <w:r w:rsidRPr="005964B3">
        <w:rPr>
          <w:rFonts w:eastAsia="Times New Roman" w:cstheme="minorHAnsi"/>
          <w:kern w:val="0"/>
          <w:lang w:eastAsia="en-GB"/>
          <w14:ligatures w14:val="none"/>
        </w:rPr>
        <w:t xml:space="preserve">, 3(8), pp. 797–807. doi:10.1038/s41562-019-0612-8. </w:t>
      </w:r>
    </w:p>
    <w:p w14:paraId="4DD9DBCB"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39D1C886"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i/>
          <w:iCs/>
          <w:kern w:val="0"/>
          <w:lang w:eastAsia="en-GB"/>
          <w14:ligatures w14:val="none"/>
        </w:rPr>
        <w:t>Sarah Everard: Met police breached rights of vigil organisers</w:t>
      </w:r>
      <w:r w:rsidRPr="005964B3">
        <w:rPr>
          <w:rFonts w:eastAsia="Times New Roman" w:cstheme="minorHAnsi"/>
          <w:kern w:val="0"/>
          <w:lang w:eastAsia="en-GB"/>
          <w14:ligatures w14:val="none"/>
        </w:rPr>
        <w:t xml:space="preserve"> (2022) </w:t>
      </w:r>
      <w:r w:rsidRPr="005964B3">
        <w:rPr>
          <w:rFonts w:eastAsia="Times New Roman" w:cstheme="minorHAnsi"/>
          <w:i/>
          <w:iCs/>
          <w:kern w:val="0"/>
          <w:lang w:eastAsia="en-GB"/>
          <w14:ligatures w14:val="none"/>
        </w:rPr>
        <w:t>BBC News</w:t>
      </w:r>
      <w:r w:rsidRPr="005964B3">
        <w:rPr>
          <w:rFonts w:eastAsia="Times New Roman" w:cstheme="minorHAnsi"/>
          <w:kern w:val="0"/>
          <w:lang w:eastAsia="en-GB"/>
          <w14:ligatures w14:val="none"/>
        </w:rPr>
        <w:t xml:space="preserve">. Available at: https://www.bbc.co.uk/news/uk-england-london-60707646 (Accessed: 05 February 2024). </w:t>
      </w:r>
    </w:p>
    <w:p w14:paraId="400684FC"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55289C40"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roofErr w:type="spellStart"/>
      <w:r w:rsidRPr="005964B3">
        <w:rPr>
          <w:rFonts w:eastAsia="Times New Roman" w:cstheme="minorHAnsi"/>
          <w:kern w:val="0"/>
          <w:lang w:eastAsia="en-GB"/>
          <w14:ligatures w14:val="none"/>
        </w:rPr>
        <w:t>Westmarland</w:t>
      </w:r>
      <w:proofErr w:type="spellEnd"/>
      <w:r w:rsidRPr="005964B3">
        <w:rPr>
          <w:rFonts w:eastAsia="Times New Roman" w:cstheme="minorHAnsi"/>
          <w:kern w:val="0"/>
          <w:lang w:eastAsia="en-GB"/>
          <w14:ligatures w14:val="none"/>
        </w:rPr>
        <w:t xml:space="preserve">, L. and Rowe, M. (2016) ‘Police ethics and integrity: Can a new code overturn the Blue Code?’, </w:t>
      </w:r>
      <w:r w:rsidRPr="005964B3">
        <w:rPr>
          <w:rFonts w:eastAsia="Times New Roman" w:cstheme="minorHAnsi"/>
          <w:i/>
          <w:iCs/>
          <w:kern w:val="0"/>
          <w:lang w:eastAsia="en-GB"/>
          <w14:ligatures w14:val="none"/>
        </w:rPr>
        <w:t>Policing and Society</w:t>
      </w:r>
      <w:r w:rsidRPr="005964B3">
        <w:rPr>
          <w:rFonts w:eastAsia="Times New Roman" w:cstheme="minorHAnsi"/>
          <w:kern w:val="0"/>
          <w:lang w:eastAsia="en-GB"/>
          <w14:ligatures w14:val="none"/>
        </w:rPr>
        <w:t xml:space="preserve">, 28(7), pp. 854–870. doi:10.1080/10439463.2016.1262365. </w:t>
      </w:r>
    </w:p>
    <w:p w14:paraId="11FF21E3" w14:textId="77777777" w:rsidR="005964B3" w:rsidRPr="005964B3" w:rsidRDefault="005964B3" w:rsidP="005964B3">
      <w:pPr>
        <w:spacing w:before="100" w:beforeAutospacing="1" w:after="100" w:afterAutospacing="1" w:line="240" w:lineRule="auto"/>
        <w:ind w:left="567" w:hanging="567"/>
        <w:rPr>
          <w:rFonts w:eastAsia="Times New Roman" w:cstheme="minorHAnsi"/>
          <w:kern w:val="0"/>
          <w:lang w:eastAsia="en-GB"/>
          <w14:ligatures w14:val="none"/>
        </w:rPr>
      </w:pPr>
    </w:p>
    <w:p w14:paraId="34BF81B8" w14:textId="5C6CF8DB" w:rsidR="001A1C36" w:rsidRPr="00C426D4" w:rsidRDefault="005964B3" w:rsidP="00C426D4">
      <w:pPr>
        <w:spacing w:before="100" w:beforeAutospacing="1" w:after="100" w:afterAutospacing="1" w:line="240" w:lineRule="auto"/>
        <w:ind w:left="567" w:hanging="567"/>
        <w:rPr>
          <w:rFonts w:eastAsia="Times New Roman" w:cstheme="minorHAnsi"/>
          <w:kern w:val="0"/>
          <w:lang w:eastAsia="en-GB"/>
          <w14:ligatures w14:val="none"/>
        </w:rPr>
      </w:pPr>
      <w:r w:rsidRPr="005964B3">
        <w:rPr>
          <w:rFonts w:eastAsia="Times New Roman" w:cstheme="minorHAnsi"/>
          <w:kern w:val="0"/>
          <w:lang w:eastAsia="en-GB"/>
          <w14:ligatures w14:val="none"/>
        </w:rPr>
        <w:t xml:space="preserve">Whiting, T. (no date) </w:t>
      </w:r>
      <w:r w:rsidRPr="005964B3">
        <w:rPr>
          <w:rFonts w:eastAsia="Times New Roman" w:cstheme="minorHAnsi"/>
          <w:i/>
          <w:iCs/>
          <w:kern w:val="0"/>
          <w:lang w:eastAsia="en-GB"/>
          <w14:ligatures w14:val="none"/>
        </w:rPr>
        <w:t>Home</w:t>
      </w:r>
      <w:r w:rsidRPr="005964B3">
        <w:rPr>
          <w:rFonts w:eastAsia="Times New Roman" w:cstheme="minorHAnsi"/>
          <w:kern w:val="0"/>
          <w:lang w:eastAsia="en-GB"/>
          <w14:ligatures w14:val="none"/>
        </w:rPr>
        <w:t xml:space="preserve">, </w:t>
      </w:r>
      <w:r w:rsidRPr="005964B3">
        <w:rPr>
          <w:rFonts w:eastAsia="Times New Roman" w:cstheme="minorHAnsi"/>
          <w:i/>
          <w:iCs/>
          <w:kern w:val="0"/>
          <w:lang w:eastAsia="en-GB"/>
          <w14:ligatures w14:val="none"/>
        </w:rPr>
        <w:t>Independent Office for Police Conduct (IOPC)</w:t>
      </w:r>
      <w:r w:rsidRPr="005964B3">
        <w:rPr>
          <w:rFonts w:eastAsia="Times New Roman" w:cstheme="minorHAnsi"/>
          <w:kern w:val="0"/>
          <w:lang w:eastAsia="en-GB"/>
          <w14:ligatures w14:val="none"/>
        </w:rPr>
        <w:t xml:space="preserve">. Available at: https://www.policeconduct.gov.uk/about-us/what-we-do (Accessed: 05 February 2024). </w:t>
      </w:r>
    </w:p>
    <w:sectPr w:rsidR="001A1C36" w:rsidRPr="00C426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4A8"/>
    <w:rsid w:val="00022AEE"/>
    <w:rsid w:val="000254CD"/>
    <w:rsid w:val="00040803"/>
    <w:rsid w:val="00050E0A"/>
    <w:rsid w:val="00076E63"/>
    <w:rsid w:val="000852F7"/>
    <w:rsid w:val="000977F0"/>
    <w:rsid w:val="00097C21"/>
    <w:rsid w:val="000A2AE7"/>
    <w:rsid w:val="000A71BB"/>
    <w:rsid w:val="000A7399"/>
    <w:rsid w:val="000C65A3"/>
    <w:rsid w:val="000E7C96"/>
    <w:rsid w:val="000F609F"/>
    <w:rsid w:val="001538E2"/>
    <w:rsid w:val="00157CD8"/>
    <w:rsid w:val="001614BE"/>
    <w:rsid w:val="00173D57"/>
    <w:rsid w:val="00187093"/>
    <w:rsid w:val="00190F9D"/>
    <w:rsid w:val="00196566"/>
    <w:rsid w:val="001A1C36"/>
    <w:rsid w:val="001A6C94"/>
    <w:rsid w:val="001B09CF"/>
    <w:rsid w:val="001B3DBB"/>
    <w:rsid w:val="001B52AA"/>
    <w:rsid w:val="001E1065"/>
    <w:rsid w:val="001F2220"/>
    <w:rsid w:val="001F7AFE"/>
    <w:rsid w:val="0020673B"/>
    <w:rsid w:val="00223FCB"/>
    <w:rsid w:val="00233139"/>
    <w:rsid w:val="002346A4"/>
    <w:rsid w:val="00245E21"/>
    <w:rsid w:val="00256831"/>
    <w:rsid w:val="00275391"/>
    <w:rsid w:val="00294357"/>
    <w:rsid w:val="002D50F3"/>
    <w:rsid w:val="002E4203"/>
    <w:rsid w:val="002F230C"/>
    <w:rsid w:val="002F6B13"/>
    <w:rsid w:val="00301ED8"/>
    <w:rsid w:val="003660B4"/>
    <w:rsid w:val="00370111"/>
    <w:rsid w:val="00373A10"/>
    <w:rsid w:val="003C386A"/>
    <w:rsid w:val="003C43E4"/>
    <w:rsid w:val="003D4F18"/>
    <w:rsid w:val="00415BD6"/>
    <w:rsid w:val="00462583"/>
    <w:rsid w:val="00463AC7"/>
    <w:rsid w:val="00473503"/>
    <w:rsid w:val="00484890"/>
    <w:rsid w:val="00494F9B"/>
    <w:rsid w:val="004A158D"/>
    <w:rsid w:val="004A362A"/>
    <w:rsid w:val="004B20E4"/>
    <w:rsid w:val="004D1F06"/>
    <w:rsid w:val="004E6132"/>
    <w:rsid w:val="00516EE3"/>
    <w:rsid w:val="00532454"/>
    <w:rsid w:val="0054090D"/>
    <w:rsid w:val="00555362"/>
    <w:rsid w:val="005645A1"/>
    <w:rsid w:val="005732D1"/>
    <w:rsid w:val="00585297"/>
    <w:rsid w:val="00595BCC"/>
    <w:rsid w:val="005964B3"/>
    <w:rsid w:val="005A2359"/>
    <w:rsid w:val="005A28CA"/>
    <w:rsid w:val="005A6BDD"/>
    <w:rsid w:val="005A7051"/>
    <w:rsid w:val="005C6A37"/>
    <w:rsid w:val="005C6A3F"/>
    <w:rsid w:val="005C7389"/>
    <w:rsid w:val="005D6EE3"/>
    <w:rsid w:val="005E750D"/>
    <w:rsid w:val="00603885"/>
    <w:rsid w:val="006077E4"/>
    <w:rsid w:val="00615155"/>
    <w:rsid w:val="00630A27"/>
    <w:rsid w:val="00634A2A"/>
    <w:rsid w:val="00656A89"/>
    <w:rsid w:val="006844A4"/>
    <w:rsid w:val="00686D24"/>
    <w:rsid w:val="006B37D4"/>
    <w:rsid w:val="006C1E59"/>
    <w:rsid w:val="006E291B"/>
    <w:rsid w:val="00701A65"/>
    <w:rsid w:val="007335B8"/>
    <w:rsid w:val="007413EA"/>
    <w:rsid w:val="00752441"/>
    <w:rsid w:val="007668A8"/>
    <w:rsid w:val="00782157"/>
    <w:rsid w:val="00782556"/>
    <w:rsid w:val="00784BEF"/>
    <w:rsid w:val="00786A66"/>
    <w:rsid w:val="007A3B4E"/>
    <w:rsid w:val="007A4BEA"/>
    <w:rsid w:val="007D62B1"/>
    <w:rsid w:val="007D6711"/>
    <w:rsid w:val="007E0FAE"/>
    <w:rsid w:val="007E3ED9"/>
    <w:rsid w:val="007F060C"/>
    <w:rsid w:val="007F75B0"/>
    <w:rsid w:val="008354CD"/>
    <w:rsid w:val="00835EDF"/>
    <w:rsid w:val="008364A8"/>
    <w:rsid w:val="0084323A"/>
    <w:rsid w:val="00851800"/>
    <w:rsid w:val="008565A8"/>
    <w:rsid w:val="00862C03"/>
    <w:rsid w:val="00893007"/>
    <w:rsid w:val="008A0ADD"/>
    <w:rsid w:val="008A250C"/>
    <w:rsid w:val="008C218E"/>
    <w:rsid w:val="008C305B"/>
    <w:rsid w:val="008D1DFD"/>
    <w:rsid w:val="008F1326"/>
    <w:rsid w:val="008F5F95"/>
    <w:rsid w:val="00901DF4"/>
    <w:rsid w:val="00904036"/>
    <w:rsid w:val="00905251"/>
    <w:rsid w:val="00930118"/>
    <w:rsid w:val="00944E4F"/>
    <w:rsid w:val="00960084"/>
    <w:rsid w:val="00960BBB"/>
    <w:rsid w:val="009847AC"/>
    <w:rsid w:val="00987A61"/>
    <w:rsid w:val="009B1245"/>
    <w:rsid w:val="009D1E96"/>
    <w:rsid w:val="009F731E"/>
    <w:rsid w:val="00A02CCA"/>
    <w:rsid w:val="00A1232B"/>
    <w:rsid w:val="00A31A61"/>
    <w:rsid w:val="00A3525F"/>
    <w:rsid w:val="00A46206"/>
    <w:rsid w:val="00A6018C"/>
    <w:rsid w:val="00A63F60"/>
    <w:rsid w:val="00A7005B"/>
    <w:rsid w:val="00A8049B"/>
    <w:rsid w:val="00A86E9D"/>
    <w:rsid w:val="00A95397"/>
    <w:rsid w:val="00AA1C59"/>
    <w:rsid w:val="00AB0575"/>
    <w:rsid w:val="00AC1B49"/>
    <w:rsid w:val="00AE1CC3"/>
    <w:rsid w:val="00AF113F"/>
    <w:rsid w:val="00B16685"/>
    <w:rsid w:val="00B348E8"/>
    <w:rsid w:val="00B410DA"/>
    <w:rsid w:val="00B5340C"/>
    <w:rsid w:val="00B61DB7"/>
    <w:rsid w:val="00B71FB1"/>
    <w:rsid w:val="00BB5032"/>
    <w:rsid w:val="00C04A26"/>
    <w:rsid w:val="00C3328D"/>
    <w:rsid w:val="00C426D4"/>
    <w:rsid w:val="00C545EB"/>
    <w:rsid w:val="00C60880"/>
    <w:rsid w:val="00C8035B"/>
    <w:rsid w:val="00C91FD0"/>
    <w:rsid w:val="00CA3DD7"/>
    <w:rsid w:val="00CB24AA"/>
    <w:rsid w:val="00CC3134"/>
    <w:rsid w:val="00CC5744"/>
    <w:rsid w:val="00CC5867"/>
    <w:rsid w:val="00CC7195"/>
    <w:rsid w:val="00CD6440"/>
    <w:rsid w:val="00CF0001"/>
    <w:rsid w:val="00CF37E6"/>
    <w:rsid w:val="00D20E8E"/>
    <w:rsid w:val="00D25EFF"/>
    <w:rsid w:val="00D46217"/>
    <w:rsid w:val="00D478C2"/>
    <w:rsid w:val="00D561EA"/>
    <w:rsid w:val="00D574D8"/>
    <w:rsid w:val="00D67AD8"/>
    <w:rsid w:val="00D723EB"/>
    <w:rsid w:val="00D73BD4"/>
    <w:rsid w:val="00D77E73"/>
    <w:rsid w:val="00D853AB"/>
    <w:rsid w:val="00DD079D"/>
    <w:rsid w:val="00DD3F47"/>
    <w:rsid w:val="00DE1308"/>
    <w:rsid w:val="00E03069"/>
    <w:rsid w:val="00E10471"/>
    <w:rsid w:val="00E166BC"/>
    <w:rsid w:val="00E530DE"/>
    <w:rsid w:val="00E82425"/>
    <w:rsid w:val="00E9333B"/>
    <w:rsid w:val="00E94934"/>
    <w:rsid w:val="00E95BA1"/>
    <w:rsid w:val="00E964C9"/>
    <w:rsid w:val="00E97FA8"/>
    <w:rsid w:val="00EC2BBE"/>
    <w:rsid w:val="00EC2CC1"/>
    <w:rsid w:val="00ED1FA8"/>
    <w:rsid w:val="00F028F0"/>
    <w:rsid w:val="00F03848"/>
    <w:rsid w:val="00F170F6"/>
    <w:rsid w:val="00F30FC9"/>
    <w:rsid w:val="00F32BB7"/>
    <w:rsid w:val="00F37AD8"/>
    <w:rsid w:val="00F54271"/>
    <w:rsid w:val="00F56DEF"/>
    <w:rsid w:val="00F73FA0"/>
    <w:rsid w:val="00F74A4B"/>
    <w:rsid w:val="00F814BA"/>
    <w:rsid w:val="00F836C4"/>
    <w:rsid w:val="00F94142"/>
    <w:rsid w:val="00FA0290"/>
    <w:rsid w:val="00FA4191"/>
    <w:rsid w:val="00FB739A"/>
    <w:rsid w:val="00FC4177"/>
    <w:rsid w:val="00FD6BF2"/>
    <w:rsid w:val="00FE56EC"/>
    <w:rsid w:val="00FF7145"/>
    <w:rsid w:val="00FF7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12213"/>
  <w15:chartTrackingRefBased/>
  <w15:docId w15:val="{5BA601B1-DB27-4496-BB3C-54D11C21A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23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45E21"/>
    <w:rPr>
      <w:color w:val="0000FF"/>
      <w:u w:val="single"/>
    </w:rPr>
  </w:style>
  <w:style w:type="character" w:styleId="UnresolvedMention">
    <w:name w:val="Unresolved Mention"/>
    <w:basedOn w:val="DefaultParagraphFont"/>
    <w:uiPriority w:val="99"/>
    <w:semiHidden/>
    <w:unhideWhenUsed/>
    <w:rsid w:val="00987A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9407">
      <w:bodyDiv w:val="1"/>
      <w:marLeft w:val="0"/>
      <w:marRight w:val="0"/>
      <w:marTop w:val="0"/>
      <w:marBottom w:val="0"/>
      <w:divBdr>
        <w:top w:val="none" w:sz="0" w:space="0" w:color="auto"/>
        <w:left w:val="none" w:sz="0" w:space="0" w:color="auto"/>
        <w:bottom w:val="none" w:sz="0" w:space="0" w:color="auto"/>
        <w:right w:val="none" w:sz="0" w:space="0" w:color="auto"/>
      </w:divBdr>
    </w:div>
    <w:div w:id="155271441">
      <w:bodyDiv w:val="1"/>
      <w:marLeft w:val="0"/>
      <w:marRight w:val="0"/>
      <w:marTop w:val="0"/>
      <w:marBottom w:val="0"/>
      <w:divBdr>
        <w:top w:val="none" w:sz="0" w:space="0" w:color="auto"/>
        <w:left w:val="none" w:sz="0" w:space="0" w:color="auto"/>
        <w:bottom w:val="none" w:sz="0" w:space="0" w:color="auto"/>
        <w:right w:val="none" w:sz="0" w:space="0" w:color="auto"/>
      </w:divBdr>
    </w:div>
    <w:div w:id="602610487">
      <w:bodyDiv w:val="1"/>
      <w:marLeft w:val="0"/>
      <w:marRight w:val="0"/>
      <w:marTop w:val="0"/>
      <w:marBottom w:val="0"/>
      <w:divBdr>
        <w:top w:val="none" w:sz="0" w:space="0" w:color="auto"/>
        <w:left w:val="none" w:sz="0" w:space="0" w:color="auto"/>
        <w:bottom w:val="none" w:sz="0" w:space="0" w:color="auto"/>
        <w:right w:val="none" w:sz="0" w:space="0" w:color="auto"/>
      </w:divBdr>
      <w:divsChild>
        <w:div w:id="1603951044">
          <w:marLeft w:val="0"/>
          <w:marRight w:val="0"/>
          <w:marTop w:val="0"/>
          <w:marBottom w:val="0"/>
          <w:divBdr>
            <w:top w:val="none" w:sz="0" w:space="0" w:color="auto"/>
            <w:left w:val="none" w:sz="0" w:space="0" w:color="auto"/>
            <w:bottom w:val="none" w:sz="0" w:space="0" w:color="auto"/>
            <w:right w:val="none" w:sz="0" w:space="0" w:color="auto"/>
          </w:divBdr>
        </w:div>
      </w:divsChild>
    </w:div>
    <w:div w:id="899363810">
      <w:bodyDiv w:val="1"/>
      <w:marLeft w:val="0"/>
      <w:marRight w:val="0"/>
      <w:marTop w:val="0"/>
      <w:marBottom w:val="0"/>
      <w:divBdr>
        <w:top w:val="none" w:sz="0" w:space="0" w:color="auto"/>
        <w:left w:val="none" w:sz="0" w:space="0" w:color="auto"/>
        <w:bottom w:val="none" w:sz="0" w:space="0" w:color="auto"/>
        <w:right w:val="none" w:sz="0" w:space="0" w:color="auto"/>
      </w:divBdr>
    </w:div>
    <w:div w:id="1075786299">
      <w:bodyDiv w:val="1"/>
      <w:marLeft w:val="0"/>
      <w:marRight w:val="0"/>
      <w:marTop w:val="0"/>
      <w:marBottom w:val="0"/>
      <w:divBdr>
        <w:top w:val="none" w:sz="0" w:space="0" w:color="auto"/>
        <w:left w:val="none" w:sz="0" w:space="0" w:color="auto"/>
        <w:bottom w:val="none" w:sz="0" w:space="0" w:color="auto"/>
        <w:right w:val="none" w:sz="0" w:space="0" w:color="auto"/>
      </w:divBdr>
    </w:div>
    <w:div w:id="1213729050">
      <w:bodyDiv w:val="1"/>
      <w:marLeft w:val="0"/>
      <w:marRight w:val="0"/>
      <w:marTop w:val="0"/>
      <w:marBottom w:val="0"/>
      <w:divBdr>
        <w:top w:val="none" w:sz="0" w:space="0" w:color="auto"/>
        <w:left w:val="none" w:sz="0" w:space="0" w:color="auto"/>
        <w:bottom w:val="none" w:sz="0" w:space="0" w:color="auto"/>
        <w:right w:val="none" w:sz="0" w:space="0" w:color="auto"/>
      </w:divBdr>
    </w:div>
    <w:div w:id="1265696829">
      <w:bodyDiv w:val="1"/>
      <w:marLeft w:val="0"/>
      <w:marRight w:val="0"/>
      <w:marTop w:val="0"/>
      <w:marBottom w:val="0"/>
      <w:divBdr>
        <w:top w:val="none" w:sz="0" w:space="0" w:color="auto"/>
        <w:left w:val="none" w:sz="0" w:space="0" w:color="auto"/>
        <w:bottom w:val="none" w:sz="0" w:space="0" w:color="auto"/>
        <w:right w:val="none" w:sz="0" w:space="0" w:color="auto"/>
      </w:divBdr>
    </w:div>
    <w:div w:id="1270701022">
      <w:bodyDiv w:val="1"/>
      <w:marLeft w:val="0"/>
      <w:marRight w:val="0"/>
      <w:marTop w:val="0"/>
      <w:marBottom w:val="0"/>
      <w:divBdr>
        <w:top w:val="none" w:sz="0" w:space="0" w:color="auto"/>
        <w:left w:val="none" w:sz="0" w:space="0" w:color="auto"/>
        <w:bottom w:val="none" w:sz="0" w:space="0" w:color="auto"/>
        <w:right w:val="none" w:sz="0" w:space="0" w:color="auto"/>
      </w:divBdr>
    </w:div>
    <w:div w:id="1276330837">
      <w:bodyDiv w:val="1"/>
      <w:marLeft w:val="0"/>
      <w:marRight w:val="0"/>
      <w:marTop w:val="0"/>
      <w:marBottom w:val="0"/>
      <w:divBdr>
        <w:top w:val="none" w:sz="0" w:space="0" w:color="auto"/>
        <w:left w:val="none" w:sz="0" w:space="0" w:color="auto"/>
        <w:bottom w:val="none" w:sz="0" w:space="0" w:color="auto"/>
        <w:right w:val="none" w:sz="0" w:space="0" w:color="auto"/>
      </w:divBdr>
    </w:div>
    <w:div w:id="1445688226">
      <w:bodyDiv w:val="1"/>
      <w:marLeft w:val="0"/>
      <w:marRight w:val="0"/>
      <w:marTop w:val="0"/>
      <w:marBottom w:val="0"/>
      <w:divBdr>
        <w:top w:val="none" w:sz="0" w:space="0" w:color="auto"/>
        <w:left w:val="none" w:sz="0" w:space="0" w:color="auto"/>
        <w:bottom w:val="none" w:sz="0" w:space="0" w:color="auto"/>
        <w:right w:val="none" w:sz="0" w:space="0" w:color="auto"/>
      </w:divBdr>
    </w:div>
    <w:div w:id="1514299323">
      <w:bodyDiv w:val="1"/>
      <w:marLeft w:val="0"/>
      <w:marRight w:val="0"/>
      <w:marTop w:val="0"/>
      <w:marBottom w:val="0"/>
      <w:divBdr>
        <w:top w:val="none" w:sz="0" w:space="0" w:color="auto"/>
        <w:left w:val="none" w:sz="0" w:space="0" w:color="auto"/>
        <w:bottom w:val="none" w:sz="0" w:space="0" w:color="auto"/>
        <w:right w:val="none" w:sz="0" w:space="0" w:color="auto"/>
      </w:divBdr>
      <w:divsChild>
        <w:div w:id="1860004313">
          <w:marLeft w:val="0"/>
          <w:marRight w:val="0"/>
          <w:marTop w:val="0"/>
          <w:marBottom w:val="0"/>
          <w:divBdr>
            <w:top w:val="none" w:sz="0" w:space="0" w:color="auto"/>
            <w:left w:val="none" w:sz="0" w:space="0" w:color="auto"/>
            <w:bottom w:val="none" w:sz="0" w:space="0" w:color="auto"/>
            <w:right w:val="none" w:sz="0" w:space="0" w:color="auto"/>
          </w:divBdr>
          <w:divsChild>
            <w:div w:id="40017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073117">
      <w:bodyDiv w:val="1"/>
      <w:marLeft w:val="0"/>
      <w:marRight w:val="0"/>
      <w:marTop w:val="0"/>
      <w:marBottom w:val="0"/>
      <w:divBdr>
        <w:top w:val="none" w:sz="0" w:space="0" w:color="auto"/>
        <w:left w:val="none" w:sz="0" w:space="0" w:color="auto"/>
        <w:bottom w:val="none" w:sz="0" w:space="0" w:color="auto"/>
        <w:right w:val="none" w:sz="0" w:space="0" w:color="auto"/>
      </w:divBdr>
    </w:div>
    <w:div w:id="2142531884">
      <w:bodyDiv w:val="1"/>
      <w:marLeft w:val="0"/>
      <w:marRight w:val="0"/>
      <w:marTop w:val="0"/>
      <w:marBottom w:val="0"/>
      <w:divBdr>
        <w:top w:val="none" w:sz="0" w:space="0" w:color="auto"/>
        <w:left w:val="none" w:sz="0" w:space="0" w:color="auto"/>
        <w:bottom w:val="none" w:sz="0" w:space="0" w:color="auto"/>
        <w:right w:val="none" w:sz="0" w:space="0" w:color="auto"/>
      </w:divBdr>
      <w:divsChild>
        <w:div w:id="767239047">
          <w:marLeft w:val="0"/>
          <w:marRight w:val="0"/>
          <w:marTop w:val="0"/>
          <w:marBottom w:val="0"/>
          <w:divBdr>
            <w:top w:val="none" w:sz="0" w:space="0" w:color="auto"/>
            <w:left w:val="none" w:sz="0" w:space="0" w:color="auto"/>
            <w:bottom w:val="none" w:sz="0" w:space="0" w:color="auto"/>
            <w:right w:val="none" w:sz="0" w:space="0" w:color="auto"/>
          </w:divBdr>
          <w:divsChild>
            <w:div w:id="77386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a7c2af540f0b645ba3c7202/4262.pdf" TargetMode="External"/><Relationship Id="rId13" Type="http://schemas.openxmlformats.org/officeDocument/2006/relationships/hyperlink" Target="https://www.policeconduct.gov.uk/sites/default/files/documents/Guidance_on_recording_of_complaints_under_PRA_2002_Dec17update.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nstituteforgovernment.org.uk/sites/default/files/2024-01/performance-tracker-2023.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statistics/proven-reoffending-statistics-january-to-march-"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doi.org/10.1093/police/pau026" TargetMode="External"/><Relationship Id="rId4" Type="http://schemas.openxmlformats.org/officeDocument/2006/relationships/customXml" Target="../customXml/item4.xml"/><Relationship Id="rId9" Type="http://schemas.openxmlformats.org/officeDocument/2006/relationships/hyperlink" Target="https://doi.org/10.1016/S1353-1131(96)90017-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7C6928754BDC44A50E7AA8B44E2103" ma:contentTypeVersion="9" ma:contentTypeDescription="Create a new document." ma:contentTypeScope="" ma:versionID="f0a5a716b6b1a6e8805bf84d62285a16">
  <xsd:schema xmlns:xsd="http://www.w3.org/2001/XMLSchema" xmlns:xs="http://www.w3.org/2001/XMLSchema" xmlns:p="http://schemas.microsoft.com/office/2006/metadata/properties" xmlns:ns3="7911c237-ccfc-45e2-aacd-9e817c44e77d" targetNamespace="http://schemas.microsoft.com/office/2006/metadata/properties" ma:root="true" ma:fieldsID="30a088ad3fb8d07da541db2ca86a2308" ns3:_="">
    <xsd:import namespace="7911c237-ccfc-45e2-aacd-9e817c44e77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11c237-ccfc-45e2-aacd-9e817c44e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911c237-ccfc-45e2-aacd-9e817c44e77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289A664-EC32-4C39-BC29-4C48F367A306}">
  <ds:schemaRefs>
    <ds:schemaRef ds:uri="http://schemas.microsoft.com/sharepoint/v3/contenttype/forms"/>
  </ds:schemaRefs>
</ds:datastoreItem>
</file>

<file path=customXml/itemProps2.xml><?xml version="1.0" encoding="utf-8"?>
<ds:datastoreItem xmlns:ds="http://schemas.openxmlformats.org/officeDocument/2006/customXml" ds:itemID="{2F07D19F-C822-46DB-8D43-14C1BD55E7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11c237-ccfc-45e2-aacd-9e817c44e7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E1B20C-410E-4638-B582-EDEC03502BF5}">
  <ds:schemaRefs>
    <ds:schemaRef ds:uri="http://schemas.microsoft.com/office/2006/metadata/properties"/>
    <ds:schemaRef ds:uri="http://schemas.microsoft.com/office/infopath/2007/PartnerControls"/>
    <ds:schemaRef ds:uri="7911c237-ccfc-45e2-aacd-9e817c44e77d"/>
  </ds:schemaRefs>
</ds:datastoreItem>
</file>

<file path=customXml/itemProps4.xml><?xml version="1.0" encoding="utf-8"?>
<ds:datastoreItem xmlns:ds="http://schemas.openxmlformats.org/officeDocument/2006/customXml" ds:itemID="{031BCDC3-98BC-4BE5-BA56-DFD611715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1394</TotalTime>
  <Pages>18</Pages>
  <Words>5998</Words>
  <Characters>31795</Characters>
  <Application>Microsoft Office Word</Application>
  <DocSecurity>0</DocSecurity>
  <Lines>454</Lines>
  <Paragraphs>89</Paragraphs>
  <ScaleCrop>false</ScaleCrop>
  <Company>South Wales Police</Company>
  <LinksUpToDate>false</LinksUpToDate>
  <CharactersWithSpaces>37704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Rees,Alexander swp8395</dc:creator>
  <cp:keywords/>
  <dc:description/>
  <cp:lastModifiedBy>Alexander Rees</cp:lastModifiedBy>
  <cp:revision>218</cp:revision>
  <dcterms:created xsi:type="dcterms:W3CDTF">2023-12-09T04:23:00Z</dcterms:created>
  <dcterms:modified xsi:type="dcterms:W3CDTF">2024-02-05T19:19:00Z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0x0101002D7C6928754BDC44A50E7AA8B44E2103</vt:lpwstr>
  </property>
  <property fmtid="{D5CDD505-2E9C-101B-9397-08002B2CF9AE}" pid="3" name="MSIP_Label_66cf8fe5-b7b7-4df7-b38d-1c61ac2f6639_Enabled">
    <vt:lpwstr>true</vt:lpwstr>
  </property>
  <property fmtid="{D5CDD505-2E9C-101B-9397-08002B2CF9AE}" pid="4" name="MSIP_Label_66cf8fe5-b7b7-4df7-b38d-1c61ac2f6639_SetDate">
    <vt:lpwstr>2023-12-09T04:24:08Z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2723a96c-de22-46e8-a8c8-57f36dc3693e</vt:lpwstr>
  </property>
  <property fmtid="{D5CDD505-2E9C-101B-9397-08002B2CF9AE}" pid="9" name="MSIP_Label_66cf8fe5-b7b7-4df7-b38d-1c61ac2f6639_ContentBits">
    <vt:lpwstr>0</vt:lpwstr>
  </property>
</Properties>
</file>