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000001" w14:textId="77777777" w:rsidR="00E80054" w:rsidRDefault="00527DE5">
      <w:pPr>
        <w:pStyle w:val="Heading2"/>
        <w:pBdr>
          <w:top w:val="nil"/>
          <w:left w:val="nil"/>
          <w:bottom w:val="nil"/>
          <w:right w:val="nil"/>
          <w:between w:val="nil"/>
        </w:pBdr>
        <w:spacing w:before="0" w:line="288" w:lineRule="auto"/>
        <w:rPr>
          <w:rFonts w:ascii="Open Sans" w:eastAsia="Open Sans" w:hAnsi="Open Sans" w:cs="Open Sans"/>
          <w:color w:val="695D46"/>
          <w:sz w:val="24"/>
          <w:szCs w:val="24"/>
        </w:rPr>
      </w:pPr>
      <w:bookmarkStart w:id="0" w:name="_z6ne0og04bp5" w:colFirst="0" w:colLast="0"/>
      <w:bookmarkEnd w:id="0"/>
      <w:r>
        <w:rPr>
          <w:rFonts w:ascii="Open Sans" w:eastAsia="Open Sans" w:hAnsi="Open Sans" w:cs="Open Sans"/>
          <w:noProof/>
          <w:color w:val="695D46"/>
          <w:sz w:val="24"/>
          <w:szCs w:val="24"/>
        </w:rPr>
        <w:drawing>
          <wp:inline distT="114300" distB="114300" distL="114300" distR="114300">
            <wp:extent cx="5916349" cy="104775"/>
            <wp:effectExtent l="0" t="0" r="0" b="0"/>
            <wp:docPr id="2" name="image3.png" descr="horizontal line"/>
            <wp:cNvGraphicFramePr/>
            <a:graphic xmlns:a="http://schemas.openxmlformats.org/drawingml/2006/main">
              <a:graphicData uri="http://schemas.openxmlformats.org/drawingml/2006/picture">
                <pic:pic xmlns:pic="http://schemas.openxmlformats.org/drawingml/2006/picture">
                  <pic:nvPicPr>
                    <pic:cNvPr id="0" name="image3.png" descr="horizontal line"/>
                    <pic:cNvPicPr preferRelativeResize="0"/>
                  </pic:nvPicPr>
                  <pic:blipFill>
                    <a:blip r:embed="rId6"/>
                    <a:srcRect b="-35184"/>
                    <a:stretch>
                      <a:fillRect/>
                    </a:stretch>
                  </pic:blipFill>
                  <pic:spPr>
                    <a:xfrm>
                      <a:off x="0" y="0"/>
                      <a:ext cx="5916349" cy="104775"/>
                    </a:xfrm>
                    <a:prstGeom prst="rect">
                      <a:avLst/>
                    </a:prstGeom>
                    <a:ln/>
                  </pic:spPr>
                </pic:pic>
              </a:graphicData>
            </a:graphic>
          </wp:inline>
        </w:drawing>
      </w:r>
      <w:r>
        <w:rPr>
          <w:rFonts w:ascii="Open Sans" w:eastAsia="Open Sans" w:hAnsi="Open Sans" w:cs="Open Sans"/>
          <w:color w:val="695D46"/>
          <w:sz w:val="24"/>
          <w:szCs w:val="24"/>
        </w:rPr>
        <w:t xml:space="preserve"> </w:t>
      </w:r>
    </w:p>
    <w:p w14:paraId="00000002" w14:textId="77777777" w:rsidR="00E80054" w:rsidRDefault="00527DE5">
      <w:pPr>
        <w:pBdr>
          <w:top w:val="nil"/>
          <w:left w:val="nil"/>
          <w:bottom w:val="nil"/>
          <w:right w:val="nil"/>
          <w:between w:val="nil"/>
        </w:pBdr>
      </w:pPr>
      <w:r>
        <w:rPr>
          <w:noProof/>
        </w:rPr>
        <w:drawing>
          <wp:inline distT="114300" distB="114300" distL="114300" distR="114300">
            <wp:extent cx="5910263" cy="3940175"/>
            <wp:effectExtent l="0" t="0" r="0" b="0"/>
            <wp:docPr id="3" name="image2.jpg" descr="Placeholder image"/>
            <wp:cNvGraphicFramePr/>
            <a:graphic xmlns:a="http://schemas.openxmlformats.org/drawingml/2006/main">
              <a:graphicData uri="http://schemas.openxmlformats.org/drawingml/2006/picture">
                <pic:pic xmlns:pic="http://schemas.openxmlformats.org/drawingml/2006/picture">
                  <pic:nvPicPr>
                    <pic:cNvPr id="0" name="image2.jpg" descr="Placeholder image"/>
                    <pic:cNvPicPr preferRelativeResize="0"/>
                  </pic:nvPicPr>
                  <pic:blipFill>
                    <a:blip r:embed="rId7"/>
                    <a:srcRect/>
                    <a:stretch>
                      <a:fillRect/>
                    </a:stretch>
                  </pic:blipFill>
                  <pic:spPr>
                    <a:xfrm>
                      <a:off x="0" y="0"/>
                      <a:ext cx="5910263" cy="3940175"/>
                    </a:xfrm>
                    <a:prstGeom prst="rect">
                      <a:avLst/>
                    </a:prstGeom>
                    <a:ln/>
                  </pic:spPr>
                </pic:pic>
              </a:graphicData>
            </a:graphic>
          </wp:inline>
        </w:drawing>
      </w:r>
    </w:p>
    <w:p w14:paraId="00000003" w14:textId="77777777" w:rsidR="00E80054" w:rsidRDefault="00527DE5">
      <w:pPr>
        <w:spacing w:before="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4" w14:textId="77777777" w:rsidR="00E80054" w:rsidRDefault="00527DE5">
      <w:pPr>
        <w:spacing w:before="240" w:line="480" w:lineRule="auto"/>
        <w:jc w:val="center"/>
        <w:rPr>
          <w:rFonts w:ascii="Arial" w:eastAsia="Arial" w:hAnsi="Arial" w:cs="Arial"/>
          <w:color w:val="000000"/>
          <w:sz w:val="24"/>
          <w:szCs w:val="24"/>
        </w:rPr>
      </w:pPr>
      <w:r>
        <w:rPr>
          <w:rFonts w:ascii="Arial" w:eastAsia="Arial" w:hAnsi="Arial" w:cs="Arial"/>
          <w:color w:val="000000"/>
          <w:sz w:val="24"/>
          <w:szCs w:val="24"/>
        </w:rPr>
        <w:t>FAMILY LAW, AND PARENTAL ALIENATION: THE IMPACT OF PARENTAL ALIENATION AND CONTACT ON FATHERS</w:t>
      </w:r>
    </w:p>
    <w:p w14:paraId="00000005" w14:textId="77777777" w:rsidR="00E80054" w:rsidRDefault="00E80054">
      <w:pPr>
        <w:spacing w:before="240" w:line="480" w:lineRule="auto"/>
        <w:jc w:val="center"/>
        <w:rPr>
          <w:rFonts w:ascii="Arial" w:eastAsia="Arial" w:hAnsi="Arial" w:cs="Arial"/>
          <w:color w:val="000000"/>
          <w:sz w:val="24"/>
          <w:szCs w:val="24"/>
        </w:rPr>
      </w:pPr>
    </w:p>
    <w:p w14:paraId="00000006" w14:textId="77777777" w:rsidR="00E80054" w:rsidRDefault="00E80054">
      <w:pPr>
        <w:spacing w:before="240" w:line="480" w:lineRule="auto"/>
        <w:jc w:val="center"/>
        <w:rPr>
          <w:rFonts w:ascii="Arial" w:eastAsia="Arial" w:hAnsi="Arial" w:cs="Arial"/>
          <w:color w:val="000000"/>
          <w:sz w:val="24"/>
          <w:szCs w:val="24"/>
        </w:rPr>
      </w:pPr>
    </w:p>
    <w:p w14:paraId="00000007" w14:textId="77777777" w:rsidR="00E80054" w:rsidRDefault="00527DE5">
      <w:pPr>
        <w:spacing w:before="0" w:line="480" w:lineRule="auto"/>
        <w:jc w:val="center"/>
        <w:rPr>
          <w:rFonts w:ascii="Arial" w:eastAsia="Arial" w:hAnsi="Arial" w:cs="Arial"/>
          <w:color w:val="000000"/>
          <w:sz w:val="24"/>
          <w:szCs w:val="24"/>
        </w:rPr>
      </w:pPr>
      <w:r>
        <w:rPr>
          <w:rFonts w:ascii="Arial" w:eastAsia="Arial" w:hAnsi="Arial" w:cs="Arial"/>
          <w:color w:val="000000"/>
          <w:sz w:val="24"/>
          <w:szCs w:val="24"/>
        </w:rPr>
        <w:t>by Cassie Johnson</w:t>
      </w:r>
    </w:p>
    <w:p w14:paraId="00000008" w14:textId="77777777" w:rsidR="00E80054" w:rsidRDefault="00527DE5">
      <w:pPr>
        <w:spacing w:before="0" w:line="480" w:lineRule="auto"/>
        <w:jc w:val="center"/>
        <w:rPr>
          <w:rFonts w:ascii="Arial" w:eastAsia="Arial" w:hAnsi="Arial" w:cs="Arial"/>
          <w:color w:val="000000"/>
          <w:sz w:val="24"/>
          <w:szCs w:val="24"/>
        </w:rPr>
      </w:pPr>
      <w:r>
        <w:rPr>
          <w:rFonts w:ascii="Arial" w:eastAsia="Arial" w:hAnsi="Arial" w:cs="Arial"/>
          <w:color w:val="000000"/>
          <w:sz w:val="24"/>
          <w:szCs w:val="24"/>
        </w:rPr>
        <w:t>Law and Criminology</w:t>
      </w:r>
    </w:p>
    <w:p w14:paraId="00000009" w14:textId="77777777" w:rsidR="00E80054" w:rsidRDefault="00527DE5">
      <w:pPr>
        <w:spacing w:before="0" w:line="480" w:lineRule="auto"/>
        <w:jc w:val="center"/>
        <w:rPr>
          <w:rFonts w:ascii="Arial" w:eastAsia="Arial" w:hAnsi="Arial" w:cs="Arial"/>
          <w:color w:val="000000"/>
          <w:sz w:val="24"/>
          <w:szCs w:val="24"/>
        </w:rPr>
      </w:pPr>
      <w:r>
        <w:rPr>
          <w:rFonts w:ascii="Arial" w:eastAsia="Arial" w:hAnsi="Arial" w:cs="Arial"/>
          <w:color w:val="000000"/>
          <w:sz w:val="24"/>
          <w:szCs w:val="24"/>
        </w:rPr>
        <w:t>University of Wales</w:t>
      </w:r>
    </w:p>
    <w:p w14:paraId="0000000A" w14:textId="77777777" w:rsidR="00E80054" w:rsidRDefault="00527DE5">
      <w:pPr>
        <w:spacing w:before="0" w:line="480" w:lineRule="auto"/>
        <w:jc w:val="center"/>
        <w:rPr>
          <w:rFonts w:ascii="Arial" w:eastAsia="Arial" w:hAnsi="Arial" w:cs="Arial"/>
          <w:color w:val="000000"/>
          <w:sz w:val="24"/>
          <w:szCs w:val="24"/>
        </w:rPr>
      </w:pPr>
      <w:r>
        <w:rPr>
          <w:rFonts w:ascii="Arial" w:eastAsia="Arial" w:hAnsi="Arial" w:cs="Arial"/>
          <w:color w:val="000000"/>
          <w:sz w:val="24"/>
          <w:szCs w:val="24"/>
        </w:rPr>
        <w:t>Trinity Saint David</w:t>
      </w:r>
    </w:p>
    <w:p w14:paraId="0000000B" w14:textId="77777777" w:rsidR="00E80054" w:rsidRDefault="00E80054">
      <w:pPr>
        <w:spacing w:line="480" w:lineRule="auto"/>
        <w:ind w:left="720"/>
        <w:rPr>
          <w:rFonts w:ascii="Arial" w:eastAsia="Arial" w:hAnsi="Arial" w:cs="Arial"/>
          <w:b/>
          <w:color w:val="000000"/>
          <w:sz w:val="24"/>
          <w:szCs w:val="24"/>
        </w:rPr>
      </w:pPr>
    </w:p>
    <w:p w14:paraId="0000000C"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 </w:t>
      </w:r>
    </w:p>
    <w:p w14:paraId="0000000D" w14:textId="77777777" w:rsidR="00E80054" w:rsidRDefault="00527DE5">
      <w:pPr>
        <w:pStyle w:val="Heading1"/>
        <w:keepNext w:val="0"/>
        <w:keepLines w:val="0"/>
        <w:widowControl/>
        <w:spacing w:after="120" w:line="480" w:lineRule="auto"/>
        <w:ind w:left="720"/>
        <w:jc w:val="center"/>
        <w:rPr>
          <w:rFonts w:ascii="Arial" w:eastAsia="Arial" w:hAnsi="Arial" w:cs="Arial"/>
          <w:b w:val="0"/>
          <w:color w:val="000000"/>
          <w:sz w:val="24"/>
          <w:szCs w:val="24"/>
        </w:rPr>
      </w:pPr>
      <w:bookmarkStart w:id="1" w:name="_jb3rwmwbyxvn" w:colFirst="0" w:colLast="0"/>
      <w:bookmarkEnd w:id="1"/>
      <w:r>
        <w:rPr>
          <w:rFonts w:ascii="Arial" w:eastAsia="Arial" w:hAnsi="Arial" w:cs="Arial"/>
          <w:b w:val="0"/>
          <w:color w:val="000000"/>
          <w:sz w:val="24"/>
          <w:szCs w:val="24"/>
        </w:rPr>
        <w:t>Abstract</w:t>
      </w:r>
    </w:p>
    <w:p w14:paraId="0000000E"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study investigated parental alienation and children’s contact with their fathers following parental separation in Wales to address the gaps in research and inform future policies. The secondary issues of interest include the discursive context, politic</w:t>
      </w:r>
      <w:r>
        <w:rPr>
          <w:rFonts w:ascii="Arial" w:eastAsia="Arial" w:hAnsi="Arial" w:cs="Arial"/>
          <w:color w:val="000000"/>
          <w:sz w:val="24"/>
          <w:szCs w:val="24"/>
        </w:rPr>
        <w:t>al and social factors that underpinned the emergence and acceptance of parental separation, and legal mechanisms and child welfare guidelines relating to parental alienation. The web-based survey confirmed that at least 30% of parents were alienated. The i</w:t>
      </w:r>
      <w:r>
        <w:rPr>
          <w:rFonts w:ascii="Arial" w:eastAsia="Arial" w:hAnsi="Arial" w:cs="Arial"/>
          <w:color w:val="000000"/>
          <w:sz w:val="24"/>
          <w:szCs w:val="24"/>
        </w:rPr>
        <w:t>nterviews re-affirmed this narrative about the ubiquity of parental alienation. Nonetheless, there were no suitable legal mechanisms to address the plight of fathers. The Children Act of 1989 has no specific provisions that address parental alienation, and</w:t>
      </w:r>
      <w:r>
        <w:rPr>
          <w:rFonts w:ascii="Arial" w:eastAsia="Arial" w:hAnsi="Arial" w:cs="Arial"/>
          <w:color w:val="000000"/>
          <w:sz w:val="24"/>
          <w:szCs w:val="24"/>
        </w:rPr>
        <w:t xml:space="preserve"> courts make judgements on a case-by-case basis; this was evident from the Re L, V, M and H [2000] EWCA Civ 194 case. The affected fathers were at risk of alcohol and drug abuse and intergenerational transmission of negative partnering and family violence.</w:t>
      </w:r>
      <w:r>
        <w:rPr>
          <w:rFonts w:ascii="Arial" w:eastAsia="Arial" w:hAnsi="Arial" w:cs="Arial"/>
          <w:color w:val="000000"/>
          <w:sz w:val="24"/>
          <w:szCs w:val="24"/>
        </w:rPr>
        <w:t xml:space="preserve"> The phenomena point to the broader failure of Children and Family Court Advisory and Support Service (CAFCASS) and the National Association of Alienated Parents (NAAP), among other stakeholders. Future research should build upon this evidence by sampling </w:t>
      </w:r>
      <w:r>
        <w:rPr>
          <w:rFonts w:ascii="Arial" w:eastAsia="Arial" w:hAnsi="Arial" w:cs="Arial"/>
          <w:color w:val="000000"/>
          <w:sz w:val="24"/>
          <w:szCs w:val="24"/>
        </w:rPr>
        <w:t>a representative population.</w:t>
      </w:r>
    </w:p>
    <w:p w14:paraId="0000000F"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Keywords: Parental alienation, divorce, fathers, mothers, children, child custody.</w:t>
      </w:r>
    </w:p>
    <w:p w14:paraId="00000010" w14:textId="77777777" w:rsidR="00E80054" w:rsidRDefault="00E80054">
      <w:pPr>
        <w:spacing w:line="480" w:lineRule="auto"/>
        <w:ind w:left="720"/>
        <w:rPr>
          <w:rFonts w:ascii="Arial" w:eastAsia="Arial" w:hAnsi="Arial" w:cs="Arial"/>
          <w:color w:val="000000"/>
          <w:sz w:val="24"/>
          <w:szCs w:val="24"/>
        </w:rPr>
      </w:pPr>
    </w:p>
    <w:p w14:paraId="00000011"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00000012" w14:textId="77777777" w:rsidR="00E80054" w:rsidRDefault="00527DE5">
      <w:pPr>
        <w:spacing w:before="0" w:after="240" w:line="480" w:lineRule="auto"/>
        <w:jc w:val="center"/>
        <w:rPr>
          <w:rFonts w:ascii="Arial" w:eastAsia="Arial" w:hAnsi="Arial" w:cs="Arial"/>
          <w:color w:val="000000"/>
          <w:sz w:val="24"/>
          <w:szCs w:val="24"/>
        </w:rPr>
      </w:pPr>
      <w:r>
        <w:rPr>
          <w:rFonts w:ascii="Arial" w:eastAsia="Arial" w:hAnsi="Arial" w:cs="Arial"/>
          <w:color w:val="000000"/>
          <w:sz w:val="24"/>
          <w:szCs w:val="24"/>
        </w:rPr>
        <w:lastRenderedPageBreak/>
        <w:t>Table of Contents</w:t>
      </w:r>
    </w:p>
    <w:p w14:paraId="00000013"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Abstract 2</w:t>
      </w:r>
    </w:p>
    <w:p w14:paraId="00000014"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1.0 Chapter One: Introduction. 6</w:t>
      </w:r>
    </w:p>
    <w:p w14:paraId="00000015"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1.1 Background Information. 6</w:t>
      </w:r>
    </w:p>
    <w:p w14:paraId="00000016"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1.1.1 Parental alienation and the Children Act of 1989. 6</w:t>
      </w:r>
    </w:p>
    <w:p w14:paraId="00000017"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1.2 Problem Statement 7</w:t>
      </w:r>
    </w:p>
    <w:p w14:paraId="00000018"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1.3 Justification. 7</w:t>
      </w:r>
    </w:p>
    <w:p w14:paraId="00000019"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1.4 Research </w:t>
      </w:r>
      <w:proofErr w:type="gramStart"/>
      <w:r>
        <w:rPr>
          <w:rFonts w:ascii="Arial" w:eastAsia="Arial" w:hAnsi="Arial" w:cs="Arial"/>
          <w:color w:val="000000"/>
          <w:sz w:val="24"/>
          <w:szCs w:val="24"/>
        </w:rPr>
        <w:t>Aim..</w:t>
      </w:r>
      <w:proofErr w:type="gramEnd"/>
      <w:r>
        <w:rPr>
          <w:rFonts w:ascii="Arial" w:eastAsia="Arial" w:hAnsi="Arial" w:cs="Arial"/>
          <w:color w:val="000000"/>
          <w:sz w:val="24"/>
          <w:szCs w:val="24"/>
        </w:rPr>
        <w:t xml:space="preserve"> 8</w:t>
      </w:r>
    </w:p>
    <w:p w14:paraId="0000001A"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1.5 Research Objectives. 8</w:t>
      </w:r>
    </w:p>
    <w:p w14:paraId="0000001B"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1.6 Research Questions. 8</w:t>
      </w:r>
    </w:p>
    <w:p w14:paraId="0000001C"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1.7 Structure of the Dissertation. 9</w:t>
      </w:r>
    </w:p>
    <w:p w14:paraId="0000001D"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2.0 Chapter Two: Literature </w:t>
      </w:r>
      <w:proofErr w:type="gramStart"/>
      <w:r>
        <w:rPr>
          <w:rFonts w:ascii="Arial" w:eastAsia="Arial" w:hAnsi="Arial" w:cs="Arial"/>
          <w:color w:val="000000"/>
          <w:sz w:val="24"/>
          <w:szCs w:val="24"/>
        </w:rPr>
        <w:t>Review..</w:t>
      </w:r>
      <w:proofErr w:type="gramEnd"/>
      <w:r>
        <w:rPr>
          <w:rFonts w:ascii="Arial" w:eastAsia="Arial" w:hAnsi="Arial" w:cs="Arial"/>
          <w:color w:val="000000"/>
          <w:sz w:val="24"/>
          <w:szCs w:val="24"/>
        </w:rPr>
        <w:t xml:space="preserve"> 10</w:t>
      </w:r>
    </w:p>
    <w:p w14:paraId="0000001E"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2.</w:t>
      </w:r>
      <w:r>
        <w:rPr>
          <w:rFonts w:ascii="Arial" w:eastAsia="Arial" w:hAnsi="Arial" w:cs="Arial"/>
          <w:color w:val="000000"/>
          <w:sz w:val="24"/>
          <w:szCs w:val="24"/>
        </w:rPr>
        <w:t>1 Parental Alienation Syndrome (PAS) 10</w:t>
      </w:r>
    </w:p>
    <w:p w14:paraId="0000001F"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2.2 Protracted Litigation and Professional Mismanagement 12</w:t>
      </w:r>
    </w:p>
    <w:p w14:paraId="00000020"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2.3 Parental Personalities and Behaviors and Marital Conflict 14</w:t>
      </w:r>
    </w:p>
    <w:p w14:paraId="00000021"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2.3.1 Intergenerational transmission of personality traits and marital failure. 14</w:t>
      </w:r>
    </w:p>
    <w:p w14:paraId="00000022"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2.3.2 Em</w:t>
      </w:r>
      <w:r>
        <w:rPr>
          <w:rFonts w:ascii="Arial" w:eastAsia="Arial" w:hAnsi="Arial" w:cs="Arial"/>
          <w:color w:val="000000"/>
          <w:sz w:val="24"/>
          <w:szCs w:val="24"/>
        </w:rPr>
        <w:t>otional intelligence theory. 15</w:t>
      </w:r>
    </w:p>
    <w:p w14:paraId="00000023"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lastRenderedPageBreak/>
        <w:t>2.4 Gaps. 17</w:t>
      </w:r>
    </w:p>
    <w:p w14:paraId="00000024"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2.5 Conclusion. 17</w:t>
      </w:r>
    </w:p>
    <w:p w14:paraId="00000025"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3.0 Chapter Three: Research Methodology. 19</w:t>
      </w:r>
    </w:p>
    <w:p w14:paraId="00000026"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3.1 Introduction. 19</w:t>
      </w:r>
    </w:p>
    <w:p w14:paraId="00000027"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3.2 Overall Research Objective. 19</w:t>
      </w:r>
    </w:p>
    <w:p w14:paraId="00000028"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3.3 Philosophical Worldview/</w:t>
      </w:r>
      <w:proofErr w:type="gramStart"/>
      <w:r>
        <w:rPr>
          <w:rFonts w:ascii="Arial" w:eastAsia="Arial" w:hAnsi="Arial" w:cs="Arial"/>
          <w:color w:val="000000"/>
          <w:sz w:val="24"/>
          <w:szCs w:val="24"/>
        </w:rPr>
        <w:t>Paradigm..</w:t>
      </w:r>
      <w:proofErr w:type="gramEnd"/>
      <w:r>
        <w:rPr>
          <w:rFonts w:ascii="Arial" w:eastAsia="Arial" w:hAnsi="Arial" w:cs="Arial"/>
          <w:color w:val="000000"/>
          <w:sz w:val="24"/>
          <w:szCs w:val="24"/>
        </w:rPr>
        <w:t xml:space="preserve"> 19</w:t>
      </w:r>
    </w:p>
    <w:p w14:paraId="00000029"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3.4 The Distinction Between Primary and Secondary Research. 19</w:t>
      </w:r>
    </w:p>
    <w:p w14:paraId="0000002A"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3.5 Research Onion. 20</w:t>
      </w:r>
    </w:p>
    <w:p w14:paraId="0000002B" w14:textId="2E1AA89C" w:rsidR="00E80054" w:rsidRDefault="00527DE5">
      <w:pPr>
        <w:spacing w:before="240" w:line="480" w:lineRule="auto"/>
        <w:rPr>
          <w:rFonts w:ascii="Arial" w:eastAsia="Arial" w:hAnsi="Arial" w:cs="Arial"/>
          <w:color w:val="000000"/>
          <w:sz w:val="24"/>
          <w:szCs w:val="24"/>
        </w:rPr>
      </w:pPr>
      <w:proofErr w:type="gramStart"/>
      <w:r>
        <w:rPr>
          <w:rFonts w:ascii="Arial" w:eastAsia="Arial" w:hAnsi="Arial" w:cs="Arial"/>
          <w:color w:val="000000"/>
          <w:sz w:val="24"/>
          <w:szCs w:val="24"/>
        </w:rPr>
        <w:t xml:space="preserve">3.6  </w:t>
      </w:r>
      <w:r>
        <w:rPr>
          <w:rFonts w:ascii="Arial" w:eastAsia="Arial" w:hAnsi="Arial" w:cs="Arial"/>
          <w:color w:val="000000"/>
          <w:sz w:val="24"/>
          <w:szCs w:val="24"/>
        </w:rPr>
        <w:t>Research</w:t>
      </w:r>
      <w:proofErr w:type="gramEnd"/>
      <w:r>
        <w:rPr>
          <w:rFonts w:ascii="Arial" w:eastAsia="Arial" w:hAnsi="Arial" w:cs="Arial"/>
          <w:color w:val="000000"/>
          <w:sz w:val="24"/>
          <w:szCs w:val="24"/>
        </w:rPr>
        <w:t xml:space="preserve"> Approach. 21</w:t>
      </w:r>
    </w:p>
    <w:p w14:paraId="0000002C"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3.7 Sampling. 22</w:t>
      </w:r>
    </w:p>
    <w:p w14:paraId="0000002D"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3.8 Research Tools. 23</w:t>
      </w:r>
    </w:p>
    <w:p w14:paraId="0000002E"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3.9 Development of Research Instrument 23</w:t>
      </w:r>
    </w:p>
    <w:p w14:paraId="0000002F" w14:textId="0DE76F4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3.10</w:t>
      </w:r>
      <w:r w:rsidR="00187CE0">
        <w:rPr>
          <w:rFonts w:ascii="Arial" w:eastAsia="Arial" w:hAnsi="Arial" w:cs="Arial"/>
          <w:color w:val="000000"/>
          <w:sz w:val="24"/>
          <w:szCs w:val="24"/>
        </w:rPr>
        <w:t xml:space="preserve"> </w:t>
      </w:r>
      <w:r>
        <w:rPr>
          <w:rFonts w:ascii="Arial" w:eastAsia="Arial" w:hAnsi="Arial" w:cs="Arial"/>
          <w:color w:val="000000"/>
          <w:sz w:val="24"/>
          <w:szCs w:val="24"/>
        </w:rPr>
        <w:t>Data Collection. 23</w:t>
      </w:r>
    </w:p>
    <w:p w14:paraId="00000030"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3.10.1 Web-based survey. 23</w:t>
      </w:r>
    </w:p>
    <w:p w14:paraId="00000031"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3.10.2 </w:t>
      </w:r>
      <w:r>
        <w:rPr>
          <w:rFonts w:ascii="Arial" w:eastAsia="Arial" w:hAnsi="Arial" w:cs="Arial"/>
          <w:color w:val="000000"/>
          <w:sz w:val="24"/>
          <w:szCs w:val="24"/>
        </w:rPr>
        <w:t>Qualitative data from the interviews. 24</w:t>
      </w:r>
    </w:p>
    <w:p w14:paraId="00000032"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3.11 Data Analysis. 24</w:t>
      </w:r>
    </w:p>
    <w:p w14:paraId="00000033"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3.12 Limitations. 25</w:t>
      </w:r>
    </w:p>
    <w:p w14:paraId="00000034"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lastRenderedPageBreak/>
        <w:t>3.13 Ethical Considerations. 25</w:t>
      </w:r>
    </w:p>
    <w:p w14:paraId="00000035"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3.14 Validity. 26</w:t>
      </w:r>
    </w:p>
    <w:p w14:paraId="00000036"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3.14.1 Validity of the surveys. 26</w:t>
      </w:r>
    </w:p>
    <w:p w14:paraId="00000037"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3.14.2 Validity of the interviews. 26</w:t>
      </w:r>
    </w:p>
    <w:p w14:paraId="00000038"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3.15 Conclusion. 26</w:t>
      </w:r>
    </w:p>
    <w:p w14:paraId="00000039"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4.0 Chapter Four: Results. 2</w:t>
      </w:r>
      <w:r>
        <w:rPr>
          <w:rFonts w:ascii="Arial" w:eastAsia="Arial" w:hAnsi="Arial" w:cs="Arial"/>
          <w:color w:val="000000"/>
          <w:sz w:val="24"/>
          <w:szCs w:val="24"/>
        </w:rPr>
        <w:t>7</w:t>
      </w:r>
    </w:p>
    <w:p w14:paraId="0000003A"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4.1 Introduction. 27</w:t>
      </w:r>
    </w:p>
    <w:p w14:paraId="0000003B"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4.2 Restatement of the Research Objectives. 27</w:t>
      </w:r>
    </w:p>
    <w:p w14:paraId="0000003C"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4.3 Restatement of the Research Questions. 27</w:t>
      </w:r>
    </w:p>
    <w:p w14:paraId="0000003D"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4.4 Characteristics of the Respondents. 27</w:t>
      </w:r>
    </w:p>
    <w:p w14:paraId="0000003E"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4.5 Perceptions about Parental Alienation and Lived Experiences. 29</w:t>
      </w:r>
    </w:p>
    <w:p w14:paraId="0000003F"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4.6 Legal System and Parental Alienation. 31</w:t>
      </w:r>
    </w:p>
    <w:p w14:paraId="00000040"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4.7 Lived Experiences and Punishment for Parental Alienation. 32</w:t>
      </w:r>
    </w:p>
    <w:p w14:paraId="00000041"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4.8 Qualitative Data from Interviews (Lived Experiences) 37</w:t>
      </w:r>
    </w:p>
    <w:p w14:paraId="00000042"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4.8.1 Public perceptions about parental alienation and lived experiences. 37</w:t>
      </w:r>
    </w:p>
    <w:p w14:paraId="00000043"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4.8.2 Legal issues about custody and impact of parental alienation. 38</w:t>
      </w:r>
    </w:p>
    <w:p w14:paraId="00000044"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4.9 Conclusion. 40</w:t>
      </w:r>
    </w:p>
    <w:p w14:paraId="00000045"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lastRenderedPageBreak/>
        <w:t>5.0 Chapter Five: Discussion.</w:t>
      </w:r>
      <w:r>
        <w:rPr>
          <w:rFonts w:ascii="Arial" w:eastAsia="Arial" w:hAnsi="Arial" w:cs="Arial"/>
          <w:color w:val="000000"/>
          <w:sz w:val="24"/>
          <w:szCs w:val="24"/>
        </w:rPr>
        <w:t xml:space="preserve"> 41</w:t>
      </w:r>
    </w:p>
    <w:p w14:paraId="00000046" w14:textId="77777777" w:rsidR="00E80054" w:rsidRDefault="00527DE5">
      <w:pPr>
        <w:spacing w:before="240" w:line="480" w:lineRule="auto"/>
        <w:rPr>
          <w:rFonts w:ascii="Arial" w:eastAsia="Arial" w:hAnsi="Arial" w:cs="Arial"/>
          <w:color w:val="000000"/>
          <w:sz w:val="24"/>
          <w:szCs w:val="24"/>
        </w:rPr>
      </w:pPr>
      <w:proofErr w:type="gramStart"/>
      <w:r>
        <w:rPr>
          <w:rFonts w:ascii="Arial" w:eastAsia="Arial" w:hAnsi="Arial" w:cs="Arial"/>
          <w:color w:val="000000"/>
          <w:sz w:val="24"/>
          <w:szCs w:val="24"/>
        </w:rPr>
        <w:t>5.1  Introduction</w:t>
      </w:r>
      <w:proofErr w:type="gramEnd"/>
      <w:r>
        <w:rPr>
          <w:rFonts w:ascii="Arial" w:eastAsia="Arial" w:hAnsi="Arial" w:cs="Arial"/>
          <w:color w:val="000000"/>
          <w:sz w:val="24"/>
          <w:szCs w:val="24"/>
        </w:rPr>
        <w:t>. 41</w:t>
      </w:r>
    </w:p>
    <w:p w14:paraId="00000047"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5.2 Prevalence of Parental Alienation and Children’s Contact with Their Fathers. 41</w:t>
      </w:r>
    </w:p>
    <w:p w14:paraId="00000048"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5.3 Discursive Context, Political and Social Factors That Underpinned the Emergence and Acceptance of Parental Separation. 43</w:t>
      </w:r>
    </w:p>
    <w:p w14:paraId="00000049"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6.0 Chapter Six: Con</w:t>
      </w:r>
      <w:r>
        <w:rPr>
          <w:rFonts w:ascii="Arial" w:eastAsia="Arial" w:hAnsi="Arial" w:cs="Arial"/>
          <w:color w:val="000000"/>
          <w:sz w:val="24"/>
          <w:szCs w:val="24"/>
        </w:rPr>
        <w:t>clusion. 45</w:t>
      </w:r>
    </w:p>
    <w:p w14:paraId="0000004A"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6.1 Recommendations for Future Research. 46</w:t>
      </w:r>
    </w:p>
    <w:p w14:paraId="0000004B"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6.2 Recommendations for Practice. 46</w:t>
      </w:r>
    </w:p>
    <w:p w14:paraId="0000004C"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6.3 Limitations. 47</w:t>
      </w:r>
    </w:p>
    <w:p w14:paraId="0000004D"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7.0 References. 48</w:t>
      </w:r>
    </w:p>
    <w:p w14:paraId="0000004E"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8.0 Appendix. 55</w:t>
      </w:r>
    </w:p>
    <w:p w14:paraId="0000004F"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00000050" w14:textId="77777777" w:rsidR="00E80054" w:rsidRDefault="00E80054">
      <w:pPr>
        <w:spacing w:line="480" w:lineRule="auto"/>
        <w:ind w:left="720"/>
        <w:rPr>
          <w:rFonts w:ascii="Arial" w:eastAsia="Arial" w:hAnsi="Arial" w:cs="Arial"/>
          <w:color w:val="000000"/>
          <w:sz w:val="24"/>
          <w:szCs w:val="24"/>
        </w:rPr>
      </w:pPr>
    </w:p>
    <w:p w14:paraId="00000051"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00000052" w14:textId="77777777" w:rsidR="00E80054" w:rsidRDefault="00527DE5">
      <w:pPr>
        <w:spacing w:before="240" w:line="480" w:lineRule="auto"/>
        <w:jc w:val="center"/>
        <w:rPr>
          <w:rFonts w:ascii="Arial" w:eastAsia="Arial" w:hAnsi="Arial" w:cs="Arial"/>
          <w:color w:val="000000"/>
          <w:sz w:val="24"/>
          <w:szCs w:val="24"/>
        </w:rPr>
      </w:pPr>
      <w:r>
        <w:rPr>
          <w:rFonts w:ascii="Arial" w:eastAsia="Arial" w:hAnsi="Arial" w:cs="Arial"/>
          <w:color w:val="000000"/>
          <w:sz w:val="24"/>
          <w:szCs w:val="24"/>
        </w:rPr>
        <w:t>List of Figures</w:t>
      </w:r>
    </w:p>
    <w:p w14:paraId="00000053" w14:textId="77777777" w:rsidR="00E80054" w:rsidRDefault="00527DE5">
      <w:pPr>
        <w:spacing w:before="240" w:after="240" w:line="480" w:lineRule="auto"/>
        <w:rPr>
          <w:rFonts w:ascii="Arial" w:eastAsia="Arial" w:hAnsi="Arial" w:cs="Arial"/>
          <w:color w:val="000000"/>
          <w:sz w:val="24"/>
          <w:szCs w:val="24"/>
        </w:rPr>
      </w:pPr>
      <w:r>
        <w:rPr>
          <w:rFonts w:ascii="Arial" w:eastAsia="Arial" w:hAnsi="Arial" w:cs="Arial"/>
          <w:color w:val="000000"/>
          <w:sz w:val="24"/>
          <w:szCs w:val="24"/>
        </w:rPr>
        <w:t>Figure 1 Research onion linking analytical procedures, philosophical paradigms and dat</w:t>
      </w:r>
      <w:r>
        <w:rPr>
          <w:rFonts w:ascii="Arial" w:eastAsia="Arial" w:hAnsi="Arial" w:cs="Arial"/>
          <w:color w:val="000000"/>
          <w:sz w:val="24"/>
          <w:szCs w:val="24"/>
        </w:rPr>
        <w:t xml:space="preserve">a collection/analysis procedures (Saunders, Lewis and Thornhill, 2019) </w:t>
      </w:r>
      <w:proofErr w:type="gramStart"/>
      <w:r>
        <w:rPr>
          <w:rFonts w:ascii="Arial" w:eastAsia="Arial" w:hAnsi="Arial" w:cs="Arial"/>
          <w:color w:val="000000"/>
          <w:sz w:val="24"/>
          <w:szCs w:val="24"/>
        </w:rPr>
        <w:t>21</w:t>
      </w:r>
      <w:proofErr w:type="gramEnd"/>
    </w:p>
    <w:p w14:paraId="00000054" w14:textId="77777777" w:rsidR="00E80054" w:rsidRDefault="00527DE5">
      <w:pPr>
        <w:spacing w:before="240" w:after="240" w:line="48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Figure 2 Abductive research approach (Wheeldon and </w:t>
      </w:r>
      <w:proofErr w:type="spellStart"/>
      <w:r>
        <w:rPr>
          <w:rFonts w:ascii="Arial" w:eastAsia="Arial" w:hAnsi="Arial" w:cs="Arial"/>
          <w:color w:val="000000"/>
          <w:sz w:val="24"/>
          <w:szCs w:val="24"/>
        </w:rPr>
        <w:t>Åhlberg</w:t>
      </w:r>
      <w:proofErr w:type="spellEnd"/>
      <w:r>
        <w:rPr>
          <w:rFonts w:ascii="Arial" w:eastAsia="Arial" w:hAnsi="Arial" w:cs="Arial"/>
          <w:color w:val="000000"/>
          <w:sz w:val="24"/>
          <w:szCs w:val="24"/>
        </w:rPr>
        <w:t>, 2012) 22</w:t>
      </w:r>
    </w:p>
    <w:p w14:paraId="00000055" w14:textId="77777777" w:rsidR="00E80054" w:rsidRDefault="00527DE5">
      <w:pPr>
        <w:spacing w:before="240" w:after="240" w:line="480" w:lineRule="auto"/>
        <w:rPr>
          <w:rFonts w:ascii="Arial" w:eastAsia="Arial" w:hAnsi="Arial" w:cs="Arial"/>
          <w:color w:val="000000"/>
          <w:sz w:val="24"/>
          <w:szCs w:val="24"/>
        </w:rPr>
      </w:pPr>
      <w:r>
        <w:rPr>
          <w:rFonts w:ascii="Arial" w:eastAsia="Arial" w:hAnsi="Arial" w:cs="Arial"/>
          <w:color w:val="000000"/>
          <w:sz w:val="24"/>
          <w:szCs w:val="24"/>
        </w:rPr>
        <w:t>Figure 3 Characteristics of the respondents. 29</w:t>
      </w:r>
    </w:p>
    <w:p w14:paraId="00000056" w14:textId="77777777" w:rsidR="00E80054" w:rsidRDefault="00527DE5">
      <w:pPr>
        <w:spacing w:before="240" w:after="240" w:line="480" w:lineRule="auto"/>
        <w:rPr>
          <w:rFonts w:ascii="Arial" w:eastAsia="Arial" w:hAnsi="Arial" w:cs="Arial"/>
          <w:color w:val="000000"/>
          <w:sz w:val="24"/>
          <w:szCs w:val="24"/>
        </w:rPr>
      </w:pPr>
      <w:r>
        <w:rPr>
          <w:rFonts w:ascii="Arial" w:eastAsia="Arial" w:hAnsi="Arial" w:cs="Arial"/>
          <w:color w:val="000000"/>
          <w:sz w:val="24"/>
          <w:szCs w:val="24"/>
        </w:rPr>
        <w:t>Figure 4 Knowledge of parental alienation prior to this research.</w:t>
      </w:r>
      <w:r>
        <w:rPr>
          <w:rFonts w:ascii="Arial" w:eastAsia="Arial" w:hAnsi="Arial" w:cs="Arial"/>
          <w:color w:val="000000"/>
          <w:sz w:val="24"/>
          <w:szCs w:val="24"/>
        </w:rPr>
        <w:t xml:space="preserve"> 29</w:t>
      </w:r>
    </w:p>
    <w:p w14:paraId="00000057" w14:textId="77777777" w:rsidR="00E80054" w:rsidRDefault="00527DE5">
      <w:pPr>
        <w:spacing w:before="240" w:after="240" w:line="480" w:lineRule="auto"/>
        <w:rPr>
          <w:rFonts w:ascii="Arial" w:eastAsia="Arial" w:hAnsi="Arial" w:cs="Arial"/>
          <w:color w:val="000000"/>
          <w:sz w:val="24"/>
          <w:szCs w:val="24"/>
        </w:rPr>
      </w:pPr>
      <w:r>
        <w:rPr>
          <w:rFonts w:ascii="Arial" w:eastAsia="Arial" w:hAnsi="Arial" w:cs="Arial"/>
          <w:color w:val="000000"/>
          <w:sz w:val="24"/>
          <w:szCs w:val="24"/>
        </w:rPr>
        <w:t>Figure 5 Prevalence of parental separation in Wales. 30</w:t>
      </w:r>
    </w:p>
    <w:p w14:paraId="00000058" w14:textId="77777777" w:rsidR="00E80054" w:rsidRDefault="00527DE5">
      <w:pPr>
        <w:spacing w:before="240" w:after="240" w:line="480" w:lineRule="auto"/>
        <w:rPr>
          <w:rFonts w:ascii="Arial" w:eastAsia="Arial" w:hAnsi="Arial" w:cs="Arial"/>
          <w:color w:val="000000"/>
          <w:sz w:val="24"/>
          <w:szCs w:val="24"/>
        </w:rPr>
      </w:pPr>
      <w:r>
        <w:rPr>
          <w:rFonts w:ascii="Arial" w:eastAsia="Arial" w:hAnsi="Arial" w:cs="Arial"/>
          <w:color w:val="000000"/>
          <w:sz w:val="24"/>
          <w:szCs w:val="24"/>
        </w:rPr>
        <w:t>Figure 6 Level of contact between fathers and alienated children in Wales. 31</w:t>
      </w:r>
    </w:p>
    <w:p w14:paraId="00000059" w14:textId="77777777" w:rsidR="00E80054" w:rsidRDefault="00527DE5">
      <w:pPr>
        <w:spacing w:before="240" w:after="240" w:line="480" w:lineRule="auto"/>
        <w:rPr>
          <w:rFonts w:ascii="Arial" w:eastAsia="Arial" w:hAnsi="Arial" w:cs="Arial"/>
          <w:color w:val="000000"/>
          <w:sz w:val="24"/>
          <w:szCs w:val="24"/>
        </w:rPr>
      </w:pPr>
      <w:r>
        <w:rPr>
          <w:rFonts w:ascii="Arial" w:eastAsia="Arial" w:hAnsi="Arial" w:cs="Arial"/>
          <w:color w:val="000000"/>
          <w:sz w:val="24"/>
          <w:szCs w:val="24"/>
        </w:rPr>
        <w:t>Figure 7 Changes within the legal system over time to support the welfare of fathers. 32</w:t>
      </w:r>
    </w:p>
    <w:p w14:paraId="0000005A" w14:textId="77777777" w:rsidR="00E80054" w:rsidRDefault="00527DE5">
      <w:pPr>
        <w:spacing w:before="240" w:after="240" w:line="480" w:lineRule="auto"/>
        <w:rPr>
          <w:rFonts w:ascii="Arial" w:eastAsia="Arial" w:hAnsi="Arial" w:cs="Arial"/>
          <w:color w:val="000000"/>
          <w:sz w:val="24"/>
          <w:szCs w:val="24"/>
        </w:rPr>
      </w:pPr>
      <w:r>
        <w:rPr>
          <w:rFonts w:ascii="Arial" w:eastAsia="Arial" w:hAnsi="Arial" w:cs="Arial"/>
          <w:color w:val="000000"/>
          <w:sz w:val="24"/>
          <w:szCs w:val="24"/>
        </w:rPr>
        <w:t>Figure 8 Victim of parental alienation. 33</w:t>
      </w:r>
    </w:p>
    <w:p w14:paraId="0000005B" w14:textId="77777777" w:rsidR="00E80054" w:rsidRDefault="00527DE5">
      <w:pPr>
        <w:spacing w:before="240" w:after="240" w:line="480" w:lineRule="auto"/>
        <w:rPr>
          <w:rFonts w:ascii="Arial" w:eastAsia="Arial" w:hAnsi="Arial" w:cs="Arial"/>
          <w:color w:val="000000"/>
          <w:sz w:val="24"/>
          <w:szCs w:val="24"/>
        </w:rPr>
      </w:pPr>
      <w:r>
        <w:rPr>
          <w:rFonts w:ascii="Arial" w:eastAsia="Arial" w:hAnsi="Arial" w:cs="Arial"/>
          <w:color w:val="000000"/>
          <w:sz w:val="24"/>
          <w:szCs w:val="24"/>
        </w:rPr>
        <w:t xml:space="preserve">Figure 9 Experience being the alienating parent </w:t>
      </w:r>
      <w:proofErr w:type="gramStart"/>
      <w:r>
        <w:rPr>
          <w:rFonts w:ascii="Arial" w:eastAsia="Arial" w:hAnsi="Arial" w:cs="Arial"/>
          <w:color w:val="000000"/>
          <w:sz w:val="24"/>
          <w:szCs w:val="24"/>
        </w:rPr>
        <w:t>34</w:t>
      </w:r>
      <w:proofErr w:type="gramEnd"/>
    </w:p>
    <w:p w14:paraId="0000005C" w14:textId="77777777" w:rsidR="00E80054" w:rsidRDefault="00527DE5">
      <w:pPr>
        <w:spacing w:before="240" w:after="240" w:line="480" w:lineRule="auto"/>
        <w:rPr>
          <w:rFonts w:ascii="Arial" w:eastAsia="Arial" w:hAnsi="Arial" w:cs="Arial"/>
          <w:color w:val="000000"/>
          <w:sz w:val="24"/>
          <w:szCs w:val="24"/>
        </w:rPr>
      </w:pPr>
      <w:r>
        <w:rPr>
          <w:rFonts w:ascii="Arial" w:eastAsia="Arial" w:hAnsi="Arial" w:cs="Arial"/>
          <w:color w:val="000000"/>
          <w:sz w:val="24"/>
          <w:szCs w:val="24"/>
        </w:rPr>
        <w:t xml:space="preserve">Figure 10 Factors that inform the actions of the alienating parent </w:t>
      </w:r>
      <w:proofErr w:type="gramStart"/>
      <w:r>
        <w:rPr>
          <w:rFonts w:ascii="Arial" w:eastAsia="Arial" w:hAnsi="Arial" w:cs="Arial"/>
          <w:color w:val="000000"/>
          <w:sz w:val="24"/>
          <w:szCs w:val="24"/>
        </w:rPr>
        <w:t>35</w:t>
      </w:r>
      <w:proofErr w:type="gramEnd"/>
    </w:p>
    <w:p w14:paraId="0000005D" w14:textId="77777777" w:rsidR="00E80054" w:rsidRDefault="00527DE5">
      <w:pPr>
        <w:spacing w:before="240" w:after="240" w:line="480" w:lineRule="auto"/>
        <w:rPr>
          <w:rFonts w:ascii="Arial" w:eastAsia="Arial" w:hAnsi="Arial" w:cs="Arial"/>
          <w:color w:val="000000"/>
          <w:sz w:val="24"/>
          <w:szCs w:val="24"/>
        </w:rPr>
      </w:pPr>
      <w:r>
        <w:rPr>
          <w:rFonts w:ascii="Arial" w:eastAsia="Arial" w:hAnsi="Arial" w:cs="Arial"/>
          <w:color w:val="000000"/>
          <w:sz w:val="24"/>
          <w:szCs w:val="24"/>
        </w:rPr>
        <w:t>Fig</w:t>
      </w:r>
      <w:r>
        <w:rPr>
          <w:rFonts w:ascii="Arial" w:eastAsia="Arial" w:hAnsi="Arial" w:cs="Arial"/>
          <w:color w:val="000000"/>
          <w:sz w:val="24"/>
          <w:szCs w:val="24"/>
        </w:rPr>
        <w:t>ure 11 Consensus on the punishment for alienating parent 36</w:t>
      </w:r>
    </w:p>
    <w:p w14:paraId="0000005E" w14:textId="77777777" w:rsidR="00E80054" w:rsidRDefault="00527DE5">
      <w:pPr>
        <w:spacing w:before="240" w:after="240" w:line="480" w:lineRule="auto"/>
        <w:rPr>
          <w:rFonts w:ascii="Arial" w:eastAsia="Arial" w:hAnsi="Arial" w:cs="Arial"/>
          <w:color w:val="000000"/>
          <w:sz w:val="24"/>
          <w:szCs w:val="24"/>
        </w:rPr>
      </w:pPr>
      <w:r>
        <w:rPr>
          <w:rFonts w:ascii="Arial" w:eastAsia="Arial" w:hAnsi="Arial" w:cs="Arial"/>
          <w:color w:val="000000"/>
          <w:sz w:val="24"/>
          <w:szCs w:val="24"/>
        </w:rPr>
        <w:t>Figure 12 Equal or skewed legal support for mothers and fathers in determining child custody. 37</w:t>
      </w:r>
    </w:p>
    <w:p w14:paraId="0000005F"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00000060" w14:textId="77777777" w:rsidR="00E80054" w:rsidRDefault="00E80054">
      <w:pPr>
        <w:spacing w:line="480" w:lineRule="auto"/>
        <w:ind w:left="720"/>
        <w:rPr>
          <w:rFonts w:ascii="Arial" w:eastAsia="Arial" w:hAnsi="Arial" w:cs="Arial"/>
          <w:color w:val="000000"/>
          <w:sz w:val="24"/>
          <w:szCs w:val="24"/>
        </w:rPr>
      </w:pPr>
    </w:p>
    <w:p w14:paraId="00000061"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00000062" w14:textId="77777777" w:rsidR="00E80054" w:rsidRDefault="00527DE5">
      <w:pPr>
        <w:pStyle w:val="Heading1"/>
        <w:keepNext w:val="0"/>
        <w:keepLines w:val="0"/>
        <w:widowControl/>
        <w:spacing w:after="120" w:line="480" w:lineRule="auto"/>
        <w:ind w:left="720"/>
        <w:jc w:val="center"/>
        <w:rPr>
          <w:rFonts w:ascii="Arial" w:eastAsia="Arial" w:hAnsi="Arial" w:cs="Arial"/>
          <w:b w:val="0"/>
          <w:color w:val="000000"/>
          <w:sz w:val="24"/>
          <w:szCs w:val="24"/>
        </w:rPr>
      </w:pPr>
      <w:bookmarkStart w:id="2" w:name="_s45dmte3gyns" w:colFirst="0" w:colLast="0"/>
      <w:bookmarkEnd w:id="2"/>
      <w:r>
        <w:rPr>
          <w:rFonts w:ascii="Arial" w:eastAsia="Arial" w:hAnsi="Arial" w:cs="Arial"/>
          <w:b w:val="0"/>
          <w:color w:val="000000"/>
          <w:sz w:val="24"/>
          <w:szCs w:val="24"/>
        </w:rPr>
        <w:t>1.0 Chapter One: Introduction</w:t>
      </w:r>
    </w:p>
    <w:p w14:paraId="00000063"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lastRenderedPageBreak/>
        <w:t>The study investigated the impact of parental alienation and contact on fathers in Wales. The scope of the inquiry was informed by the following questions: What lengths do separated fathers go to see their children where mothers are making things difficult</w:t>
      </w:r>
      <w:r>
        <w:rPr>
          <w:rFonts w:ascii="Arial" w:eastAsia="Arial" w:hAnsi="Arial" w:cs="Arial"/>
          <w:color w:val="000000"/>
          <w:sz w:val="24"/>
          <w:szCs w:val="24"/>
        </w:rPr>
        <w:t>? What has changed in the legal system over recent years in support of fathers? How does parental alienation impact fathers? The questions were addressed through a web-based survey.</w:t>
      </w:r>
    </w:p>
    <w:p w14:paraId="00000064"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3" w:name="_r5dbb5fn6get" w:colFirst="0" w:colLast="0"/>
      <w:bookmarkEnd w:id="3"/>
      <w:r>
        <w:rPr>
          <w:rFonts w:ascii="Arial" w:eastAsia="Arial" w:hAnsi="Arial" w:cs="Arial"/>
          <w:b/>
          <w:color w:val="000000"/>
          <w:sz w:val="24"/>
          <w:szCs w:val="24"/>
        </w:rPr>
        <w:t>1.1 Background Information</w:t>
      </w:r>
    </w:p>
    <w:p w14:paraId="00000065" w14:textId="77777777" w:rsidR="00E80054" w:rsidRDefault="00527DE5">
      <w:pPr>
        <w:pStyle w:val="Heading3"/>
        <w:spacing w:before="280" w:after="80" w:line="480" w:lineRule="auto"/>
        <w:ind w:left="720"/>
        <w:rPr>
          <w:rFonts w:ascii="Arial" w:eastAsia="Arial" w:hAnsi="Arial" w:cs="Arial"/>
          <w:b/>
          <w:color w:val="000000"/>
          <w:sz w:val="24"/>
          <w:szCs w:val="24"/>
        </w:rPr>
      </w:pPr>
      <w:bookmarkStart w:id="4" w:name="_avia6oe70qos" w:colFirst="0" w:colLast="0"/>
      <w:bookmarkEnd w:id="4"/>
      <w:r>
        <w:rPr>
          <w:rFonts w:ascii="Arial" w:eastAsia="Arial" w:hAnsi="Arial" w:cs="Arial"/>
          <w:b/>
          <w:color w:val="000000"/>
          <w:sz w:val="24"/>
          <w:szCs w:val="24"/>
        </w:rPr>
        <w:t xml:space="preserve">1.1.1 Parental alienation and the Children Act </w:t>
      </w:r>
      <w:r>
        <w:rPr>
          <w:rFonts w:ascii="Arial" w:eastAsia="Arial" w:hAnsi="Arial" w:cs="Arial"/>
          <w:b/>
          <w:color w:val="000000"/>
          <w:sz w:val="24"/>
          <w:szCs w:val="24"/>
        </w:rPr>
        <w:t>of 1989</w:t>
      </w:r>
    </w:p>
    <w:p w14:paraId="00000066"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The existing laws relating to child custody </w:t>
      </w:r>
      <w:proofErr w:type="spellStart"/>
      <w:r>
        <w:rPr>
          <w:rFonts w:ascii="Arial" w:eastAsia="Arial" w:hAnsi="Arial" w:cs="Arial"/>
          <w:color w:val="000000"/>
          <w:sz w:val="24"/>
          <w:szCs w:val="24"/>
        </w:rPr>
        <w:t>favour</w:t>
      </w:r>
      <w:proofErr w:type="spellEnd"/>
      <w:r>
        <w:rPr>
          <w:rFonts w:ascii="Arial" w:eastAsia="Arial" w:hAnsi="Arial" w:cs="Arial"/>
          <w:color w:val="000000"/>
          <w:sz w:val="24"/>
          <w:szCs w:val="24"/>
        </w:rPr>
        <w:t xml:space="preserve"> mothers disproportionately and alienate fathers. For example, there is no binding provision under the Children Act of 1989 that addresses parental alienation (Stewart and </w:t>
      </w:r>
      <w:proofErr w:type="spellStart"/>
      <w:r>
        <w:rPr>
          <w:rFonts w:ascii="Arial" w:eastAsia="Arial" w:hAnsi="Arial" w:cs="Arial"/>
          <w:color w:val="000000"/>
          <w:sz w:val="24"/>
          <w:szCs w:val="24"/>
        </w:rPr>
        <w:t>Dziobon</w:t>
      </w:r>
      <w:proofErr w:type="spellEnd"/>
      <w:r>
        <w:rPr>
          <w:rFonts w:ascii="Arial" w:eastAsia="Arial" w:hAnsi="Arial" w:cs="Arial"/>
          <w:color w:val="000000"/>
          <w:sz w:val="24"/>
          <w:szCs w:val="24"/>
        </w:rPr>
        <w:t>, 2020; UK Governme</w:t>
      </w:r>
      <w:r>
        <w:rPr>
          <w:rFonts w:ascii="Arial" w:eastAsia="Arial" w:hAnsi="Arial" w:cs="Arial"/>
          <w:color w:val="000000"/>
          <w:sz w:val="24"/>
          <w:szCs w:val="24"/>
        </w:rPr>
        <w:t xml:space="preserve">nt, 2020). In the absence of explicit legal guidelines, the suitable remedy prescribed by courts on a case-by-case basis might be biased in </w:t>
      </w:r>
      <w:proofErr w:type="spellStart"/>
      <w:r>
        <w:rPr>
          <w:rFonts w:ascii="Arial" w:eastAsia="Arial" w:hAnsi="Arial" w:cs="Arial"/>
          <w:color w:val="000000"/>
          <w:sz w:val="24"/>
          <w:szCs w:val="24"/>
        </w:rPr>
        <w:t>favour</w:t>
      </w:r>
      <w:proofErr w:type="spellEnd"/>
      <w:r>
        <w:rPr>
          <w:rFonts w:ascii="Arial" w:eastAsia="Arial" w:hAnsi="Arial" w:cs="Arial"/>
          <w:color w:val="000000"/>
          <w:sz w:val="24"/>
          <w:szCs w:val="24"/>
        </w:rPr>
        <w:t xml:space="preserve"> of the mother, considering that they assume primary custody in most cases following parental separation.</w:t>
      </w:r>
    </w:p>
    <w:p w14:paraId="00000067"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Desp</w:t>
      </w:r>
      <w:r>
        <w:rPr>
          <w:rFonts w:ascii="Arial" w:eastAsia="Arial" w:hAnsi="Arial" w:cs="Arial"/>
          <w:color w:val="000000"/>
          <w:sz w:val="24"/>
          <w:szCs w:val="24"/>
        </w:rPr>
        <w:t>ite the absence of clear-cut provisions in the existing family laws, the government remains opposed to legislative reforms arguing that the existing laws had sufficient provisions concerning “cases of parental alienation and highlighted the role of childre</w:t>
      </w:r>
      <w:r>
        <w:rPr>
          <w:rFonts w:ascii="Arial" w:eastAsia="Arial" w:hAnsi="Arial" w:cs="Arial"/>
          <w:color w:val="000000"/>
          <w:sz w:val="24"/>
          <w:szCs w:val="24"/>
        </w:rPr>
        <w:t xml:space="preserve">n and family court advisory and support service (CAFCASS) practitioners” (Jarrett, 2020). </w:t>
      </w:r>
      <w:proofErr w:type="gramStart"/>
      <w:r>
        <w:rPr>
          <w:rFonts w:ascii="Arial" w:eastAsia="Arial" w:hAnsi="Arial" w:cs="Arial"/>
          <w:color w:val="000000"/>
          <w:sz w:val="24"/>
          <w:szCs w:val="24"/>
        </w:rPr>
        <w:t>In reality, the</w:t>
      </w:r>
      <w:proofErr w:type="gramEnd"/>
      <w:r>
        <w:rPr>
          <w:rFonts w:ascii="Arial" w:eastAsia="Arial" w:hAnsi="Arial" w:cs="Arial"/>
          <w:color w:val="000000"/>
          <w:sz w:val="24"/>
          <w:szCs w:val="24"/>
        </w:rPr>
        <w:t xml:space="preserve"> CAFCASS and the Child Impact Assessment Framework are limited, and existing guidelines do not effectively address challenges relating to a child’s bia</w:t>
      </w:r>
      <w:r>
        <w:rPr>
          <w:rFonts w:ascii="Arial" w:eastAsia="Arial" w:hAnsi="Arial" w:cs="Arial"/>
          <w:color w:val="000000"/>
          <w:sz w:val="24"/>
          <w:szCs w:val="24"/>
        </w:rPr>
        <w:t xml:space="preserve">sed preferences. Children might opt or resist spending time with one parent. Moreover, CAFCASS is only binding in England, not Wales (Jarrett, 2020). The legal </w:t>
      </w:r>
      <w:r>
        <w:rPr>
          <w:rFonts w:ascii="Arial" w:eastAsia="Arial" w:hAnsi="Arial" w:cs="Arial"/>
          <w:color w:val="000000"/>
          <w:sz w:val="24"/>
          <w:szCs w:val="24"/>
        </w:rPr>
        <w:lastRenderedPageBreak/>
        <w:t>loopholes partly explain why mothers automatically assume parental custody after birth; exceptio</w:t>
      </w:r>
      <w:r>
        <w:rPr>
          <w:rFonts w:ascii="Arial" w:eastAsia="Arial" w:hAnsi="Arial" w:cs="Arial"/>
          <w:color w:val="000000"/>
          <w:sz w:val="24"/>
          <w:szCs w:val="24"/>
        </w:rPr>
        <w:t>ns apply if the father’s names were incorporated into the birth certificate (Sheldon, 2001). Additionally, fathers are obliged to be present during the registration of the child’s birth to secure a legal right to parental responsibility (Sheldon, 2001). Su</w:t>
      </w:r>
      <w:r>
        <w:rPr>
          <w:rFonts w:ascii="Arial" w:eastAsia="Arial" w:hAnsi="Arial" w:cs="Arial"/>
          <w:color w:val="000000"/>
          <w:sz w:val="24"/>
          <w:szCs w:val="24"/>
        </w:rPr>
        <w:t xml:space="preserve">ch provisions disproportionately </w:t>
      </w:r>
      <w:proofErr w:type="spellStart"/>
      <w:r>
        <w:rPr>
          <w:rFonts w:ascii="Arial" w:eastAsia="Arial" w:hAnsi="Arial" w:cs="Arial"/>
          <w:color w:val="000000"/>
          <w:sz w:val="24"/>
          <w:szCs w:val="24"/>
        </w:rPr>
        <w:t>favour</w:t>
      </w:r>
      <w:proofErr w:type="spellEnd"/>
      <w:r>
        <w:rPr>
          <w:rFonts w:ascii="Arial" w:eastAsia="Arial" w:hAnsi="Arial" w:cs="Arial"/>
          <w:color w:val="000000"/>
          <w:sz w:val="24"/>
          <w:szCs w:val="24"/>
        </w:rPr>
        <w:t xml:space="preserve"> women considering that it is challenging for fathers to satisfy such requirements.</w:t>
      </w:r>
    </w:p>
    <w:p w14:paraId="00000068"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5" w:name="_gqsi59csfhhn" w:colFirst="0" w:colLast="0"/>
      <w:bookmarkEnd w:id="5"/>
      <w:r>
        <w:rPr>
          <w:rFonts w:ascii="Arial" w:eastAsia="Arial" w:hAnsi="Arial" w:cs="Arial"/>
          <w:b/>
          <w:color w:val="000000"/>
          <w:sz w:val="24"/>
          <w:szCs w:val="24"/>
        </w:rPr>
        <w:t>1.2 Problem Statement</w:t>
      </w:r>
    </w:p>
    <w:p w14:paraId="00000069"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As noted in the background information section, the English and Welsh common law system, and specifically the C</w:t>
      </w:r>
      <w:r>
        <w:rPr>
          <w:rFonts w:ascii="Arial" w:eastAsia="Arial" w:hAnsi="Arial" w:cs="Arial"/>
          <w:color w:val="000000"/>
          <w:sz w:val="24"/>
          <w:szCs w:val="24"/>
        </w:rPr>
        <w:t xml:space="preserve">hildren Act of 1989, explicitly address the issue of parental alienation or what measures should be initiated when it occurs (UK Government, 2020). </w:t>
      </w:r>
      <w:proofErr w:type="gramStart"/>
      <w:r>
        <w:rPr>
          <w:rFonts w:ascii="Arial" w:eastAsia="Arial" w:hAnsi="Arial" w:cs="Arial"/>
          <w:color w:val="000000"/>
          <w:sz w:val="24"/>
          <w:szCs w:val="24"/>
        </w:rPr>
        <w:t>In light of</w:t>
      </w:r>
      <w:proofErr w:type="gramEnd"/>
      <w:r>
        <w:rPr>
          <w:rFonts w:ascii="Arial" w:eastAsia="Arial" w:hAnsi="Arial" w:cs="Arial"/>
          <w:color w:val="000000"/>
          <w:sz w:val="24"/>
          <w:szCs w:val="24"/>
        </w:rPr>
        <w:t xml:space="preserve"> this evidence, it could be argued that courts and child welfare stakeholders do not understand w</w:t>
      </w:r>
      <w:r>
        <w:rPr>
          <w:rFonts w:ascii="Arial" w:eastAsia="Arial" w:hAnsi="Arial" w:cs="Arial"/>
          <w:color w:val="000000"/>
          <w:sz w:val="24"/>
          <w:szCs w:val="24"/>
        </w:rPr>
        <w:t>hat should happen when it occurs (Jarrett, 2020). Even though the challenge was acknowledged by researchers, there is a paucity of literature on parental alienation and contact with fathers in Wales; this issue was addressed through the administration of a</w:t>
      </w:r>
      <w:r>
        <w:rPr>
          <w:rFonts w:ascii="Arial" w:eastAsia="Arial" w:hAnsi="Arial" w:cs="Arial"/>
          <w:color w:val="000000"/>
          <w:sz w:val="24"/>
          <w:szCs w:val="24"/>
        </w:rPr>
        <w:t xml:space="preserve"> web-based survey.</w:t>
      </w:r>
    </w:p>
    <w:p w14:paraId="0000006A"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6" w:name="_2664sm6aqq7r" w:colFirst="0" w:colLast="0"/>
      <w:bookmarkEnd w:id="6"/>
      <w:r>
        <w:rPr>
          <w:rFonts w:ascii="Arial" w:eastAsia="Arial" w:hAnsi="Arial" w:cs="Arial"/>
          <w:b/>
          <w:color w:val="000000"/>
          <w:sz w:val="24"/>
          <w:szCs w:val="24"/>
        </w:rPr>
        <w:t>1.3 Justification</w:t>
      </w:r>
    </w:p>
    <w:p w14:paraId="0000006B"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scope of this research inquiry is supported by the growing risk of parental separation and paternal alienation (Department for Work and Pensions, 2013; Ballinger, 2019) and the absence of effective mechanisms for ad</w:t>
      </w:r>
      <w:r>
        <w:rPr>
          <w:rFonts w:ascii="Arial" w:eastAsia="Arial" w:hAnsi="Arial" w:cs="Arial"/>
          <w:color w:val="000000"/>
          <w:sz w:val="24"/>
          <w:szCs w:val="24"/>
        </w:rPr>
        <w:t>dressing the emerging challenges. Presently, at least one in three children (30%) do not live with both parents. However, the risk for parental separation is disproportionately higher among children in low-income households, where nearly 52% live in single</w:t>
      </w:r>
      <w:r>
        <w:rPr>
          <w:rFonts w:ascii="Arial" w:eastAsia="Arial" w:hAnsi="Arial" w:cs="Arial"/>
          <w:color w:val="000000"/>
          <w:sz w:val="24"/>
          <w:szCs w:val="24"/>
        </w:rPr>
        <w:t xml:space="preserve">-parent households (Ballinger, </w:t>
      </w:r>
      <w:r>
        <w:rPr>
          <w:rFonts w:ascii="Arial" w:eastAsia="Arial" w:hAnsi="Arial" w:cs="Arial"/>
          <w:color w:val="000000"/>
          <w:sz w:val="24"/>
          <w:szCs w:val="24"/>
        </w:rPr>
        <w:lastRenderedPageBreak/>
        <w:t xml:space="preserve">2019). The estimates provided by Ballinger (2019) were in line with the Department for Work and Pensions (2013) survey on understanding society. In the latter case, there were age and family income specific risks of parental </w:t>
      </w:r>
      <w:r>
        <w:rPr>
          <w:rFonts w:ascii="Arial" w:eastAsia="Arial" w:hAnsi="Arial" w:cs="Arial"/>
          <w:color w:val="000000"/>
          <w:sz w:val="24"/>
          <w:szCs w:val="24"/>
        </w:rPr>
        <w:t>separation and a child’s alienation from the father. Beyond the statistics, there are valid legal grounds for investigating the subject, as noted in the background information section.</w:t>
      </w:r>
    </w:p>
    <w:p w14:paraId="0000006C"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statistics show that a significant fraction of fathers might be unw</w:t>
      </w:r>
      <w:r>
        <w:rPr>
          <w:rFonts w:ascii="Arial" w:eastAsia="Arial" w:hAnsi="Arial" w:cs="Arial"/>
          <w:color w:val="000000"/>
          <w:sz w:val="24"/>
          <w:szCs w:val="24"/>
        </w:rPr>
        <w:t xml:space="preserve">illingly alienated from their children because the existing legal system </w:t>
      </w:r>
      <w:proofErr w:type="spellStart"/>
      <w:r>
        <w:rPr>
          <w:rFonts w:ascii="Arial" w:eastAsia="Arial" w:hAnsi="Arial" w:cs="Arial"/>
          <w:color w:val="000000"/>
          <w:sz w:val="24"/>
          <w:szCs w:val="24"/>
        </w:rPr>
        <w:t>favours</w:t>
      </w:r>
      <w:proofErr w:type="spellEnd"/>
      <w:r>
        <w:rPr>
          <w:rFonts w:ascii="Arial" w:eastAsia="Arial" w:hAnsi="Arial" w:cs="Arial"/>
          <w:color w:val="000000"/>
          <w:sz w:val="24"/>
          <w:szCs w:val="24"/>
        </w:rPr>
        <w:t xml:space="preserve"> women (Sheldon, 2001). The problem might persist given that the impact of legal loopholes is reinforced by the dominant social, </w:t>
      </w:r>
      <w:proofErr w:type="gramStart"/>
      <w:r>
        <w:rPr>
          <w:rFonts w:ascii="Arial" w:eastAsia="Arial" w:hAnsi="Arial" w:cs="Arial"/>
          <w:color w:val="000000"/>
          <w:sz w:val="24"/>
          <w:szCs w:val="24"/>
        </w:rPr>
        <w:t>political</w:t>
      </w:r>
      <w:proofErr w:type="gramEnd"/>
      <w:r>
        <w:rPr>
          <w:rFonts w:ascii="Arial" w:eastAsia="Arial" w:hAnsi="Arial" w:cs="Arial"/>
          <w:color w:val="000000"/>
          <w:sz w:val="24"/>
          <w:szCs w:val="24"/>
        </w:rPr>
        <w:t xml:space="preserve"> and legal construction of children’s </w:t>
      </w:r>
      <w:r>
        <w:rPr>
          <w:rFonts w:ascii="Arial" w:eastAsia="Arial" w:hAnsi="Arial" w:cs="Arial"/>
          <w:color w:val="000000"/>
          <w:sz w:val="24"/>
          <w:szCs w:val="24"/>
        </w:rPr>
        <w:t>welfare that defines a father’s place post-separation (Barnett, 2020). In general, a father’s access to the child is dependent on the willingness of the mother, and there are no effective methods of legal recourse.</w:t>
      </w:r>
    </w:p>
    <w:p w14:paraId="0000006D"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7" w:name="_j49nba3rnroz" w:colFirst="0" w:colLast="0"/>
      <w:bookmarkEnd w:id="7"/>
      <w:r>
        <w:rPr>
          <w:rFonts w:ascii="Arial" w:eastAsia="Arial" w:hAnsi="Arial" w:cs="Arial"/>
          <w:b/>
          <w:color w:val="000000"/>
          <w:sz w:val="24"/>
          <w:szCs w:val="24"/>
        </w:rPr>
        <w:t>1.4 Research Aim</w:t>
      </w:r>
    </w:p>
    <w:p w14:paraId="0000006E"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To review the family laws and child protection regulations and provisions relating to parental custody and domino effects of parental alienation on the frequency of contact between fathers and children raised by separated/divorced parents.</w:t>
      </w:r>
    </w:p>
    <w:p w14:paraId="0000006F"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8" w:name="_32gk89wn43hk" w:colFirst="0" w:colLast="0"/>
      <w:bookmarkEnd w:id="8"/>
      <w:r>
        <w:rPr>
          <w:rFonts w:ascii="Arial" w:eastAsia="Arial" w:hAnsi="Arial" w:cs="Arial"/>
          <w:b/>
          <w:color w:val="000000"/>
          <w:sz w:val="24"/>
          <w:szCs w:val="24"/>
        </w:rPr>
        <w:t>1.5 Research Obj</w:t>
      </w:r>
      <w:r>
        <w:rPr>
          <w:rFonts w:ascii="Arial" w:eastAsia="Arial" w:hAnsi="Arial" w:cs="Arial"/>
          <w:b/>
          <w:color w:val="000000"/>
          <w:sz w:val="24"/>
          <w:szCs w:val="24"/>
        </w:rPr>
        <w:t>ectives</w:t>
      </w:r>
    </w:p>
    <w:p w14:paraId="00000070" w14:textId="77777777" w:rsidR="00E80054" w:rsidRDefault="00527DE5">
      <w:pPr>
        <w:spacing w:before="240" w:line="480" w:lineRule="auto"/>
        <w:ind w:left="360"/>
        <w:rPr>
          <w:rFonts w:ascii="Arial" w:eastAsia="Arial" w:hAnsi="Arial" w:cs="Arial"/>
          <w:color w:val="000000"/>
          <w:sz w:val="24"/>
          <w:szCs w:val="24"/>
        </w:rPr>
      </w:pPr>
      <w:r>
        <w:rPr>
          <w:rFonts w:ascii="Arial" w:eastAsia="Arial" w:hAnsi="Arial" w:cs="Arial"/>
          <w:color w:val="000000"/>
          <w:sz w:val="24"/>
          <w:szCs w:val="24"/>
        </w:rPr>
        <w:t xml:space="preserve">1.  </w:t>
      </w:r>
      <w:r>
        <w:rPr>
          <w:rFonts w:ascii="Arial" w:eastAsia="Arial" w:hAnsi="Arial" w:cs="Arial"/>
          <w:color w:val="000000"/>
          <w:sz w:val="24"/>
          <w:szCs w:val="24"/>
        </w:rPr>
        <w:tab/>
        <w:t>To investigate the prevalence of parental alienation and children’s contact with their fathers following parental separation in Wales.</w:t>
      </w:r>
    </w:p>
    <w:p w14:paraId="00000071" w14:textId="77777777" w:rsidR="00E80054" w:rsidRDefault="00527DE5">
      <w:pPr>
        <w:spacing w:before="240" w:line="480" w:lineRule="auto"/>
        <w:ind w:left="360"/>
        <w:rPr>
          <w:rFonts w:ascii="Arial" w:eastAsia="Arial" w:hAnsi="Arial" w:cs="Arial"/>
          <w:color w:val="000000"/>
          <w:sz w:val="24"/>
          <w:szCs w:val="24"/>
        </w:rPr>
      </w:pPr>
      <w:r>
        <w:rPr>
          <w:rFonts w:ascii="Arial" w:eastAsia="Arial" w:hAnsi="Arial" w:cs="Arial"/>
          <w:color w:val="000000"/>
          <w:sz w:val="24"/>
          <w:szCs w:val="24"/>
        </w:rPr>
        <w:t xml:space="preserve">2.  </w:t>
      </w:r>
      <w:r>
        <w:rPr>
          <w:rFonts w:ascii="Arial" w:eastAsia="Arial" w:hAnsi="Arial" w:cs="Arial"/>
          <w:color w:val="000000"/>
          <w:sz w:val="24"/>
          <w:szCs w:val="24"/>
        </w:rPr>
        <w:tab/>
        <w:t>To examine the discursive context, political and social factors that underpinned the emergence and acce</w:t>
      </w:r>
      <w:r>
        <w:rPr>
          <w:rFonts w:ascii="Arial" w:eastAsia="Arial" w:hAnsi="Arial" w:cs="Arial"/>
          <w:color w:val="000000"/>
          <w:sz w:val="24"/>
          <w:szCs w:val="24"/>
        </w:rPr>
        <w:t>ptance of parental separation.</w:t>
      </w:r>
    </w:p>
    <w:p w14:paraId="00000072" w14:textId="77777777" w:rsidR="00E80054" w:rsidRDefault="00527DE5">
      <w:pPr>
        <w:spacing w:before="240" w:line="480" w:lineRule="auto"/>
        <w:ind w:left="360"/>
        <w:rPr>
          <w:rFonts w:ascii="Arial" w:eastAsia="Arial" w:hAnsi="Arial" w:cs="Arial"/>
          <w:color w:val="000000"/>
          <w:sz w:val="24"/>
          <w:szCs w:val="24"/>
        </w:rPr>
      </w:pPr>
      <w:r>
        <w:rPr>
          <w:rFonts w:ascii="Arial" w:eastAsia="Arial" w:hAnsi="Arial" w:cs="Arial"/>
          <w:color w:val="000000"/>
          <w:sz w:val="24"/>
          <w:szCs w:val="24"/>
        </w:rPr>
        <w:lastRenderedPageBreak/>
        <w:t xml:space="preserve">3.  </w:t>
      </w:r>
      <w:r>
        <w:rPr>
          <w:rFonts w:ascii="Arial" w:eastAsia="Arial" w:hAnsi="Arial" w:cs="Arial"/>
          <w:color w:val="000000"/>
          <w:sz w:val="24"/>
          <w:szCs w:val="24"/>
        </w:rPr>
        <w:tab/>
        <w:t>To explore existing legal mechanisms and child welfare guidelines relating to parental alienation.</w:t>
      </w:r>
    </w:p>
    <w:p w14:paraId="00000073"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9" w:name="_497uviwgun9r" w:colFirst="0" w:colLast="0"/>
      <w:bookmarkEnd w:id="9"/>
      <w:r>
        <w:rPr>
          <w:rFonts w:ascii="Arial" w:eastAsia="Arial" w:hAnsi="Arial" w:cs="Arial"/>
          <w:b/>
          <w:color w:val="000000"/>
          <w:sz w:val="24"/>
          <w:szCs w:val="24"/>
        </w:rPr>
        <w:t>1.6 Research Questions</w:t>
      </w:r>
    </w:p>
    <w:p w14:paraId="00000074" w14:textId="77777777" w:rsidR="00E80054" w:rsidRDefault="00527DE5">
      <w:pPr>
        <w:spacing w:before="240" w:line="480" w:lineRule="auto"/>
        <w:ind w:left="360"/>
        <w:rPr>
          <w:rFonts w:ascii="Arial" w:eastAsia="Arial" w:hAnsi="Arial" w:cs="Arial"/>
          <w:color w:val="000000"/>
          <w:sz w:val="24"/>
          <w:szCs w:val="24"/>
        </w:rPr>
      </w:pPr>
      <w:r>
        <w:rPr>
          <w:rFonts w:ascii="Arial" w:eastAsia="Arial" w:hAnsi="Arial" w:cs="Arial"/>
          <w:color w:val="000000"/>
          <w:sz w:val="24"/>
          <w:szCs w:val="24"/>
        </w:rPr>
        <w:t xml:space="preserve">1.  </w:t>
      </w:r>
      <w:r>
        <w:rPr>
          <w:rFonts w:ascii="Arial" w:eastAsia="Arial" w:hAnsi="Arial" w:cs="Arial"/>
          <w:color w:val="000000"/>
          <w:sz w:val="24"/>
          <w:szCs w:val="24"/>
        </w:rPr>
        <w:tab/>
        <w:t>What lengths do separated fathers go to see their children where mothers are making things di</w:t>
      </w:r>
      <w:r>
        <w:rPr>
          <w:rFonts w:ascii="Arial" w:eastAsia="Arial" w:hAnsi="Arial" w:cs="Arial"/>
          <w:color w:val="000000"/>
          <w:sz w:val="24"/>
          <w:szCs w:val="24"/>
        </w:rPr>
        <w:t>fficult?</w:t>
      </w:r>
    </w:p>
    <w:p w14:paraId="00000075" w14:textId="77777777" w:rsidR="00E80054" w:rsidRDefault="00527DE5">
      <w:pPr>
        <w:spacing w:before="240" w:line="480" w:lineRule="auto"/>
        <w:ind w:left="360"/>
        <w:rPr>
          <w:rFonts w:ascii="Arial" w:eastAsia="Arial" w:hAnsi="Arial" w:cs="Arial"/>
          <w:color w:val="000000"/>
          <w:sz w:val="24"/>
          <w:szCs w:val="24"/>
        </w:rPr>
      </w:pPr>
      <w:r>
        <w:rPr>
          <w:rFonts w:ascii="Arial" w:eastAsia="Arial" w:hAnsi="Arial" w:cs="Arial"/>
          <w:color w:val="000000"/>
          <w:sz w:val="24"/>
          <w:szCs w:val="24"/>
        </w:rPr>
        <w:t xml:space="preserve">2.  </w:t>
      </w:r>
      <w:r>
        <w:rPr>
          <w:rFonts w:ascii="Arial" w:eastAsia="Arial" w:hAnsi="Arial" w:cs="Arial"/>
          <w:color w:val="000000"/>
          <w:sz w:val="24"/>
          <w:szCs w:val="24"/>
        </w:rPr>
        <w:tab/>
        <w:t>What has changed in the legal system over recent years in support of fathers?</w:t>
      </w:r>
    </w:p>
    <w:p w14:paraId="00000076" w14:textId="77777777" w:rsidR="00E80054" w:rsidRDefault="00527DE5">
      <w:pPr>
        <w:spacing w:before="240" w:line="480" w:lineRule="auto"/>
        <w:ind w:left="360"/>
        <w:rPr>
          <w:rFonts w:ascii="Arial" w:eastAsia="Arial" w:hAnsi="Arial" w:cs="Arial"/>
          <w:color w:val="000000"/>
          <w:sz w:val="24"/>
          <w:szCs w:val="24"/>
        </w:rPr>
      </w:pPr>
      <w:r>
        <w:rPr>
          <w:rFonts w:ascii="Arial" w:eastAsia="Arial" w:hAnsi="Arial" w:cs="Arial"/>
          <w:color w:val="000000"/>
          <w:sz w:val="24"/>
          <w:szCs w:val="24"/>
        </w:rPr>
        <w:t xml:space="preserve">3.  </w:t>
      </w:r>
      <w:r>
        <w:rPr>
          <w:rFonts w:ascii="Arial" w:eastAsia="Arial" w:hAnsi="Arial" w:cs="Arial"/>
          <w:color w:val="000000"/>
          <w:sz w:val="24"/>
          <w:szCs w:val="24"/>
        </w:rPr>
        <w:tab/>
        <w:t>How does parental alienation impact fathers?</w:t>
      </w:r>
    </w:p>
    <w:p w14:paraId="00000077"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10" w:name="_9005spt5h9uz" w:colFirst="0" w:colLast="0"/>
      <w:bookmarkEnd w:id="10"/>
      <w:r>
        <w:rPr>
          <w:rFonts w:ascii="Arial" w:eastAsia="Arial" w:hAnsi="Arial" w:cs="Arial"/>
          <w:b/>
          <w:color w:val="000000"/>
          <w:sz w:val="24"/>
          <w:szCs w:val="24"/>
        </w:rPr>
        <w:t>1.7 Structure of the Dissertation</w:t>
      </w:r>
    </w:p>
    <w:p w14:paraId="00000078"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The research comprises an introduction, literature review, methods, </w:t>
      </w:r>
      <w:proofErr w:type="gramStart"/>
      <w:r>
        <w:rPr>
          <w:rFonts w:ascii="Arial" w:eastAsia="Arial" w:hAnsi="Arial" w:cs="Arial"/>
          <w:color w:val="000000"/>
          <w:sz w:val="24"/>
          <w:szCs w:val="24"/>
        </w:rPr>
        <w:t>findings</w:t>
      </w:r>
      <w:proofErr w:type="gramEnd"/>
      <w:r>
        <w:rPr>
          <w:rFonts w:ascii="Arial" w:eastAsia="Arial" w:hAnsi="Arial" w:cs="Arial"/>
          <w:color w:val="000000"/>
          <w:sz w:val="24"/>
          <w:szCs w:val="24"/>
        </w:rPr>
        <w:t xml:space="preserve"> and</w:t>
      </w:r>
      <w:r>
        <w:rPr>
          <w:rFonts w:ascii="Arial" w:eastAsia="Arial" w:hAnsi="Arial" w:cs="Arial"/>
          <w:color w:val="000000"/>
          <w:sz w:val="24"/>
          <w:szCs w:val="24"/>
        </w:rPr>
        <w:t xml:space="preserve"> discussion. The structure was aligned with the departmental guidelines for research. The key components of the literature review include parental alienation syndrome, litigation and parental factors that predict the risk of alienation. The sampling approa</w:t>
      </w:r>
      <w:r>
        <w:rPr>
          <w:rFonts w:ascii="Arial" w:eastAsia="Arial" w:hAnsi="Arial" w:cs="Arial"/>
          <w:color w:val="000000"/>
          <w:sz w:val="24"/>
          <w:szCs w:val="24"/>
        </w:rPr>
        <w:t>ches, data collection and analytical procedures were reviewed in chapter three. The outcomes were appraised in chapters four and five, while the conclusion was presented in chapter six.</w:t>
      </w:r>
    </w:p>
    <w:p w14:paraId="00000079" w14:textId="77777777" w:rsidR="00E80054" w:rsidRDefault="00E80054">
      <w:pPr>
        <w:spacing w:line="480" w:lineRule="auto"/>
        <w:ind w:left="720"/>
        <w:rPr>
          <w:rFonts w:ascii="Arial" w:eastAsia="Arial" w:hAnsi="Arial" w:cs="Arial"/>
          <w:b/>
          <w:color w:val="000000"/>
          <w:sz w:val="24"/>
          <w:szCs w:val="24"/>
        </w:rPr>
      </w:pPr>
    </w:p>
    <w:p w14:paraId="0000007A"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0000007B" w14:textId="77777777" w:rsidR="00E80054" w:rsidRDefault="00527DE5">
      <w:pPr>
        <w:pStyle w:val="Heading1"/>
        <w:keepNext w:val="0"/>
        <w:keepLines w:val="0"/>
        <w:widowControl/>
        <w:spacing w:after="120" w:line="480" w:lineRule="auto"/>
        <w:ind w:left="720"/>
        <w:jc w:val="center"/>
        <w:rPr>
          <w:rFonts w:ascii="Arial" w:eastAsia="Arial" w:hAnsi="Arial" w:cs="Arial"/>
          <w:b w:val="0"/>
          <w:color w:val="000000"/>
          <w:sz w:val="24"/>
          <w:szCs w:val="24"/>
        </w:rPr>
      </w:pPr>
      <w:bookmarkStart w:id="11" w:name="_ux9yn5wtqi0l" w:colFirst="0" w:colLast="0"/>
      <w:bookmarkEnd w:id="11"/>
      <w:r>
        <w:rPr>
          <w:rFonts w:ascii="Arial" w:eastAsia="Arial" w:hAnsi="Arial" w:cs="Arial"/>
          <w:b w:val="0"/>
          <w:color w:val="000000"/>
          <w:sz w:val="24"/>
          <w:szCs w:val="24"/>
        </w:rPr>
        <w:t>2.0 Chapter Two: Literature Review</w:t>
      </w:r>
    </w:p>
    <w:p w14:paraId="0000007C"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lastRenderedPageBreak/>
        <w:t>The literature review builds upo</w:t>
      </w:r>
      <w:r>
        <w:rPr>
          <w:rFonts w:ascii="Arial" w:eastAsia="Arial" w:hAnsi="Arial" w:cs="Arial"/>
          <w:color w:val="000000"/>
          <w:sz w:val="24"/>
          <w:szCs w:val="24"/>
        </w:rPr>
        <w:t xml:space="preserve">n the primary arguments made in the introduction, including family court reviews by Kelly and Johnston (2001) and Doughty, Maxwell and Slater (2020) research on parental alienation. The key thematic issues are controversies relating to parental alienation </w:t>
      </w:r>
      <w:r>
        <w:rPr>
          <w:rFonts w:ascii="Arial" w:eastAsia="Arial" w:hAnsi="Arial" w:cs="Arial"/>
          <w:color w:val="000000"/>
          <w:sz w:val="24"/>
          <w:szCs w:val="24"/>
        </w:rPr>
        <w:t xml:space="preserve">syndrome, professional mismanagement that often results in protracted litigation, parental </w:t>
      </w:r>
      <w:proofErr w:type="gramStart"/>
      <w:r>
        <w:rPr>
          <w:rFonts w:ascii="Arial" w:eastAsia="Arial" w:hAnsi="Arial" w:cs="Arial"/>
          <w:color w:val="000000"/>
          <w:sz w:val="24"/>
          <w:szCs w:val="24"/>
        </w:rPr>
        <w:t>personalities</w:t>
      </w:r>
      <w:proofErr w:type="gramEnd"/>
      <w:r>
        <w:rPr>
          <w:rFonts w:ascii="Arial" w:eastAsia="Arial" w:hAnsi="Arial" w:cs="Arial"/>
          <w:color w:val="000000"/>
          <w:sz w:val="24"/>
          <w:szCs w:val="24"/>
        </w:rPr>
        <w:t xml:space="preserve"> and </w:t>
      </w:r>
      <w:proofErr w:type="spellStart"/>
      <w:r>
        <w:rPr>
          <w:rFonts w:ascii="Arial" w:eastAsia="Arial" w:hAnsi="Arial" w:cs="Arial"/>
          <w:color w:val="000000"/>
          <w:sz w:val="24"/>
          <w:szCs w:val="24"/>
        </w:rPr>
        <w:t>behaviours</w:t>
      </w:r>
      <w:proofErr w:type="spellEnd"/>
      <w:r>
        <w:rPr>
          <w:rFonts w:ascii="Arial" w:eastAsia="Arial" w:hAnsi="Arial" w:cs="Arial"/>
          <w:color w:val="000000"/>
          <w:sz w:val="24"/>
          <w:szCs w:val="24"/>
        </w:rPr>
        <w:t>.</w:t>
      </w:r>
    </w:p>
    <w:p w14:paraId="0000007D"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12" w:name="_amvogjm81umu" w:colFirst="0" w:colLast="0"/>
      <w:bookmarkEnd w:id="12"/>
      <w:r>
        <w:rPr>
          <w:rFonts w:ascii="Arial" w:eastAsia="Arial" w:hAnsi="Arial" w:cs="Arial"/>
          <w:b/>
          <w:color w:val="000000"/>
          <w:sz w:val="24"/>
          <w:szCs w:val="24"/>
        </w:rPr>
        <w:t>2.1 Parental Alienation Syndrome (PAS)</w:t>
      </w:r>
    </w:p>
    <w:p w14:paraId="0000007E"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Parental alienation syndrome is a psychological condition manifested by a child who is the subje</w:t>
      </w:r>
      <w:r>
        <w:rPr>
          <w:rFonts w:ascii="Arial" w:eastAsia="Arial" w:hAnsi="Arial" w:cs="Arial"/>
          <w:color w:val="000000"/>
          <w:sz w:val="24"/>
          <w:szCs w:val="24"/>
        </w:rPr>
        <w:t xml:space="preserve">ct of a custody dispute (high-conflict parent separation such as divorce) (Kelly and Johnston, 2001; Goldin and </w:t>
      </w:r>
      <w:proofErr w:type="spellStart"/>
      <w:r>
        <w:rPr>
          <w:rFonts w:ascii="Arial" w:eastAsia="Arial" w:hAnsi="Arial" w:cs="Arial"/>
          <w:color w:val="000000"/>
          <w:sz w:val="24"/>
          <w:szCs w:val="24"/>
        </w:rPr>
        <w:t>Salani</w:t>
      </w:r>
      <w:proofErr w:type="spellEnd"/>
      <w:r>
        <w:rPr>
          <w:rFonts w:ascii="Arial" w:eastAsia="Arial" w:hAnsi="Arial" w:cs="Arial"/>
          <w:color w:val="000000"/>
          <w:sz w:val="24"/>
          <w:szCs w:val="24"/>
        </w:rPr>
        <w:t xml:space="preserve">, 2020). The definition provided by Kelly and Johnston (2001) and Goldin and </w:t>
      </w:r>
      <w:proofErr w:type="spellStart"/>
      <w:r>
        <w:rPr>
          <w:rFonts w:ascii="Arial" w:eastAsia="Arial" w:hAnsi="Arial" w:cs="Arial"/>
          <w:color w:val="000000"/>
          <w:sz w:val="24"/>
          <w:szCs w:val="24"/>
        </w:rPr>
        <w:t>Salani</w:t>
      </w:r>
      <w:proofErr w:type="spellEnd"/>
      <w:r>
        <w:rPr>
          <w:rFonts w:ascii="Arial" w:eastAsia="Arial" w:hAnsi="Arial" w:cs="Arial"/>
          <w:color w:val="000000"/>
          <w:sz w:val="24"/>
          <w:szCs w:val="24"/>
        </w:rPr>
        <w:t xml:space="preserve"> (2020) is in line with the APA Dictionary of Psycholog</w:t>
      </w:r>
      <w:r>
        <w:rPr>
          <w:rFonts w:ascii="Arial" w:eastAsia="Arial" w:hAnsi="Arial" w:cs="Arial"/>
          <w:color w:val="000000"/>
          <w:sz w:val="24"/>
          <w:szCs w:val="24"/>
        </w:rPr>
        <w:t xml:space="preserve">y (2021), which notes there is a high risk that the child would be manipulated by one parent to adopt a position that is hostile to the other partner to secure custody rights. There are no contradicting worldviews about what constitutes PAS. However, Bond </w:t>
      </w:r>
      <w:r>
        <w:rPr>
          <w:rFonts w:ascii="Arial" w:eastAsia="Arial" w:hAnsi="Arial" w:cs="Arial"/>
          <w:color w:val="000000"/>
          <w:sz w:val="24"/>
          <w:szCs w:val="24"/>
        </w:rPr>
        <w:t>(2008) contests its existence.</w:t>
      </w:r>
    </w:p>
    <w:p w14:paraId="0000007F"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In theory, the severity of the symptoms depends on the nature of the conflict between the partners. However, the existence of a parental alienation syndrome is disputed by certain scholars (Kelly and Johnston, 2001). On the o</w:t>
      </w:r>
      <w:r>
        <w:rPr>
          <w:rFonts w:ascii="Arial" w:eastAsia="Arial" w:hAnsi="Arial" w:cs="Arial"/>
          <w:color w:val="000000"/>
          <w:sz w:val="24"/>
          <w:szCs w:val="24"/>
        </w:rPr>
        <w:t xml:space="preserve">ne hand, there are those that claim its existence; this worldview is premised on legal precedents, including Re L, V, M and H [2000] EWCA Civ 194 (Goldin and </w:t>
      </w:r>
      <w:proofErr w:type="spellStart"/>
      <w:r>
        <w:rPr>
          <w:rFonts w:ascii="Arial" w:eastAsia="Arial" w:hAnsi="Arial" w:cs="Arial"/>
          <w:color w:val="000000"/>
          <w:sz w:val="24"/>
          <w:szCs w:val="24"/>
        </w:rPr>
        <w:t>Salani</w:t>
      </w:r>
      <w:proofErr w:type="spellEnd"/>
      <w:r>
        <w:rPr>
          <w:rFonts w:ascii="Arial" w:eastAsia="Arial" w:hAnsi="Arial" w:cs="Arial"/>
          <w:color w:val="000000"/>
          <w:sz w:val="24"/>
          <w:szCs w:val="24"/>
        </w:rPr>
        <w:t xml:space="preserve">, 2020). The observations made by Goldin and </w:t>
      </w:r>
      <w:proofErr w:type="spellStart"/>
      <w:r>
        <w:rPr>
          <w:rFonts w:ascii="Arial" w:eastAsia="Arial" w:hAnsi="Arial" w:cs="Arial"/>
          <w:color w:val="000000"/>
          <w:sz w:val="24"/>
          <w:szCs w:val="24"/>
        </w:rPr>
        <w:t>Salani</w:t>
      </w:r>
      <w:proofErr w:type="spellEnd"/>
      <w:r>
        <w:rPr>
          <w:rFonts w:ascii="Arial" w:eastAsia="Arial" w:hAnsi="Arial" w:cs="Arial"/>
          <w:color w:val="000000"/>
          <w:sz w:val="24"/>
          <w:szCs w:val="24"/>
        </w:rPr>
        <w:t xml:space="preserve"> (2020) and Kelly and Johnston (2001), an</w:t>
      </w:r>
      <w:r>
        <w:rPr>
          <w:rFonts w:ascii="Arial" w:eastAsia="Arial" w:hAnsi="Arial" w:cs="Arial"/>
          <w:color w:val="000000"/>
          <w:sz w:val="24"/>
          <w:szCs w:val="24"/>
        </w:rPr>
        <w:t xml:space="preserve">d Goldin and </w:t>
      </w:r>
      <w:proofErr w:type="spellStart"/>
      <w:r>
        <w:rPr>
          <w:rFonts w:ascii="Arial" w:eastAsia="Arial" w:hAnsi="Arial" w:cs="Arial"/>
          <w:color w:val="000000"/>
          <w:sz w:val="24"/>
          <w:szCs w:val="24"/>
        </w:rPr>
        <w:t>Salani</w:t>
      </w:r>
      <w:proofErr w:type="spellEnd"/>
      <w:r>
        <w:rPr>
          <w:rFonts w:ascii="Arial" w:eastAsia="Arial" w:hAnsi="Arial" w:cs="Arial"/>
          <w:color w:val="000000"/>
          <w:sz w:val="24"/>
          <w:szCs w:val="24"/>
        </w:rPr>
        <w:t xml:space="preserve"> (2020), have been contested by other scholars who discredit the existence of the condition claiming that it is a pseudoscience that should not be relied upon in </w:t>
      </w:r>
      <w:r>
        <w:rPr>
          <w:rFonts w:ascii="Arial" w:eastAsia="Arial" w:hAnsi="Arial" w:cs="Arial"/>
          <w:color w:val="000000"/>
          <w:sz w:val="24"/>
          <w:szCs w:val="24"/>
        </w:rPr>
        <w:lastRenderedPageBreak/>
        <w:t>determining visitation and custody cases (Bond, 2008). The criticism of PAS</w:t>
      </w:r>
      <w:r>
        <w:rPr>
          <w:rFonts w:ascii="Arial" w:eastAsia="Arial" w:hAnsi="Arial" w:cs="Arial"/>
          <w:color w:val="000000"/>
          <w:sz w:val="24"/>
          <w:szCs w:val="24"/>
        </w:rPr>
        <w:t xml:space="preserve"> by Bond (2008) is consistent with Houchin et al. (2012), who notes that the PAS debate belonged to the courtroom and not to DSM-5. Considering there is no tangible scientific evidence to prove the existence of the condition, judges should not pronounce ju</w:t>
      </w:r>
      <w:r>
        <w:rPr>
          <w:rFonts w:ascii="Arial" w:eastAsia="Arial" w:hAnsi="Arial" w:cs="Arial"/>
          <w:color w:val="000000"/>
          <w:sz w:val="24"/>
          <w:szCs w:val="24"/>
        </w:rPr>
        <w:t xml:space="preserve">dgements based on PAS; this brings into question the validity of the Re L, V, M and H [2000] EWCA Civ 194 case (Goldin and </w:t>
      </w:r>
      <w:proofErr w:type="spellStart"/>
      <w:r>
        <w:rPr>
          <w:rFonts w:ascii="Arial" w:eastAsia="Arial" w:hAnsi="Arial" w:cs="Arial"/>
          <w:color w:val="000000"/>
          <w:sz w:val="24"/>
          <w:szCs w:val="24"/>
        </w:rPr>
        <w:t>Salani</w:t>
      </w:r>
      <w:proofErr w:type="spellEnd"/>
      <w:r>
        <w:rPr>
          <w:rFonts w:ascii="Arial" w:eastAsia="Arial" w:hAnsi="Arial" w:cs="Arial"/>
          <w:color w:val="000000"/>
          <w:sz w:val="24"/>
          <w:szCs w:val="24"/>
        </w:rPr>
        <w:t>, 2020). The contrasting arguments illustrate that parental alienation remains a subjective and emotive issue that is influence</w:t>
      </w:r>
      <w:r>
        <w:rPr>
          <w:rFonts w:ascii="Arial" w:eastAsia="Arial" w:hAnsi="Arial" w:cs="Arial"/>
          <w:color w:val="000000"/>
          <w:sz w:val="24"/>
          <w:szCs w:val="24"/>
        </w:rPr>
        <w:t>d by the researcher’s positionality.</w:t>
      </w:r>
    </w:p>
    <w:p w14:paraId="00000080" w14:textId="77777777" w:rsidR="00E80054" w:rsidRDefault="00527DE5">
      <w:pPr>
        <w:spacing w:before="240" w:line="480" w:lineRule="auto"/>
        <w:ind w:firstLine="820"/>
        <w:rPr>
          <w:rFonts w:ascii="Arial" w:eastAsia="Arial" w:hAnsi="Arial" w:cs="Arial"/>
          <w:color w:val="000000"/>
          <w:sz w:val="24"/>
          <w:szCs w:val="24"/>
        </w:rPr>
      </w:pPr>
      <w:r>
        <w:rPr>
          <w:rFonts w:ascii="Arial" w:eastAsia="Arial" w:hAnsi="Arial" w:cs="Arial"/>
          <w:color w:val="000000"/>
          <w:sz w:val="24"/>
          <w:szCs w:val="24"/>
        </w:rPr>
        <w:t xml:space="preserve">Despite the absence of consensus on its existence, the researcher subscribes to the narratives advanced by Kelly and Johnston (2001) and Goldin and </w:t>
      </w:r>
      <w:proofErr w:type="spellStart"/>
      <w:r>
        <w:rPr>
          <w:rFonts w:ascii="Arial" w:eastAsia="Arial" w:hAnsi="Arial" w:cs="Arial"/>
          <w:color w:val="000000"/>
          <w:sz w:val="24"/>
          <w:szCs w:val="24"/>
        </w:rPr>
        <w:t>Salani</w:t>
      </w:r>
      <w:proofErr w:type="spellEnd"/>
      <w:r>
        <w:rPr>
          <w:rFonts w:ascii="Arial" w:eastAsia="Arial" w:hAnsi="Arial" w:cs="Arial"/>
          <w:color w:val="000000"/>
          <w:sz w:val="24"/>
          <w:szCs w:val="24"/>
        </w:rPr>
        <w:t xml:space="preserve"> (2020) about the existence of parental alienation syndrome; this</w:t>
      </w:r>
      <w:r>
        <w:rPr>
          <w:rFonts w:ascii="Arial" w:eastAsia="Arial" w:hAnsi="Arial" w:cs="Arial"/>
          <w:color w:val="000000"/>
          <w:sz w:val="24"/>
          <w:szCs w:val="24"/>
        </w:rPr>
        <w:t xml:space="preserve"> view is compatible with narratives advanced by expert agencies, including the American Psychological Association (APA Dictionary of Psychology, 2021). Even though the APA recognizes the condition, there is a need to accommodate opposing arguments and narr</w:t>
      </w:r>
      <w:r>
        <w:rPr>
          <w:rFonts w:ascii="Arial" w:eastAsia="Arial" w:hAnsi="Arial" w:cs="Arial"/>
          <w:color w:val="000000"/>
          <w:sz w:val="24"/>
          <w:szCs w:val="24"/>
        </w:rPr>
        <w:t>atives into the body of knowledge and research; this because critics such as Bond (2008) and Houchin et al. (2012) have made valid claims. For example, at present, there is no sufficient rigorous experimentation on the subject to conclusively prove that PA</w:t>
      </w:r>
      <w:r>
        <w:rPr>
          <w:rFonts w:ascii="Arial" w:eastAsia="Arial" w:hAnsi="Arial" w:cs="Arial"/>
          <w:color w:val="000000"/>
          <w:sz w:val="24"/>
          <w:szCs w:val="24"/>
        </w:rPr>
        <w:t>S was a diagnosable phenomenon.</w:t>
      </w:r>
    </w:p>
    <w:p w14:paraId="00000081"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symptomatology of parental alienation syndrome suggests that children’s contact with their fathers following parental separation in Wales would be impaired by parental conflict. On the downside, there are no reliable estimates on the prevalence of pare</w:t>
      </w:r>
      <w:r>
        <w:rPr>
          <w:rFonts w:ascii="Arial" w:eastAsia="Arial" w:hAnsi="Arial" w:cs="Arial"/>
          <w:color w:val="000000"/>
          <w:sz w:val="24"/>
          <w:szCs w:val="24"/>
        </w:rPr>
        <w:t xml:space="preserve">ntal alienation syndrome in Wales. In the absence of conclusive information, estimates were made from the Department for Work and Pensions (2013) report, which </w:t>
      </w:r>
      <w:r>
        <w:rPr>
          <w:rFonts w:ascii="Arial" w:eastAsia="Arial" w:hAnsi="Arial" w:cs="Arial"/>
          <w:color w:val="000000"/>
          <w:sz w:val="24"/>
          <w:szCs w:val="24"/>
        </w:rPr>
        <w:lastRenderedPageBreak/>
        <w:t xml:space="preserve">noted that about 33% of children in poor and affluent (social economically privileged) families </w:t>
      </w:r>
      <w:r>
        <w:rPr>
          <w:rFonts w:ascii="Arial" w:eastAsia="Arial" w:hAnsi="Arial" w:cs="Arial"/>
          <w:color w:val="000000"/>
          <w:sz w:val="24"/>
          <w:szCs w:val="24"/>
        </w:rPr>
        <w:t>did not live with both parents. The estimates made by the Department for Work and Pension can be contested.</w:t>
      </w:r>
    </w:p>
    <w:p w14:paraId="00000082"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Considering that the statistics had remained unchanged over time (Department for Work and Pensions, 2013; Ballinger, 2019), one in every three child</w:t>
      </w:r>
      <w:r>
        <w:rPr>
          <w:rFonts w:ascii="Arial" w:eastAsia="Arial" w:hAnsi="Arial" w:cs="Arial"/>
          <w:color w:val="000000"/>
          <w:sz w:val="24"/>
          <w:szCs w:val="24"/>
        </w:rPr>
        <w:t>ren in a separated family setting could be at risk of parental alienation syndrome. Alternatively, one can argue that the estimates drawn from Department for Work and Pensions (2013) and Ballinger (2019) do not provide an accurate representation considerin</w:t>
      </w:r>
      <w:r>
        <w:rPr>
          <w:rFonts w:ascii="Arial" w:eastAsia="Arial" w:hAnsi="Arial" w:cs="Arial"/>
          <w:color w:val="000000"/>
          <w:sz w:val="24"/>
          <w:szCs w:val="24"/>
        </w:rPr>
        <w:t>g the 400-500% increase in non-molestation orders across UK family courts (Parental Alienation UK, 2020). In brief, children in separated families would continue to experience PAS until an effective legal framework is established to help address child cust</w:t>
      </w:r>
      <w:r>
        <w:rPr>
          <w:rFonts w:ascii="Arial" w:eastAsia="Arial" w:hAnsi="Arial" w:cs="Arial"/>
          <w:color w:val="000000"/>
          <w:sz w:val="24"/>
          <w:szCs w:val="24"/>
        </w:rPr>
        <w:t xml:space="preserve">ody and the rights of fathers who are </w:t>
      </w:r>
      <w:proofErr w:type="gramStart"/>
      <w:r>
        <w:rPr>
          <w:rFonts w:ascii="Arial" w:eastAsia="Arial" w:hAnsi="Arial" w:cs="Arial"/>
          <w:color w:val="000000"/>
          <w:sz w:val="24"/>
          <w:szCs w:val="24"/>
        </w:rPr>
        <w:t>often times</w:t>
      </w:r>
      <w:proofErr w:type="gramEnd"/>
      <w:r>
        <w:rPr>
          <w:rFonts w:ascii="Arial" w:eastAsia="Arial" w:hAnsi="Arial" w:cs="Arial"/>
          <w:color w:val="000000"/>
          <w:sz w:val="24"/>
          <w:szCs w:val="24"/>
        </w:rPr>
        <w:t xml:space="preserve"> disparaged by the alienating spouse and the child.</w:t>
      </w:r>
    </w:p>
    <w:p w14:paraId="00000083"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13" w:name="_lui93w94dv6q" w:colFirst="0" w:colLast="0"/>
      <w:bookmarkEnd w:id="13"/>
      <w:r>
        <w:rPr>
          <w:rFonts w:ascii="Arial" w:eastAsia="Arial" w:hAnsi="Arial" w:cs="Arial"/>
          <w:b/>
          <w:color w:val="000000"/>
          <w:sz w:val="24"/>
          <w:szCs w:val="24"/>
        </w:rPr>
        <w:t>2.2 Protracted Litigation and Professional Mismanagement</w:t>
      </w:r>
    </w:p>
    <w:p w14:paraId="00000084"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insights drawn from the literature relating to PAS confirmed that key stakeholders had advance</w:t>
      </w:r>
      <w:r>
        <w:rPr>
          <w:rFonts w:ascii="Arial" w:eastAsia="Arial" w:hAnsi="Arial" w:cs="Arial"/>
          <w:color w:val="000000"/>
          <w:sz w:val="24"/>
          <w:szCs w:val="24"/>
        </w:rPr>
        <w:t xml:space="preserve">d different narratives about the condition (Doughty, Maxwell and Slater, 2020; Goldin and </w:t>
      </w:r>
      <w:proofErr w:type="spellStart"/>
      <w:r>
        <w:rPr>
          <w:rFonts w:ascii="Arial" w:eastAsia="Arial" w:hAnsi="Arial" w:cs="Arial"/>
          <w:color w:val="000000"/>
          <w:sz w:val="24"/>
          <w:szCs w:val="24"/>
        </w:rPr>
        <w:t>Salani</w:t>
      </w:r>
      <w:proofErr w:type="spellEnd"/>
      <w:r>
        <w:rPr>
          <w:rFonts w:ascii="Arial" w:eastAsia="Arial" w:hAnsi="Arial" w:cs="Arial"/>
          <w:color w:val="000000"/>
          <w:sz w:val="24"/>
          <w:szCs w:val="24"/>
        </w:rPr>
        <w:t>, 2020). The lack of consensus on what constitutes PAS and whether the condition exists demonstrates the extent of professional mismanagement of the issue among</w:t>
      </w:r>
      <w:r>
        <w:rPr>
          <w:rFonts w:ascii="Arial" w:eastAsia="Arial" w:hAnsi="Arial" w:cs="Arial"/>
          <w:color w:val="000000"/>
          <w:sz w:val="24"/>
          <w:szCs w:val="24"/>
        </w:rPr>
        <w:t xml:space="preserve"> legal and social work professionals. The Parental UK (2020) study argued that key stakeholders had no impetus to focus on parental alienation, given that it did not align with the narratives of gender ideology or for political and social expediency (Paren</w:t>
      </w:r>
      <w:r>
        <w:rPr>
          <w:rFonts w:ascii="Arial" w:eastAsia="Arial" w:hAnsi="Arial" w:cs="Arial"/>
          <w:color w:val="000000"/>
          <w:sz w:val="24"/>
          <w:szCs w:val="24"/>
        </w:rPr>
        <w:t xml:space="preserve">tal Alienation UK, 2020). In brief, the legal system and children social welfare stakeholders had become complicit in the wide-scale destruction </w:t>
      </w:r>
      <w:r>
        <w:rPr>
          <w:rFonts w:ascii="Arial" w:eastAsia="Arial" w:hAnsi="Arial" w:cs="Arial"/>
          <w:color w:val="000000"/>
          <w:sz w:val="24"/>
          <w:szCs w:val="24"/>
        </w:rPr>
        <w:lastRenderedPageBreak/>
        <w:t xml:space="preserve">of the future of children raised by separated parents, </w:t>
      </w:r>
      <w:proofErr w:type="gramStart"/>
      <w:r>
        <w:rPr>
          <w:rFonts w:ascii="Arial" w:eastAsia="Arial" w:hAnsi="Arial" w:cs="Arial"/>
          <w:color w:val="000000"/>
          <w:sz w:val="24"/>
          <w:szCs w:val="24"/>
        </w:rPr>
        <w:t>families</w:t>
      </w:r>
      <w:proofErr w:type="gramEnd"/>
      <w:r>
        <w:rPr>
          <w:rFonts w:ascii="Arial" w:eastAsia="Arial" w:hAnsi="Arial" w:cs="Arial"/>
          <w:color w:val="000000"/>
          <w:sz w:val="24"/>
          <w:szCs w:val="24"/>
        </w:rPr>
        <w:t xml:space="preserve"> and the community at large.</w:t>
      </w:r>
    </w:p>
    <w:p w14:paraId="00000085"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institutional f</w:t>
      </w:r>
      <w:r>
        <w:rPr>
          <w:rFonts w:ascii="Arial" w:eastAsia="Arial" w:hAnsi="Arial" w:cs="Arial"/>
          <w:color w:val="000000"/>
          <w:sz w:val="24"/>
          <w:szCs w:val="24"/>
        </w:rPr>
        <w:t>ailure could be explained from the context of the Parental Alienation UK research, which affirmed that the issue was underappreciated in research, unacknowledged and neglected by “legal and health professionals as a form of family violence” (Parental Alien</w:t>
      </w:r>
      <w:r>
        <w:rPr>
          <w:rFonts w:ascii="Arial" w:eastAsia="Arial" w:hAnsi="Arial" w:cs="Arial"/>
          <w:color w:val="000000"/>
          <w:sz w:val="24"/>
          <w:szCs w:val="24"/>
        </w:rPr>
        <w:t xml:space="preserve">ation UK, 2020, p. 4). The motivational factors for professional negligence are diverse. For example, the existing status quo </w:t>
      </w:r>
      <w:proofErr w:type="spellStart"/>
      <w:r>
        <w:rPr>
          <w:rFonts w:ascii="Arial" w:eastAsia="Arial" w:hAnsi="Arial" w:cs="Arial"/>
          <w:color w:val="000000"/>
          <w:sz w:val="24"/>
          <w:szCs w:val="24"/>
        </w:rPr>
        <w:t>favours</w:t>
      </w:r>
      <w:proofErr w:type="spellEnd"/>
      <w:r>
        <w:rPr>
          <w:rFonts w:ascii="Arial" w:eastAsia="Arial" w:hAnsi="Arial" w:cs="Arial"/>
          <w:color w:val="000000"/>
          <w:sz w:val="24"/>
          <w:szCs w:val="24"/>
        </w:rPr>
        <w:t xml:space="preserve"> feminist groups and advances a specific narrative about male parents and reasserts the place of women in society. Alternat</w:t>
      </w:r>
      <w:r>
        <w:rPr>
          <w:rFonts w:ascii="Arial" w:eastAsia="Arial" w:hAnsi="Arial" w:cs="Arial"/>
          <w:color w:val="000000"/>
          <w:sz w:val="24"/>
          <w:szCs w:val="24"/>
        </w:rPr>
        <w:t>ively, restrictions on instructing psychologists coupled with a lack of legal aid could explain professional negligence (Doughty, Maxwell and Slater, 2020). The researcher notes that other factors might explain the phenomena, including cases of domestic vi</w:t>
      </w:r>
      <w:r>
        <w:rPr>
          <w:rFonts w:ascii="Arial" w:eastAsia="Arial" w:hAnsi="Arial" w:cs="Arial"/>
          <w:color w:val="000000"/>
          <w:sz w:val="24"/>
          <w:szCs w:val="24"/>
        </w:rPr>
        <w:t>olence, which have increased during the COVID-19 window (</w:t>
      </w:r>
      <w:proofErr w:type="spellStart"/>
      <w:r>
        <w:rPr>
          <w:rFonts w:ascii="Arial" w:eastAsia="Arial" w:hAnsi="Arial" w:cs="Arial"/>
          <w:color w:val="000000"/>
          <w:sz w:val="24"/>
          <w:szCs w:val="24"/>
        </w:rPr>
        <w:t>Krishnadas</w:t>
      </w:r>
      <w:proofErr w:type="spellEnd"/>
      <w:r>
        <w:rPr>
          <w:rFonts w:ascii="Arial" w:eastAsia="Arial" w:hAnsi="Arial" w:cs="Arial"/>
          <w:color w:val="000000"/>
          <w:sz w:val="24"/>
          <w:szCs w:val="24"/>
        </w:rPr>
        <w:t xml:space="preserve"> and Taha, 2020). Since men are often the perpetrators, there is a subjective gender bias in handling child custody cases.</w:t>
      </w:r>
    </w:p>
    <w:p w14:paraId="00000086"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Despite the reasons advanced to justify the current state of event</w:t>
      </w:r>
      <w:r>
        <w:rPr>
          <w:rFonts w:ascii="Arial" w:eastAsia="Arial" w:hAnsi="Arial" w:cs="Arial"/>
          <w:color w:val="000000"/>
          <w:sz w:val="24"/>
          <w:szCs w:val="24"/>
        </w:rPr>
        <w:t>s, child custody and parental alienation should be addressed to prevent the alienation of fathers. The main stakeholders such as Children and Family Court Advisory and Support Service (CAFCASS) and National Association of Alienated Parents (NAAP) should he</w:t>
      </w:r>
      <w:r>
        <w:rPr>
          <w:rFonts w:ascii="Arial" w:eastAsia="Arial" w:hAnsi="Arial" w:cs="Arial"/>
          <w:color w:val="000000"/>
          <w:sz w:val="24"/>
          <w:szCs w:val="24"/>
        </w:rPr>
        <w:t>lp mitigate the life-long effects of insecure attachment (</w:t>
      </w:r>
      <w:proofErr w:type="spellStart"/>
      <w:r>
        <w:rPr>
          <w:rFonts w:ascii="Arial" w:eastAsia="Arial" w:hAnsi="Arial" w:cs="Arial"/>
          <w:color w:val="000000"/>
          <w:sz w:val="24"/>
          <w:szCs w:val="24"/>
        </w:rPr>
        <w:t>Smyke</w:t>
      </w:r>
      <w:proofErr w:type="spellEnd"/>
      <w:r>
        <w:rPr>
          <w:rFonts w:ascii="Arial" w:eastAsia="Arial" w:hAnsi="Arial" w:cs="Arial"/>
          <w:color w:val="000000"/>
          <w:sz w:val="24"/>
          <w:szCs w:val="24"/>
        </w:rPr>
        <w:t xml:space="preserve"> et al., 2010; </w:t>
      </w:r>
      <w:proofErr w:type="spellStart"/>
      <w:r>
        <w:rPr>
          <w:rFonts w:ascii="Arial" w:eastAsia="Arial" w:hAnsi="Arial" w:cs="Arial"/>
          <w:color w:val="000000"/>
          <w:sz w:val="24"/>
          <w:szCs w:val="24"/>
        </w:rPr>
        <w:t>Lionetti</w:t>
      </w:r>
      <w:proofErr w:type="spellEnd"/>
      <w:r>
        <w:rPr>
          <w:rFonts w:ascii="Arial" w:eastAsia="Arial" w:hAnsi="Arial" w:cs="Arial"/>
          <w:color w:val="000000"/>
          <w:sz w:val="24"/>
          <w:szCs w:val="24"/>
        </w:rPr>
        <w:t xml:space="preserve">, Pastore and Barone, 2015; Sutton, 2019). Insecure attachment is a risk factor for crime, mental health complications, and related conditions, which elevate the risk of </w:t>
      </w:r>
      <w:r>
        <w:rPr>
          <w:rFonts w:ascii="Arial" w:eastAsia="Arial" w:hAnsi="Arial" w:cs="Arial"/>
          <w:color w:val="000000"/>
          <w:sz w:val="24"/>
          <w:szCs w:val="24"/>
        </w:rPr>
        <w:t>the institutionalization of children (</w:t>
      </w:r>
      <w:proofErr w:type="spellStart"/>
      <w:r>
        <w:rPr>
          <w:rFonts w:ascii="Arial" w:eastAsia="Arial" w:hAnsi="Arial" w:cs="Arial"/>
          <w:color w:val="000000"/>
          <w:sz w:val="24"/>
          <w:szCs w:val="24"/>
        </w:rPr>
        <w:t>Lionetti</w:t>
      </w:r>
      <w:proofErr w:type="spellEnd"/>
      <w:r>
        <w:rPr>
          <w:rFonts w:ascii="Arial" w:eastAsia="Arial" w:hAnsi="Arial" w:cs="Arial"/>
          <w:color w:val="000000"/>
          <w:sz w:val="24"/>
          <w:szCs w:val="24"/>
        </w:rPr>
        <w:t xml:space="preserve">, Pastore and Barone, 2015). The findings made by </w:t>
      </w:r>
      <w:proofErr w:type="spellStart"/>
      <w:r>
        <w:rPr>
          <w:rFonts w:ascii="Arial" w:eastAsia="Arial" w:hAnsi="Arial" w:cs="Arial"/>
          <w:color w:val="000000"/>
          <w:sz w:val="24"/>
          <w:szCs w:val="24"/>
        </w:rPr>
        <w:t>Lionetti</w:t>
      </w:r>
      <w:proofErr w:type="spellEnd"/>
      <w:r>
        <w:rPr>
          <w:rFonts w:ascii="Arial" w:eastAsia="Arial" w:hAnsi="Arial" w:cs="Arial"/>
          <w:color w:val="000000"/>
          <w:sz w:val="24"/>
          <w:szCs w:val="24"/>
        </w:rPr>
        <w:t xml:space="preserve">, Pastore and Barone (2015) about insecure attachment and life outcomes </w:t>
      </w:r>
      <w:r>
        <w:rPr>
          <w:rFonts w:ascii="Arial" w:eastAsia="Arial" w:hAnsi="Arial" w:cs="Arial"/>
          <w:color w:val="000000"/>
          <w:sz w:val="24"/>
          <w:szCs w:val="24"/>
        </w:rPr>
        <w:lastRenderedPageBreak/>
        <w:t xml:space="preserve">were collaborated by </w:t>
      </w:r>
      <w:proofErr w:type="spellStart"/>
      <w:r>
        <w:rPr>
          <w:rFonts w:ascii="Arial" w:eastAsia="Arial" w:hAnsi="Arial" w:cs="Arial"/>
          <w:color w:val="000000"/>
          <w:sz w:val="24"/>
          <w:szCs w:val="24"/>
        </w:rPr>
        <w:t>Smyke</w:t>
      </w:r>
      <w:proofErr w:type="spellEnd"/>
      <w:r>
        <w:rPr>
          <w:rFonts w:ascii="Arial" w:eastAsia="Arial" w:hAnsi="Arial" w:cs="Arial"/>
          <w:color w:val="000000"/>
          <w:sz w:val="24"/>
          <w:szCs w:val="24"/>
        </w:rPr>
        <w:t xml:space="preserve"> et al. (2010) in a study of problem </w:t>
      </w:r>
      <w:proofErr w:type="spellStart"/>
      <w:r>
        <w:rPr>
          <w:rFonts w:ascii="Arial" w:eastAsia="Arial" w:hAnsi="Arial" w:cs="Arial"/>
          <w:color w:val="000000"/>
          <w:sz w:val="24"/>
          <w:szCs w:val="24"/>
        </w:rPr>
        <w:t>behaviours</w:t>
      </w:r>
      <w:proofErr w:type="spellEnd"/>
      <w:r>
        <w:rPr>
          <w:rFonts w:ascii="Arial" w:eastAsia="Arial" w:hAnsi="Arial" w:cs="Arial"/>
          <w:color w:val="000000"/>
          <w:sz w:val="24"/>
          <w:szCs w:val="24"/>
        </w:rPr>
        <w:t xml:space="preserve"> in fos</w:t>
      </w:r>
      <w:r>
        <w:rPr>
          <w:rFonts w:ascii="Arial" w:eastAsia="Arial" w:hAnsi="Arial" w:cs="Arial"/>
          <w:color w:val="000000"/>
          <w:sz w:val="24"/>
          <w:szCs w:val="24"/>
        </w:rPr>
        <w:t xml:space="preserve">ter care and family-reared children. However, the claims advanced by </w:t>
      </w:r>
      <w:proofErr w:type="spellStart"/>
      <w:r>
        <w:rPr>
          <w:rFonts w:ascii="Arial" w:eastAsia="Arial" w:hAnsi="Arial" w:cs="Arial"/>
          <w:color w:val="000000"/>
          <w:sz w:val="24"/>
          <w:szCs w:val="24"/>
        </w:rPr>
        <w:t>Lionetti</w:t>
      </w:r>
      <w:proofErr w:type="spellEnd"/>
      <w:r>
        <w:rPr>
          <w:rFonts w:ascii="Arial" w:eastAsia="Arial" w:hAnsi="Arial" w:cs="Arial"/>
          <w:color w:val="000000"/>
          <w:sz w:val="24"/>
          <w:szCs w:val="24"/>
        </w:rPr>
        <w:t xml:space="preserve">, Pastore, and Barone (2015), and </w:t>
      </w:r>
      <w:proofErr w:type="spellStart"/>
      <w:r>
        <w:rPr>
          <w:rFonts w:ascii="Arial" w:eastAsia="Arial" w:hAnsi="Arial" w:cs="Arial"/>
          <w:color w:val="000000"/>
          <w:sz w:val="24"/>
          <w:szCs w:val="24"/>
        </w:rPr>
        <w:t>Smyke</w:t>
      </w:r>
      <w:proofErr w:type="spellEnd"/>
      <w:r>
        <w:rPr>
          <w:rFonts w:ascii="Arial" w:eastAsia="Arial" w:hAnsi="Arial" w:cs="Arial"/>
          <w:color w:val="000000"/>
          <w:sz w:val="24"/>
          <w:szCs w:val="24"/>
        </w:rPr>
        <w:t xml:space="preserve"> et al. (2010), are inconsistent with </w:t>
      </w:r>
      <w:proofErr w:type="spellStart"/>
      <w:r>
        <w:rPr>
          <w:rFonts w:ascii="Arial" w:eastAsia="Arial" w:hAnsi="Arial" w:cs="Arial"/>
          <w:color w:val="000000"/>
          <w:sz w:val="24"/>
          <w:szCs w:val="24"/>
        </w:rPr>
        <w:t>Xerxa</w:t>
      </w:r>
      <w:proofErr w:type="spellEnd"/>
      <w:r>
        <w:rPr>
          <w:rFonts w:ascii="Arial" w:eastAsia="Arial" w:hAnsi="Arial" w:cs="Arial"/>
          <w:color w:val="000000"/>
          <w:sz w:val="24"/>
          <w:szCs w:val="24"/>
        </w:rPr>
        <w:t xml:space="preserve"> et al. (2020), who argued that parental separation predicted a child’s adolescent’s </w:t>
      </w:r>
      <w:proofErr w:type="spellStart"/>
      <w:r>
        <w:rPr>
          <w:rFonts w:ascii="Arial" w:eastAsia="Arial" w:hAnsi="Arial" w:cs="Arial"/>
          <w:color w:val="000000"/>
          <w:sz w:val="24"/>
          <w:szCs w:val="24"/>
        </w:rPr>
        <w:t>behaviour</w:t>
      </w:r>
      <w:proofErr w:type="spellEnd"/>
      <w:r>
        <w:rPr>
          <w:rFonts w:ascii="Arial" w:eastAsia="Arial" w:hAnsi="Arial" w:cs="Arial"/>
          <w:color w:val="000000"/>
          <w:sz w:val="24"/>
          <w:szCs w:val="24"/>
        </w:rPr>
        <w:t xml:space="preserve"> un</w:t>
      </w:r>
      <w:r>
        <w:rPr>
          <w:rFonts w:ascii="Arial" w:eastAsia="Arial" w:hAnsi="Arial" w:cs="Arial"/>
          <w:color w:val="000000"/>
          <w:sz w:val="24"/>
          <w:szCs w:val="24"/>
        </w:rPr>
        <w:t>til preadolescence.</w:t>
      </w:r>
    </w:p>
    <w:p w14:paraId="00000087"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Beyond the adversities linked to insecure attachment, parental alienation should be addressed, given that it is an acknowledged form of parental violence (Harman, </w:t>
      </w:r>
      <w:proofErr w:type="gramStart"/>
      <w:r>
        <w:rPr>
          <w:rFonts w:ascii="Arial" w:eastAsia="Arial" w:hAnsi="Arial" w:cs="Arial"/>
          <w:color w:val="000000"/>
          <w:sz w:val="24"/>
          <w:szCs w:val="24"/>
        </w:rPr>
        <w:t>Kruk</w:t>
      </w:r>
      <w:proofErr w:type="gramEnd"/>
      <w:r>
        <w:rPr>
          <w:rFonts w:ascii="Arial" w:eastAsia="Arial" w:hAnsi="Arial" w:cs="Arial"/>
          <w:color w:val="000000"/>
          <w:sz w:val="24"/>
          <w:szCs w:val="24"/>
        </w:rPr>
        <w:t xml:space="preserve"> and Hines, 2018). Society’s inability and unwillingness to acknowled</w:t>
      </w:r>
      <w:r>
        <w:rPr>
          <w:rFonts w:ascii="Arial" w:eastAsia="Arial" w:hAnsi="Arial" w:cs="Arial"/>
          <w:color w:val="000000"/>
          <w:sz w:val="24"/>
          <w:szCs w:val="24"/>
        </w:rPr>
        <w:t xml:space="preserve">ge this problem create profound future challenges for children raised by separated parents, given the imminent risk of intergenerational transmission of parental violence (Sutton, 2019). The link between insecure attachment, intergenerational transmission </w:t>
      </w:r>
      <w:r>
        <w:rPr>
          <w:rFonts w:ascii="Arial" w:eastAsia="Arial" w:hAnsi="Arial" w:cs="Arial"/>
          <w:color w:val="000000"/>
          <w:sz w:val="24"/>
          <w:szCs w:val="24"/>
        </w:rPr>
        <w:t xml:space="preserve">of parental violence and the classification of parental alienation as a form of domestic violence validates the review of parental </w:t>
      </w:r>
      <w:proofErr w:type="spellStart"/>
      <w:r>
        <w:rPr>
          <w:rFonts w:ascii="Arial" w:eastAsia="Arial" w:hAnsi="Arial" w:cs="Arial"/>
          <w:color w:val="000000"/>
          <w:sz w:val="24"/>
          <w:szCs w:val="24"/>
        </w:rPr>
        <w:t>behaviours</w:t>
      </w:r>
      <w:proofErr w:type="spellEnd"/>
      <w:r>
        <w:rPr>
          <w:rFonts w:ascii="Arial" w:eastAsia="Arial" w:hAnsi="Arial" w:cs="Arial"/>
          <w:color w:val="000000"/>
          <w:sz w:val="24"/>
          <w:szCs w:val="24"/>
        </w:rPr>
        <w:t xml:space="preserve"> and personalities that contribute to marital conflict and parent-child separation by extension.</w:t>
      </w:r>
    </w:p>
    <w:p w14:paraId="00000088"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14" w:name="_eafm1id4ufwx" w:colFirst="0" w:colLast="0"/>
      <w:bookmarkEnd w:id="14"/>
      <w:r>
        <w:rPr>
          <w:rFonts w:ascii="Arial" w:eastAsia="Arial" w:hAnsi="Arial" w:cs="Arial"/>
          <w:b/>
          <w:color w:val="000000"/>
          <w:sz w:val="24"/>
          <w:szCs w:val="24"/>
        </w:rPr>
        <w:t>2.3 Parental Perso</w:t>
      </w:r>
      <w:r>
        <w:rPr>
          <w:rFonts w:ascii="Arial" w:eastAsia="Arial" w:hAnsi="Arial" w:cs="Arial"/>
          <w:b/>
          <w:color w:val="000000"/>
          <w:sz w:val="24"/>
          <w:szCs w:val="24"/>
        </w:rPr>
        <w:t>nalities and Behaviors and Marital Conflict</w:t>
      </w:r>
    </w:p>
    <w:p w14:paraId="00000089"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Even though there is clear-cut evidence on the prevalence of parental alienation and how it impacts children’s contact with their fathers, the possible contribution of parental personalities and </w:t>
      </w:r>
      <w:proofErr w:type="spellStart"/>
      <w:r>
        <w:rPr>
          <w:rFonts w:ascii="Arial" w:eastAsia="Arial" w:hAnsi="Arial" w:cs="Arial"/>
          <w:color w:val="000000"/>
          <w:sz w:val="24"/>
          <w:szCs w:val="24"/>
        </w:rPr>
        <w:t>behaviours</w:t>
      </w:r>
      <w:proofErr w:type="spellEnd"/>
      <w:r>
        <w:rPr>
          <w:rFonts w:ascii="Arial" w:eastAsia="Arial" w:hAnsi="Arial" w:cs="Arial"/>
          <w:color w:val="000000"/>
          <w:sz w:val="24"/>
          <w:szCs w:val="24"/>
        </w:rPr>
        <w:t xml:space="preserve"> has be</w:t>
      </w:r>
      <w:r>
        <w:rPr>
          <w:rFonts w:ascii="Arial" w:eastAsia="Arial" w:hAnsi="Arial" w:cs="Arial"/>
          <w:color w:val="000000"/>
          <w:sz w:val="24"/>
          <w:szCs w:val="24"/>
        </w:rPr>
        <w:t xml:space="preserve">en underexplored. Various theories have been advanced to explain how parental personalities and </w:t>
      </w:r>
      <w:proofErr w:type="spellStart"/>
      <w:r>
        <w:rPr>
          <w:rFonts w:ascii="Arial" w:eastAsia="Arial" w:hAnsi="Arial" w:cs="Arial"/>
          <w:color w:val="000000"/>
          <w:sz w:val="24"/>
          <w:szCs w:val="24"/>
        </w:rPr>
        <w:t>behaviours</w:t>
      </w:r>
      <w:proofErr w:type="spellEnd"/>
      <w:r>
        <w:rPr>
          <w:rFonts w:ascii="Arial" w:eastAsia="Arial" w:hAnsi="Arial" w:cs="Arial"/>
          <w:color w:val="000000"/>
          <w:sz w:val="24"/>
          <w:szCs w:val="24"/>
        </w:rPr>
        <w:t xml:space="preserve"> might increase the risk of marital conflict and, consequently, parental separation (Kruk, 2018; Barnett, 2020); these theories include intergeneratio</w:t>
      </w:r>
      <w:r>
        <w:rPr>
          <w:rFonts w:ascii="Arial" w:eastAsia="Arial" w:hAnsi="Arial" w:cs="Arial"/>
          <w:color w:val="000000"/>
          <w:sz w:val="24"/>
          <w:szCs w:val="24"/>
        </w:rPr>
        <w:t>nal transmission of partnering, insecure attachment, and violence, and parental personalities and marital failure.</w:t>
      </w:r>
    </w:p>
    <w:p w14:paraId="0000008A" w14:textId="77777777" w:rsidR="00E80054" w:rsidRDefault="00527DE5">
      <w:pPr>
        <w:pStyle w:val="Heading3"/>
        <w:spacing w:before="280" w:after="80" w:line="480" w:lineRule="auto"/>
        <w:ind w:left="720"/>
        <w:rPr>
          <w:rFonts w:ascii="Arial" w:eastAsia="Arial" w:hAnsi="Arial" w:cs="Arial"/>
          <w:b/>
          <w:color w:val="000000"/>
          <w:sz w:val="24"/>
          <w:szCs w:val="24"/>
        </w:rPr>
      </w:pPr>
      <w:bookmarkStart w:id="15" w:name="_o8kxh66a3a9i" w:colFirst="0" w:colLast="0"/>
      <w:bookmarkEnd w:id="15"/>
      <w:r>
        <w:rPr>
          <w:rFonts w:ascii="Arial" w:eastAsia="Arial" w:hAnsi="Arial" w:cs="Arial"/>
          <w:b/>
          <w:color w:val="000000"/>
          <w:sz w:val="24"/>
          <w:szCs w:val="24"/>
        </w:rPr>
        <w:lastRenderedPageBreak/>
        <w:t>2.3.1 Intergenerational transmission of personality traits and marital failure</w:t>
      </w:r>
    </w:p>
    <w:p w14:paraId="0000008B"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intergenerational worldview suggests that personality trai</w:t>
      </w:r>
      <w:r>
        <w:rPr>
          <w:rFonts w:ascii="Arial" w:eastAsia="Arial" w:hAnsi="Arial" w:cs="Arial"/>
          <w:color w:val="000000"/>
          <w:sz w:val="24"/>
          <w:szCs w:val="24"/>
        </w:rPr>
        <w:t>ts coupled with other environmental factors contribute to the incompatibility between father and mother, which in turn elevates the probability of marital failure and separation. The incompatibility could be due to variable emotional intelligence, social i</w:t>
      </w:r>
      <w:r>
        <w:rPr>
          <w:rFonts w:ascii="Arial" w:eastAsia="Arial" w:hAnsi="Arial" w:cs="Arial"/>
          <w:color w:val="000000"/>
          <w:sz w:val="24"/>
          <w:szCs w:val="24"/>
        </w:rPr>
        <w:t>ntelligence, spirituality, age, environmental exposure, or intergenerational transmission of partnering (Madden et al., 2015); these issues are further compounded by personal worldviews. Alternatively, the relationship is often moderated by generational fa</w:t>
      </w:r>
      <w:r>
        <w:rPr>
          <w:rFonts w:ascii="Arial" w:eastAsia="Arial" w:hAnsi="Arial" w:cs="Arial"/>
          <w:color w:val="000000"/>
          <w:sz w:val="24"/>
          <w:szCs w:val="24"/>
        </w:rPr>
        <w:t>ctors and racial-ethnic differences (</w:t>
      </w:r>
      <w:proofErr w:type="spellStart"/>
      <w:r>
        <w:rPr>
          <w:rFonts w:ascii="Arial" w:eastAsia="Arial" w:hAnsi="Arial" w:cs="Arial"/>
          <w:color w:val="000000"/>
          <w:sz w:val="24"/>
          <w:szCs w:val="24"/>
        </w:rPr>
        <w:t>Bulanda</w:t>
      </w:r>
      <w:proofErr w:type="spellEnd"/>
      <w:r>
        <w:rPr>
          <w:rFonts w:ascii="Arial" w:eastAsia="Arial" w:hAnsi="Arial" w:cs="Arial"/>
          <w:color w:val="000000"/>
          <w:sz w:val="24"/>
          <w:szCs w:val="24"/>
        </w:rPr>
        <w:t xml:space="preserve"> and Brown, 2006; US Bureau of </w:t>
      </w:r>
      <w:proofErr w:type="spellStart"/>
      <w:r>
        <w:rPr>
          <w:rFonts w:ascii="Arial" w:eastAsia="Arial" w:hAnsi="Arial" w:cs="Arial"/>
          <w:color w:val="000000"/>
          <w:sz w:val="24"/>
          <w:szCs w:val="24"/>
        </w:rPr>
        <w:t>Labour</w:t>
      </w:r>
      <w:proofErr w:type="spellEnd"/>
      <w:r>
        <w:rPr>
          <w:rFonts w:ascii="Arial" w:eastAsia="Arial" w:hAnsi="Arial" w:cs="Arial"/>
          <w:color w:val="000000"/>
          <w:sz w:val="24"/>
          <w:szCs w:val="24"/>
        </w:rPr>
        <w:t xml:space="preserve"> Statistics, 2013; Braithwaite et al., 2016; </w:t>
      </w:r>
      <w:proofErr w:type="spellStart"/>
      <w:r>
        <w:rPr>
          <w:rFonts w:ascii="Arial" w:eastAsia="Arial" w:hAnsi="Arial" w:cs="Arial"/>
          <w:color w:val="000000"/>
          <w:sz w:val="24"/>
          <w:szCs w:val="24"/>
        </w:rPr>
        <w:t>Wolfinger</w:t>
      </w:r>
      <w:proofErr w:type="spellEnd"/>
      <w:r>
        <w:rPr>
          <w:rFonts w:ascii="Arial" w:eastAsia="Arial" w:hAnsi="Arial" w:cs="Arial"/>
          <w:color w:val="000000"/>
          <w:sz w:val="24"/>
          <w:szCs w:val="24"/>
        </w:rPr>
        <w:t>, 2019). The racial, ethnic factors predict marital stability, the risk of divorce/separation and high conflict situation</w:t>
      </w:r>
      <w:r>
        <w:rPr>
          <w:rFonts w:ascii="Arial" w:eastAsia="Arial" w:hAnsi="Arial" w:cs="Arial"/>
          <w:color w:val="000000"/>
          <w:sz w:val="24"/>
          <w:szCs w:val="24"/>
        </w:rPr>
        <w:t>s relating to child custody; these claims are supported by the high risk of divorce among African Americans (</w:t>
      </w:r>
      <w:proofErr w:type="spellStart"/>
      <w:r>
        <w:rPr>
          <w:rFonts w:ascii="Arial" w:eastAsia="Arial" w:hAnsi="Arial" w:cs="Arial"/>
          <w:color w:val="000000"/>
          <w:sz w:val="24"/>
          <w:szCs w:val="24"/>
        </w:rPr>
        <w:t>Besharov</w:t>
      </w:r>
      <w:proofErr w:type="spellEnd"/>
      <w:r>
        <w:rPr>
          <w:rFonts w:ascii="Arial" w:eastAsia="Arial" w:hAnsi="Arial" w:cs="Arial"/>
          <w:color w:val="000000"/>
          <w:sz w:val="24"/>
          <w:szCs w:val="24"/>
        </w:rPr>
        <w:t xml:space="preserve"> and West, 2010). The claims made by </w:t>
      </w:r>
      <w:proofErr w:type="spellStart"/>
      <w:proofErr w:type="gramStart"/>
      <w:r>
        <w:rPr>
          <w:rFonts w:ascii="Arial" w:eastAsia="Arial" w:hAnsi="Arial" w:cs="Arial"/>
          <w:color w:val="000000"/>
          <w:sz w:val="24"/>
          <w:szCs w:val="24"/>
        </w:rPr>
        <w:t>Besharov</w:t>
      </w:r>
      <w:proofErr w:type="spellEnd"/>
      <w:proofErr w:type="gramEnd"/>
      <w:r>
        <w:rPr>
          <w:rFonts w:ascii="Arial" w:eastAsia="Arial" w:hAnsi="Arial" w:cs="Arial"/>
          <w:color w:val="000000"/>
          <w:sz w:val="24"/>
          <w:szCs w:val="24"/>
        </w:rPr>
        <w:t xml:space="preserve"> and West (2010) were collaborated by </w:t>
      </w:r>
      <w:proofErr w:type="spellStart"/>
      <w:r>
        <w:rPr>
          <w:rFonts w:ascii="Arial" w:eastAsia="Arial" w:hAnsi="Arial" w:cs="Arial"/>
          <w:color w:val="000000"/>
          <w:sz w:val="24"/>
          <w:szCs w:val="24"/>
        </w:rPr>
        <w:t>Mouzon</w:t>
      </w:r>
      <w:proofErr w:type="spellEnd"/>
      <w:r>
        <w:rPr>
          <w:rFonts w:ascii="Arial" w:eastAsia="Arial" w:hAnsi="Arial" w:cs="Arial"/>
          <w:color w:val="000000"/>
          <w:sz w:val="24"/>
          <w:szCs w:val="24"/>
        </w:rPr>
        <w:t xml:space="preserve">, Taylor and Chatters (2020). In the latter case, </w:t>
      </w:r>
      <w:r>
        <w:rPr>
          <w:rFonts w:ascii="Arial" w:eastAsia="Arial" w:hAnsi="Arial" w:cs="Arial"/>
          <w:color w:val="000000"/>
          <w:sz w:val="24"/>
          <w:szCs w:val="24"/>
        </w:rPr>
        <w:t>marital satisfaction was impaired by variations in the desire for romantic involvements and socioeconomic barriers.</w:t>
      </w:r>
    </w:p>
    <w:p w14:paraId="0000008C" w14:textId="77777777" w:rsidR="00E80054" w:rsidRDefault="00527DE5">
      <w:pPr>
        <w:pStyle w:val="Heading3"/>
        <w:spacing w:before="280" w:after="80" w:line="480" w:lineRule="auto"/>
        <w:ind w:left="720"/>
        <w:rPr>
          <w:rFonts w:ascii="Arial" w:eastAsia="Arial" w:hAnsi="Arial" w:cs="Arial"/>
          <w:b/>
          <w:color w:val="000000"/>
          <w:sz w:val="24"/>
          <w:szCs w:val="24"/>
        </w:rPr>
      </w:pPr>
      <w:bookmarkStart w:id="16" w:name="_2xpzln7xer1r" w:colFirst="0" w:colLast="0"/>
      <w:bookmarkEnd w:id="16"/>
      <w:r>
        <w:rPr>
          <w:rFonts w:ascii="Arial" w:eastAsia="Arial" w:hAnsi="Arial" w:cs="Arial"/>
          <w:b/>
          <w:color w:val="000000"/>
          <w:sz w:val="24"/>
          <w:szCs w:val="24"/>
        </w:rPr>
        <w:t>2.3.2 Emotional intelligence theory</w:t>
      </w:r>
    </w:p>
    <w:p w14:paraId="0000008D"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The existing body of knowledge has demonstrated a link between emotional intelligence and predictors of </w:t>
      </w:r>
      <w:r>
        <w:rPr>
          <w:rFonts w:ascii="Arial" w:eastAsia="Arial" w:hAnsi="Arial" w:cs="Arial"/>
          <w:color w:val="000000"/>
          <w:sz w:val="24"/>
          <w:szCs w:val="24"/>
        </w:rPr>
        <w:t>marital stability, including the sharing and distribution of parental responsibilities, views on child-rearing, sharing thoughts and opinions, emotional bonding, the personality of the spouses, motivation for each other and the relationship with the in-law</w:t>
      </w:r>
      <w:r>
        <w:rPr>
          <w:rFonts w:ascii="Arial" w:eastAsia="Arial" w:hAnsi="Arial" w:cs="Arial"/>
          <w:color w:val="000000"/>
          <w:sz w:val="24"/>
          <w:szCs w:val="24"/>
        </w:rPr>
        <w:t xml:space="preserve">s (Connor et al., 2019; </w:t>
      </w:r>
      <w:proofErr w:type="spellStart"/>
      <w:r>
        <w:rPr>
          <w:rFonts w:ascii="Arial" w:eastAsia="Arial" w:hAnsi="Arial" w:cs="Arial"/>
          <w:color w:val="000000"/>
          <w:sz w:val="24"/>
          <w:szCs w:val="24"/>
        </w:rPr>
        <w:t>Anyamene</w:t>
      </w:r>
      <w:proofErr w:type="spellEnd"/>
      <w:r>
        <w:rPr>
          <w:rFonts w:ascii="Arial" w:eastAsia="Arial" w:hAnsi="Arial" w:cs="Arial"/>
          <w:color w:val="000000"/>
          <w:sz w:val="24"/>
          <w:szCs w:val="24"/>
        </w:rPr>
        <w:t xml:space="preserve"> and Valentina, 2020). </w:t>
      </w:r>
      <w:r>
        <w:rPr>
          <w:rFonts w:ascii="Arial" w:eastAsia="Arial" w:hAnsi="Arial" w:cs="Arial"/>
          <w:color w:val="000000"/>
          <w:sz w:val="24"/>
          <w:szCs w:val="24"/>
        </w:rPr>
        <w:lastRenderedPageBreak/>
        <w:t xml:space="preserve">Even though the observations made by Connor et al. (2019) and </w:t>
      </w:r>
      <w:proofErr w:type="spellStart"/>
      <w:r>
        <w:rPr>
          <w:rFonts w:ascii="Arial" w:eastAsia="Arial" w:hAnsi="Arial" w:cs="Arial"/>
          <w:color w:val="000000"/>
          <w:sz w:val="24"/>
          <w:szCs w:val="24"/>
        </w:rPr>
        <w:t>Anyamene</w:t>
      </w:r>
      <w:proofErr w:type="spellEnd"/>
      <w:r>
        <w:rPr>
          <w:rFonts w:ascii="Arial" w:eastAsia="Arial" w:hAnsi="Arial" w:cs="Arial"/>
          <w:color w:val="000000"/>
          <w:sz w:val="24"/>
          <w:szCs w:val="24"/>
        </w:rPr>
        <w:t xml:space="preserve"> and Valentina (2020) were not specific to Wales, they have relevant implications on child custody, and parental alienation, given </w:t>
      </w:r>
      <w:r>
        <w:rPr>
          <w:rFonts w:ascii="Arial" w:eastAsia="Arial" w:hAnsi="Arial" w:cs="Arial"/>
          <w:color w:val="000000"/>
          <w:sz w:val="24"/>
          <w:szCs w:val="24"/>
        </w:rPr>
        <w:t>that parents with low levels of EI have a greater probability of alienating children from their ex-spouses.</w:t>
      </w:r>
    </w:p>
    <w:p w14:paraId="0000008E"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 Based on the emotional intelligence worldview, parents with low levels of emotional intelligence would potentially create an unconducive environmen</w:t>
      </w:r>
      <w:r>
        <w:rPr>
          <w:rFonts w:ascii="Arial" w:eastAsia="Arial" w:hAnsi="Arial" w:cs="Arial"/>
          <w:color w:val="000000"/>
          <w:sz w:val="24"/>
          <w:szCs w:val="24"/>
        </w:rPr>
        <w:t xml:space="preserve">t for the other spouse resulting in separation; these claims are validated by the link between emotional intelligence and marital problems (Kurniawan, 2019; </w:t>
      </w:r>
      <w:proofErr w:type="spellStart"/>
      <w:r>
        <w:rPr>
          <w:rFonts w:ascii="Arial" w:eastAsia="Arial" w:hAnsi="Arial" w:cs="Arial"/>
          <w:color w:val="000000"/>
          <w:sz w:val="24"/>
          <w:szCs w:val="24"/>
        </w:rPr>
        <w:t>Anyamene</w:t>
      </w:r>
      <w:proofErr w:type="spellEnd"/>
      <w:r>
        <w:rPr>
          <w:rFonts w:ascii="Arial" w:eastAsia="Arial" w:hAnsi="Arial" w:cs="Arial"/>
          <w:color w:val="000000"/>
          <w:sz w:val="24"/>
          <w:szCs w:val="24"/>
        </w:rPr>
        <w:t xml:space="preserve"> and Valentina, 2020) Additionally, parents with low levels of emotional intelligence can c</w:t>
      </w:r>
      <w:r>
        <w:rPr>
          <w:rFonts w:ascii="Arial" w:eastAsia="Arial" w:hAnsi="Arial" w:cs="Arial"/>
          <w:color w:val="000000"/>
          <w:sz w:val="24"/>
          <w:szCs w:val="24"/>
        </w:rPr>
        <w:t>atalyze the emergence of the parental alienation syndrome given the ability to develop and maintain sustainable social relations, and make logical decisions through objective exploitation of emotions depends on one’s level of emotional intelligence (Mayer,</w:t>
      </w:r>
      <w:r>
        <w:rPr>
          <w:rFonts w:ascii="Arial" w:eastAsia="Arial" w:hAnsi="Arial" w:cs="Arial"/>
          <w:color w:val="000000"/>
          <w:sz w:val="24"/>
          <w:szCs w:val="24"/>
        </w:rPr>
        <w:t xml:space="preserve"> Caruso and Salovey, 2016). The claims made by Mayer, Caruso and Salovey (2016) linking emotional intelligence to marital problems were collaborated by Kurniawan (2019). However, these worldviews do not explain the impact of multiple externalities (interge</w:t>
      </w:r>
      <w:r>
        <w:rPr>
          <w:rFonts w:ascii="Arial" w:eastAsia="Arial" w:hAnsi="Arial" w:cs="Arial"/>
          <w:color w:val="000000"/>
          <w:sz w:val="24"/>
          <w:szCs w:val="24"/>
        </w:rPr>
        <w:t xml:space="preserve">nerational transmission of traits, </w:t>
      </w:r>
      <w:proofErr w:type="gramStart"/>
      <w:r>
        <w:rPr>
          <w:rFonts w:ascii="Arial" w:eastAsia="Arial" w:hAnsi="Arial" w:cs="Arial"/>
          <w:color w:val="000000"/>
          <w:sz w:val="24"/>
          <w:szCs w:val="24"/>
        </w:rPr>
        <w:t>drug</w:t>
      </w:r>
      <w:proofErr w:type="gramEnd"/>
      <w:r>
        <w:rPr>
          <w:rFonts w:ascii="Arial" w:eastAsia="Arial" w:hAnsi="Arial" w:cs="Arial"/>
          <w:color w:val="000000"/>
          <w:sz w:val="24"/>
          <w:szCs w:val="24"/>
        </w:rPr>
        <w:t xml:space="preserve"> and substance use) identified by Madden et al. (2015), Dush et al. (2018), and syndrome (Mental Health and Drug Addiction Treatment Centers, 2021) among other researchers.</w:t>
      </w:r>
    </w:p>
    <w:p w14:paraId="0000008F"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In contrast to Mayer, Caruso and Salovey (20</w:t>
      </w:r>
      <w:r>
        <w:rPr>
          <w:rFonts w:ascii="Arial" w:eastAsia="Arial" w:hAnsi="Arial" w:cs="Arial"/>
          <w:color w:val="000000"/>
          <w:sz w:val="24"/>
          <w:szCs w:val="24"/>
        </w:rPr>
        <w:t xml:space="preserve">16), Madden et al. (2015), Dush et al. (2018) argued that intergenerational transmission of </w:t>
      </w:r>
      <w:proofErr w:type="gramStart"/>
      <w:r>
        <w:rPr>
          <w:rFonts w:ascii="Arial" w:eastAsia="Arial" w:hAnsi="Arial" w:cs="Arial"/>
          <w:color w:val="000000"/>
          <w:sz w:val="24"/>
          <w:szCs w:val="24"/>
        </w:rPr>
        <w:t>partnering</w:t>
      </w:r>
      <w:proofErr w:type="gramEnd"/>
      <w:r>
        <w:rPr>
          <w:rFonts w:ascii="Arial" w:eastAsia="Arial" w:hAnsi="Arial" w:cs="Arial"/>
          <w:color w:val="000000"/>
          <w:sz w:val="24"/>
          <w:szCs w:val="24"/>
        </w:rPr>
        <w:t xml:space="preserve"> and parenting exerts a dominant impact. On the downside, the emotional intelligence-based school of thought does not explain other issues such as parenta</w:t>
      </w:r>
      <w:r>
        <w:rPr>
          <w:rFonts w:ascii="Arial" w:eastAsia="Arial" w:hAnsi="Arial" w:cs="Arial"/>
          <w:color w:val="000000"/>
          <w:sz w:val="24"/>
          <w:szCs w:val="24"/>
        </w:rPr>
        <w:t xml:space="preserve">l violence, alcoholism, and socioeconomic state. Beyond intergenerational aspects, alcoholism, domestic </w:t>
      </w:r>
      <w:proofErr w:type="gramStart"/>
      <w:r>
        <w:rPr>
          <w:rFonts w:ascii="Arial" w:eastAsia="Arial" w:hAnsi="Arial" w:cs="Arial"/>
          <w:color w:val="000000"/>
          <w:sz w:val="24"/>
          <w:szCs w:val="24"/>
        </w:rPr>
        <w:t>violence</w:t>
      </w:r>
      <w:proofErr w:type="gramEnd"/>
      <w:r>
        <w:rPr>
          <w:rFonts w:ascii="Arial" w:eastAsia="Arial" w:hAnsi="Arial" w:cs="Arial"/>
          <w:color w:val="000000"/>
          <w:sz w:val="24"/>
          <w:szCs w:val="24"/>
        </w:rPr>
        <w:t xml:space="preserve"> </w:t>
      </w:r>
      <w:r>
        <w:rPr>
          <w:rFonts w:ascii="Arial" w:eastAsia="Arial" w:hAnsi="Arial" w:cs="Arial"/>
          <w:color w:val="000000"/>
          <w:sz w:val="24"/>
          <w:szCs w:val="24"/>
        </w:rPr>
        <w:lastRenderedPageBreak/>
        <w:t xml:space="preserve">and related </w:t>
      </w:r>
      <w:proofErr w:type="spellStart"/>
      <w:r>
        <w:rPr>
          <w:rFonts w:ascii="Arial" w:eastAsia="Arial" w:hAnsi="Arial" w:cs="Arial"/>
          <w:color w:val="000000"/>
          <w:sz w:val="24"/>
          <w:szCs w:val="24"/>
        </w:rPr>
        <w:t>behaviours</w:t>
      </w:r>
      <w:proofErr w:type="spellEnd"/>
      <w:r>
        <w:rPr>
          <w:rFonts w:ascii="Arial" w:eastAsia="Arial" w:hAnsi="Arial" w:cs="Arial"/>
          <w:color w:val="000000"/>
          <w:sz w:val="24"/>
          <w:szCs w:val="24"/>
        </w:rPr>
        <w:t xml:space="preserve"> among parents contributed to parental alienation syndrome (Mental Health and Drug Addiction Treatment Centers, 2021). Al</w:t>
      </w:r>
      <w:r>
        <w:rPr>
          <w:rFonts w:ascii="Arial" w:eastAsia="Arial" w:hAnsi="Arial" w:cs="Arial"/>
          <w:color w:val="000000"/>
          <w:sz w:val="24"/>
          <w:szCs w:val="24"/>
        </w:rPr>
        <w:t>ternatively, prolonged parental alienation might impact men’s mental health resulting in substance abuse among parents (Sher, 2015), or in extreme cases, among adult children raised by separated parents (Baker, 2005; Kruk, 2018). The claims made by Sher (2</w:t>
      </w:r>
      <w:r>
        <w:rPr>
          <w:rFonts w:ascii="Arial" w:eastAsia="Arial" w:hAnsi="Arial" w:cs="Arial"/>
          <w:color w:val="000000"/>
          <w:sz w:val="24"/>
          <w:szCs w:val="24"/>
        </w:rPr>
        <w:t>015) and Mental Health and Drug Addiction Treatment Centers (2021) are in line with anecdotal evidence on the lived experiences of children raised in insecure family environments.</w:t>
      </w:r>
    </w:p>
    <w:p w14:paraId="00000090"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Considering the emotional intelligence-based worldview focused on certain me</w:t>
      </w:r>
      <w:r>
        <w:rPr>
          <w:rFonts w:ascii="Arial" w:eastAsia="Arial" w:hAnsi="Arial" w:cs="Arial"/>
          <w:color w:val="000000"/>
          <w:sz w:val="24"/>
          <w:szCs w:val="24"/>
        </w:rPr>
        <w:t>asures of marital stability, for instance, sharing the household responsibilities, emotional and social bonding, individual beliefs about finances and child-rearing (</w:t>
      </w:r>
      <w:proofErr w:type="spellStart"/>
      <w:r>
        <w:rPr>
          <w:rFonts w:ascii="Arial" w:eastAsia="Arial" w:hAnsi="Arial" w:cs="Arial"/>
          <w:color w:val="000000"/>
          <w:sz w:val="24"/>
          <w:szCs w:val="24"/>
        </w:rPr>
        <w:t>Lavalekar</w:t>
      </w:r>
      <w:proofErr w:type="spellEnd"/>
      <w:r>
        <w:rPr>
          <w:rFonts w:ascii="Arial" w:eastAsia="Arial" w:hAnsi="Arial" w:cs="Arial"/>
          <w:color w:val="000000"/>
          <w:sz w:val="24"/>
          <w:szCs w:val="24"/>
        </w:rPr>
        <w:t>, Kulkarni and Jagtap, 2010), it was necessary to explore alternative theories th</w:t>
      </w:r>
      <w:r>
        <w:rPr>
          <w:rFonts w:ascii="Arial" w:eastAsia="Arial" w:hAnsi="Arial" w:cs="Arial"/>
          <w:color w:val="000000"/>
          <w:sz w:val="24"/>
          <w:szCs w:val="24"/>
        </w:rPr>
        <w:t xml:space="preserve">at help explain the diverse parental </w:t>
      </w:r>
      <w:proofErr w:type="spellStart"/>
      <w:r>
        <w:rPr>
          <w:rFonts w:ascii="Arial" w:eastAsia="Arial" w:hAnsi="Arial" w:cs="Arial"/>
          <w:color w:val="000000"/>
          <w:sz w:val="24"/>
          <w:szCs w:val="24"/>
        </w:rPr>
        <w:t>behaviours</w:t>
      </w:r>
      <w:proofErr w:type="spellEnd"/>
      <w:r>
        <w:rPr>
          <w:rFonts w:ascii="Arial" w:eastAsia="Arial" w:hAnsi="Arial" w:cs="Arial"/>
          <w:color w:val="000000"/>
          <w:sz w:val="24"/>
          <w:szCs w:val="24"/>
        </w:rPr>
        <w:t xml:space="preserve"> and their potential contribution to divorce and separation. Alcoholism and drug abuse might have a significant impact on parental alienation based on current statistics. The UK has one of the highest global r</w:t>
      </w:r>
      <w:r>
        <w:rPr>
          <w:rFonts w:ascii="Arial" w:eastAsia="Arial" w:hAnsi="Arial" w:cs="Arial"/>
          <w:color w:val="000000"/>
          <w:sz w:val="24"/>
          <w:szCs w:val="24"/>
        </w:rPr>
        <w:t>ates of heavy episodic drinking at 55% among men (World Health Organization, 2018). The WHO estimates are in line with the Office for National Statistics (2020) report on alcoholism in the UK. A key issue that remains unresolved is whether it was beneficia</w:t>
      </w:r>
      <w:r>
        <w:rPr>
          <w:rFonts w:ascii="Arial" w:eastAsia="Arial" w:hAnsi="Arial" w:cs="Arial"/>
          <w:color w:val="000000"/>
          <w:sz w:val="24"/>
          <w:szCs w:val="24"/>
        </w:rPr>
        <w:t>l for mothers to allow alcoholic fathers to access their children or if it was beneficial to withdraw contact.</w:t>
      </w:r>
    </w:p>
    <w:p w14:paraId="00000091"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Even though the World Health Organization (2018) and Office for National Statistics (2020) studies did not demonstrate a link between alcoholism </w:t>
      </w:r>
      <w:r>
        <w:rPr>
          <w:rFonts w:ascii="Arial" w:eastAsia="Arial" w:hAnsi="Arial" w:cs="Arial"/>
          <w:color w:val="000000"/>
          <w:sz w:val="24"/>
          <w:szCs w:val="24"/>
        </w:rPr>
        <w:t xml:space="preserve">and poor parenting and abdication of parental responsibilities, heavy drinking coupled with substance abuse and other undesirable </w:t>
      </w:r>
      <w:proofErr w:type="spellStart"/>
      <w:r>
        <w:rPr>
          <w:rFonts w:ascii="Arial" w:eastAsia="Arial" w:hAnsi="Arial" w:cs="Arial"/>
          <w:color w:val="000000"/>
          <w:sz w:val="24"/>
          <w:szCs w:val="24"/>
        </w:rPr>
        <w:t>behaviours</w:t>
      </w:r>
      <w:proofErr w:type="spellEnd"/>
      <w:r>
        <w:rPr>
          <w:rFonts w:ascii="Arial" w:eastAsia="Arial" w:hAnsi="Arial" w:cs="Arial"/>
          <w:color w:val="000000"/>
          <w:sz w:val="24"/>
          <w:szCs w:val="24"/>
        </w:rPr>
        <w:t xml:space="preserve"> elevate the possibility of parental </w:t>
      </w:r>
      <w:r>
        <w:rPr>
          <w:rFonts w:ascii="Arial" w:eastAsia="Arial" w:hAnsi="Arial" w:cs="Arial"/>
          <w:color w:val="000000"/>
          <w:sz w:val="24"/>
          <w:szCs w:val="24"/>
        </w:rPr>
        <w:lastRenderedPageBreak/>
        <w:t>alienation. Current research identifies alcoholism as a high conflict personali</w:t>
      </w:r>
      <w:r>
        <w:rPr>
          <w:rFonts w:ascii="Arial" w:eastAsia="Arial" w:hAnsi="Arial" w:cs="Arial"/>
          <w:color w:val="000000"/>
          <w:sz w:val="24"/>
          <w:szCs w:val="24"/>
        </w:rPr>
        <w:t>ty trait that elevates the potential for alienation; these claims are supported by evidence of abuse during the COVID-19 pandemic across the UK (</w:t>
      </w:r>
      <w:proofErr w:type="spellStart"/>
      <w:r>
        <w:rPr>
          <w:rFonts w:ascii="Arial" w:eastAsia="Arial" w:hAnsi="Arial" w:cs="Arial"/>
          <w:color w:val="000000"/>
          <w:sz w:val="24"/>
          <w:szCs w:val="24"/>
        </w:rPr>
        <w:t>Xue</w:t>
      </w:r>
      <w:proofErr w:type="spellEnd"/>
      <w:r>
        <w:rPr>
          <w:rFonts w:ascii="Arial" w:eastAsia="Arial" w:hAnsi="Arial" w:cs="Arial"/>
          <w:color w:val="000000"/>
          <w:sz w:val="24"/>
          <w:szCs w:val="24"/>
        </w:rPr>
        <w:t xml:space="preserve"> et al., 2020). But most of these concerns and issues remain unaddressed because married women are afraid to</w:t>
      </w:r>
      <w:r>
        <w:rPr>
          <w:rFonts w:ascii="Arial" w:eastAsia="Arial" w:hAnsi="Arial" w:cs="Arial"/>
          <w:color w:val="000000"/>
          <w:sz w:val="24"/>
          <w:szCs w:val="24"/>
        </w:rPr>
        <w:t xml:space="preserve"> share their plight with the public. In brief, the brief appraisal of parental </w:t>
      </w:r>
      <w:proofErr w:type="spellStart"/>
      <w:r>
        <w:rPr>
          <w:rFonts w:ascii="Arial" w:eastAsia="Arial" w:hAnsi="Arial" w:cs="Arial"/>
          <w:color w:val="000000"/>
          <w:sz w:val="24"/>
          <w:szCs w:val="24"/>
        </w:rPr>
        <w:t>behaviours</w:t>
      </w:r>
      <w:proofErr w:type="spellEnd"/>
      <w:r>
        <w:rPr>
          <w:rFonts w:ascii="Arial" w:eastAsia="Arial" w:hAnsi="Arial" w:cs="Arial"/>
          <w:color w:val="000000"/>
          <w:sz w:val="24"/>
          <w:szCs w:val="24"/>
        </w:rPr>
        <w:t xml:space="preserve"> and personalities from the context of abuse, alcoholism, drug use and emotional intelligence affirmed that the prevalence of parental alienation and children’s contac</w:t>
      </w:r>
      <w:r>
        <w:rPr>
          <w:rFonts w:ascii="Arial" w:eastAsia="Arial" w:hAnsi="Arial" w:cs="Arial"/>
          <w:color w:val="000000"/>
          <w:sz w:val="24"/>
          <w:szCs w:val="24"/>
        </w:rPr>
        <w:t>t with their fathers following parental separation in Wales could be predicted by a broad range of factors. However, the patriarchal discursive context, political and emasculation of society underpinned the emergence and acceptance of domestic violence dur</w:t>
      </w:r>
      <w:r>
        <w:rPr>
          <w:rFonts w:ascii="Arial" w:eastAsia="Arial" w:hAnsi="Arial" w:cs="Arial"/>
          <w:color w:val="000000"/>
          <w:sz w:val="24"/>
          <w:szCs w:val="24"/>
        </w:rPr>
        <w:t>ing the pandemic.</w:t>
      </w:r>
    </w:p>
    <w:p w14:paraId="00000092"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17" w:name="_bb8fps4p4w1r" w:colFirst="0" w:colLast="0"/>
      <w:bookmarkEnd w:id="17"/>
      <w:r>
        <w:rPr>
          <w:rFonts w:ascii="Arial" w:eastAsia="Arial" w:hAnsi="Arial" w:cs="Arial"/>
          <w:b/>
          <w:color w:val="000000"/>
          <w:sz w:val="24"/>
          <w:szCs w:val="24"/>
        </w:rPr>
        <w:t>2.4 Gaps</w:t>
      </w:r>
    </w:p>
    <w:p w14:paraId="00000093"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Previous studies on parental alienation are not specific to Wales - the study area of interest. There was a lesser emphasis on the lived experiences of fathers alienated from their children (sired out of wedlock), except for case</w:t>
      </w:r>
      <w:r>
        <w:rPr>
          <w:rFonts w:ascii="Arial" w:eastAsia="Arial" w:hAnsi="Arial" w:cs="Arial"/>
          <w:color w:val="000000"/>
          <w:sz w:val="24"/>
          <w:szCs w:val="24"/>
        </w:rPr>
        <w:t>s that highlighted the impact of extended alienation on substance and drug abuse risk.</w:t>
      </w:r>
    </w:p>
    <w:p w14:paraId="00000094"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18" w:name="_modge613gs1e" w:colFirst="0" w:colLast="0"/>
      <w:bookmarkEnd w:id="18"/>
      <w:r>
        <w:rPr>
          <w:rFonts w:ascii="Arial" w:eastAsia="Arial" w:hAnsi="Arial" w:cs="Arial"/>
          <w:b/>
          <w:color w:val="000000"/>
          <w:sz w:val="24"/>
          <w:szCs w:val="24"/>
        </w:rPr>
        <w:t>2.5 Conclusion</w:t>
      </w:r>
    </w:p>
    <w:p w14:paraId="00000095"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Despite the gaps in research, the synthesis of literature affirmed the negative impact of parental alienation on fathers and their children and the societ</w:t>
      </w:r>
      <w:r>
        <w:rPr>
          <w:rFonts w:ascii="Arial" w:eastAsia="Arial" w:hAnsi="Arial" w:cs="Arial"/>
          <w:color w:val="000000"/>
          <w:sz w:val="24"/>
          <w:szCs w:val="24"/>
        </w:rPr>
        <w:t xml:space="preserve">y at large. The risk of parental alienation was high given that marriage was no longer appealing to the current generation; this is evident from the high divorce rates and cohabitations in both affluent and less affluent families. One in three children is </w:t>
      </w:r>
      <w:r>
        <w:rPr>
          <w:rFonts w:ascii="Arial" w:eastAsia="Arial" w:hAnsi="Arial" w:cs="Arial"/>
          <w:color w:val="000000"/>
          <w:sz w:val="24"/>
          <w:szCs w:val="24"/>
        </w:rPr>
        <w:t xml:space="preserve">separated from their parents </w:t>
      </w:r>
      <w:r>
        <w:rPr>
          <w:rFonts w:ascii="Arial" w:eastAsia="Arial" w:hAnsi="Arial" w:cs="Arial"/>
          <w:color w:val="000000"/>
          <w:sz w:val="24"/>
          <w:szCs w:val="24"/>
        </w:rPr>
        <w:lastRenderedPageBreak/>
        <w:t>across the UK. The problem has been further exacerbated by the discursive context, political and social factors that underpinned the emergence and acceptance of parental separation. The postmodern society has normalized parenta</w:t>
      </w:r>
      <w:r>
        <w:rPr>
          <w:rFonts w:ascii="Arial" w:eastAsia="Arial" w:hAnsi="Arial" w:cs="Arial"/>
          <w:color w:val="000000"/>
          <w:sz w:val="24"/>
          <w:szCs w:val="24"/>
        </w:rPr>
        <w:t>l separation and alienation, and the existing legal mechanisms and child welfare guidelines relating to parental alienation have had a mixed impact on PAS.</w:t>
      </w:r>
    </w:p>
    <w:p w14:paraId="00000096" w14:textId="77777777" w:rsidR="00E80054" w:rsidRDefault="00E80054">
      <w:pPr>
        <w:spacing w:line="480" w:lineRule="auto"/>
        <w:ind w:left="720"/>
        <w:rPr>
          <w:rFonts w:ascii="Arial" w:eastAsia="Arial" w:hAnsi="Arial" w:cs="Arial"/>
          <w:b/>
          <w:color w:val="000000"/>
          <w:sz w:val="24"/>
          <w:szCs w:val="24"/>
        </w:rPr>
      </w:pPr>
    </w:p>
    <w:p w14:paraId="00000097"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00000098" w14:textId="77777777" w:rsidR="00E80054" w:rsidRDefault="00527DE5">
      <w:pPr>
        <w:pStyle w:val="Heading1"/>
        <w:keepNext w:val="0"/>
        <w:keepLines w:val="0"/>
        <w:widowControl/>
        <w:spacing w:after="120" w:line="480" w:lineRule="auto"/>
        <w:ind w:left="720"/>
        <w:jc w:val="center"/>
        <w:rPr>
          <w:rFonts w:ascii="Arial" w:eastAsia="Arial" w:hAnsi="Arial" w:cs="Arial"/>
          <w:b w:val="0"/>
          <w:color w:val="000000"/>
          <w:sz w:val="24"/>
          <w:szCs w:val="24"/>
        </w:rPr>
      </w:pPr>
      <w:bookmarkStart w:id="19" w:name="_y09wakc6fnq4" w:colFirst="0" w:colLast="0"/>
      <w:bookmarkEnd w:id="19"/>
      <w:r>
        <w:rPr>
          <w:rFonts w:ascii="Arial" w:eastAsia="Arial" w:hAnsi="Arial" w:cs="Arial"/>
          <w:b w:val="0"/>
          <w:color w:val="000000"/>
          <w:sz w:val="24"/>
          <w:szCs w:val="24"/>
        </w:rPr>
        <w:t>3.0 Chapter Three: Research Methodology</w:t>
      </w:r>
    </w:p>
    <w:p w14:paraId="00000099"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20" w:name="_huuq4vvbdky7" w:colFirst="0" w:colLast="0"/>
      <w:bookmarkEnd w:id="20"/>
      <w:r>
        <w:rPr>
          <w:rFonts w:ascii="Arial" w:eastAsia="Arial" w:hAnsi="Arial" w:cs="Arial"/>
          <w:b/>
          <w:color w:val="000000"/>
          <w:sz w:val="24"/>
          <w:szCs w:val="24"/>
        </w:rPr>
        <w:t>3.1 Introduction</w:t>
      </w:r>
    </w:p>
    <w:p w14:paraId="0000009A"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investigation of the prevalence of parental alienation and children’s contact with their fathers following parental separation in Wales included questionnaires administered via Survey Monkey and two in-person interviews with fathers alienated from thei</w:t>
      </w:r>
      <w:r>
        <w:rPr>
          <w:rFonts w:ascii="Arial" w:eastAsia="Arial" w:hAnsi="Arial" w:cs="Arial"/>
          <w:color w:val="000000"/>
          <w:sz w:val="24"/>
          <w:szCs w:val="24"/>
        </w:rPr>
        <w:t>r children. The chapter discusses the sample selection criteria and the analytical methods and philosophical worldview that underpinned qualitative data collection.</w:t>
      </w:r>
    </w:p>
    <w:p w14:paraId="0000009B"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21" w:name="_g7b7qw66kdky" w:colFirst="0" w:colLast="0"/>
      <w:bookmarkEnd w:id="21"/>
      <w:r>
        <w:rPr>
          <w:rFonts w:ascii="Arial" w:eastAsia="Arial" w:hAnsi="Arial" w:cs="Arial"/>
          <w:b/>
          <w:color w:val="000000"/>
          <w:sz w:val="24"/>
          <w:szCs w:val="24"/>
        </w:rPr>
        <w:t>3.2 Overall Research Objective</w:t>
      </w:r>
    </w:p>
    <w:p w14:paraId="0000009C"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The fundamental goal was to investigate parental alienation </w:t>
      </w:r>
      <w:r>
        <w:rPr>
          <w:rFonts w:ascii="Arial" w:eastAsia="Arial" w:hAnsi="Arial" w:cs="Arial"/>
          <w:color w:val="000000"/>
          <w:sz w:val="24"/>
          <w:szCs w:val="24"/>
        </w:rPr>
        <w:t>in Welsh families and provisions relating to parental alienation and domino effects on a child’s contact with the father for children raised by separated/divorced parents.</w:t>
      </w:r>
    </w:p>
    <w:p w14:paraId="0000009D"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22" w:name="_nya3a1ggrrm2" w:colFirst="0" w:colLast="0"/>
      <w:bookmarkEnd w:id="22"/>
      <w:r>
        <w:rPr>
          <w:rFonts w:ascii="Arial" w:eastAsia="Arial" w:hAnsi="Arial" w:cs="Arial"/>
          <w:b/>
          <w:color w:val="000000"/>
          <w:sz w:val="24"/>
          <w:szCs w:val="24"/>
        </w:rPr>
        <w:lastRenderedPageBreak/>
        <w:t>3.3 Philosophical Worldview/Paradigm</w:t>
      </w:r>
    </w:p>
    <w:p w14:paraId="0000009E"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pragmatic philosophical paradigm was chosen</w:t>
      </w:r>
      <w:r>
        <w:rPr>
          <w:rFonts w:ascii="Arial" w:eastAsia="Arial" w:hAnsi="Arial" w:cs="Arial"/>
          <w:color w:val="000000"/>
          <w:sz w:val="24"/>
          <w:szCs w:val="24"/>
        </w:rPr>
        <w:t xml:space="preserve"> given it is best aligned with facts, and researchers have the freedom to choose “methods, techniques, and procedures that best meet their needs and scientific research aims” (</w:t>
      </w:r>
      <w:proofErr w:type="spellStart"/>
      <w:r>
        <w:rPr>
          <w:rFonts w:ascii="Arial" w:eastAsia="Arial" w:hAnsi="Arial" w:cs="Arial"/>
          <w:color w:val="000000"/>
          <w:sz w:val="24"/>
          <w:szCs w:val="24"/>
        </w:rPr>
        <w:t>Žukauskas</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Vveinhardt</w:t>
      </w:r>
      <w:proofErr w:type="spellEnd"/>
      <w:r>
        <w:rPr>
          <w:rFonts w:ascii="Arial" w:eastAsia="Arial" w:hAnsi="Arial" w:cs="Arial"/>
          <w:color w:val="000000"/>
          <w:sz w:val="24"/>
          <w:szCs w:val="24"/>
        </w:rPr>
        <w:t xml:space="preserve"> and </w:t>
      </w:r>
      <w:proofErr w:type="spellStart"/>
      <w:r>
        <w:rPr>
          <w:rFonts w:ascii="Arial" w:eastAsia="Arial" w:hAnsi="Arial" w:cs="Arial"/>
          <w:color w:val="000000"/>
          <w:sz w:val="24"/>
          <w:szCs w:val="24"/>
        </w:rPr>
        <w:t>Andriukaitienė</w:t>
      </w:r>
      <w:proofErr w:type="spellEnd"/>
      <w:r>
        <w:rPr>
          <w:rFonts w:ascii="Arial" w:eastAsia="Arial" w:hAnsi="Arial" w:cs="Arial"/>
          <w:color w:val="000000"/>
          <w:sz w:val="24"/>
          <w:szCs w:val="24"/>
        </w:rPr>
        <w:t xml:space="preserve">, 2017, p. 123). Flexibility was key in </w:t>
      </w:r>
      <w:r>
        <w:rPr>
          <w:rFonts w:ascii="Arial" w:eastAsia="Arial" w:hAnsi="Arial" w:cs="Arial"/>
          <w:color w:val="000000"/>
          <w:sz w:val="24"/>
          <w:szCs w:val="24"/>
        </w:rPr>
        <w:t xml:space="preserve">light of the scope of the research inquiry and the research questions, which focused on the challenges experienced by fathers, shortcomings of the legal system and </w:t>
      </w:r>
      <w:proofErr w:type="gramStart"/>
      <w:r>
        <w:rPr>
          <w:rFonts w:ascii="Arial" w:eastAsia="Arial" w:hAnsi="Arial" w:cs="Arial"/>
          <w:color w:val="000000"/>
          <w:sz w:val="24"/>
          <w:szCs w:val="24"/>
        </w:rPr>
        <w:t>long term</w:t>
      </w:r>
      <w:proofErr w:type="gramEnd"/>
      <w:r>
        <w:rPr>
          <w:rFonts w:ascii="Arial" w:eastAsia="Arial" w:hAnsi="Arial" w:cs="Arial"/>
          <w:color w:val="000000"/>
          <w:sz w:val="24"/>
          <w:szCs w:val="24"/>
        </w:rPr>
        <w:t xml:space="preserve"> effects. Beyond the flexible methodologies and alignment with the scope of the res</w:t>
      </w:r>
      <w:r>
        <w:rPr>
          <w:rFonts w:ascii="Arial" w:eastAsia="Arial" w:hAnsi="Arial" w:cs="Arial"/>
          <w:color w:val="000000"/>
          <w:sz w:val="24"/>
          <w:szCs w:val="24"/>
        </w:rPr>
        <w:t>earch inquiry, the philosophical paradigm was preferred, given it presumes that absolute truth is informed by mind dualism and reality.</w:t>
      </w:r>
    </w:p>
    <w:p w14:paraId="0000009F"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23" w:name="_k8je7ardel3z" w:colFirst="0" w:colLast="0"/>
      <w:bookmarkEnd w:id="23"/>
      <w:r>
        <w:rPr>
          <w:rFonts w:ascii="Arial" w:eastAsia="Arial" w:hAnsi="Arial" w:cs="Arial"/>
          <w:b/>
          <w:color w:val="000000"/>
          <w:sz w:val="24"/>
          <w:szCs w:val="24"/>
        </w:rPr>
        <w:t>3.4 The Distinction Between Primary and Secondary Research</w:t>
      </w:r>
    </w:p>
    <w:p w14:paraId="000000A0"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Primary research is grounded on experimental data and observations drawn from the target population. The primary research is grouped into different categories, including quasi-experimental, true-</w:t>
      </w:r>
      <w:proofErr w:type="gramStart"/>
      <w:r>
        <w:rPr>
          <w:rFonts w:ascii="Arial" w:eastAsia="Arial" w:hAnsi="Arial" w:cs="Arial"/>
          <w:color w:val="000000"/>
          <w:sz w:val="24"/>
          <w:szCs w:val="24"/>
        </w:rPr>
        <w:t>experimental</w:t>
      </w:r>
      <w:proofErr w:type="gramEnd"/>
      <w:r>
        <w:rPr>
          <w:rFonts w:ascii="Arial" w:eastAsia="Arial" w:hAnsi="Arial" w:cs="Arial"/>
          <w:color w:val="000000"/>
          <w:sz w:val="24"/>
          <w:szCs w:val="24"/>
        </w:rPr>
        <w:t xml:space="preserve"> and exploratory research designs (Harland, 2010;</w:t>
      </w:r>
      <w:r>
        <w:rPr>
          <w:rFonts w:ascii="Arial" w:eastAsia="Arial" w:hAnsi="Arial" w:cs="Arial"/>
          <w:color w:val="000000"/>
          <w:sz w:val="24"/>
          <w:szCs w:val="24"/>
        </w:rPr>
        <w:t xml:space="preserve"> </w:t>
      </w:r>
      <w:proofErr w:type="spellStart"/>
      <w:r>
        <w:rPr>
          <w:rFonts w:ascii="Arial" w:eastAsia="Arial" w:hAnsi="Arial" w:cs="Arial"/>
          <w:color w:val="000000"/>
          <w:sz w:val="24"/>
          <w:szCs w:val="24"/>
        </w:rPr>
        <w:t>Rendle</w:t>
      </w:r>
      <w:proofErr w:type="spellEnd"/>
      <w:r>
        <w:rPr>
          <w:rFonts w:ascii="Arial" w:eastAsia="Arial" w:hAnsi="Arial" w:cs="Arial"/>
          <w:color w:val="000000"/>
          <w:sz w:val="24"/>
          <w:szCs w:val="24"/>
        </w:rPr>
        <w:t xml:space="preserve"> et al., 2019). The selection of one research design is predicted by the philosophical paradigm, the nature and scope of the research inquiry, research timelines and resources available. For example, exploratory research designs are ideal if there i</w:t>
      </w:r>
      <w:r>
        <w:rPr>
          <w:rFonts w:ascii="Arial" w:eastAsia="Arial" w:hAnsi="Arial" w:cs="Arial"/>
          <w:color w:val="000000"/>
          <w:sz w:val="24"/>
          <w:szCs w:val="24"/>
        </w:rPr>
        <w:t xml:space="preserve">s inadequate information about the subject of interest and when purposive sampling methods are appropriate (Harland, 2010; </w:t>
      </w:r>
      <w:proofErr w:type="spellStart"/>
      <w:r>
        <w:rPr>
          <w:rFonts w:ascii="Arial" w:eastAsia="Arial" w:hAnsi="Arial" w:cs="Arial"/>
          <w:color w:val="000000"/>
          <w:sz w:val="24"/>
          <w:szCs w:val="24"/>
        </w:rPr>
        <w:t>Rendle</w:t>
      </w:r>
      <w:proofErr w:type="spellEnd"/>
      <w:r>
        <w:rPr>
          <w:rFonts w:ascii="Arial" w:eastAsia="Arial" w:hAnsi="Arial" w:cs="Arial"/>
          <w:color w:val="000000"/>
          <w:sz w:val="24"/>
          <w:szCs w:val="24"/>
        </w:rPr>
        <w:t xml:space="preserve"> et al., 2019). In contrast, secondary research focuses on the appraisal of published scholarly evidence through systematic rev</w:t>
      </w:r>
      <w:r>
        <w:rPr>
          <w:rFonts w:ascii="Arial" w:eastAsia="Arial" w:hAnsi="Arial" w:cs="Arial"/>
          <w:color w:val="000000"/>
          <w:sz w:val="24"/>
          <w:szCs w:val="24"/>
        </w:rPr>
        <w:t xml:space="preserve">iews (Hartling et al., 2016), meta-analyses and narrative analysis. A key </w:t>
      </w:r>
      <w:r>
        <w:rPr>
          <w:rFonts w:ascii="Arial" w:eastAsia="Arial" w:hAnsi="Arial" w:cs="Arial"/>
          <w:color w:val="000000"/>
          <w:sz w:val="24"/>
          <w:szCs w:val="24"/>
        </w:rPr>
        <w:lastRenderedPageBreak/>
        <w:t>drawback is an original contribution in the latter case, given that secondary research focuses on synthesizing current evidence rather than generate new insights.</w:t>
      </w:r>
    </w:p>
    <w:p w14:paraId="000000A1"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24" w:name="_hiwhjbh51prz" w:colFirst="0" w:colLast="0"/>
      <w:bookmarkEnd w:id="24"/>
      <w:r>
        <w:rPr>
          <w:rFonts w:ascii="Arial" w:eastAsia="Arial" w:hAnsi="Arial" w:cs="Arial"/>
          <w:b/>
          <w:color w:val="000000"/>
          <w:sz w:val="24"/>
          <w:szCs w:val="24"/>
        </w:rPr>
        <w:t>3.5 Research Onion</w:t>
      </w:r>
    </w:p>
    <w:p w14:paraId="000000A2"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The research onion depicted in Figure 1 demonstrated how the research methods, analytical procedures, and philosophical paradigms are interlinked. The standard onion model developed by Saunders, </w:t>
      </w:r>
      <w:proofErr w:type="gramStart"/>
      <w:r>
        <w:rPr>
          <w:rFonts w:ascii="Arial" w:eastAsia="Arial" w:hAnsi="Arial" w:cs="Arial"/>
          <w:color w:val="000000"/>
          <w:sz w:val="24"/>
          <w:szCs w:val="24"/>
        </w:rPr>
        <w:t>Lewis</w:t>
      </w:r>
      <w:proofErr w:type="gramEnd"/>
      <w:r>
        <w:rPr>
          <w:rFonts w:ascii="Arial" w:eastAsia="Arial" w:hAnsi="Arial" w:cs="Arial"/>
          <w:color w:val="000000"/>
          <w:sz w:val="24"/>
          <w:szCs w:val="24"/>
        </w:rPr>
        <w:t xml:space="preserve"> and Thornhill (2019) was chosen based on its establishe</w:t>
      </w:r>
      <w:r>
        <w:rPr>
          <w:rFonts w:ascii="Arial" w:eastAsia="Arial" w:hAnsi="Arial" w:cs="Arial"/>
          <w:color w:val="000000"/>
          <w:sz w:val="24"/>
          <w:szCs w:val="24"/>
        </w:rPr>
        <w:t>d reliability. In the current case, there is a clear link between a pragmatic philosophical paradigm and mixed methods research.</w:t>
      </w:r>
    </w:p>
    <w:p w14:paraId="000000A3"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Figure 1 Research onion linking analytical procedures, philosophical </w:t>
      </w:r>
      <w:proofErr w:type="gramStart"/>
      <w:r>
        <w:rPr>
          <w:rFonts w:ascii="Arial" w:eastAsia="Arial" w:hAnsi="Arial" w:cs="Arial"/>
          <w:color w:val="000000"/>
          <w:sz w:val="24"/>
          <w:szCs w:val="24"/>
        </w:rPr>
        <w:t>paradigms</w:t>
      </w:r>
      <w:proofErr w:type="gramEnd"/>
      <w:r>
        <w:rPr>
          <w:rFonts w:ascii="Arial" w:eastAsia="Arial" w:hAnsi="Arial" w:cs="Arial"/>
          <w:color w:val="000000"/>
          <w:sz w:val="24"/>
          <w:szCs w:val="24"/>
        </w:rPr>
        <w:t xml:space="preserve"> and data collection/analysis procedures (Saunder</w:t>
      </w:r>
      <w:r>
        <w:rPr>
          <w:rFonts w:ascii="Arial" w:eastAsia="Arial" w:hAnsi="Arial" w:cs="Arial"/>
          <w:color w:val="000000"/>
          <w:sz w:val="24"/>
          <w:szCs w:val="24"/>
        </w:rPr>
        <w:t>s, Lewis and Thornhill, 2019)</w:t>
      </w:r>
    </w:p>
    <w:p w14:paraId="000000A4" w14:textId="77777777" w:rsidR="00E80054" w:rsidRDefault="00527DE5">
      <w:pPr>
        <w:pStyle w:val="Heading2"/>
        <w:spacing w:before="360" w:line="480" w:lineRule="auto"/>
        <w:ind w:left="720" w:hanging="360"/>
        <w:rPr>
          <w:rFonts w:ascii="Arial" w:eastAsia="Arial" w:hAnsi="Arial" w:cs="Arial"/>
          <w:b/>
          <w:color w:val="000000"/>
          <w:sz w:val="24"/>
          <w:szCs w:val="24"/>
        </w:rPr>
      </w:pPr>
      <w:bookmarkStart w:id="25" w:name="_j0304g4scitu" w:colFirst="0" w:colLast="0"/>
      <w:bookmarkEnd w:id="25"/>
      <w:proofErr w:type="gramStart"/>
      <w:r>
        <w:rPr>
          <w:rFonts w:ascii="Arial" w:eastAsia="Arial" w:hAnsi="Arial" w:cs="Arial"/>
          <w:b/>
          <w:color w:val="000000"/>
          <w:sz w:val="24"/>
          <w:szCs w:val="24"/>
        </w:rPr>
        <w:t>3.6</w:t>
      </w:r>
      <w:r>
        <w:rPr>
          <w:rFonts w:ascii="Arial" w:eastAsia="Arial" w:hAnsi="Arial" w:cs="Arial"/>
          <w:color w:val="000000"/>
          <w:sz w:val="24"/>
          <w:szCs w:val="24"/>
        </w:rPr>
        <w:t xml:space="preserve">  </w:t>
      </w:r>
      <w:r>
        <w:rPr>
          <w:rFonts w:ascii="Arial" w:eastAsia="Arial" w:hAnsi="Arial" w:cs="Arial"/>
          <w:b/>
          <w:color w:val="000000"/>
          <w:sz w:val="24"/>
          <w:szCs w:val="24"/>
        </w:rPr>
        <w:t>Research</w:t>
      </w:r>
      <w:proofErr w:type="gramEnd"/>
      <w:r>
        <w:rPr>
          <w:rFonts w:ascii="Arial" w:eastAsia="Arial" w:hAnsi="Arial" w:cs="Arial"/>
          <w:b/>
          <w:color w:val="000000"/>
          <w:sz w:val="24"/>
          <w:szCs w:val="24"/>
        </w:rPr>
        <w:t xml:space="preserve"> Approach</w:t>
      </w:r>
    </w:p>
    <w:p w14:paraId="000000A5"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An abductive approach was selected, considering it integrated inductive, deductive reasoning and mixed methods research (see Figure 2). Wheeldon and </w:t>
      </w:r>
      <w:proofErr w:type="spellStart"/>
      <w:r>
        <w:rPr>
          <w:rFonts w:ascii="Arial" w:eastAsia="Arial" w:hAnsi="Arial" w:cs="Arial"/>
          <w:color w:val="000000"/>
          <w:sz w:val="24"/>
          <w:szCs w:val="24"/>
        </w:rPr>
        <w:t>Åhlberg</w:t>
      </w:r>
      <w:proofErr w:type="spellEnd"/>
      <w:r>
        <w:rPr>
          <w:rFonts w:ascii="Arial" w:eastAsia="Arial" w:hAnsi="Arial" w:cs="Arial"/>
          <w:color w:val="000000"/>
          <w:sz w:val="24"/>
          <w:szCs w:val="24"/>
        </w:rPr>
        <w:t xml:space="preserve"> (2012, p. 115) defined it as a process that “v</w:t>
      </w:r>
      <w:r>
        <w:rPr>
          <w:rFonts w:ascii="Arial" w:eastAsia="Arial" w:hAnsi="Arial" w:cs="Arial"/>
          <w:color w:val="000000"/>
          <w:sz w:val="24"/>
          <w:szCs w:val="24"/>
        </w:rPr>
        <w:t>alues both deductive and inductive approaches but relies principally on the expertise, experience and intuition of researchers.” Other distinct benefits associated with the research approach including robust measures of association between different variab</w:t>
      </w:r>
      <w:r>
        <w:rPr>
          <w:rFonts w:ascii="Arial" w:eastAsia="Arial" w:hAnsi="Arial" w:cs="Arial"/>
          <w:color w:val="000000"/>
          <w:sz w:val="24"/>
          <w:szCs w:val="24"/>
        </w:rPr>
        <w:t>les and exhaustive exploration of the phenomena using mixed methods research.</w:t>
      </w:r>
    </w:p>
    <w:p w14:paraId="000000A6"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Figure 2 Abductive research approach (Wheeldon and </w:t>
      </w:r>
      <w:proofErr w:type="spellStart"/>
      <w:r>
        <w:rPr>
          <w:rFonts w:ascii="Arial" w:eastAsia="Arial" w:hAnsi="Arial" w:cs="Arial"/>
          <w:color w:val="000000"/>
          <w:sz w:val="24"/>
          <w:szCs w:val="24"/>
        </w:rPr>
        <w:t>Åhlberg</w:t>
      </w:r>
      <w:proofErr w:type="spellEnd"/>
      <w:r>
        <w:rPr>
          <w:rFonts w:ascii="Arial" w:eastAsia="Arial" w:hAnsi="Arial" w:cs="Arial"/>
          <w:color w:val="000000"/>
          <w:sz w:val="24"/>
          <w:szCs w:val="24"/>
        </w:rPr>
        <w:t>, 2012)</w:t>
      </w:r>
    </w:p>
    <w:p w14:paraId="000000A7"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26" w:name="_iim9qahlxzry" w:colFirst="0" w:colLast="0"/>
      <w:bookmarkEnd w:id="26"/>
      <w:r>
        <w:rPr>
          <w:rFonts w:ascii="Arial" w:eastAsia="Arial" w:hAnsi="Arial" w:cs="Arial"/>
          <w:b/>
          <w:color w:val="000000"/>
          <w:sz w:val="24"/>
          <w:szCs w:val="24"/>
        </w:rPr>
        <w:t>3.7 Sampling</w:t>
      </w:r>
    </w:p>
    <w:p w14:paraId="000000A8"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lastRenderedPageBreak/>
        <w:t xml:space="preserve">The sampling process helped in the identification of suitable respondents for the web-based survey </w:t>
      </w:r>
      <w:r>
        <w:rPr>
          <w:rFonts w:ascii="Arial" w:eastAsia="Arial" w:hAnsi="Arial" w:cs="Arial"/>
          <w:color w:val="000000"/>
          <w:sz w:val="24"/>
          <w:szCs w:val="24"/>
        </w:rPr>
        <w:t xml:space="preserve">and interviews. The purposive sampling strategy was preferred given it focused on targeting a population with the information of interest. </w:t>
      </w:r>
      <w:proofErr w:type="spellStart"/>
      <w:r>
        <w:rPr>
          <w:rFonts w:ascii="Arial" w:eastAsia="Arial" w:hAnsi="Arial" w:cs="Arial"/>
          <w:color w:val="000000"/>
          <w:sz w:val="24"/>
          <w:szCs w:val="24"/>
        </w:rPr>
        <w:t>Sarstedt</w:t>
      </w:r>
      <w:proofErr w:type="spellEnd"/>
      <w:r>
        <w:rPr>
          <w:rFonts w:ascii="Arial" w:eastAsia="Arial" w:hAnsi="Arial" w:cs="Arial"/>
          <w:color w:val="000000"/>
          <w:sz w:val="24"/>
          <w:szCs w:val="24"/>
        </w:rPr>
        <w:t xml:space="preserve"> et al. (2018) argue that the purposive approach enabled the researcher to choose a sample that is aligned wi</w:t>
      </w:r>
      <w:r>
        <w:rPr>
          <w:rFonts w:ascii="Arial" w:eastAsia="Arial" w:hAnsi="Arial" w:cs="Arial"/>
          <w:color w:val="000000"/>
          <w:sz w:val="24"/>
          <w:szCs w:val="24"/>
        </w:rPr>
        <w:t>th the research needs. However, the non-probabilistic sampling method has its drawback. For example, it was challenging to ascertain whether non-significant effects emerged from the “idiosyncrasies of the selected sample” or because the effects did not exi</w:t>
      </w:r>
      <w:r>
        <w:rPr>
          <w:rFonts w:ascii="Arial" w:eastAsia="Arial" w:hAnsi="Arial" w:cs="Arial"/>
          <w:color w:val="000000"/>
          <w:sz w:val="24"/>
          <w:szCs w:val="24"/>
        </w:rPr>
        <w:t>st in the population. In the current case, the drawbacks of purposive sampling were addressed thorough and detailed description of the sampling process and the entire methodology. In addition, the outcomes were specific to the sample and not the general po</w:t>
      </w:r>
      <w:r>
        <w:rPr>
          <w:rFonts w:ascii="Arial" w:eastAsia="Arial" w:hAnsi="Arial" w:cs="Arial"/>
          <w:color w:val="000000"/>
          <w:sz w:val="24"/>
          <w:szCs w:val="24"/>
        </w:rPr>
        <w:t>pulation.</w:t>
      </w:r>
    </w:p>
    <w:p w14:paraId="000000A9"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27" w:name="_mtmpwyuefeyz" w:colFirst="0" w:colLast="0"/>
      <w:bookmarkEnd w:id="27"/>
      <w:r>
        <w:rPr>
          <w:rFonts w:ascii="Arial" w:eastAsia="Arial" w:hAnsi="Arial" w:cs="Arial"/>
          <w:b/>
          <w:color w:val="000000"/>
          <w:sz w:val="24"/>
          <w:szCs w:val="24"/>
        </w:rPr>
        <w:t>3.8 Research Tools</w:t>
      </w:r>
    </w:p>
    <w:p w14:paraId="000000AA"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Two research tools were employed. The first is a questionnaire for the web-based survey adapted from the parental alienation questionnaire (PAQ) (</w:t>
      </w:r>
      <w:proofErr w:type="spellStart"/>
      <w:r>
        <w:rPr>
          <w:rFonts w:ascii="Arial" w:eastAsia="Arial" w:hAnsi="Arial" w:cs="Arial"/>
          <w:color w:val="000000"/>
          <w:sz w:val="24"/>
          <w:szCs w:val="24"/>
        </w:rPr>
        <w:t>Sîrbu</w:t>
      </w:r>
      <w:proofErr w:type="spellEnd"/>
      <w:r>
        <w:rPr>
          <w:rFonts w:ascii="Arial" w:eastAsia="Arial" w:hAnsi="Arial" w:cs="Arial"/>
          <w:color w:val="000000"/>
          <w:sz w:val="24"/>
          <w:szCs w:val="24"/>
        </w:rPr>
        <w:t xml:space="preserve"> et al., 2021). Considering that the scope of the research was biased toward</w:t>
      </w:r>
      <w:r>
        <w:rPr>
          <w:rFonts w:ascii="Arial" w:eastAsia="Arial" w:hAnsi="Arial" w:cs="Arial"/>
          <w:color w:val="000000"/>
          <w:sz w:val="24"/>
          <w:szCs w:val="24"/>
        </w:rPr>
        <w:t>s fathers, the respondents were provided with a brief explanation of the main terminologies, including parental alienation and parental alienation syndrome, prior to the initiation of the data collection process to mitigate misconceptions and incorrect res</w:t>
      </w:r>
      <w:r>
        <w:rPr>
          <w:rFonts w:ascii="Arial" w:eastAsia="Arial" w:hAnsi="Arial" w:cs="Arial"/>
          <w:color w:val="000000"/>
          <w:sz w:val="24"/>
          <w:szCs w:val="24"/>
        </w:rPr>
        <w:t>ponses. The second was the interview questions for the alienated fathers. The questions are presented in Appendix 1 and Appendix 2, respectively.</w:t>
      </w:r>
    </w:p>
    <w:p w14:paraId="000000AB"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28" w:name="_w775oa3ghns7" w:colFirst="0" w:colLast="0"/>
      <w:bookmarkEnd w:id="28"/>
      <w:r>
        <w:rPr>
          <w:rFonts w:ascii="Arial" w:eastAsia="Arial" w:hAnsi="Arial" w:cs="Arial"/>
          <w:b/>
          <w:color w:val="000000"/>
          <w:sz w:val="24"/>
          <w:szCs w:val="24"/>
        </w:rPr>
        <w:t>3.9 Development of Research Instrument</w:t>
      </w:r>
    </w:p>
    <w:p w14:paraId="000000AC"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lastRenderedPageBreak/>
        <w:t>The interview and survey questions presented in the appendix were modif</w:t>
      </w:r>
      <w:r>
        <w:rPr>
          <w:rFonts w:ascii="Arial" w:eastAsia="Arial" w:hAnsi="Arial" w:cs="Arial"/>
          <w:color w:val="000000"/>
          <w:sz w:val="24"/>
          <w:szCs w:val="24"/>
        </w:rPr>
        <w:t>ied to eliminate ambiguous and sophisticated terminologies to prevent misunderstandings and the provision of incorrect responses, given that the public was less knowledgeable about the scholarly aspects of parental alienation. In addition, the data collect</w:t>
      </w:r>
      <w:r>
        <w:rPr>
          <w:rFonts w:ascii="Arial" w:eastAsia="Arial" w:hAnsi="Arial" w:cs="Arial"/>
          <w:color w:val="000000"/>
          <w:sz w:val="24"/>
          <w:szCs w:val="24"/>
        </w:rPr>
        <w:t xml:space="preserve">ion process focused on the prevalence of the problem, legal system, triggers for alienating </w:t>
      </w:r>
      <w:proofErr w:type="spellStart"/>
      <w:r>
        <w:rPr>
          <w:rFonts w:ascii="Arial" w:eastAsia="Arial" w:hAnsi="Arial" w:cs="Arial"/>
          <w:color w:val="000000"/>
          <w:sz w:val="24"/>
          <w:szCs w:val="24"/>
        </w:rPr>
        <w:t>behaviours</w:t>
      </w:r>
      <w:proofErr w:type="spellEnd"/>
      <w:r>
        <w:rPr>
          <w:rFonts w:ascii="Arial" w:eastAsia="Arial" w:hAnsi="Arial" w:cs="Arial"/>
          <w:color w:val="000000"/>
          <w:sz w:val="24"/>
          <w:szCs w:val="24"/>
        </w:rPr>
        <w:t>, and potential deterrence measures, including punishment, attempts by fathers to see their children, and lived experiences.</w:t>
      </w:r>
    </w:p>
    <w:p w14:paraId="000000AD" w14:textId="77777777" w:rsidR="00E80054" w:rsidRDefault="00527DE5">
      <w:pPr>
        <w:pStyle w:val="Heading2"/>
        <w:spacing w:before="360" w:line="480" w:lineRule="auto"/>
        <w:ind w:left="720" w:hanging="360"/>
        <w:rPr>
          <w:rFonts w:ascii="Arial" w:eastAsia="Arial" w:hAnsi="Arial" w:cs="Arial"/>
          <w:b/>
          <w:color w:val="000000"/>
          <w:sz w:val="24"/>
          <w:szCs w:val="24"/>
        </w:rPr>
      </w:pPr>
      <w:bookmarkStart w:id="29" w:name="_ibc2ahxd5f4x" w:colFirst="0" w:colLast="0"/>
      <w:bookmarkEnd w:id="29"/>
      <w:r>
        <w:rPr>
          <w:rFonts w:ascii="Arial" w:eastAsia="Arial" w:hAnsi="Arial" w:cs="Arial"/>
          <w:b/>
          <w:color w:val="000000"/>
          <w:sz w:val="24"/>
          <w:szCs w:val="24"/>
        </w:rPr>
        <w:t>3.10</w:t>
      </w:r>
      <w:r>
        <w:rPr>
          <w:rFonts w:ascii="Arial" w:eastAsia="Arial" w:hAnsi="Arial" w:cs="Arial"/>
          <w:color w:val="000000"/>
          <w:sz w:val="24"/>
          <w:szCs w:val="24"/>
        </w:rPr>
        <w:t xml:space="preserve">          </w:t>
      </w:r>
      <w:r>
        <w:rPr>
          <w:rFonts w:ascii="Arial" w:eastAsia="Arial" w:hAnsi="Arial" w:cs="Arial"/>
          <w:b/>
          <w:color w:val="000000"/>
          <w:sz w:val="24"/>
          <w:szCs w:val="24"/>
        </w:rPr>
        <w:t>Data Collection</w:t>
      </w:r>
    </w:p>
    <w:p w14:paraId="000000AE" w14:textId="77777777" w:rsidR="00E80054" w:rsidRDefault="00527DE5">
      <w:pPr>
        <w:pStyle w:val="Heading3"/>
        <w:spacing w:before="280" w:line="480" w:lineRule="auto"/>
        <w:ind w:left="720"/>
        <w:rPr>
          <w:rFonts w:ascii="Arial" w:eastAsia="Arial" w:hAnsi="Arial" w:cs="Arial"/>
          <w:b/>
          <w:color w:val="000000"/>
          <w:sz w:val="24"/>
          <w:szCs w:val="24"/>
        </w:rPr>
      </w:pPr>
      <w:bookmarkStart w:id="30" w:name="_5bmy7z8fsb50" w:colFirst="0" w:colLast="0"/>
      <w:bookmarkEnd w:id="30"/>
      <w:r>
        <w:rPr>
          <w:rFonts w:ascii="Arial" w:eastAsia="Arial" w:hAnsi="Arial" w:cs="Arial"/>
          <w:b/>
          <w:color w:val="000000"/>
          <w:sz w:val="24"/>
          <w:szCs w:val="24"/>
        </w:rPr>
        <w:t>3.10.1 Web-based survey</w:t>
      </w:r>
    </w:p>
    <w:p w14:paraId="000000AF"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A survey was prepared using the Survey Monkey tool. The target population comprised 17 adult parents drawn from the </w:t>
      </w:r>
      <w:proofErr w:type="gramStart"/>
      <w:r>
        <w:rPr>
          <w:rFonts w:ascii="Arial" w:eastAsia="Arial" w:hAnsi="Arial" w:cs="Arial"/>
          <w:color w:val="000000"/>
          <w:sz w:val="24"/>
          <w:szCs w:val="24"/>
        </w:rPr>
        <w:t>general public</w:t>
      </w:r>
      <w:proofErr w:type="gramEnd"/>
      <w:r>
        <w:rPr>
          <w:rFonts w:ascii="Arial" w:eastAsia="Arial" w:hAnsi="Arial" w:cs="Arial"/>
          <w:color w:val="000000"/>
          <w:sz w:val="24"/>
          <w:szCs w:val="24"/>
        </w:rPr>
        <w:t xml:space="preserve"> (two fathers were selected from the 17 respondents for the interview). The research focused on gaining a better understanding</w:t>
      </w:r>
      <w:r>
        <w:rPr>
          <w:rFonts w:ascii="Arial" w:eastAsia="Arial" w:hAnsi="Arial" w:cs="Arial"/>
          <w:color w:val="000000"/>
          <w:sz w:val="24"/>
          <w:szCs w:val="24"/>
        </w:rPr>
        <w:t xml:space="preserve"> of the public’s attitudes concerning parental alienation. The questions helped to establish if the public understood the concept of PAS and whether they think fathers were more susceptible than mothers. Other issues of interest include the level of agreem</w:t>
      </w:r>
      <w:r>
        <w:rPr>
          <w:rFonts w:ascii="Arial" w:eastAsia="Arial" w:hAnsi="Arial" w:cs="Arial"/>
          <w:color w:val="000000"/>
          <w:sz w:val="24"/>
          <w:szCs w:val="24"/>
        </w:rPr>
        <w:t>ent with the subject and support or lack of support for change and reforms to address parental alienation and redefine society’s attitude towards parental alienation. Once the survey was completed, the observations were analyzed to establish patterns in th</w:t>
      </w:r>
      <w:r>
        <w:rPr>
          <w:rFonts w:ascii="Arial" w:eastAsia="Arial" w:hAnsi="Arial" w:cs="Arial"/>
          <w:color w:val="000000"/>
          <w:sz w:val="24"/>
          <w:szCs w:val="24"/>
        </w:rPr>
        <w:t>e dataset.</w:t>
      </w:r>
    </w:p>
    <w:p w14:paraId="000000B0"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The data collection process had its challenges and risks, including unique demands among participants. First, certain respondents preferred to change their opinions to meet the expectations of the research. Third, once the survey was </w:t>
      </w:r>
      <w:r>
        <w:rPr>
          <w:rFonts w:ascii="Arial" w:eastAsia="Arial" w:hAnsi="Arial" w:cs="Arial"/>
          <w:color w:val="000000"/>
          <w:sz w:val="24"/>
          <w:szCs w:val="24"/>
        </w:rPr>
        <w:lastRenderedPageBreak/>
        <w:t xml:space="preserve">completed, </w:t>
      </w:r>
      <w:r>
        <w:rPr>
          <w:rFonts w:ascii="Arial" w:eastAsia="Arial" w:hAnsi="Arial" w:cs="Arial"/>
          <w:color w:val="000000"/>
          <w:sz w:val="24"/>
          <w:szCs w:val="24"/>
        </w:rPr>
        <w:t xml:space="preserve">participants had no right to withdraw, given that the outcomes were anonymous. </w:t>
      </w:r>
    </w:p>
    <w:p w14:paraId="000000B1" w14:textId="77777777" w:rsidR="00E80054" w:rsidRDefault="00E80054">
      <w:pPr>
        <w:pStyle w:val="Heading2"/>
        <w:spacing w:before="360" w:after="80" w:line="480" w:lineRule="auto"/>
        <w:rPr>
          <w:rFonts w:ascii="Arial" w:eastAsia="Arial" w:hAnsi="Arial" w:cs="Arial"/>
          <w:b/>
          <w:color w:val="000000"/>
          <w:sz w:val="24"/>
          <w:szCs w:val="24"/>
        </w:rPr>
      </w:pPr>
      <w:bookmarkStart w:id="31" w:name="_9hegku50vapy" w:colFirst="0" w:colLast="0"/>
      <w:bookmarkEnd w:id="31"/>
    </w:p>
    <w:p w14:paraId="000000B2"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32" w:name="_ax3003vrpf6i" w:colFirst="0" w:colLast="0"/>
      <w:bookmarkEnd w:id="32"/>
      <w:r>
        <w:rPr>
          <w:rFonts w:ascii="Arial" w:eastAsia="Arial" w:hAnsi="Arial" w:cs="Arial"/>
          <w:b/>
          <w:color w:val="000000"/>
          <w:sz w:val="24"/>
          <w:szCs w:val="24"/>
        </w:rPr>
        <w:t>3.11 Limitations</w:t>
      </w:r>
    </w:p>
    <w:p w14:paraId="000000B3"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There were no major limitations associated with the proposed methods of data collection, except for the small sample size. The observations made by the 17 res</w:t>
      </w:r>
      <w:r>
        <w:rPr>
          <w:rFonts w:ascii="Arial" w:eastAsia="Arial" w:hAnsi="Arial" w:cs="Arial"/>
          <w:color w:val="000000"/>
          <w:sz w:val="24"/>
          <w:szCs w:val="24"/>
        </w:rPr>
        <w:t>pondents in the web-based survey did not reflect the general opinions of Welsh parents in similar circumstances due to the lack of representative sampling.</w:t>
      </w:r>
    </w:p>
    <w:p w14:paraId="000000B4"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33" w:name="_dciluv7qv95x" w:colFirst="0" w:colLast="0"/>
      <w:bookmarkEnd w:id="33"/>
      <w:r>
        <w:rPr>
          <w:rFonts w:ascii="Arial" w:eastAsia="Arial" w:hAnsi="Arial" w:cs="Arial"/>
          <w:b/>
          <w:color w:val="000000"/>
          <w:sz w:val="24"/>
          <w:szCs w:val="24"/>
        </w:rPr>
        <w:t>3.13 Ethical Considerations</w:t>
      </w:r>
    </w:p>
    <w:p w14:paraId="000000B5" w14:textId="77777777" w:rsidR="00E80054" w:rsidRDefault="00527DE5">
      <w:pPr>
        <w:spacing w:before="240" w:line="480" w:lineRule="auto"/>
        <w:ind w:firstLine="720"/>
        <w:rPr>
          <w:rFonts w:ascii="Arial" w:eastAsia="Arial" w:hAnsi="Arial" w:cs="Arial"/>
          <w:b/>
          <w:color w:val="000000"/>
          <w:sz w:val="24"/>
          <w:szCs w:val="24"/>
        </w:rPr>
      </w:pPr>
      <w:r>
        <w:rPr>
          <w:rFonts w:ascii="Arial" w:eastAsia="Arial" w:hAnsi="Arial" w:cs="Arial"/>
          <w:color w:val="000000"/>
          <w:sz w:val="24"/>
          <w:szCs w:val="24"/>
        </w:rPr>
        <w:t>The web-based surveys elevated the risk of psychological distress by pro</w:t>
      </w:r>
      <w:r>
        <w:rPr>
          <w:rFonts w:ascii="Arial" w:eastAsia="Arial" w:hAnsi="Arial" w:cs="Arial"/>
          <w:color w:val="000000"/>
          <w:sz w:val="24"/>
          <w:szCs w:val="24"/>
        </w:rPr>
        <w:t>voking emotions about past negative experiences among alienated fathers; this validated the need for the protection of the identities of the respondents. The anonymity of the subjects was maintained through the exclusion of personal identifiers. In additio</w:t>
      </w:r>
      <w:r>
        <w:rPr>
          <w:rFonts w:ascii="Arial" w:eastAsia="Arial" w:hAnsi="Arial" w:cs="Arial"/>
          <w:color w:val="000000"/>
          <w:sz w:val="24"/>
          <w:szCs w:val="24"/>
        </w:rPr>
        <w:t>n, all person was obliged to sign an informed consent form prior to the interviews and administration of the web-based survey. According to Panton et al. (2018), informed consent is a standard requirement in the investigation of sensitive topics. Participa</w:t>
      </w:r>
      <w:r>
        <w:rPr>
          <w:rFonts w:ascii="Arial" w:eastAsia="Arial" w:hAnsi="Arial" w:cs="Arial"/>
          <w:color w:val="000000"/>
          <w:sz w:val="24"/>
          <w:szCs w:val="24"/>
        </w:rPr>
        <w:t>tion in the interview was voluntary, and no financial inducements were offered to the respondents to influence their participation.</w:t>
      </w:r>
    </w:p>
    <w:p w14:paraId="000000B6" w14:textId="77777777" w:rsidR="00E80054" w:rsidRDefault="00527DE5">
      <w:pPr>
        <w:pStyle w:val="Heading3"/>
        <w:spacing w:before="280" w:after="80" w:line="480" w:lineRule="auto"/>
        <w:ind w:left="720"/>
        <w:rPr>
          <w:rFonts w:ascii="Arial" w:eastAsia="Arial" w:hAnsi="Arial" w:cs="Arial"/>
          <w:b/>
          <w:color w:val="000000"/>
          <w:sz w:val="24"/>
          <w:szCs w:val="24"/>
        </w:rPr>
      </w:pPr>
      <w:bookmarkStart w:id="34" w:name="_mlbpf6su63g5" w:colFirst="0" w:colLast="0"/>
      <w:bookmarkEnd w:id="34"/>
      <w:r>
        <w:rPr>
          <w:rFonts w:ascii="Arial" w:eastAsia="Arial" w:hAnsi="Arial" w:cs="Arial"/>
          <w:b/>
          <w:color w:val="000000"/>
          <w:sz w:val="24"/>
          <w:szCs w:val="24"/>
        </w:rPr>
        <w:t>3.14 Validity of the surveys</w:t>
      </w:r>
    </w:p>
    <w:p w14:paraId="000000B7"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lastRenderedPageBreak/>
        <w:t>The validity of the surveys was grounded on construct validity, which is the “extent to which t</w:t>
      </w:r>
      <w:r>
        <w:rPr>
          <w:rFonts w:ascii="Arial" w:eastAsia="Arial" w:hAnsi="Arial" w:cs="Arial"/>
          <w:color w:val="000000"/>
          <w:sz w:val="24"/>
          <w:szCs w:val="24"/>
        </w:rPr>
        <w:t>he questionnaires actually test the hypothesis or theory they are measuring” (</w:t>
      </w:r>
      <w:proofErr w:type="spellStart"/>
      <w:r>
        <w:rPr>
          <w:rFonts w:ascii="Arial" w:eastAsia="Arial" w:hAnsi="Arial" w:cs="Arial"/>
          <w:color w:val="000000"/>
          <w:sz w:val="24"/>
          <w:szCs w:val="24"/>
        </w:rPr>
        <w:t>Ginty</w:t>
      </w:r>
      <w:proofErr w:type="spellEnd"/>
      <w:r>
        <w:rPr>
          <w:rFonts w:ascii="Arial" w:eastAsia="Arial" w:hAnsi="Arial" w:cs="Arial"/>
          <w:color w:val="000000"/>
          <w:sz w:val="24"/>
          <w:szCs w:val="24"/>
        </w:rPr>
        <w:t xml:space="preserve">, 2013). Each of the ten questions was aligned with the study questions and objectives. For example, survey questions 1, 2, 3 and 4 </w:t>
      </w:r>
      <w:proofErr w:type="gramStart"/>
      <w:r>
        <w:rPr>
          <w:rFonts w:ascii="Arial" w:eastAsia="Arial" w:hAnsi="Arial" w:cs="Arial"/>
          <w:color w:val="000000"/>
          <w:sz w:val="24"/>
          <w:szCs w:val="24"/>
        </w:rPr>
        <w:t>focus</w:t>
      </w:r>
      <w:proofErr w:type="gramEnd"/>
      <w:r>
        <w:rPr>
          <w:rFonts w:ascii="Arial" w:eastAsia="Arial" w:hAnsi="Arial" w:cs="Arial"/>
          <w:color w:val="000000"/>
          <w:sz w:val="24"/>
          <w:szCs w:val="24"/>
        </w:rPr>
        <w:t xml:space="preserve"> on public perceptions about parenta</w:t>
      </w:r>
      <w:r>
        <w:rPr>
          <w:rFonts w:ascii="Arial" w:eastAsia="Arial" w:hAnsi="Arial" w:cs="Arial"/>
          <w:color w:val="000000"/>
          <w:sz w:val="24"/>
          <w:szCs w:val="24"/>
        </w:rPr>
        <w:t>l alienation, while question five is specific to the legal issues.</w:t>
      </w:r>
    </w:p>
    <w:p w14:paraId="000000B8"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35" w:name="_658pfsqeqj4k" w:colFirst="0" w:colLast="0"/>
      <w:bookmarkEnd w:id="35"/>
      <w:r>
        <w:rPr>
          <w:rFonts w:ascii="Arial" w:eastAsia="Arial" w:hAnsi="Arial" w:cs="Arial"/>
          <w:b/>
          <w:color w:val="000000"/>
          <w:sz w:val="24"/>
          <w:szCs w:val="24"/>
        </w:rPr>
        <w:t>3.15 Conclusion</w:t>
      </w:r>
    </w:p>
    <w:p w14:paraId="000000B9"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methodology was best aligned with the problem under investigation. The new data highlighted the discursive context, political and social factors that underpinned the eme</w:t>
      </w:r>
      <w:r>
        <w:rPr>
          <w:rFonts w:ascii="Arial" w:eastAsia="Arial" w:hAnsi="Arial" w:cs="Arial"/>
          <w:color w:val="000000"/>
          <w:sz w:val="24"/>
          <w:szCs w:val="24"/>
        </w:rPr>
        <w:t>rgence and acceptance of parental separation, and cost benefits of existing legal mechanisms and child welfare guidelines relating to parental alienation. The lengths that separated fathers go to see their children and changes in the legal system in recent</w:t>
      </w:r>
      <w:r>
        <w:rPr>
          <w:rFonts w:ascii="Arial" w:eastAsia="Arial" w:hAnsi="Arial" w:cs="Arial"/>
          <w:color w:val="000000"/>
          <w:sz w:val="24"/>
          <w:szCs w:val="24"/>
        </w:rPr>
        <w:t xml:space="preserve"> years in support of fathers and other issues are explored in chapter four.</w:t>
      </w:r>
    </w:p>
    <w:p w14:paraId="000000BA" w14:textId="77777777" w:rsidR="00E80054" w:rsidRDefault="00E80054">
      <w:pPr>
        <w:spacing w:line="480" w:lineRule="auto"/>
        <w:ind w:left="720"/>
        <w:rPr>
          <w:rFonts w:ascii="Arial" w:eastAsia="Arial" w:hAnsi="Arial" w:cs="Arial"/>
          <w:b/>
          <w:color w:val="000000"/>
          <w:sz w:val="24"/>
          <w:szCs w:val="24"/>
        </w:rPr>
      </w:pPr>
    </w:p>
    <w:p w14:paraId="000000BB"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000000BC" w14:textId="77777777" w:rsidR="00E80054" w:rsidRDefault="00527DE5">
      <w:pPr>
        <w:pStyle w:val="Heading1"/>
        <w:keepNext w:val="0"/>
        <w:keepLines w:val="0"/>
        <w:widowControl/>
        <w:spacing w:after="120" w:line="480" w:lineRule="auto"/>
        <w:ind w:left="720"/>
        <w:jc w:val="center"/>
        <w:rPr>
          <w:rFonts w:ascii="Arial" w:eastAsia="Arial" w:hAnsi="Arial" w:cs="Arial"/>
          <w:b w:val="0"/>
          <w:color w:val="000000"/>
          <w:sz w:val="24"/>
          <w:szCs w:val="24"/>
        </w:rPr>
      </w:pPr>
      <w:bookmarkStart w:id="36" w:name="_v2r1y7hsgiv3" w:colFirst="0" w:colLast="0"/>
      <w:bookmarkEnd w:id="36"/>
      <w:r>
        <w:rPr>
          <w:rFonts w:ascii="Arial" w:eastAsia="Arial" w:hAnsi="Arial" w:cs="Arial"/>
          <w:b w:val="0"/>
          <w:color w:val="000000"/>
          <w:sz w:val="24"/>
          <w:szCs w:val="24"/>
        </w:rPr>
        <w:t>4.0 Chapter Four: Results</w:t>
      </w:r>
    </w:p>
    <w:p w14:paraId="000000BD"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37" w:name="_dr9zamhpkbb2" w:colFirst="0" w:colLast="0"/>
      <w:bookmarkEnd w:id="37"/>
      <w:r>
        <w:rPr>
          <w:rFonts w:ascii="Arial" w:eastAsia="Arial" w:hAnsi="Arial" w:cs="Arial"/>
          <w:b/>
          <w:color w:val="000000"/>
          <w:sz w:val="24"/>
          <w:szCs w:val="24"/>
        </w:rPr>
        <w:t>4.1 Introduction</w:t>
      </w:r>
    </w:p>
    <w:p w14:paraId="000000BE"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The results chapter presents evidence drawn from the web-based survey administered via SurveyMonkey.  The survey and interview findings were appraised using descriptive analysis. The primary themes include public perceptions about </w:t>
      </w:r>
      <w:r>
        <w:rPr>
          <w:rFonts w:ascii="Arial" w:eastAsia="Arial" w:hAnsi="Arial" w:cs="Arial"/>
          <w:color w:val="000000"/>
          <w:sz w:val="24"/>
          <w:szCs w:val="24"/>
        </w:rPr>
        <w:lastRenderedPageBreak/>
        <w:t>parental alienation, lega</w:t>
      </w:r>
      <w:r>
        <w:rPr>
          <w:rFonts w:ascii="Arial" w:eastAsia="Arial" w:hAnsi="Arial" w:cs="Arial"/>
          <w:color w:val="000000"/>
          <w:sz w:val="24"/>
          <w:szCs w:val="24"/>
        </w:rPr>
        <w:t>l issues about custody, lived experiences, and the impact of parental alienation.</w:t>
      </w:r>
    </w:p>
    <w:p w14:paraId="000000BF"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38" w:name="_6dak7wlrbs6l" w:colFirst="0" w:colLast="0"/>
      <w:bookmarkEnd w:id="38"/>
      <w:r>
        <w:rPr>
          <w:rFonts w:ascii="Arial" w:eastAsia="Arial" w:hAnsi="Arial" w:cs="Arial"/>
          <w:b/>
          <w:color w:val="000000"/>
          <w:sz w:val="24"/>
          <w:szCs w:val="24"/>
        </w:rPr>
        <w:t>4.2 Restatement of the Research Objectives</w:t>
      </w:r>
    </w:p>
    <w:p w14:paraId="000000C0"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research purposed to explore the extent of parental alienation and children’s contact with their fathers following parental sep</w:t>
      </w:r>
      <w:r>
        <w:rPr>
          <w:rFonts w:ascii="Arial" w:eastAsia="Arial" w:hAnsi="Arial" w:cs="Arial"/>
          <w:color w:val="000000"/>
          <w:sz w:val="24"/>
          <w:szCs w:val="24"/>
        </w:rPr>
        <w:t>aration in Wales; this is because previous studies were not specific to a particular region. Other issues concerning parental alienation were explored, including the discursive context, political and social factors that underpinned the emergence and accept</w:t>
      </w:r>
      <w:r>
        <w:rPr>
          <w:rFonts w:ascii="Arial" w:eastAsia="Arial" w:hAnsi="Arial" w:cs="Arial"/>
          <w:color w:val="000000"/>
          <w:sz w:val="24"/>
          <w:szCs w:val="24"/>
        </w:rPr>
        <w:t>ance of parental separation, and the existing legal mechanisms and child welfare guidelines relating to parental alienation.</w:t>
      </w:r>
    </w:p>
    <w:p w14:paraId="000000C1"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39" w:name="_7za1d197qekj" w:colFirst="0" w:colLast="0"/>
      <w:bookmarkEnd w:id="39"/>
      <w:r>
        <w:rPr>
          <w:rFonts w:ascii="Arial" w:eastAsia="Arial" w:hAnsi="Arial" w:cs="Arial"/>
          <w:b/>
          <w:color w:val="000000"/>
          <w:sz w:val="24"/>
          <w:szCs w:val="24"/>
        </w:rPr>
        <w:t>4.3 Restatement of the Research Questions</w:t>
      </w:r>
    </w:p>
    <w:p w14:paraId="000000C2"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empirical data collection from parents who were victims of parental alienation provided clear answers about the lengths that the fathers were willing to go to see their children; key questions relating to the subject include was it feasible for fathers</w:t>
      </w:r>
      <w:r>
        <w:rPr>
          <w:rFonts w:ascii="Arial" w:eastAsia="Arial" w:hAnsi="Arial" w:cs="Arial"/>
          <w:color w:val="000000"/>
          <w:sz w:val="24"/>
          <w:szCs w:val="24"/>
        </w:rPr>
        <w:t xml:space="preserve"> to see their children when the mothers were making things difficult?  Have there been changes in the legal system over recent years in support of fathers, and how does parental alienation impact fathers?</w:t>
      </w:r>
    </w:p>
    <w:p w14:paraId="000000C3"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40" w:name="_5v3sn0xazdby" w:colFirst="0" w:colLast="0"/>
      <w:bookmarkEnd w:id="40"/>
      <w:r>
        <w:rPr>
          <w:rFonts w:ascii="Arial" w:eastAsia="Arial" w:hAnsi="Arial" w:cs="Arial"/>
          <w:b/>
          <w:color w:val="000000"/>
          <w:sz w:val="24"/>
          <w:szCs w:val="24"/>
        </w:rPr>
        <w:t>4.4 Characteristics of the Respondents</w:t>
      </w:r>
    </w:p>
    <w:p w14:paraId="000000C4"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As noted in </w:t>
      </w:r>
      <w:r>
        <w:rPr>
          <w:rFonts w:ascii="Arial" w:eastAsia="Arial" w:hAnsi="Arial" w:cs="Arial"/>
          <w:color w:val="000000"/>
          <w:sz w:val="24"/>
          <w:szCs w:val="24"/>
        </w:rPr>
        <w:t xml:space="preserve">Figure 3, most of the respondents sampled in this study were parents or caretakers (82.4% versus 16.6%); this means they had a better understanding and appreciation of PAS. There was no gender discrimination in the data collection process, </w:t>
      </w:r>
      <w:r>
        <w:rPr>
          <w:rFonts w:ascii="Arial" w:eastAsia="Arial" w:hAnsi="Arial" w:cs="Arial"/>
          <w:color w:val="000000"/>
          <w:sz w:val="24"/>
          <w:szCs w:val="24"/>
        </w:rPr>
        <w:lastRenderedPageBreak/>
        <w:t>considering that</w:t>
      </w:r>
      <w:r>
        <w:rPr>
          <w:rFonts w:ascii="Arial" w:eastAsia="Arial" w:hAnsi="Arial" w:cs="Arial"/>
          <w:color w:val="000000"/>
          <w:sz w:val="24"/>
          <w:szCs w:val="24"/>
        </w:rPr>
        <w:t xml:space="preserve"> parental alienation impacted both fathers and mothers, even though the former was most impacted due to gendered stereotypes on child-rearing.</w:t>
      </w:r>
    </w:p>
    <w:p w14:paraId="000000C5"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Figure 3 Characteristics of the respondents</w:t>
      </w:r>
    </w:p>
    <w:p w14:paraId="000000C6"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The observations made in the preceding sections were collaborated by </w:t>
      </w:r>
      <w:r>
        <w:rPr>
          <w:rFonts w:ascii="Arial" w:eastAsia="Arial" w:hAnsi="Arial" w:cs="Arial"/>
          <w:color w:val="000000"/>
          <w:sz w:val="24"/>
          <w:szCs w:val="24"/>
        </w:rPr>
        <w:t>the responses in Figure 4; two-thirds of the respondents had knowledge of parental alienation prior to this research. The rest (35%) had no knowledge of parental alienation prior to this research; this had an impact on the ability of the parents to address</w:t>
      </w:r>
      <w:r>
        <w:rPr>
          <w:rFonts w:ascii="Arial" w:eastAsia="Arial" w:hAnsi="Arial" w:cs="Arial"/>
          <w:color w:val="000000"/>
          <w:sz w:val="24"/>
          <w:szCs w:val="24"/>
        </w:rPr>
        <w:t xml:space="preserve"> specific issues relating to the discursive context, political and social factors that underpinned the emergence and acceptance of parental separation.</w:t>
      </w:r>
    </w:p>
    <w:p w14:paraId="000000C7"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Figure 4 Knowledge of parental alienation prior to this research</w:t>
      </w:r>
    </w:p>
    <w:p w14:paraId="000000C8"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41" w:name="_nexswvk5984n" w:colFirst="0" w:colLast="0"/>
      <w:bookmarkEnd w:id="41"/>
      <w:r>
        <w:rPr>
          <w:rFonts w:ascii="Arial" w:eastAsia="Arial" w:hAnsi="Arial" w:cs="Arial"/>
          <w:b/>
          <w:color w:val="000000"/>
          <w:sz w:val="24"/>
          <w:szCs w:val="24"/>
        </w:rPr>
        <w:t>4.5 Perceptions about Parental Alienati</w:t>
      </w:r>
      <w:r>
        <w:rPr>
          <w:rFonts w:ascii="Arial" w:eastAsia="Arial" w:hAnsi="Arial" w:cs="Arial"/>
          <w:b/>
          <w:color w:val="000000"/>
          <w:sz w:val="24"/>
          <w:szCs w:val="24"/>
        </w:rPr>
        <w:t>on and Lived Experiences</w:t>
      </w:r>
    </w:p>
    <w:p w14:paraId="000000C9"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Eight out of every ten respondents believed that parental alienation was common across Wales, while 17% supposed that the phenomena were not common across the country (see Figure 5). The high prevalence of parental alienation acros</w:t>
      </w:r>
      <w:r>
        <w:rPr>
          <w:rFonts w:ascii="Arial" w:eastAsia="Arial" w:hAnsi="Arial" w:cs="Arial"/>
          <w:color w:val="000000"/>
          <w:sz w:val="24"/>
          <w:szCs w:val="24"/>
        </w:rPr>
        <w:t>s Wales predicted the prevalence of PAS and possibly the legal guidelines and mechanisms and child welfare protocols to protect vulnerable children and protect parents.</w:t>
      </w:r>
    </w:p>
    <w:p w14:paraId="000000CA"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 </w:t>
      </w:r>
    </w:p>
    <w:p w14:paraId="000000CB"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Figure 5 Prevalence of parental separation in Wales</w:t>
      </w:r>
    </w:p>
    <w:p w14:paraId="000000CC"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Even though it was necessary for </w:t>
      </w:r>
      <w:r>
        <w:rPr>
          <w:rFonts w:ascii="Arial" w:eastAsia="Arial" w:hAnsi="Arial" w:cs="Arial"/>
          <w:color w:val="000000"/>
          <w:sz w:val="24"/>
          <w:szCs w:val="24"/>
        </w:rPr>
        <w:t xml:space="preserve">both parents to have unrestricted access to the children post-separation/divorce, most fathers (82.35%) were unable to access their </w:t>
      </w:r>
      <w:r>
        <w:rPr>
          <w:rFonts w:ascii="Arial" w:eastAsia="Arial" w:hAnsi="Arial" w:cs="Arial"/>
          <w:color w:val="000000"/>
          <w:sz w:val="24"/>
          <w:szCs w:val="24"/>
        </w:rPr>
        <w:lastRenderedPageBreak/>
        <w:t>alienated children (see Figure 6). The small ratio of fathers with unrestricted access to their children demonstrates the li</w:t>
      </w:r>
      <w:r>
        <w:rPr>
          <w:rFonts w:ascii="Arial" w:eastAsia="Arial" w:hAnsi="Arial" w:cs="Arial"/>
          <w:color w:val="000000"/>
          <w:sz w:val="24"/>
          <w:szCs w:val="24"/>
        </w:rPr>
        <w:t xml:space="preserve">mits of the existing child welfare system and guidelines, and by extension, the Children Act of 1989, which </w:t>
      </w:r>
      <w:proofErr w:type="spellStart"/>
      <w:r>
        <w:rPr>
          <w:rFonts w:ascii="Arial" w:eastAsia="Arial" w:hAnsi="Arial" w:cs="Arial"/>
          <w:color w:val="000000"/>
          <w:sz w:val="24"/>
          <w:szCs w:val="24"/>
        </w:rPr>
        <w:t>favour</w:t>
      </w:r>
      <w:proofErr w:type="spellEnd"/>
      <w:r>
        <w:rPr>
          <w:rFonts w:ascii="Arial" w:eastAsia="Arial" w:hAnsi="Arial" w:cs="Arial"/>
          <w:color w:val="000000"/>
          <w:sz w:val="24"/>
          <w:szCs w:val="24"/>
        </w:rPr>
        <w:t xml:space="preserve"> women in the determination of primary custody; this issue is explored further in chapter five.</w:t>
      </w:r>
    </w:p>
    <w:p w14:paraId="000000CD"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 </w:t>
      </w:r>
    </w:p>
    <w:p w14:paraId="000000CE"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Figure 6 Level of contact between fathers an</w:t>
      </w:r>
      <w:r>
        <w:rPr>
          <w:rFonts w:ascii="Arial" w:eastAsia="Arial" w:hAnsi="Arial" w:cs="Arial"/>
          <w:color w:val="000000"/>
          <w:sz w:val="24"/>
          <w:szCs w:val="24"/>
        </w:rPr>
        <w:t>d alienated children in Wales</w:t>
      </w:r>
    </w:p>
    <w:p w14:paraId="000000CF"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42" w:name="_mplugnc0wzbm" w:colFirst="0" w:colLast="0"/>
      <w:bookmarkEnd w:id="42"/>
      <w:r>
        <w:rPr>
          <w:rFonts w:ascii="Arial" w:eastAsia="Arial" w:hAnsi="Arial" w:cs="Arial"/>
          <w:b/>
          <w:color w:val="000000"/>
          <w:sz w:val="24"/>
          <w:szCs w:val="24"/>
        </w:rPr>
        <w:t>4.6 Legal System and Parental Alienation</w:t>
      </w:r>
    </w:p>
    <w:p w14:paraId="000000D0"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As anticipated, 58.8% of respondents believed that the legal system had not changed enough to support fathers. In contrast, 42% claimed that sufficient legal changes had been made to su</w:t>
      </w:r>
      <w:r>
        <w:rPr>
          <w:rFonts w:ascii="Arial" w:eastAsia="Arial" w:hAnsi="Arial" w:cs="Arial"/>
          <w:color w:val="000000"/>
          <w:sz w:val="24"/>
          <w:szCs w:val="24"/>
        </w:rPr>
        <w:t>pport fathers (see Figure 7). The inconsistent observations could be attributed to individual-level experiences. If the respondent were a victim of parental alienation and child welfare guidelines, a negative assessment of the legal reforms would be expect</w:t>
      </w:r>
      <w:r>
        <w:rPr>
          <w:rFonts w:ascii="Arial" w:eastAsia="Arial" w:hAnsi="Arial" w:cs="Arial"/>
          <w:color w:val="000000"/>
          <w:sz w:val="24"/>
          <w:szCs w:val="24"/>
        </w:rPr>
        <w:t>ed. The contrary is true if the father benefitted from the Children Act of 1989. Alternatively, the claims could be attributed to a subjective understanding of the role of legislation in the determination of custody agreements and the secondary impact of p</w:t>
      </w:r>
      <w:r>
        <w:rPr>
          <w:rFonts w:ascii="Arial" w:eastAsia="Arial" w:hAnsi="Arial" w:cs="Arial"/>
          <w:color w:val="000000"/>
          <w:sz w:val="24"/>
          <w:szCs w:val="24"/>
        </w:rPr>
        <w:t>arental responsibility and personality.</w:t>
      </w:r>
    </w:p>
    <w:p w14:paraId="000000D1"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Figure 7 Changes within the legal system over time to support the welfare of fathers.</w:t>
      </w:r>
    </w:p>
    <w:p w14:paraId="000000D2"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43" w:name="_ouaisrgmbkfc" w:colFirst="0" w:colLast="0"/>
      <w:bookmarkEnd w:id="43"/>
      <w:r>
        <w:rPr>
          <w:rFonts w:ascii="Arial" w:eastAsia="Arial" w:hAnsi="Arial" w:cs="Arial"/>
          <w:b/>
          <w:color w:val="000000"/>
          <w:sz w:val="24"/>
          <w:szCs w:val="24"/>
        </w:rPr>
        <w:t>4.7 Lived Experiences and Punishment for Parental Alienation</w:t>
      </w:r>
    </w:p>
    <w:p w14:paraId="000000D3"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Thirty per cent of the respondents confirmed they were victims of par</w:t>
      </w:r>
      <w:r>
        <w:rPr>
          <w:rFonts w:ascii="Arial" w:eastAsia="Arial" w:hAnsi="Arial" w:cs="Arial"/>
          <w:color w:val="000000"/>
          <w:sz w:val="24"/>
          <w:szCs w:val="24"/>
        </w:rPr>
        <w:t xml:space="preserve">ental alienation. The rest were not victims of parental alienation (see Figure 8). The </w:t>
      </w:r>
      <w:r>
        <w:rPr>
          <w:rFonts w:ascii="Arial" w:eastAsia="Arial" w:hAnsi="Arial" w:cs="Arial"/>
          <w:color w:val="000000"/>
          <w:sz w:val="24"/>
          <w:szCs w:val="24"/>
        </w:rPr>
        <w:lastRenderedPageBreak/>
        <w:t xml:space="preserve">prevalence rates are low compared to the general observations made in the literature review; this could be attributed to the establishment of robust legal mechanisms to </w:t>
      </w:r>
      <w:r>
        <w:rPr>
          <w:rFonts w:ascii="Arial" w:eastAsia="Arial" w:hAnsi="Arial" w:cs="Arial"/>
          <w:color w:val="000000"/>
          <w:sz w:val="24"/>
          <w:szCs w:val="24"/>
        </w:rPr>
        <w:t>protect the interests of children following divorce/parental separation in Wales.</w:t>
      </w:r>
    </w:p>
    <w:p w14:paraId="000000D4"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Figure 8 Victim of parental alienation</w:t>
      </w:r>
    </w:p>
    <w:p w14:paraId="000000D5"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None of the respondents admitted they had ever been the alienating parent. From a practical point of view, the 100% response does not r</w:t>
      </w:r>
      <w:r>
        <w:rPr>
          <w:rFonts w:ascii="Arial" w:eastAsia="Arial" w:hAnsi="Arial" w:cs="Arial"/>
          <w:color w:val="000000"/>
          <w:sz w:val="24"/>
          <w:szCs w:val="24"/>
        </w:rPr>
        <w:t xml:space="preserve">eflect the existing realities in the child welfare system, considering that there was a 30% risk of parental alienation in Wales (see Figure 9). The incompatibility between the responses and the biases </w:t>
      </w:r>
      <w:proofErr w:type="gramStart"/>
      <w:r>
        <w:rPr>
          <w:rFonts w:ascii="Arial" w:eastAsia="Arial" w:hAnsi="Arial" w:cs="Arial"/>
          <w:color w:val="000000"/>
          <w:sz w:val="24"/>
          <w:szCs w:val="24"/>
        </w:rPr>
        <w:t>show</w:t>
      </w:r>
      <w:proofErr w:type="gramEnd"/>
      <w:r>
        <w:rPr>
          <w:rFonts w:ascii="Arial" w:eastAsia="Arial" w:hAnsi="Arial" w:cs="Arial"/>
          <w:color w:val="000000"/>
          <w:sz w:val="24"/>
          <w:szCs w:val="24"/>
        </w:rPr>
        <w:t xml:space="preserve"> that there is a pronounced threat of response bia</w:t>
      </w:r>
      <w:r>
        <w:rPr>
          <w:rFonts w:ascii="Arial" w:eastAsia="Arial" w:hAnsi="Arial" w:cs="Arial"/>
          <w:color w:val="000000"/>
          <w:sz w:val="24"/>
          <w:szCs w:val="24"/>
        </w:rPr>
        <w:t>s; this should not be the case considering that the privacy and anonymity of the respondents were guaranteed in the data collection process.</w:t>
      </w:r>
    </w:p>
    <w:p w14:paraId="000000D6"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Figure 9 Experience being the alienating </w:t>
      </w:r>
      <w:proofErr w:type="gramStart"/>
      <w:r>
        <w:rPr>
          <w:rFonts w:ascii="Arial" w:eastAsia="Arial" w:hAnsi="Arial" w:cs="Arial"/>
          <w:color w:val="000000"/>
          <w:sz w:val="24"/>
          <w:szCs w:val="24"/>
        </w:rPr>
        <w:t>parent</w:t>
      </w:r>
      <w:proofErr w:type="gramEnd"/>
    </w:p>
    <w:p w14:paraId="000000D7"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Even though none of the respondents admitted that they were the ali</w:t>
      </w:r>
      <w:r>
        <w:rPr>
          <w:rFonts w:ascii="Arial" w:eastAsia="Arial" w:hAnsi="Arial" w:cs="Arial"/>
          <w:color w:val="000000"/>
          <w:sz w:val="24"/>
          <w:szCs w:val="24"/>
        </w:rPr>
        <w:t xml:space="preserve">enating parent, malice was ranked the most dominant factor that influenced parental alienation (47% of the cases). Fear was the second most common consideration among alienating parents (see Figure 10). However, there are other triggers for alienating </w:t>
      </w:r>
      <w:proofErr w:type="spellStart"/>
      <w:r>
        <w:rPr>
          <w:rFonts w:ascii="Arial" w:eastAsia="Arial" w:hAnsi="Arial" w:cs="Arial"/>
          <w:color w:val="000000"/>
          <w:sz w:val="24"/>
          <w:szCs w:val="24"/>
        </w:rPr>
        <w:t>beha</w:t>
      </w:r>
      <w:r>
        <w:rPr>
          <w:rFonts w:ascii="Arial" w:eastAsia="Arial" w:hAnsi="Arial" w:cs="Arial"/>
          <w:color w:val="000000"/>
          <w:sz w:val="24"/>
          <w:szCs w:val="24"/>
        </w:rPr>
        <w:t>viours</w:t>
      </w:r>
      <w:proofErr w:type="spellEnd"/>
      <w:r>
        <w:rPr>
          <w:rFonts w:ascii="Arial" w:eastAsia="Arial" w:hAnsi="Arial" w:cs="Arial"/>
          <w:color w:val="000000"/>
          <w:sz w:val="24"/>
          <w:szCs w:val="24"/>
        </w:rPr>
        <w:t xml:space="preserve"> among parents considering that at least 35% indicated they do not know what triggers the alienating parent.</w:t>
      </w:r>
    </w:p>
    <w:p w14:paraId="000000D8"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Figure 10 Factors that inform the actions of the alienating </w:t>
      </w:r>
      <w:proofErr w:type="gramStart"/>
      <w:r>
        <w:rPr>
          <w:rFonts w:ascii="Arial" w:eastAsia="Arial" w:hAnsi="Arial" w:cs="Arial"/>
          <w:color w:val="000000"/>
          <w:sz w:val="24"/>
          <w:szCs w:val="24"/>
        </w:rPr>
        <w:t>parent</w:t>
      </w:r>
      <w:proofErr w:type="gramEnd"/>
    </w:p>
    <w:p w14:paraId="000000D9"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There is broad consensus among parents that there should be some level of </w:t>
      </w:r>
      <w:r>
        <w:rPr>
          <w:rFonts w:ascii="Arial" w:eastAsia="Arial" w:hAnsi="Arial" w:cs="Arial"/>
          <w:color w:val="000000"/>
          <w:sz w:val="24"/>
          <w:szCs w:val="24"/>
        </w:rPr>
        <w:t xml:space="preserve">punishment for alienating parents – only 6% did not concur (see Figure 11). The </w:t>
      </w:r>
      <w:r>
        <w:rPr>
          <w:rFonts w:ascii="Arial" w:eastAsia="Arial" w:hAnsi="Arial" w:cs="Arial"/>
          <w:color w:val="000000"/>
          <w:sz w:val="24"/>
          <w:szCs w:val="24"/>
        </w:rPr>
        <w:lastRenderedPageBreak/>
        <w:t>patterns show that the practice of alienating fathers from their children after separation/divorce was not acceptable. The 94% support for the punishment of the alienating pare</w:t>
      </w:r>
      <w:r>
        <w:rPr>
          <w:rFonts w:ascii="Arial" w:eastAsia="Arial" w:hAnsi="Arial" w:cs="Arial"/>
          <w:color w:val="000000"/>
          <w:sz w:val="24"/>
          <w:szCs w:val="24"/>
        </w:rPr>
        <w:t>nt suggests that the political and social discourse about parenting post-divorce and separation did not translate to acceptance of parental alienation.</w:t>
      </w:r>
    </w:p>
    <w:p w14:paraId="000000DA"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 </w:t>
      </w:r>
    </w:p>
    <w:p w14:paraId="000000DB"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Figure 11 Consensus on the punishment for alienating parent</w:t>
      </w:r>
    </w:p>
    <w:p w14:paraId="000000DC"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The graph in Figure 12 shows that there was unequal legal support for fathers in the determination of custody agreements/arrangements after divorce. Considering that the system is skewed in </w:t>
      </w:r>
      <w:proofErr w:type="spellStart"/>
      <w:r>
        <w:rPr>
          <w:rFonts w:ascii="Arial" w:eastAsia="Arial" w:hAnsi="Arial" w:cs="Arial"/>
          <w:color w:val="000000"/>
          <w:sz w:val="24"/>
          <w:szCs w:val="24"/>
        </w:rPr>
        <w:t>favour</w:t>
      </w:r>
      <w:proofErr w:type="spellEnd"/>
      <w:r>
        <w:rPr>
          <w:rFonts w:ascii="Arial" w:eastAsia="Arial" w:hAnsi="Arial" w:cs="Arial"/>
          <w:color w:val="000000"/>
          <w:sz w:val="24"/>
          <w:szCs w:val="24"/>
        </w:rPr>
        <w:t xml:space="preserve"> of mothers, there is a higher risk that fathers would be alienated from their children. In addition, this might result in the normalization of parental separation, given that mothers enjoy support from the existing legal system.</w:t>
      </w:r>
    </w:p>
    <w:p w14:paraId="000000DD"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Figure 12 Equal or skewed </w:t>
      </w:r>
      <w:r>
        <w:rPr>
          <w:rFonts w:ascii="Arial" w:eastAsia="Arial" w:hAnsi="Arial" w:cs="Arial"/>
          <w:color w:val="000000"/>
          <w:sz w:val="24"/>
          <w:szCs w:val="24"/>
        </w:rPr>
        <w:t>legal support for mothers and fathers in determining child custody.</w:t>
      </w:r>
    </w:p>
    <w:p w14:paraId="000000DE" w14:textId="77777777" w:rsidR="00E80054" w:rsidRDefault="00E80054">
      <w:pPr>
        <w:spacing w:before="240" w:line="480" w:lineRule="auto"/>
        <w:rPr>
          <w:rFonts w:ascii="Arial" w:eastAsia="Arial" w:hAnsi="Arial" w:cs="Arial"/>
          <w:color w:val="000000"/>
          <w:sz w:val="24"/>
          <w:szCs w:val="24"/>
        </w:rPr>
      </w:pPr>
    </w:p>
    <w:p w14:paraId="000000DF" w14:textId="77777777" w:rsidR="00E80054" w:rsidRDefault="00527DE5">
      <w:pPr>
        <w:pStyle w:val="Heading3"/>
        <w:spacing w:before="280" w:after="80" w:line="480" w:lineRule="auto"/>
        <w:ind w:left="720"/>
        <w:rPr>
          <w:rFonts w:ascii="Arial" w:eastAsia="Arial" w:hAnsi="Arial" w:cs="Arial"/>
          <w:b/>
          <w:color w:val="000000"/>
          <w:sz w:val="24"/>
          <w:szCs w:val="24"/>
        </w:rPr>
      </w:pPr>
      <w:bookmarkStart w:id="44" w:name="_c0tae58rwxzq" w:colFirst="0" w:colLast="0"/>
      <w:bookmarkEnd w:id="44"/>
      <w:r>
        <w:rPr>
          <w:rFonts w:ascii="Arial" w:eastAsia="Arial" w:hAnsi="Arial" w:cs="Arial"/>
          <w:b/>
          <w:color w:val="000000"/>
          <w:sz w:val="24"/>
          <w:szCs w:val="24"/>
        </w:rPr>
        <w:t>4.8.1 Legal issues about custody and impact of parental alienation</w:t>
      </w:r>
    </w:p>
    <w:p w14:paraId="000000E0"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The legal issues concerning custody post-separation are evident from the limited time that children spend with their fathers. The potential impact of the court rulings </w:t>
      </w:r>
      <w:proofErr w:type="gramStart"/>
      <w:r>
        <w:rPr>
          <w:rFonts w:ascii="Arial" w:eastAsia="Arial" w:hAnsi="Arial" w:cs="Arial"/>
          <w:color w:val="000000"/>
          <w:sz w:val="24"/>
          <w:szCs w:val="24"/>
        </w:rPr>
        <w:t>have</w:t>
      </w:r>
      <w:proofErr w:type="gramEnd"/>
      <w:r>
        <w:rPr>
          <w:rFonts w:ascii="Arial" w:eastAsia="Arial" w:hAnsi="Arial" w:cs="Arial"/>
          <w:color w:val="000000"/>
          <w:sz w:val="24"/>
          <w:szCs w:val="24"/>
        </w:rPr>
        <w:t xml:space="preserve"> broader implications on the discursive legal context that underpinned the emergence</w:t>
      </w:r>
      <w:r>
        <w:rPr>
          <w:rFonts w:ascii="Arial" w:eastAsia="Arial" w:hAnsi="Arial" w:cs="Arial"/>
          <w:color w:val="000000"/>
          <w:sz w:val="24"/>
          <w:szCs w:val="24"/>
        </w:rPr>
        <w:t xml:space="preserve"> and acceptance of parental separation. If the assertions are proven true, the biased judgements </w:t>
      </w:r>
      <w:proofErr w:type="spellStart"/>
      <w:r>
        <w:rPr>
          <w:rFonts w:ascii="Arial" w:eastAsia="Arial" w:hAnsi="Arial" w:cs="Arial"/>
          <w:color w:val="000000"/>
          <w:sz w:val="24"/>
          <w:szCs w:val="24"/>
        </w:rPr>
        <w:t>favour</w:t>
      </w:r>
      <w:proofErr w:type="spellEnd"/>
      <w:r>
        <w:rPr>
          <w:rFonts w:ascii="Arial" w:eastAsia="Arial" w:hAnsi="Arial" w:cs="Arial"/>
          <w:color w:val="000000"/>
          <w:sz w:val="24"/>
          <w:szCs w:val="24"/>
        </w:rPr>
        <w:t xml:space="preserve"> women on issues relating to child custody exacerbate the parenting challenges experienced by fathers after divorce. Mothers with primary custody are not</w:t>
      </w:r>
      <w:r>
        <w:rPr>
          <w:rFonts w:ascii="Arial" w:eastAsia="Arial" w:hAnsi="Arial" w:cs="Arial"/>
          <w:color w:val="000000"/>
          <w:sz w:val="24"/>
          <w:szCs w:val="24"/>
        </w:rPr>
        <w:t xml:space="preserve"> </w:t>
      </w:r>
      <w:r>
        <w:rPr>
          <w:rFonts w:ascii="Arial" w:eastAsia="Arial" w:hAnsi="Arial" w:cs="Arial"/>
          <w:color w:val="000000"/>
          <w:sz w:val="24"/>
          <w:szCs w:val="24"/>
        </w:rPr>
        <w:lastRenderedPageBreak/>
        <w:t xml:space="preserve">concerned about legal consequences if they deny their ex-spouse’s access to the children. Based on the current status quo, it is highly improbable that the legal system would not act upon the complaints reported by the fathers. Alternatively, there would </w:t>
      </w:r>
      <w:r>
        <w:rPr>
          <w:rFonts w:ascii="Arial" w:eastAsia="Arial" w:hAnsi="Arial" w:cs="Arial"/>
          <w:color w:val="000000"/>
          <w:sz w:val="24"/>
          <w:szCs w:val="24"/>
        </w:rPr>
        <w:t>be no serious repercussions. Such issues inform the debate on why alienating parents should be punished by the legal system.</w:t>
      </w:r>
    </w:p>
    <w:p w14:paraId="000000E1"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45" w:name="_lhi6n2pk1592" w:colFirst="0" w:colLast="0"/>
      <w:bookmarkEnd w:id="45"/>
      <w:r>
        <w:rPr>
          <w:rFonts w:ascii="Arial" w:eastAsia="Arial" w:hAnsi="Arial" w:cs="Arial"/>
          <w:b/>
          <w:color w:val="000000"/>
          <w:sz w:val="24"/>
          <w:szCs w:val="24"/>
        </w:rPr>
        <w:t>4.9 Conclusion</w:t>
      </w:r>
    </w:p>
    <w:p w14:paraId="000000E2"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The findings confirmed that parental alienation was common in Wales; this is clear from the web-based survey, which </w:t>
      </w:r>
      <w:r>
        <w:rPr>
          <w:rFonts w:ascii="Arial" w:eastAsia="Arial" w:hAnsi="Arial" w:cs="Arial"/>
          <w:color w:val="000000"/>
          <w:sz w:val="24"/>
          <w:szCs w:val="24"/>
        </w:rPr>
        <w:t>reported a 30% prevalence. The entrenchment of the phenomena was linked to failures in the legal system. The current system enhances gender bias given that the interests of mothers are given precedence over the fathers following parental separation in Wale</w:t>
      </w:r>
      <w:r>
        <w:rPr>
          <w:rFonts w:ascii="Arial" w:eastAsia="Arial" w:hAnsi="Arial" w:cs="Arial"/>
          <w:color w:val="000000"/>
          <w:sz w:val="24"/>
          <w:szCs w:val="24"/>
        </w:rPr>
        <w:t xml:space="preserve">s. The data does not elaborate on the discursive context, political and social factors that underpinned the emergence and acceptance of parental separation. Nonetheless, </w:t>
      </w:r>
      <w:proofErr w:type="gramStart"/>
      <w:r>
        <w:rPr>
          <w:rFonts w:ascii="Arial" w:eastAsia="Arial" w:hAnsi="Arial" w:cs="Arial"/>
          <w:color w:val="000000"/>
          <w:sz w:val="24"/>
          <w:szCs w:val="24"/>
        </w:rPr>
        <w:t>it is clear that alienated</w:t>
      </w:r>
      <w:proofErr w:type="gramEnd"/>
      <w:r>
        <w:rPr>
          <w:rFonts w:ascii="Arial" w:eastAsia="Arial" w:hAnsi="Arial" w:cs="Arial"/>
          <w:color w:val="000000"/>
          <w:sz w:val="24"/>
          <w:szCs w:val="24"/>
        </w:rPr>
        <w:t xml:space="preserve"> fathers try to see their children even when mothers are mak</w:t>
      </w:r>
      <w:r>
        <w:rPr>
          <w:rFonts w:ascii="Arial" w:eastAsia="Arial" w:hAnsi="Arial" w:cs="Arial"/>
          <w:color w:val="000000"/>
          <w:sz w:val="24"/>
          <w:szCs w:val="24"/>
        </w:rPr>
        <w:t>ing things difficult. There were mixed observations about changes in the legal system over recent years in support of fathers. The observations drawn from the survey are critiqued in the next chapter.</w:t>
      </w:r>
    </w:p>
    <w:p w14:paraId="000000E3" w14:textId="77777777" w:rsidR="00E80054" w:rsidRDefault="00E80054">
      <w:pPr>
        <w:spacing w:line="480" w:lineRule="auto"/>
        <w:ind w:left="720"/>
        <w:rPr>
          <w:rFonts w:ascii="Arial" w:eastAsia="Arial" w:hAnsi="Arial" w:cs="Arial"/>
          <w:color w:val="000000"/>
          <w:sz w:val="24"/>
          <w:szCs w:val="24"/>
        </w:rPr>
      </w:pPr>
    </w:p>
    <w:p w14:paraId="000000E4"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000000E5" w14:textId="77777777" w:rsidR="00E80054" w:rsidRDefault="00527DE5">
      <w:pPr>
        <w:pStyle w:val="Heading1"/>
        <w:keepNext w:val="0"/>
        <w:keepLines w:val="0"/>
        <w:widowControl/>
        <w:spacing w:after="120" w:line="480" w:lineRule="auto"/>
        <w:ind w:left="720"/>
        <w:jc w:val="center"/>
        <w:rPr>
          <w:rFonts w:ascii="Arial" w:eastAsia="Arial" w:hAnsi="Arial" w:cs="Arial"/>
          <w:b w:val="0"/>
          <w:color w:val="000000"/>
          <w:sz w:val="24"/>
          <w:szCs w:val="24"/>
        </w:rPr>
      </w:pPr>
      <w:bookmarkStart w:id="46" w:name="_q7v9tf31rlj5" w:colFirst="0" w:colLast="0"/>
      <w:bookmarkEnd w:id="46"/>
      <w:r>
        <w:rPr>
          <w:rFonts w:ascii="Arial" w:eastAsia="Arial" w:hAnsi="Arial" w:cs="Arial"/>
          <w:b w:val="0"/>
          <w:color w:val="000000"/>
          <w:sz w:val="24"/>
          <w:szCs w:val="24"/>
        </w:rPr>
        <w:t>5.0 Chapter Five: Discussion</w:t>
      </w:r>
    </w:p>
    <w:p w14:paraId="000000E6" w14:textId="77777777" w:rsidR="00E80054" w:rsidRDefault="00527DE5">
      <w:pPr>
        <w:pStyle w:val="Heading2"/>
        <w:spacing w:before="360" w:line="480" w:lineRule="auto"/>
        <w:ind w:left="720" w:hanging="360"/>
        <w:rPr>
          <w:rFonts w:ascii="Arial" w:eastAsia="Arial" w:hAnsi="Arial" w:cs="Arial"/>
          <w:b/>
          <w:color w:val="000000"/>
          <w:sz w:val="24"/>
          <w:szCs w:val="24"/>
        </w:rPr>
      </w:pPr>
      <w:bookmarkStart w:id="47" w:name="_ofotmc7kr9z6" w:colFirst="0" w:colLast="0"/>
      <w:bookmarkEnd w:id="47"/>
      <w:proofErr w:type="gramStart"/>
      <w:r>
        <w:rPr>
          <w:rFonts w:ascii="Arial" w:eastAsia="Arial" w:hAnsi="Arial" w:cs="Arial"/>
          <w:b/>
          <w:color w:val="000000"/>
          <w:sz w:val="24"/>
          <w:szCs w:val="24"/>
        </w:rPr>
        <w:t>5.1</w:t>
      </w:r>
      <w:r>
        <w:rPr>
          <w:rFonts w:ascii="Arial" w:eastAsia="Arial" w:hAnsi="Arial" w:cs="Arial"/>
          <w:color w:val="000000"/>
          <w:sz w:val="24"/>
          <w:szCs w:val="24"/>
        </w:rPr>
        <w:t xml:space="preserve">  </w:t>
      </w:r>
      <w:r>
        <w:rPr>
          <w:rFonts w:ascii="Arial" w:eastAsia="Arial" w:hAnsi="Arial" w:cs="Arial"/>
          <w:b/>
          <w:color w:val="000000"/>
          <w:sz w:val="24"/>
          <w:szCs w:val="24"/>
        </w:rPr>
        <w:t>Introduction</w:t>
      </w:r>
      <w:proofErr w:type="gramEnd"/>
    </w:p>
    <w:p w14:paraId="000000E7"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lastRenderedPageBreak/>
        <w:t>The d</w:t>
      </w:r>
      <w:r>
        <w:rPr>
          <w:rFonts w:ascii="Arial" w:eastAsia="Arial" w:hAnsi="Arial" w:cs="Arial"/>
          <w:color w:val="000000"/>
          <w:sz w:val="24"/>
          <w:szCs w:val="24"/>
        </w:rPr>
        <w:t xml:space="preserve">iscussion chapter compares and contrasts the information drawn from the web-based survey with the core insights drawn from the literature ascertain the lengths that separated fathers go to see their children where mothers are making things </w:t>
      </w:r>
      <w:proofErr w:type="gramStart"/>
      <w:r>
        <w:rPr>
          <w:rFonts w:ascii="Arial" w:eastAsia="Arial" w:hAnsi="Arial" w:cs="Arial"/>
          <w:color w:val="000000"/>
          <w:sz w:val="24"/>
          <w:szCs w:val="24"/>
        </w:rPr>
        <w:t>difficult;</w:t>
      </w:r>
      <w:proofErr w:type="gramEnd"/>
      <w:r>
        <w:rPr>
          <w:rFonts w:ascii="Arial" w:eastAsia="Arial" w:hAnsi="Arial" w:cs="Arial"/>
          <w:color w:val="000000"/>
          <w:sz w:val="24"/>
          <w:szCs w:val="24"/>
        </w:rPr>
        <w:t xml:space="preserve"> chang</w:t>
      </w:r>
      <w:r>
        <w:rPr>
          <w:rFonts w:ascii="Arial" w:eastAsia="Arial" w:hAnsi="Arial" w:cs="Arial"/>
          <w:color w:val="000000"/>
          <w:sz w:val="24"/>
          <w:szCs w:val="24"/>
        </w:rPr>
        <w:t>es in the legal system in recent years in support of fathers, and the domino effects of parental separation on fathers. The discussion informed the recommendations for future research.</w:t>
      </w:r>
    </w:p>
    <w:p w14:paraId="000000E8"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48" w:name="_r662lkd8fhby" w:colFirst="0" w:colLast="0"/>
      <w:bookmarkEnd w:id="48"/>
      <w:r>
        <w:rPr>
          <w:rFonts w:ascii="Arial" w:eastAsia="Arial" w:hAnsi="Arial" w:cs="Arial"/>
          <w:b/>
          <w:color w:val="000000"/>
          <w:sz w:val="24"/>
          <w:szCs w:val="24"/>
        </w:rPr>
        <w:t>5.2 Prevalence of Parental Alienation and Children’s Contact with Their</w:t>
      </w:r>
      <w:r>
        <w:rPr>
          <w:rFonts w:ascii="Arial" w:eastAsia="Arial" w:hAnsi="Arial" w:cs="Arial"/>
          <w:b/>
          <w:color w:val="000000"/>
          <w:sz w:val="24"/>
          <w:szCs w:val="24"/>
        </w:rPr>
        <w:t xml:space="preserve"> Fathers</w:t>
      </w:r>
    </w:p>
    <w:p w14:paraId="000000E9"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The web-based survey yielded first-hand experiences of divorce/separation and issues concerning child custody. First, there was clear-cut evidence that parental alienation was a common phenomenon among divorced, separated parents. At least 30% of </w:t>
      </w:r>
      <w:r>
        <w:rPr>
          <w:rFonts w:ascii="Arial" w:eastAsia="Arial" w:hAnsi="Arial" w:cs="Arial"/>
          <w:color w:val="000000"/>
          <w:sz w:val="24"/>
          <w:szCs w:val="24"/>
        </w:rPr>
        <w:t>the respondents confirmed that they were victims of parental alienation (source: web-based survey). On the downside, none of the parents admitted liability. The percentage of parents who admitted they were alienating parents was zero. The estimates contras</w:t>
      </w:r>
      <w:r>
        <w:rPr>
          <w:rFonts w:ascii="Arial" w:eastAsia="Arial" w:hAnsi="Arial" w:cs="Arial"/>
          <w:color w:val="000000"/>
          <w:sz w:val="24"/>
          <w:szCs w:val="24"/>
        </w:rPr>
        <w:t xml:space="preserve">t with published information on parental alienation (Kelly and Johnston, 2001; Goldin and </w:t>
      </w:r>
      <w:proofErr w:type="spellStart"/>
      <w:r>
        <w:rPr>
          <w:rFonts w:ascii="Arial" w:eastAsia="Arial" w:hAnsi="Arial" w:cs="Arial"/>
          <w:color w:val="000000"/>
          <w:sz w:val="24"/>
          <w:szCs w:val="24"/>
        </w:rPr>
        <w:t>Salani</w:t>
      </w:r>
      <w:proofErr w:type="spellEnd"/>
      <w:r>
        <w:rPr>
          <w:rFonts w:ascii="Arial" w:eastAsia="Arial" w:hAnsi="Arial" w:cs="Arial"/>
          <w:color w:val="000000"/>
          <w:sz w:val="24"/>
          <w:szCs w:val="24"/>
        </w:rPr>
        <w:t xml:space="preserve">, 2020). The survey data was interpreted from the broader context of legal and child welfare policies implemented in Wales and across the UK and court cases to </w:t>
      </w:r>
      <w:r>
        <w:rPr>
          <w:rFonts w:ascii="Arial" w:eastAsia="Arial" w:hAnsi="Arial" w:cs="Arial"/>
          <w:color w:val="000000"/>
          <w:sz w:val="24"/>
          <w:szCs w:val="24"/>
        </w:rPr>
        <w:t>help understand whether it was practical to address the issue.</w:t>
      </w:r>
    </w:p>
    <w:p w14:paraId="000000EA"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existing body of knowledge does not document the prevalence of parental alienation or the lived experiences of fathers in Wales; this made it challenging to compare the empirical outcomes w</w:t>
      </w:r>
      <w:r>
        <w:rPr>
          <w:rFonts w:ascii="Arial" w:eastAsia="Arial" w:hAnsi="Arial" w:cs="Arial"/>
          <w:color w:val="000000"/>
          <w:sz w:val="24"/>
          <w:szCs w:val="24"/>
        </w:rPr>
        <w:t xml:space="preserve">ith the theories and evidence in the literature review. However, the National Association of Alienated Parents (NAAP) and the Children and </w:t>
      </w:r>
      <w:r>
        <w:rPr>
          <w:rFonts w:ascii="Arial" w:eastAsia="Arial" w:hAnsi="Arial" w:cs="Arial"/>
          <w:color w:val="000000"/>
          <w:sz w:val="24"/>
          <w:szCs w:val="24"/>
        </w:rPr>
        <w:lastRenderedPageBreak/>
        <w:t xml:space="preserve">family court advisory and support service (CAFCASS) and scholars offered insights on how prevalent the problem might </w:t>
      </w:r>
      <w:r>
        <w:rPr>
          <w:rFonts w:ascii="Arial" w:eastAsia="Arial" w:hAnsi="Arial" w:cs="Arial"/>
          <w:color w:val="000000"/>
          <w:sz w:val="24"/>
          <w:szCs w:val="24"/>
        </w:rPr>
        <w:t>be and the antecedents (Jarrett, 2020). One school of thought argued that parental alienation was exacerbated by domestic abuse and alcoholism (Mental Health and Drug Addiction Treatment Centers, 2021). The empirical data does not support or invalidate thi</w:t>
      </w:r>
      <w:r>
        <w:rPr>
          <w:rFonts w:ascii="Arial" w:eastAsia="Arial" w:hAnsi="Arial" w:cs="Arial"/>
          <w:color w:val="000000"/>
          <w:sz w:val="24"/>
          <w:szCs w:val="24"/>
        </w:rPr>
        <w:t xml:space="preserve">s worldview, given that the research did not explore domestic violence or alcoholism among parents (Harman, </w:t>
      </w:r>
      <w:proofErr w:type="gramStart"/>
      <w:r>
        <w:rPr>
          <w:rFonts w:ascii="Arial" w:eastAsia="Arial" w:hAnsi="Arial" w:cs="Arial"/>
          <w:color w:val="000000"/>
          <w:sz w:val="24"/>
          <w:szCs w:val="24"/>
        </w:rPr>
        <w:t>Kruk</w:t>
      </w:r>
      <w:proofErr w:type="gramEnd"/>
      <w:r>
        <w:rPr>
          <w:rFonts w:ascii="Arial" w:eastAsia="Arial" w:hAnsi="Arial" w:cs="Arial"/>
          <w:color w:val="000000"/>
          <w:sz w:val="24"/>
          <w:szCs w:val="24"/>
        </w:rPr>
        <w:t xml:space="preserve"> and Hines, 2018). Unfortunately, the potential triggers were not explored in the web-based survey.</w:t>
      </w:r>
    </w:p>
    <w:p w14:paraId="000000EB" w14:textId="77777777" w:rsidR="00E80054" w:rsidRDefault="00527DE5">
      <w:pPr>
        <w:spacing w:before="240" w:line="480" w:lineRule="auto"/>
        <w:ind w:firstLine="820"/>
        <w:rPr>
          <w:rFonts w:ascii="Arial" w:eastAsia="Arial" w:hAnsi="Arial" w:cs="Arial"/>
          <w:color w:val="000000"/>
          <w:sz w:val="24"/>
          <w:szCs w:val="24"/>
        </w:rPr>
      </w:pPr>
      <w:r>
        <w:rPr>
          <w:rFonts w:ascii="Arial" w:eastAsia="Arial" w:hAnsi="Arial" w:cs="Arial"/>
          <w:color w:val="000000"/>
          <w:sz w:val="24"/>
          <w:szCs w:val="24"/>
        </w:rPr>
        <w:t>Despite the inconsistencies between empirica</w:t>
      </w:r>
      <w:r>
        <w:rPr>
          <w:rFonts w:ascii="Arial" w:eastAsia="Arial" w:hAnsi="Arial" w:cs="Arial"/>
          <w:color w:val="000000"/>
          <w:sz w:val="24"/>
          <w:szCs w:val="24"/>
        </w:rPr>
        <w:t xml:space="preserve">l data and the existing body of knowledge, the documented prevalence rates across the UK offered insights into the extent of the problem. Research by Kelly and Johnston (2001) and Goldin and </w:t>
      </w:r>
      <w:proofErr w:type="spellStart"/>
      <w:r>
        <w:rPr>
          <w:rFonts w:ascii="Arial" w:eastAsia="Arial" w:hAnsi="Arial" w:cs="Arial"/>
          <w:color w:val="000000"/>
          <w:sz w:val="24"/>
          <w:szCs w:val="24"/>
        </w:rPr>
        <w:t>Salani</w:t>
      </w:r>
      <w:proofErr w:type="spellEnd"/>
      <w:r>
        <w:rPr>
          <w:rFonts w:ascii="Arial" w:eastAsia="Arial" w:hAnsi="Arial" w:cs="Arial"/>
          <w:color w:val="000000"/>
          <w:sz w:val="24"/>
          <w:szCs w:val="24"/>
        </w:rPr>
        <w:t xml:space="preserve"> (2020) noted there was a pronounced risk of parental alien</w:t>
      </w:r>
      <w:r>
        <w:rPr>
          <w:rFonts w:ascii="Arial" w:eastAsia="Arial" w:hAnsi="Arial" w:cs="Arial"/>
          <w:color w:val="000000"/>
          <w:sz w:val="24"/>
          <w:szCs w:val="24"/>
        </w:rPr>
        <w:t>ation in high-conflict parent separation such as divorce. The observation is supported by previous studies (Kruk, 2018; Parental Alienation UK, 2020). For example, if the separation/divorce process did not result in an amicable settlement, the alienating p</w:t>
      </w:r>
      <w:r>
        <w:rPr>
          <w:rFonts w:ascii="Arial" w:eastAsia="Arial" w:hAnsi="Arial" w:cs="Arial"/>
          <w:color w:val="000000"/>
          <w:sz w:val="24"/>
          <w:szCs w:val="24"/>
        </w:rPr>
        <w:t>arent has sufficient motivation to manipulate the child to become hostile to the alienated parent (APA Dictionary of Psychology, 2021). The risks associated with a high-conflict divorce were evident from the interview excerpts, which suggests that the form</w:t>
      </w:r>
      <w:r>
        <w:rPr>
          <w:rFonts w:ascii="Arial" w:eastAsia="Arial" w:hAnsi="Arial" w:cs="Arial"/>
          <w:color w:val="000000"/>
          <w:sz w:val="24"/>
          <w:szCs w:val="24"/>
        </w:rPr>
        <w:t>er spouses did not reach an amicable settlement on child custody.</w:t>
      </w:r>
    </w:p>
    <w:p w14:paraId="000000EC" w14:textId="77777777" w:rsidR="00E80054" w:rsidRDefault="00527DE5">
      <w:pPr>
        <w:spacing w:before="240" w:line="480" w:lineRule="auto"/>
        <w:ind w:firstLine="820"/>
        <w:rPr>
          <w:rFonts w:ascii="Arial" w:eastAsia="Arial" w:hAnsi="Arial" w:cs="Arial"/>
          <w:color w:val="000000"/>
          <w:sz w:val="24"/>
          <w:szCs w:val="24"/>
        </w:rPr>
      </w:pPr>
      <w:r>
        <w:rPr>
          <w:rFonts w:ascii="Arial" w:eastAsia="Arial" w:hAnsi="Arial" w:cs="Arial"/>
          <w:color w:val="000000"/>
          <w:sz w:val="24"/>
          <w:szCs w:val="24"/>
        </w:rPr>
        <w:t>According to the published literature, the hostile attitudes towards the alienated parents include unwillingness to maintain contact and with the family, negative narratives and borrowed sce</w:t>
      </w:r>
      <w:r>
        <w:rPr>
          <w:rFonts w:ascii="Arial" w:eastAsia="Arial" w:hAnsi="Arial" w:cs="Arial"/>
          <w:color w:val="000000"/>
          <w:sz w:val="24"/>
          <w:szCs w:val="24"/>
        </w:rPr>
        <w:t xml:space="preserve">narios, ambivalence to the father, denigration, and continuous disparaging of the victimized parent (APA Dictionary of Psychology, 2021). Even though the respondents did not collaborate with APA’s assessment of PAS, the </w:t>
      </w:r>
      <w:r>
        <w:rPr>
          <w:rFonts w:ascii="Arial" w:eastAsia="Arial" w:hAnsi="Arial" w:cs="Arial"/>
          <w:color w:val="000000"/>
          <w:sz w:val="24"/>
          <w:szCs w:val="24"/>
        </w:rPr>
        <w:lastRenderedPageBreak/>
        <w:t>existence of the problem was acknowl</w:t>
      </w:r>
      <w:r>
        <w:rPr>
          <w:rFonts w:ascii="Arial" w:eastAsia="Arial" w:hAnsi="Arial" w:cs="Arial"/>
          <w:color w:val="000000"/>
          <w:sz w:val="24"/>
          <w:szCs w:val="24"/>
        </w:rPr>
        <w:t xml:space="preserve">edged. Based on the responses, </w:t>
      </w:r>
      <w:proofErr w:type="gramStart"/>
      <w:r>
        <w:rPr>
          <w:rFonts w:ascii="Arial" w:eastAsia="Arial" w:hAnsi="Arial" w:cs="Arial"/>
          <w:color w:val="000000"/>
          <w:sz w:val="24"/>
          <w:szCs w:val="24"/>
        </w:rPr>
        <w:t>it is clear that the</w:t>
      </w:r>
      <w:proofErr w:type="gramEnd"/>
      <w:r>
        <w:rPr>
          <w:rFonts w:ascii="Arial" w:eastAsia="Arial" w:hAnsi="Arial" w:cs="Arial"/>
          <w:color w:val="000000"/>
          <w:sz w:val="24"/>
          <w:szCs w:val="24"/>
        </w:rPr>
        <w:t xml:space="preserve"> alienated parents were in a dilemma (Houchin et al., 2012; Kruk, 2018). In addition, there were minimal changes that fathers would secure custody rights after divorce. The prevalence of the problem shows </w:t>
      </w:r>
      <w:r>
        <w:rPr>
          <w:rFonts w:ascii="Arial" w:eastAsia="Arial" w:hAnsi="Arial" w:cs="Arial"/>
          <w:color w:val="000000"/>
          <w:sz w:val="24"/>
          <w:szCs w:val="24"/>
        </w:rPr>
        <w:t>that the children and family court advisory and support service (CAFCASS) practitioners and Child Impact Assessment Framework had failed fathers.</w:t>
      </w:r>
    </w:p>
    <w:p w14:paraId="000000ED"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49" w:name="_1t5pq4difj73" w:colFirst="0" w:colLast="0"/>
      <w:bookmarkEnd w:id="49"/>
      <w:r>
        <w:rPr>
          <w:rFonts w:ascii="Arial" w:eastAsia="Arial" w:hAnsi="Arial" w:cs="Arial"/>
          <w:b/>
          <w:color w:val="000000"/>
          <w:sz w:val="24"/>
          <w:szCs w:val="24"/>
        </w:rPr>
        <w:t>5.3 Discursive Context, Political and Social Factors That Underpinned the Emergence and Acceptance of Parental Separation</w:t>
      </w:r>
    </w:p>
    <w:p w14:paraId="000000EE"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A plausible explanation is the legal and social systems, which provide mechanisms for child safeguarding after divorce (Jarrett, 2020;</w:t>
      </w:r>
      <w:r>
        <w:rPr>
          <w:rFonts w:ascii="Arial" w:eastAsia="Arial" w:hAnsi="Arial" w:cs="Arial"/>
          <w:color w:val="000000"/>
          <w:sz w:val="24"/>
          <w:szCs w:val="24"/>
        </w:rPr>
        <w:t xml:space="preserve"> Parental Alienation UK, 2020). The claim is supported by the lack of equal legal rights among mothers and fathers – mothers have a higher odds ratio of being awarded primary custody.</w:t>
      </w:r>
    </w:p>
    <w:p w14:paraId="000000EF"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Despite the paucity of literature on the subject, published studies adva</w:t>
      </w:r>
      <w:r>
        <w:rPr>
          <w:rFonts w:ascii="Arial" w:eastAsia="Arial" w:hAnsi="Arial" w:cs="Arial"/>
          <w:color w:val="000000"/>
          <w:sz w:val="24"/>
          <w:szCs w:val="24"/>
        </w:rPr>
        <w:t xml:space="preserve">nced different narratives about the discursive context, political and social factors. First, the Welsh society had normalized divorce and parental alienation (Barnett, 2020). Various theories had been advanced </w:t>
      </w:r>
      <w:proofErr w:type="gramStart"/>
      <w:r>
        <w:rPr>
          <w:rFonts w:ascii="Arial" w:eastAsia="Arial" w:hAnsi="Arial" w:cs="Arial"/>
          <w:color w:val="000000"/>
          <w:sz w:val="24"/>
          <w:szCs w:val="24"/>
        </w:rPr>
        <w:t>in an attempt to</w:t>
      </w:r>
      <w:proofErr w:type="gramEnd"/>
      <w:r>
        <w:rPr>
          <w:rFonts w:ascii="Arial" w:eastAsia="Arial" w:hAnsi="Arial" w:cs="Arial"/>
          <w:color w:val="000000"/>
          <w:sz w:val="24"/>
          <w:szCs w:val="24"/>
        </w:rPr>
        <w:t xml:space="preserve"> support separation and aliena</w:t>
      </w:r>
      <w:r>
        <w:rPr>
          <w:rFonts w:ascii="Arial" w:eastAsia="Arial" w:hAnsi="Arial" w:cs="Arial"/>
          <w:color w:val="000000"/>
          <w:sz w:val="24"/>
          <w:szCs w:val="24"/>
        </w:rPr>
        <w:t xml:space="preserve">tion, including the intergenerational transmission of partnering </w:t>
      </w:r>
      <w:proofErr w:type="spellStart"/>
      <w:r>
        <w:rPr>
          <w:rFonts w:ascii="Arial" w:eastAsia="Arial" w:hAnsi="Arial" w:cs="Arial"/>
          <w:color w:val="000000"/>
          <w:sz w:val="24"/>
          <w:szCs w:val="24"/>
        </w:rPr>
        <w:t>behaviours</w:t>
      </w:r>
      <w:proofErr w:type="spellEnd"/>
      <w:r>
        <w:rPr>
          <w:rFonts w:ascii="Arial" w:eastAsia="Arial" w:hAnsi="Arial" w:cs="Arial"/>
          <w:color w:val="000000"/>
          <w:sz w:val="24"/>
          <w:szCs w:val="24"/>
        </w:rPr>
        <w:t xml:space="preserve"> (Madden et al., 2015; Dush et al., 2018), lack of emotional intelligence (Kurniawan, 2019; </w:t>
      </w:r>
      <w:proofErr w:type="spellStart"/>
      <w:r>
        <w:rPr>
          <w:rFonts w:ascii="Arial" w:eastAsia="Arial" w:hAnsi="Arial" w:cs="Arial"/>
          <w:color w:val="000000"/>
          <w:sz w:val="24"/>
          <w:szCs w:val="24"/>
        </w:rPr>
        <w:t>Anyamene</w:t>
      </w:r>
      <w:proofErr w:type="spellEnd"/>
      <w:r>
        <w:rPr>
          <w:rFonts w:ascii="Arial" w:eastAsia="Arial" w:hAnsi="Arial" w:cs="Arial"/>
          <w:color w:val="000000"/>
          <w:sz w:val="24"/>
          <w:szCs w:val="24"/>
        </w:rPr>
        <w:t xml:space="preserve"> and Valentina, 2020). The application of the Mayer-Salovey model of emotional in</w:t>
      </w:r>
      <w:r>
        <w:rPr>
          <w:rFonts w:ascii="Arial" w:eastAsia="Arial" w:hAnsi="Arial" w:cs="Arial"/>
          <w:color w:val="000000"/>
          <w:sz w:val="24"/>
          <w:szCs w:val="24"/>
        </w:rPr>
        <w:t xml:space="preserve">telligence in predicting divorce and, by extension, parental alienation provides insights into why the phenomena were common in Wales. However, the worldviews advanced </w:t>
      </w:r>
      <w:r>
        <w:rPr>
          <w:rFonts w:ascii="Arial" w:eastAsia="Arial" w:hAnsi="Arial" w:cs="Arial"/>
          <w:color w:val="000000"/>
          <w:sz w:val="24"/>
          <w:szCs w:val="24"/>
        </w:rPr>
        <w:lastRenderedPageBreak/>
        <w:t>by Mayer, Caruso and Salovey (2016), and Kurniawan (2019) contrasts with the survey find</w:t>
      </w:r>
      <w:r>
        <w:rPr>
          <w:rFonts w:ascii="Arial" w:eastAsia="Arial" w:hAnsi="Arial" w:cs="Arial"/>
          <w:color w:val="000000"/>
          <w:sz w:val="24"/>
          <w:szCs w:val="24"/>
        </w:rPr>
        <w:t>ings.</w:t>
      </w:r>
    </w:p>
    <w:p w14:paraId="000000F0"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Further research is necessary to establish the levels of emotional intelligence among alienating and alienated parents. The proposal is valid given that the existence of parental alienation syndrome has been contested, as noted by Kelly and Johnston </w:t>
      </w:r>
      <w:r>
        <w:rPr>
          <w:rFonts w:ascii="Arial" w:eastAsia="Arial" w:hAnsi="Arial" w:cs="Arial"/>
          <w:color w:val="000000"/>
          <w:sz w:val="24"/>
          <w:szCs w:val="24"/>
        </w:rPr>
        <w:t xml:space="preserve">(2001) and Goldin and </w:t>
      </w:r>
      <w:proofErr w:type="spellStart"/>
      <w:r>
        <w:rPr>
          <w:rFonts w:ascii="Arial" w:eastAsia="Arial" w:hAnsi="Arial" w:cs="Arial"/>
          <w:color w:val="000000"/>
          <w:sz w:val="24"/>
          <w:szCs w:val="24"/>
        </w:rPr>
        <w:t>Salani</w:t>
      </w:r>
      <w:proofErr w:type="spellEnd"/>
      <w:r>
        <w:rPr>
          <w:rFonts w:ascii="Arial" w:eastAsia="Arial" w:hAnsi="Arial" w:cs="Arial"/>
          <w:color w:val="000000"/>
          <w:sz w:val="24"/>
          <w:szCs w:val="24"/>
        </w:rPr>
        <w:t xml:space="preserve"> (2020), and Houchin et al. (2012). Beyond emotional intelligence, certain political factors contributed to the high prevalence of emotional intelligence in the population.</w:t>
      </w:r>
    </w:p>
    <w:p w14:paraId="000000F1"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 xml:space="preserve">Political stakeholders in the UK </w:t>
      </w:r>
      <w:proofErr w:type="gramStart"/>
      <w:r>
        <w:rPr>
          <w:rFonts w:ascii="Arial" w:eastAsia="Arial" w:hAnsi="Arial" w:cs="Arial"/>
          <w:color w:val="000000"/>
          <w:sz w:val="24"/>
          <w:szCs w:val="24"/>
        </w:rPr>
        <w:t>had no motivation</w:t>
      </w:r>
      <w:proofErr w:type="gramEnd"/>
      <w:r>
        <w:rPr>
          <w:rFonts w:ascii="Arial" w:eastAsia="Arial" w:hAnsi="Arial" w:cs="Arial"/>
          <w:color w:val="000000"/>
          <w:sz w:val="24"/>
          <w:szCs w:val="24"/>
        </w:rPr>
        <w:t xml:space="preserve"> to a</w:t>
      </w:r>
      <w:r>
        <w:rPr>
          <w:rFonts w:ascii="Arial" w:eastAsia="Arial" w:hAnsi="Arial" w:cs="Arial"/>
          <w:color w:val="000000"/>
          <w:sz w:val="24"/>
          <w:szCs w:val="24"/>
        </w:rPr>
        <w:t>ddress the issue because it was incompatible with the existing gender ideological beliefs (Parental Alienation UK, 2020). The political establishment was concerned with political correctness and social expediency. In brief, the political contextual factors</w:t>
      </w:r>
      <w:r>
        <w:rPr>
          <w:rFonts w:ascii="Arial" w:eastAsia="Arial" w:hAnsi="Arial" w:cs="Arial"/>
          <w:color w:val="000000"/>
          <w:sz w:val="24"/>
          <w:szCs w:val="24"/>
        </w:rPr>
        <w:t xml:space="preserve"> illustrate </w:t>
      </w:r>
      <w:proofErr w:type="gramStart"/>
      <w:r>
        <w:rPr>
          <w:rFonts w:ascii="Arial" w:eastAsia="Arial" w:hAnsi="Arial" w:cs="Arial"/>
          <w:color w:val="000000"/>
          <w:sz w:val="24"/>
          <w:szCs w:val="24"/>
        </w:rPr>
        <w:t>that issues</w:t>
      </w:r>
      <w:proofErr w:type="gramEnd"/>
      <w:r>
        <w:rPr>
          <w:rFonts w:ascii="Arial" w:eastAsia="Arial" w:hAnsi="Arial" w:cs="Arial"/>
          <w:color w:val="000000"/>
          <w:sz w:val="24"/>
          <w:szCs w:val="24"/>
        </w:rPr>
        <w:t xml:space="preserve"> relating to paternal parenting are often disregarded, considering they do not fit into the social stereotypes on parenting. However, the scenario might change </w:t>
      </w:r>
      <w:proofErr w:type="gramStart"/>
      <w:r>
        <w:rPr>
          <w:rFonts w:ascii="Arial" w:eastAsia="Arial" w:hAnsi="Arial" w:cs="Arial"/>
          <w:color w:val="000000"/>
          <w:sz w:val="24"/>
          <w:szCs w:val="24"/>
        </w:rPr>
        <w:t>in light of</w:t>
      </w:r>
      <w:proofErr w:type="gramEnd"/>
      <w:r>
        <w:rPr>
          <w:rFonts w:ascii="Arial" w:eastAsia="Arial" w:hAnsi="Arial" w:cs="Arial"/>
          <w:color w:val="000000"/>
          <w:sz w:val="24"/>
          <w:szCs w:val="24"/>
        </w:rPr>
        <w:t xml:space="preserve"> the legal and political implications of the Re L, V, M and H </w:t>
      </w:r>
      <w:r>
        <w:rPr>
          <w:rFonts w:ascii="Arial" w:eastAsia="Arial" w:hAnsi="Arial" w:cs="Arial"/>
          <w:color w:val="000000"/>
          <w:sz w:val="24"/>
          <w:szCs w:val="24"/>
        </w:rPr>
        <w:t>[2000] EWCA Civ 194 case, which set a precedent by recognizing parental alienation syndrome.</w:t>
      </w:r>
    </w:p>
    <w:p w14:paraId="000000F2" w14:textId="77777777" w:rsidR="00E80054" w:rsidRDefault="00E80054">
      <w:pPr>
        <w:spacing w:line="480" w:lineRule="auto"/>
        <w:ind w:left="720"/>
        <w:rPr>
          <w:rFonts w:ascii="Arial" w:eastAsia="Arial" w:hAnsi="Arial" w:cs="Arial"/>
          <w:b/>
          <w:color w:val="000000"/>
          <w:sz w:val="24"/>
          <w:szCs w:val="24"/>
        </w:rPr>
      </w:pPr>
    </w:p>
    <w:p w14:paraId="000000F3"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000000F4" w14:textId="77777777" w:rsidR="00E80054" w:rsidRDefault="00527DE5">
      <w:pPr>
        <w:pStyle w:val="Heading1"/>
        <w:keepNext w:val="0"/>
        <w:keepLines w:val="0"/>
        <w:widowControl/>
        <w:spacing w:after="120" w:line="480" w:lineRule="auto"/>
        <w:ind w:left="720"/>
        <w:jc w:val="center"/>
        <w:rPr>
          <w:rFonts w:ascii="Arial" w:eastAsia="Arial" w:hAnsi="Arial" w:cs="Arial"/>
          <w:b w:val="0"/>
          <w:color w:val="000000"/>
          <w:sz w:val="24"/>
          <w:szCs w:val="24"/>
        </w:rPr>
      </w:pPr>
      <w:bookmarkStart w:id="50" w:name="_5xbjjfvr18wa" w:colFirst="0" w:colLast="0"/>
      <w:bookmarkEnd w:id="50"/>
      <w:r>
        <w:rPr>
          <w:rFonts w:ascii="Arial" w:eastAsia="Arial" w:hAnsi="Arial" w:cs="Arial"/>
          <w:b w:val="0"/>
          <w:color w:val="000000"/>
          <w:sz w:val="24"/>
          <w:szCs w:val="24"/>
        </w:rPr>
        <w:t>6.0 Chapter Six: Conclusion</w:t>
      </w:r>
    </w:p>
    <w:p w14:paraId="000000F5"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web-based survey data confirmed that alienated fathers in Wales went to considerable lengths to see their children even when the</w:t>
      </w:r>
      <w:r>
        <w:rPr>
          <w:rFonts w:ascii="Arial" w:eastAsia="Arial" w:hAnsi="Arial" w:cs="Arial"/>
          <w:color w:val="000000"/>
          <w:sz w:val="24"/>
          <w:szCs w:val="24"/>
        </w:rPr>
        <w:t xml:space="preserve"> mothers were making things </w:t>
      </w:r>
      <w:r>
        <w:rPr>
          <w:rFonts w:ascii="Arial" w:eastAsia="Arial" w:hAnsi="Arial" w:cs="Arial"/>
          <w:color w:val="000000"/>
          <w:sz w:val="24"/>
          <w:szCs w:val="24"/>
        </w:rPr>
        <w:lastRenderedPageBreak/>
        <w:t>difficult. However, their efforts were impaired by the legal system, which did not protect the interests of the fathers. There was a common consensus among the respondents that the interests of the fathers were often disregarded</w:t>
      </w:r>
      <w:r>
        <w:rPr>
          <w:rFonts w:ascii="Arial" w:eastAsia="Arial" w:hAnsi="Arial" w:cs="Arial"/>
          <w:color w:val="000000"/>
          <w:sz w:val="24"/>
          <w:szCs w:val="24"/>
        </w:rPr>
        <w:t>, and women were given precedence in the determination of custodial rights. The current status quo might remain given that no tangible changes had been made in the legal system in support of fathers. The resistance to change could be attributed to social a</w:t>
      </w:r>
      <w:r>
        <w:rPr>
          <w:rFonts w:ascii="Arial" w:eastAsia="Arial" w:hAnsi="Arial" w:cs="Arial"/>
          <w:color w:val="000000"/>
          <w:sz w:val="24"/>
          <w:szCs w:val="24"/>
        </w:rPr>
        <w:t>nd cultural beliefs about parenting. Women are often perceived as the most caring parents. Even though there are no tangible legal changes, the Re L, V, M and H [2000], EWCA Civ 194 set a precedent by formally recognizing the existence of the parental alie</w:t>
      </w:r>
      <w:r>
        <w:rPr>
          <w:rFonts w:ascii="Arial" w:eastAsia="Arial" w:hAnsi="Arial" w:cs="Arial"/>
          <w:color w:val="000000"/>
          <w:sz w:val="24"/>
          <w:szCs w:val="24"/>
        </w:rPr>
        <w:t>nation syndrome. Even though the judgement has been criticized by different legal scholars, it might translate to a better appreciation of the challenges faced by alienated children, resulting in the inequitable allocation of custody rights.</w:t>
      </w:r>
    </w:p>
    <w:p w14:paraId="000000F6"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Currently, par</w:t>
      </w:r>
      <w:r>
        <w:rPr>
          <w:rFonts w:ascii="Arial" w:eastAsia="Arial" w:hAnsi="Arial" w:cs="Arial"/>
          <w:color w:val="000000"/>
          <w:sz w:val="24"/>
          <w:szCs w:val="24"/>
        </w:rPr>
        <w:t>ental alienation has a multidimensional impact on fathers. For example, prolonged alienation might induce stress resulting in drug abuse and alcoholism. The risks are not unique to the alienated parents, given that parental alienation results in insecure a</w:t>
      </w:r>
      <w:r>
        <w:rPr>
          <w:rFonts w:ascii="Arial" w:eastAsia="Arial" w:hAnsi="Arial" w:cs="Arial"/>
          <w:color w:val="000000"/>
          <w:sz w:val="24"/>
          <w:szCs w:val="24"/>
        </w:rPr>
        <w:t xml:space="preserve">ttachment, which has been identified as a risk factor for intergenerational transmission of parental violence, negative </w:t>
      </w:r>
      <w:proofErr w:type="gramStart"/>
      <w:r>
        <w:rPr>
          <w:rFonts w:ascii="Arial" w:eastAsia="Arial" w:hAnsi="Arial" w:cs="Arial"/>
          <w:color w:val="000000"/>
          <w:sz w:val="24"/>
          <w:szCs w:val="24"/>
        </w:rPr>
        <w:t>partnering</w:t>
      </w:r>
      <w:proofErr w:type="gramEnd"/>
      <w:r>
        <w:rPr>
          <w:rFonts w:ascii="Arial" w:eastAsia="Arial" w:hAnsi="Arial" w:cs="Arial"/>
          <w:color w:val="000000"/>
          <w:sz w:val="24"/>
          <w:szCs w:val="24"/>
        </w:rPr>
        <w:t xml:space="preserve"> and parenting. If the current rates of parental separation and divorce persist, it might result in a new generation of insecu</w:t>
      </w:r>
      <w:r>
        <w:rPr>
          <w:rFonts w:ascii="Arial" w:eastAsia="Arial" w:hAnsi="Arial" w:cs="Arial"/>
          <w:color w:val="000000"/>
          <w:sz w:val="24"/>
          <w:szCs w:val="24"/>
        </w:rPr>
        <w:t>rely attached and emotionally unstable parents.</w:t>
      </w:r>
    </w:p>
    <w:p w14:paraId="000000F7" w14:textId="71EDF281"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study made a unique contribution to the theory about parental alienation, given that it is among the first Welsh studies to focus on the subject. The findings are drawn from the survey</w:t>
      </w:r>
      <w:r>
        <w:rPr>
          <w:rFonts w:ascii="Arial" w:eastAsia="Arial" w:hAnsi="Arial" w:cs="Arial"/>
          <w:color w:val="000000"/>
          <w:sz w:val="24"/>
          <w:szCs w:val="24"/>
        </w:rPr>
        <w:t xml:space="preserve"> and cri</w:t>
      </w:r>
      <w:r>
        <w:rPr>
          <w:rFonts w:ascii="Arial" w:eastAsia="Arial" w:hAnsi="Arial" w:cs="Arial"/>
          <w:color w:val="000000"/>
          <w:sz w:val="24"/>
          <w:szCs w:val="24"/>
        </w:rPr>
        <w:t xml:space="preserve">tical appraisal of the literature. The findings have illustrated that parental alienation is impacted by different contextual factors such as </w:t>
      </w:r>
      <w:r>
        <w:rPr>
          <w:rFonts w:ascii="Arial" w:eastAsia="Arial" w:hAnsi="Arial" w:cs="Arial"/>
          <w:color w:val="000000"/>
          <w:sz w:val="24"/>
          <w:szCs w:val="24"/>
        </w:rPr>
        <w:lastRenderedPageBreak/>
        <w:t xml:space="preserve">emotional intelligence, intergenerational transmission of partnering and </w:t>
      </w:r>
      <w:proofErr w:type="spellStart"/>
      <w:r>
        <w:rPr>
          <w:rFonts w:ascii="Arial" w:eastAsia="Arial" w:hAnsi="Arial" w:cs="Arial"/>
          <w:color w:val="000000"/>
          <w:sz w:val="24"/>
          <w:szCs w:val="24"/>
        </w:rPr>
        <w:t>behavioural</w:t>
      </w:r>
      <w:proofErr w:type="spellEnd"/>
      <w:r>
        <w:rPr>
          <w:rFonts w:ascii="Arial" w:eastAsia="Arial" w:hAnsi="Arial" w:cs="Arial"/>
          <w:color w:val="000000"/>
          <w:sz w:val="24"/>
          <w:szCs w:val="24"/>
        </w:rPr>
        <w:t xml:space="preserve"> traits, societal beliefs, and</w:t>
      </w:r>
      <w:r>
        <w:rPr>
          <w:rFonts w:ascii="Arial" w:eastAsia="Arial" w:hAnsi="Arial" w:cs="Arial"/>
          <w:color w:val="000000"/>
          <w:sz w:val="24"/>
          <w:szCs w:val="24"/>
        </w:rPr>
        <w:t xml:space="preserve"> legal constraints. Previous studies did not focus on the multidimensional nature of parental alienation. The outcomes might enable stakeholders addressing issues pertaining to child custody to be more responsive to the interests of different parties, incl</w:t>
      </w:r>
      <w:r>
        <w:rPr>
          <w:rFonts w:ascii="Arial" w:eastAsia="Arial" w:hAnsi="Arial" w:cs="Arial"/>
          <w:color w:val="000000"/>
          <w:sz w:val="24"/>
          <w:szCs w:val="24"/>
        </w:rPr>
        <w:t>uding alienated fathers and children.</w:t>
      </w:r>
    </w:p>
    <w:p w14:paraId="000000F8"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51" w:name="_80fa56nwii6x" w:colFirst="0" w:colLast="0"/>
      <w:bookmarkEnd w:id="51"/>
      <w:r>
        <w:rPr>
          <w:rFonts w:ascii="Arial" w:eastAsia="Arial" w:hAnsi="Arial" w:cs="Arial"/>
          <w:b/>
          <w:color w:val="000000"/>
          <w:sz w:val="24"/>
          <w:szCs w:val="24"/>
        </w:rPr>
        <w:t>6.1 Recommendations for Future Research</w:t>
      </w:r>
    </w:p>
    <w:p w14:paraId="000000F9"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Upcoming studies should build upon current evidence by investigating parental alienation in a nationally representative sample.  Moreover, there should be greater emphasis on the</w:t>
      </w:r>
      <w:r>
        <w:rPr>
          <w:rFonts w:ascii="Arial" w:eastAsia="Arial" w:hAnsi="Arial" w:cs="Arial"/>
          <w:color w:val="000000"/>
          <w:sz w:val="24"/>
          <w:szCs w:val="24"/>
        </w:rPr>
        <w:t xml:space="preserve"> legal issues relating to parental custody for children born out of wedlock and in marital union; this will help address misconceptions and assumptions about the rights of women. Researchers should also deconstruct the impact of parental custody, financial</w:t>
      </w:r>
      <w:r>
        <w:rPr>
          <w:rFonts w:ascii="Arial" w:eastAsia="Arial" w:hAnsi="Arial" w:cs="Arial"/>
          <w:color w:val="000000"/>
          <w:sz w:val="24"/>
          <w:szCs w:val="24"/>
        </w:rPr>
        <w:t xml:space="preserve"> and mental state, on the allocation of custody rights in court; this is because mental health issues are ubiquitous in society.</w:t>
      </w:r>
    </w:p>
    <w:p w14:paraId="000000FA"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52" w:name="_fr2adl8l258p" w:colFirst="0" w:colLast="0"/>
      <w:bookmarkEnd w:id="52"/>
      <w:r>
        <w:rPr>
          <w:rFonts w:ascii="Arial" w:eastAsia="Arial" w:hAnsi="Arial" w:cs="Arial"/>
          <w:b/>
          <w:color w:val="000000"/>
          <w:sz w:val="24"/>
          <w:szCs w:val="24"/>
        </w:rPr>
        <w:t>6.2 Recommendations for Practice</w:t>
      </w:r>
    </w:p>
    <w:p w14:paraId="000000FB" w14:textId="77777777"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t>The legal practitioners and children and family court advisory and support service (CAFCASS) s</w:t>
      </w:r>
      <w:r>
        <w:rPr>
          <w:rFonts w:ascii="Arial" w:eastAsia="Arial" w:hAnsi="Arial" w:cs="Arial"/>
          <w:color w:val="000000"/>
          <w:sz w:val="24"/>
          <w:szCs w:val="24"/>
        </w:rPr>
        <w:t xml:space="preserve">hould provide clear guidelines for child custody after parental separation to mitigate the risk of parental alienation. In addition, the courts should </w:t>
      </w:r>
      <w:proofErr w:type="gramStart"/>
      <w:r>
        <w:rPr>
          <w:rFonts w:ascii="Arial" w:eastAsia="Arial" w:hAnsi="Arial" w:cs="Arial"/>
          <w:color w:val="000000"/>
          <w:sz w:val="24"/>
          <w:szCs w:val="24"/>
        </w:rPr>
        <w:t>take into account</w:t>
      </w:r>
      <w:proofErr w:type="gramEnd"/>
      <w:r>
        <w:rPr>
          <w:rFonts w:ascii="Arial" w:eastAsia="Arial" w:hAnsi="Arial" w:cs="Arial"/>
          <w:color w:val="000000"/>
          <w:sz w:val="24"/>
          <w:szCs w:val="24"/>
        </w:rPr>
        <w:t xml:space="preserve"> the interests of the father in the determination of custody, given that the current sys</w:t>
      </w:r>
      <w:r>
        <w:rPr>
          <w:rFonts w:ascii="Arial" w:eastAsia="Arial" w:hAnsi="Arial" w:cs="Arial"/>
          <w:color w:val="000000"/>
          <w:sz w:val="24"/>
          <w:szCs w:val="24"/>
        </w:rPr>
        <w:t>tem is biased towards mothers.</w:t>
      </w:r>
    </w:p>
    <w:p w14:paraId="000000FC" w14:textId="77777777" w:rsidR="00E80054" w:rsidRDefault="00527DE5">
      <w:pPr>
        <w:pStyle w:val="Heading2"/>
        <w:spacing w:before="360" w:after="80" w:line="480" w:lineRule="auto"/>
        <w:ind w:left="720"/>
        <w:rPr>
          <w:rFonts w:ascii="Arial" w:eastAsia="Arial" w:hAnsi="Arial" w:cs="Arial"/>
          <w:b/>
          <w:color w:val="000000"/>
          <w:sz w:val="24"/>
          <w:szCs w:val="24"/>
        </w:rPr>
      </w:pPr>
      <w:bookmarkStart w:id="53" w:name="_hawau5yup64w" w:colFirst="0" w:colLast="0"/>
      <w:bookmarkEnd w:id="53"/>
      <w:r>
        <w:rPr>
          <w:rFonts w:ascii="Arial" w:eastAsia="Arial" w:hAnsi="Arial" w:cs="Arial"/>
          <w:b/>
          <w:color w:val="000000"/>
          <w:sz w:val="24"/>
          <w:szCs w:val="24"/>
        </w:rPr>
        <w:t>6.3 Limitations</w:t>
      </w:r>
    </w:p>
    <w:p w14:paraId="000000FD" w14:textId="507D2F7B" w:rsidR="00E80054" w:rsidRDefault="00527DE5">
      <w:pPr>
        <w:spacing w:before="240" w:line="480" w:lineRule="auto"/>
        <w:ind w:firstLine="720"/>
        <w:rPr>
          <w:rFonts w:ascii="Arial" w:eastAsia="Arial" w:hAnsi="Arial" w:cs="Arial"/>
          <w:color w:val="000000"/>
          <w:sz w:val="24"/>
          <w:szCs w:val="24"/>
        </w:rPr>
      </w:pPr>
      <w:r>
        <w:rPr>
          <w:rFonts w:ascii="Arial" w:eastAsia="Arial" w:hAnsi="Arial" w:cs="Arial"/>
          <w:color w:val="000000"/>
          <w:sz w:val="24"/>
          <w:szCs w:val="24"/>
        </w:rPr>
        <w:lastRenderedPageBreak/>
        <w:t xml:space="preserve">The investigation of family laws and child protection regulations and provisions relating to parental custody and domino effects of parental alienation on the frequency of contact between fathers and children </w:t>
      </w:r>
      <w:r>
        <w:rPr>
          <w:rFonts w:ascii="Arial" w:eastAsia="Arial" w:hAnsi="Arial" w:cs="Arial"/>
          <w:color w:val="000000"/>
          <w:sz w:val="24"/>
          <w:szCs w:val="24"/>
        </w:rPr>
        <w:t xml:space="preserve">raised by separated/divorced parents was biased towards </w:t>
      </w:r>
      <w:r>
        <w:rPr>
          <w:rFonts w:ascii="Arial" w:eastAsia="Arial" w:hAnsi="Arial" w:cs="Arial"/>
          <w:color w:val="000000"/>
          <w:sz w:val="24"/>
          <w:szCs w:val="24"/>
        </w:rPr>
        <w:t>alienated fathers; this resulted in the exclusion of mothers with similar experiences. The initial plan to administer the Parental Alienation Questionnaire (</w:t>
      </w:r>
      <w:proofErr w:type="spellStart"/>
      <w:r>
        <w:rPr>
          <w:rFonts w:ascii="Arial" w:eastAsia="Arial" w:hAnsi="Arial" w:cs="Arial"/>
          <w:color w:val="000000"/>
          <w:sz w:val="24"/>
          <w:szCs w:val="24"/>
        </w:rPr>
        <w:t>Sîrbu</w:t>
      </w:r>
      <w:proofErr w:type="spellEnd"/>
      <w:r>
        <w:rPr>
          <w:rFonts w:ascii="Arial" w:eastAsia="Arial" w:hAnsi="Arial" w:cs="Arial"/>
          <w:color w:val="000000"/>
          <w:sz w:val="24"/>
          <w:szCs w:val="24"/>
        </w:rPr>
        <w:t xml:space="preserve"> et al., 2021</w:t>
      </w:r>
      <w:r>
        <w:rPr>
          <w:rFonts w:ascii="Arial" w:eastAsia="Arial" w:hAnsi="Arial" w:cs="Arial"/>
          <w:color w:val="000000"/>
          <w:sz w:val="24"/>
          <w:szCs w:val="24"/>
        </w:rPr>
        <w:t xml:space="preserve">) was disregarded in </w:t>
      </w:r>
      <w:proofErr w:type="spellStart"/>
      <w:r>
        <w:rPr>
          <w:rFonts w:ascii="Arial" w:eastAsia="Arial" w:hAnsi="Arial" w:cs="Arial"/>
          <w:color w:val="000000"/>
          <w:sz w:val="24"/>
          <w:szCs w:val="24"/>
        </w:rPr>
        <w:t>favour</w:t>
      </w:r>
      <w:proofErr w:type="spellEnd"/>
      <w:r>
        <w:rPr>
          <w:rFonts w:ascii="Arial" w:eastAsia="Arial" w:hAnsi="Arial" w:cs="Arial"/>
          <w:color w:val="000000"/>
          <w:sz w:val="24"/>
          <w:szCs w:val="24"/>
        </w:rPr>
        <w:t xml:space="preserve"> of customized questions, given that certain respondents were not aware of the term parental alienation. The results did not provide exhaustive information on the discursive context, political and social factors that underpinned </w:t>
      </w:r>
      <w:r>
        <w:rPr>
          <w:rFonts w:ascii="Arial" w:eastAsia="Arial" w:hAnsi="Arial" w:cs="Arial"/>
          <w:color w:val="000000"/>
          <w:sz w:val="24"/>
          <w:szCs w:val="24"/>
        </w:rPr>
        <w:t>the emergence and acceptance of parental separation; this could be attributed to the fact that most of the surveyed parents were not willing to accept liability for being the alienating parent.</w:t>
      </w:r>
    </w:p>
    <w:p w14:paraId="000000FE" w14:textId="77777777" w:rsidR="00E80054" w:rsidRDefault="00E80054">
      <w:pPr>
        <w:spacing w:line="480" w:lineRule="auto"/>
        <w:ind w:left="720"/>
        <w:rPr>
          <w:rFonts w:ascii="Arial" w:eastAsia="Arial" w:hAnsi="Arial" w:cs="Arial"/>
          <w:b/>
          <w:color w:val="000000"/>
          <w:sz w:val="24"/>
          <w:szCs w:val="24"/>
        </w:rPr>
      </w:pPr>
    </w:p>
    <w:p w14:paraId="000000FF"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00000100" w14:textId="77777777" w:rsidR="00E80054" w:rsidRDefault="00527DE5">
      <w:pPr>
        <w:pStyle w:val="Heading1"/>
        <w:keepNext w:val="0"/>
        <w:keepLines w:val="0"/>
        <w:widowControl/>
        <w:spacing w:after="120" w:line="480" w:lineRule="auto"/>
        <w:ind w:left="720"/>
        <w:jc w:val="center"/>
        <w:rPr>
          <w:rFonts w:ascii="Arial" w:eastAsia="Arial" w:hAnsi="Arial" w:cs="Arial"/>
          <w:b w:val="0"/>
          <w:color w:val="000000"/>
          <w:sz w:val="24"/>
          <w:szCs w:val="24"/>
        </w:rPr>
      </w:pPr>
      <w:bookmarkStart w:id="54" w:name="_ahl735btw0sp" w:colFirst="0" w:colLast="0"/>
      <w:bookmarkEnd w:id="54"/>
      <w:r>
        <w:rPr>
          <w:rFonts w:ascii="Arial" w:eastAsia="Arial" w:hAnsi="Arial" w:cs="Arial"/>
          <w:b w:val="0"/>
          <w:color w:val="000000"/>
          <w:sz w:val="24"/>
          <w:szCs w:val="24"/>
        </w:rPr>
        <w:t>7.0 References</w:t>
      </w:r>
    </w:p>
    <w:p w14:paraId="00000101"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Anyamene</w:t>
      </w:r>
      <w:proofErr w:type="spellEnd"/>
      <w:r>
        <w:rPr>
          <w:rFonts w:ascii="Arial" w:eastAsia="Arial" w:hAnsi="Arial" w:cs="Arial"/>
          <w:color w:val="000000"/>
          <w:sz w:val="24"/>
          <w:szCs w:val="24"/>
        </w:rPr>
        <w:t>, A. and Valentina, A. (2020) ‘Relationship between emotional intelligence and marital satisfaction of male and female married teachers in Anambra state’, European Journal of Educational Sciences, 7(3), pp. 1–16. DOI: 10.19044/</w:t>
      </w:r>
      <w:proofErr w:type="gramStart"/>
      <w:r>
        <w:rPr>
          <w:rFonts w:ascii="Arial" w:eastAsia="Arial" w:hAnsi="Arial" w:cs="Arial"/>
          <w:color w:val="000000"/>
          <w:sz w:val="24"/>
          <w:szCs w:val="24"/>
        </w:rPr>
        <w:t>ejes.v</w:t>
      </w:r>
      <w:proofErr w:type="gramEnd"/>
      <w:r>
        <w:rPr>
          <w:rFonts w:ascii="Arial" w:eastAsia="Arial" w:hAnsi="Arial" w:cs="Arial"/>
          <w:color w:val="000000"/>
          <w:sz w:val="24"/>
          <w:szCs w:val="24"/>
        </w:rPr>
        <w:t>7no3a1.</w:t>
      </w:r>
    </w:p>
    <w:p w14:paraId="00000102"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APA Dictionary of Psychology. (2021) Parental alienation syndrome. Available at: https://dictionary.apa.org/parental-alienation-syndrome (Accessed: 1 June 2021).</w:t>
      </w:r>
    </w:p>
    <w:p w14:paraId="00000103"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lastRenderedPageBreak/>
        <w:t>Ballinger, M. (2019) ‘Prevalence of family breakdown’, EIF Commissioner Guide: Reducing Parent</w:t>
      </w:r>
      <w:r>
        <w:rPr>
          <w:rFonts w:ascii="Arial" w:eastAsia="Arial" w:hAnsi="Arial" w:cs="Arial"/>
          <w:color w:val="000000"/>
          <w:sz w:val="24"/>
          <w:szCs w:val="24"/>
        </w:rPr>
        <w:t>al Conflict, pp. 1–3.</w:t>
      </w:r>
    </w:p>
    <w:p w14:paraId="00000104"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Barnett, A. (2020) ‘A genealogy of hostility: parental alienation in England and Wales’, Journal of Social Welfare and Family Law, 42(1), pp. 18–29. DOI: 10.1080/09649069.2019.1701921.</w:t>
      </w:r>
    </w:p>
    <w:p w14:paraId="00000105"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Bond, R. (2008) ‘The lingering debate over the pa</w:t>
      </w:r>
      <w:r>
        <w:rPr>
          <w:rFonts w:ascii="Arial" w:eastAsia="Arial" w:hAnsi="Arial" w:cs="Arial"/>
          <w:color w:val="000000"/>
          <w:sz w:val="24"/>
          <w:szCs w:val="24"/>
        </w:rPr>
        <w:t>rental alienation syndrome phenomenon’, Journal of Child Custody, 4(1–2), pp. 37–54. DOI: 10.1300/J190v04n01_02.</w:t>
      </w:r>
    </w:p>
    <w:p w14:paraId="00000106"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Braithwaite, S.R. et al. (2016) ‘The unique influences of parental divorce and parental conflict on emerging adults in romantic relationships’,</w:t>
      </w:r>
      <w:r>
        <w:rPr>
          <w:rFonts w:ascii="Arial" w:eastAsia="Arial" w:hAnsi="Arial" w:cs="Arial"/>
          <w:color w:val="000000"/>
          <w:sz w:val="24"/>
          <w:szCs w:val="24"/>
        </w:rPr>
        <w:t xml:space="preserve"> Journal of Adult Development, 23(4), pp. 214–225. DOI: 10.1007/s10804-016-9237-6.</w:t>
      </w:r>
    </w:p>
    <w:p w14:paraId="00000107"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Bulanda</w:t>
      </w:r>
      <w:proofErr w:type="spellEnd"/>
      <w:r>
        <w:rPr>
          <w:rFonts w:ascii="Arial" w:eastAsia="Arial" w:hAnsi="Arial" w:cs="Arial"/>
          <w:color w:val="000000"/>
          <w:sz w:val="24"/>
          <w:szCs w:val="24"/>
        </w:rPr>
        <w:t>, J.R. and Brown, S.L. (2007) ‘Race-ethnic differences in marital quality and divorce’, Social Science Research, 36(3), pp. 945–967.</w:t>
      </w:r>
    </w:p>
    <w:p w14:paraId="00000108"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Connor, P.J.O. et al. (2019) ‘The</w:t>
      </w:r>
      <w:r>
        <w:rPr>
          <w:rFonts w:ascii="Arial" w:eastAsia="Arial" w:hAnsi="Arial" w:cs="Arial"/>
          <w:color w:val="000000"/>
          <w:sz w:val="24"/>
          <w:szCs w:val="24"/>
        </w:rPr>
        <w:t xml:space="preserve"> measurement of emotional intelligence: a critical review of the literature and recommendations for researchers and practitioners’, Frontiers in Psychology, 10, pp. 1–19. DOI: 10.3389/fpsyg.2019.01116.</w:t>
      </w:r>
    </w:p>
    <w:p w14:paraId="00000109"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Department for Work and Pensions (2013) Percentage of </w:t>
      </w:r>
      <w:r>
        <w:rPr>
          <w:rFonts w:ascii="Arial" w:eastAsia="Arial" w:hAnsi="Arial" w:cs="Arial"/>
          <w:color w:val="000000"/>
          <w:sz w:val="24"/>
          <w:szCs w:val="24"/>
        </w:rPr>
        <w:t>children living with both birth parents, by the age of the child and household income; and estimated happiness of parental relationships. Available at: https://assets.publishing.service.gov.uk/government/uploads/system/uploads/attachment_data/file/223251/C</w:t>
      </w:r>
      <w:r>
        <w:rPr>
          <w:rFonts w:ascii="Arial" w:eastAsia="Arial" w:hAnsi="Arial" w:cs="Arial"/>
          <w:color w:val="000000"/>
          <w:sz w:val="24"/>
          <w:szCs w:val="24"/>
        </w:rPr>
        <w:t>hildren_both_parents_income_FINAL.pdf (Accessed: 30 June 2021).</w:t>
      </w:r>
    </w:p>
    <w:p w14:paraId="0000010A"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lastRenderedPageBreak/>
        <w:t>Doughty, J., Maxwell, N. and Slater, T. (2020) ‘Professional responses to “parental alienation”: research-informed practice’, Journal of Social Welfare and Family Law, 42(1), pp. 68–79. DOI: 1</w:t>
      </w:r>
      <w:r>
        <w:rPr>
          <w:rFonts w:ascii="Arial" w:eastAsia="Arial" w:hAnsi="Arial" w:cs="Arial"/>
          <w:color w:val="000000"/>
          <w:sz w:val="24"/>
          <w:szCs w:val="24"/>
        </w:rPr>
        <w:t>0.1080/09649069.2020.1701938.</w:t>
      </w:r>
    </w:p>
    <w:p w14:paraId="0000010B"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Kamp Dush, C.M. et al. (2018) ‘The intergenerational transmission of partnering’, </w:t>
      </w:r>
      <w:proofErr w:type="spellStart"/>
      <w:r>
        <w:rPr>
          <w:rFonts w:ascii="Arial" w:eastAsia="Arial" w:hAnsi="Arial" w:cs="Arial"/>
          <w:color w:val="000000"/>
          <w:sz w:val="24"/>
          <w:szCs w:val="24"/>
        </w:rPr>
        <w:t>PloS</w:t>
      </w:r>
      <w:proofErr w:type="spellEnd"/>
      <w:r>
        <w:rPr>
          <w:rFonts w:ascii="Arial" w:eastAsia="Arial" w:hAnsi="Arial" w:cs="Arial"/>
          <w:color w:val="000000"/>
          <w:sz w:val="24"/>
          <w:szCs w:val="24"/>
        </w:rPr>
        <w:t xml:space="preserve"> One, 13(11), p.e0205732.</w:t>
      </w:r>
    </w:p>
    <w:p w14:paraId="0000010C"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Ginty</w:t>
      </w:r>
      <w:proofErr w:type="spellEnd"/>
      <w:r>
        <w:rPr>
          <w:rFonts w:ascii="Arial" w:eastAsia="Arial" w:hAnsi="Arial" w:cs="Arial"/>
          <w:color w:val="000000"/>
          <w:sz w:val="24"/>
          <w:szCs w:val="24"/>
        </w:rPr>
        <w:t>, A.T. (2013) ‘Construct validity’, in Gellman, M.D. and Turner, J.R. (eds.) Encyclopedia of behavioral medic</w:t>
      </w:r>
      <w:r>
        <w:rPr>
          <w:rFonts w:ascii="Arial" w:eastAsia="Arial" w:hAnsi="Arial" w:cs="Arial"/>
          <w:color w:val="000000"/>
          <w:sz w:val="24"/>
          <w:szCs w:val="24"/>
        </w:rPr>
        <w:t>ine. New York, NY: Springer.</w:t>
      </w:r>
    </w:p>
    <w:p w14:paraId="0000010D"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Goldin, D.S. and </w:t>
      </w:r>
      <w:proofErr w:type="spellStart"/>
      <w:r>
        <w:rPr>
          <w:rFonts w:ascii="Arial" w:eastAsia="Arial" w:hAnsi="Arial" w:cs="Arial"/>
          <w:color w:val="000000"/>
          <w:sz w:val="24"/>
          <w:szCs w:val="24"/>
        </w:rPr>
        <w:t>Salani</w:t>
      </w:r>
      <w:proofErr w:type="spellEnd"/>
      <w:r>
        <w:rPr>
          <w:rFonts w:ascii="Arial" w:eastAsia="Arial" w:hAnsi="Arial" w:cs="Arial"/>
          <w:color w:val="000000"/>
          <w:sz w:val="24"/>
          <w:szCs w:val="24"/>
        </w:rPr>
        <w:t>, D. (2020) ‘Parental alienation syndrome: what health care providers, need to know’, TJNP: The Journal for Nurse Practitioners, 16(5), pp. 344–348. DOI: 10.1016/j.nurpra.2020.02.006.</w:t>
      </w:r>
    </w:p>
    <w:p w14:paraId="0000010E"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Harland, D.J. (2010)</w:t>
      </w:r>
      <w:r>
        <w:rPr>
          <w:rFonts w:ascii="Arial" w:eastAsia="Arial" w:hAnsi="Arial" w:cs="Arial"/>
          <w:color w:val="000000"/>
          <w:sz w:val="24"/>
          <w:szCs w:val="24"/>
        </w:rPr>
        <w:t xml:space="preserve"> An introduction to experimental research. Available at: https://cemast.illinoisstate.edu/downloads/hsrs/types_of_research.pdf (Accessed: 30 June 2021).</w:t>
      </w:r>
    </w:p>
    <w:p w14:paraId="0000010F"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Harman, J.J., Kruk, E. and Hines, D.A. (2018) ‘Parental alienating </w:t>
      </w:r>
      <w:proofErr w:type="spellStart"/>
      <w:r>
        <w:rPr>
          <w:rFonts w:ascii="Arial" w:eastAsia="Arial" w:hAnsi="Arial" w:cs="Arial"/>
          <w:color w:val="000000"/>
          <w:sz w:val="24"/>
          <w:szCs w:val="24"/>
        </w:rPr>
        <w:t>behaviours</w:t>
      </w:r>
      <w:proofErr w:type="spellEnd"/>
      <w:r>
        <w:rPr>
          <w:rFonts w:ascii="Arial" w:eastAsia="Arial" w:hAnsi="Arial" w:cs="Arial"/>
          <w:color w:val="000000"/>
          <w:sz w:val="24"/>
          <w:szCs w:val="24"/>
        </w:rPr>
        <w:t>: an unacknowledged form o</w:t>
      </w:r>
      <w:r>
        <w:rPr>
          <w:rFonts w:ascii="Arial" w:eastAsia="Arial" w:hAnsi="Arial" w:cs="Arial"/>
          <w:color w:val="000000"/>
          <w:sz w:val="24"/>
          <w:szCs w:val="24"/>
        </w:rPr>
        <w:t>f family violence’, Psychological Bulletin, 144(12), pp. 1275–1299. DOI: 10.1037/bul0000175.</w:t>
      </w:r>
    </w:p>
    <w:p w14:paraId="00000110"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Hartling, L. et al. (2016) ‘The contribution of databases to the results of systematic reviews: a cross-sectional study’, BMC Medical Research Methodology, 16(1), </w:t>
      </w:r>
      <w:r>
        <w:rPr>
          <w:rFonts w:ascii="Arial" w:eastAsia="Arial" w:hAnsi="Arial" w:cs="Arial"/>
          <w:color w:val="000000"/>
          <w:sz w:val="24"/>
          <w:szCs w:val="24"/>
        </w:rPr>
        <w:t>p. 127. DOI: 10.1186/s12874-016-0232-1.</w:t>
      </w:r>
    </w:p>
    <w:p w14:paraId="00000111"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Houchin, T.M. et al. (2012) ‘The parental alienation debate belongs in the courtroom, not in DSM-5’, Journal of the American Academy of Psychiatry and the Law, 40(1), pp. 127–131.</w:t>
      </w:r>
    </w:p>
    <w:p w14:paraId="00000112"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lastRenderedPageBreak/>
        <w:t>Jarrett, T. (2020) ‘Children: parent</w:t>
      </w:r>
      <w:r>
        <w:rPr>
          <w:rFonts w:ascii="Arial" w:eastAsia="Arial" w:hAnsi="Arial" w:cs="Arial"/>
          <w:color w:val="000000"/>
          <w:sz w:val="24"/>
          <w:szCs w:val="24"/>
        </w:rPr>
        <w:t xml:space="preserve">al alienation and the role of </w:t>
      </w:r>
      <w:proofErr w:type="spellStart"/>
      <w:r>
        <w:rPr>
          <w:rFonts w:ascii="Arial" w:eastAsia="Arial" w:hAnsi="Arial" w:cs="Arial"/>
          <w:color w:val="000000"/>
          <w:sz w:val="24"/>
          <w:szCs w:val="24"/>
        </w:rPr>
        <w:t>Cafcass</w:t>
      </w:r>
      <w:proofErr w:type="spellEnd"/>
      <w:r>
        <w:rPr>
          <w:rFonts w:ascii="Arial" w:eastAsia="Arial" w:hAnsi="Arial" w:cs="Arial"/>
          <w:color w:val="000000"/>
          <w:sz w:val="24"/>
          <w:szCs w:val="24"/>
        </w:rPr>
        <w:t xml:space="preserve"> (England)’, House of Commons Library, pp. 1–14.</w:t>
      </w:r>
    </w:p>
    <w:p w14:paraId="00000113"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Kelly, </w:t>
      </w:r>
      <w:proofErr w:type="gramStart"/>
      <w:r>
        <w:rPr>
          <w:rFonts w:ascii="Arial" w:eastAsia="Arial" w:hAnsi="Arial" w:cs="Arial"/>
          <w:color w:val="000000"/>
          <w:sz w:val="24"/>
          <w:szCs w:val="24"/>
        </w:rPr>
        <w:t>J.B.</w:t>
      </w:r>
      <w:proofErr w:type="gramEnd"/>
      <w:r>
        <w:rPr>
          <w:rFonts w:ascii="Arial" w:eastAsia="Arial" w:hAnsi="Arial" w:cs="Arial"/>
          <w:color w:val="000000"/>
          <w:sz w:val="24"/>
          <w:szCs w:val="24"/>
        </w:rPr>
        <w:t xml:space="preserve"> and Johnston, J.R. (2001) ‘The alienated child: A reformulation of parental alienation syndrome’, Family Court Reviews, 39(8), pp. 249–266.</w:t>
      </w:r>
    </w:p>
    <w:p w14:paraId="00000114"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Krishnadas</w:t>
      </w:r>
      <w:proofErr w:type="spellEnd"/>
      <w:r>
        <w:rPr>
          <w:rFonts w:ascii="Arial" w:eastAsia="Arial" w:hAnsi="Arial" w:cs="Arial"/>
          <w:color w:val="000000"/>
          <w:sz w:val="24"/>
          <w:szCs w:val="24"/>
        </w:rPr>
        <w:t>, J. and</w:t>
      </w:r>
      <w:r>
        <w:rPr>
          <w:rFonts w:ascii="Arial" w:eastAsia="Arial" w:hAnsi="Arial" w:cs="Arial"/>
          <w:color w:val="000000"/>
          <w:sz w:val="24"/>
          <w:szCs w:val="24"/>
        </w:rPr>
        <w:t xml:space="preserve"> Taha, S.H. (2020) ‘Domestic violence through the window of the COVID-19 lockdown: a public crisis embodied/exposed in the private/domestic sphere’, Journal of Global </w:t>
      </w:r>
      <w:proofErr w:type="spellStart"/>
      <w:r>
        <w:rPr>
          <w:rFonts w:ascii="Arial" w:eastAsia="Arial" w:hAnsi="Arial" w:cs="Arial"/>
          <w:color w:val="000000"/>
          <w:sz w:val="24"/>
          <w:szCs w:val="24"/>
        </w:rPr>
        <w:t>Faultlines</w:t>
      </w:r>
      <w:proofErr w:type="spellEnd"/>
      <w:r>
        <w:rPr>
          <w:rFonts w:ascii="Arial" w:eastAsia="Arial" w:hAnsi="Arial" w:cs="Arial"/>
          <w:color w:val="000000"/>
          <w:sz w:val="24"/>
          <w:szCs w:val="24"/>
        </w:rPr>
        <w:t xml:space="preserve">, </w:t>
      </w:r>
      <w:r>
        <w:rPr>
          <w:rFonts w:ascii="Arial" w:eastAsia="Arial" w:hAnsi="Arial" w:cs="Arial"/>
          <w:b/>
          <w:color w:val="000000"/>
          <w:sz w:val="24"/>
          <w:szCs w:val="24"/>
        </w:rPr>
        <w:t>7</w:t>
      </w:r>
      <w:r>
        <w:rPr>
          <w:rFonts w:ascii="Arial" w:eastAsia="Arial" w:hAnsi="Arial" w:cs="Arial"/>
          <w:color w:val="000000"/>
          <w:sz w:val="24"/>
          <w:szCs w:val="24"/>
        </w:rPr>
        <w:t>(1), pp. 46–58. DOI: 10.13169/jglobfaul.7.1.0046.</w:t>
      </w:r>
    </w:p>
    <w:p w14:paraId="00000115"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Kruk, E. (2018) ‘Parental </w:t>
      </w:r>
      <w:r>
        <w:rPr>
          <w:rFonts w:ascii="Arial" w:eastAsia="Arial" w:hAnsi="Arial" w:cs="Arial"/>
          <w:color w:val="000000"/>
          <w:sz w:val="24"/>
          <w:szCs w:val="24"/>
        </w:rPr>
        <w:t>alienation as a form of emotional child abuse: current state of knowledge and future directions for research’, Family Science Review, 22(4), pp. 141–164.</w:t>
      </w:r>
    </w:p>
    <w:p w14:paraId="00000116"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Kurniawan, L.S. (2019) ‘Emotional intelligence and marital decision’, International Journal of Health </w:t>
      </w:r>
      <w:r>
        <w:rPr>
          <w:rFonts w:ascii="Arial" w:eastAsia="Arial" w:hAnsi="Arial" w:cs="Arial"/>
          <w:color w:val="000000"/>
          <w:sz w:val="24"/>
          <w:szCs w:val="24"/>
        </w:rPr>
        <w:t>Sciences, 3(2), pp. 11–20. DOI: 10.29332/</w:t>
      </w:r>
      <w:proofErr w:type="gramStart"/>
      <w:r>
        <w:rPr>
          <w:rFonts w:ascii="Arial" w:eastAsia="Arial" w:hAnsi="Arial" w:cs="Arial"/>
          <w:color w:val="000000"/>
          <w:sz w:val="24"/>
          <w:szCs w:val="24"/>
        </w:rPr>
        <w:t>ijhs.v</w:t>
      </w:r>
      <w:proofErr w:type="gramEnd"/>
      <w:r>
        <w:rPr>
          <w:rFonts w:ascii="Arial" w:eastAsia="Arial" w:hAnsi="Arial" w:cs="Arial"/>
          <w:color w:val="000000"/>
          <w:sz w:val="24"/>
          <w:szCs w:val="24"/>
        </w:rPr>
        <w:t>3n2.287.</w:t>
      </w:r>
    </w:p>
    <w:p w14:paraId="00000117"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Baker, A.J.L. (2005) ‘The long-term effects of parental alienation on adult children: a qualitative research study’, The American Journal of Family Therapy, 33(4), pp. 289–302. DOI: 10.1080/0192618059</w:t>
      </w:r>
      <w:r>
        <w:rPr>
          <w:rFonts w:ascii="Arial" w:eastAsia="Arial" w:hAnsi="Arial" w:cs="Arial"/>
          <w:color w:val="000000"/>
          <w:sz w:val="24"/>
          <w:szCs w:val="24"/>
        </w:rPr>
        <w:t>0962129.</w:t>
      </w:r>
    </w:p>
    <w:p w14:paraId="00000118"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Labra, O. et al. (2019) ‘Thematic analysis in social work: a case study’, in </w:t>
      </w:r>
      <w:proofErr w:type="spellStart"/>
      <w:r>
        <w:rPr>
          <w:rFonts w:ascii="Arial" w:eastAsia="Arial" w:hAnsi="Arial" w:cs="Arial"/>
          <w:color w:val="000000"/>
          <w:sz w:val="24"/>
          <w:szCs w:val="24"/>
        </w:rPr>
        <w:t>Nikku</w:t>
      </w:r>
      <w:proofErr w:type="spellEnd"/>
      <w:r>
        <w:rPr>
          <w:rFonts w:ascii="Arial" w:eastAsia="Arial" w:hAnsi="Arial" w:cs="Arial"/>
          <w:color w:val="000000"/>
          <w:sz w:val="24"/>
          <w:szCs w:val="24"/>
        </w:rPr>
        <w:t xml:space="preserve">, B. (ed.) Social work education. London: </w:t>
      </w:r>
      <w:proofErr w:type="spellStart"/>
      <w:r>
        <w:rPr>
          <w:rFonts w:ascii="Arial" w:eastAsia="Arial" w:hAnsi="Arial" w:cs="Arial"/>
          <w:color w:val="000000"/>
          <w:sz w:val="24"/>
          <w:szCs w:val="24"/>
        </w:rPr>
        <w:t>Intechopen</w:t>
      </w:r>
      <w:proofErr w:type="spellEnd"/>
      <w:r>
        <w:rPr>
          <w:rFonts w:ascii="Arial" w:eastAsia="Arial" w:hAnsi="Arial" w:cs="Arial"/>
          <w:color w:val="000000"/>
          <w:sz w:val="24"/>
          <w:szCs w:val="24"/>
        </w:rPr>
        <w:t>.</w:t>
      </w:r>
    </w:p>
    <w:p w14:paraId="00000119"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Lavalekar</w:t>
      </w:r>
      <w:proofErr w:type="spellEnd"/>
      <w:r>
        <w:rPr>
          <w:rFonts w:ascii="Arial" w:eastAsia="Arial" w:hAnsi="Arial" w:cs="Arial"/>
          <w:color w:val="000000"/>
          <w:sz w:val="24"/>
          <w:szCs w:val="24"/>
        </w:rPr>
        <w:t>, A., Kulkarni, P. and Jagtap, P. (2010) ‘Emotional intelligence and marital satisfaction’, Journal of</w:t>
      </w:r>
      <w:r>
        <w:rPr>
          <w:rFonts w:ascii="Arial" w:eastAsia="Arial" w:hAnsi="Arial" w:cs="Arial"/>
          <w:color w:val="000000"/>
          <w:sz w:val="24"/>
          <w:szCs w:val="24"/>
        </w:rPr>
        <w:t xml:space="preserve"> Psychiatric Research, 5(2), pp. 185–194.</w:t>
      </w:r>
    </w:p>
    <w:p w14:paraId="0000011A"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Lionetti</w:t>
      </w:r>
      <w:proofErr w:type="spellEnd"/>
      <w:r>
        <w:rPr>
          <w:rFonts w:ascii="Arial" w:eastAsia="Arial" w:hAnsi="Arial" w:cs="Arial"/>
          <w:color w:val="000000"/>
          <w:sz w:val="24"/>
          <w:szCs w:val="24"/>
        </w:rPr>
        <w:t>, F., Pastore, M. and Barone, L. (2015) ‘Attachment in institutionalized children: a review and meta-analysis’, Child Abuse and Neglect, 42, pp. 135–145. DOI: https://doi.org/10.1016/j.chiabu.2015.02.013.</w:t>
      </w:r>
    </w:p>
    <w:p w14:paraId="0000011B"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lastRenderedPageBreak/>
        <w:t>M</w:t>
      </w:r>
      <w:r>
        <w:rPr>
          <w:rFonts w:ascii="Arial" w:eastAsia="Arial" w:hAnsi="Arial" w:cs="Arial"/>
          <w:color w:val="000000"/>
          <w:sz w:val="24"/>
          <w:szCs w:val="24"/>
        </w:rPr>
        <w:t>adden, V. et al. (2015) ‘Intergenerational transmission of parenting: findings from a UK longitudinal study’, European Journal of Public Health, 25(6), pp. 1030–1035. DOI: 10.1093/</w:t>
      </w:r>
      <w:proofErr w:type="spellStart"/>
      <w:r>
        <w:rPr>
          <w:rFonts w:ascii="Arial" w:eastAsia="Arial" w:hAnsi="Arial" w:cs="Arial"/>
          <w:color w:val="000000"/>
          <w:sz w:val="24"/>
          <w:szCs w:val="24"/>
        </w:rPr>
        <w:t>eurpub</w:t>
      </w:r>
      <w:proofErr w:type="spellEnd"/>
      <w:r>
        <w:rPr>
          <w:rFonts w:ascii="Arial" w:eastAsia="Arial" w:hAnsi="Arial" w:cs="Arial"/>
          <w:color w:val="000000"/>
          <w:sz w:val="24"/>
          <w:szCs w:val="24"/>
        </w:rPr>
        <w:t>/ckv093.</w:t>
      </w:r>
    </w:p>
    <w:p w14:paraId="0000011C"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Mayer, J.D., Caruso, D.R. and Salovey, P. (2016) ‘The ability model of emotional intelligence: principles and updates’, Emotion Review, 8(4), pp. 290–300. DOI: 10.1177/1754073916639667.</w:t>
      </w:r>
    </w:p>
    <w:p w14:paraId="0000011D"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Mental Health and Drug Addiction Treatment Centers. (2021) Alcoholism </w:t>
      </w:r>
      <w:r>
        <w:rPr>
          <w:rFonts w:ascii="Arial" w:eastAsia="Arial" w:hAnsi="Arial" w:cs="Arial"/>
          <w:color w:val="000000"/>
          <w:sz w:val="24"/>
          <w:szCs w:val="24"/>
        </w:rPr>
        <w:t>and parent alienation: the effects of addiction on parenting. Available at:</w:t>
      </w:r>
      <w:hyperlink r:id="rId8">
        <w:r>
          <w:rPr>
            <w:rFonts w:ascii="Arial" w:eastAsia="Arial" w:hAnsi="Arial" w:cs="Arial"/>
            <w:color w:val="000000"/>
            <w:sz w:val="24"/>
            <w:szCs w:val="24"/>
          </w:rPr>
          <w:t xml:space="preserve"> </w:t>
        </w:r>
      </w:hyperlink>
      <w:hyperlink r:id="rId9">
        <w:r>
          <w:rPr>
            <w:rFonts w:ascii="Arial" w:eastAsia="Arial" w:hAnsi="Arial" w:cs="Arial"/>
            <w:color w:val="000000"/>
            <w:sz w:val="24"/>
            <w:szCs w:val="24"/>
            <w:u w:val="single"/>
          </w:rPr>
          <w:t>https://www.promises.com/addiction-blog/alcoholism-and-parent-alienation-the-effects-of-addiction-on-parenting/</w:t>
        </w:r>
      </w:hyperlink>
      <w:r>
        <w:rPr>
          <w:rFonts w:ascii="Arial" w:eastAsia="Arial" w:hAnsi="Arial" w:cs="Arial"/>
          <w:color w:val="000000"/>
          <w:sz w:val="24"/>
          <w:szCs w:val="24"/>
        </w:rPr>
        <w:t xml:space="preserve"> (Accessed: 20 June 2021).</w:t>
      </w:r>
    </w:p>
    <w:p w14:paraId="0000011E"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Office for National Statistics. (2020) Statistics on alcohol, England 2020. Available at: https://www.gov.uk/government/statistics/statistics-on-alcohol-england-2020 (Accessed: 30 June 2021).</w:t>
      </w:r>
    </w:p>
    <w:p w14:paraId="0000011F"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Panton, K.R. et al. (2018) ‘Poorer search efficiency in healthy </w:t>
      </w:r>
      <w:r>
        <w:rPr>
          <w:rFonts w:ascii="Arial" w:eastAsia="Arial" w:hAnsi="Arial" w:cs="Arial"/>
          <w:color w:val="000000"/>
          <w:sz w:val="24"/>
          <w:szCs w:val="24"/>
        </w:rPr>
        <w:t>young adults with high schizotypal personality traits’, Frontiers in Psychiatry, 9, pp. 1–11. DOI: 10.3389/fpsyt.2018.00285.</w:t>
      </w:r>
    </w:p>
    <w:p w14:paraId="00000120"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Parental Alienation UK. (2020) The UK parental alienation study. Available at: https://parentalalienationuk.info/our-report/ (Acces</w:t>
      </w:r>
      <w:r>
        <w:rPr>
          <w:rFonts w:ascii="Arial" w:eastAsia="Arial" w:hAnsi="Arial" w:cs="Arial"/>
          <w:color w:val="000000"/>
          <w:sz w:val="24"/>
          <w:szCs w:val="24"/>
        </w:rPr>
        <w:t>sed: 30 June 2021)</w:t>
      </w:r>
    </w:p>
    <w:p w14:paraId="00000121"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Parry, M.M., Dario, L.M. and Moule, R.K. (2019) ‘Is seeing </w:t>
      </w:r>
      <w:proofErr w:type="gramStart"/>
      <w:r>
        <w:rPr>
          <w:rFonts w:ascii="Arial" w:eastAsia="Arial" w:hAnsi="Arial" w:cs="Arial"/>
          <w:color w:val="000000"/>
          <w:sz w:val="24"/>
          <w:szCs w:val="24"/>
        </w:rPr>
        <w:t>believing?:</w:t>
      </w:r>
      <w:proofErr w:type="gramEnd"/>
      <w:r>
        <w:rPr>
          <w:rFonts w:ascii="Arial" w:eastAsia="Arial" w:hAnsi="Arial" w:cs="Arial"/>
          <w:color w:val="000000"/>
          <w:sz w:val="24"/>
          <w:szCs w:val="24"/>
        </w:rPr>
        <w:t xml:space="preserve"> on the content validity of video recordings for use in criminological research’, Deviant Behavior, pp. 1–14.</w:t>
      </w:r>
    </w:p>
    <w:p w14:paraId="00000122"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lastRenderedPageBreak/>
        <w:t>Rendle</w:t>
      </w:r>
      <w:proofErr w:type="spellEnd"/>
      <w:r>
        <w:rPr>
          <w:rFonts w:ascii="Arial" w:eastAsia="Arial" w:hAnsi="Arial" w:cs="Arial"/>
          <w:color w:val="000000"/>
          <w:sz w:val="24"/>
          <w:szCs w:val="24"/>
        </w:rPr>
        <w:t>, K.A. et al. (2019) ‘Beyond exploratory: a tailore</w:t>
      </w:r>
      <w:r>
        <w:rPr>
          <w:rFonts w:ascii="Arial" w:eastAsia="Arial" w:hAnsi="Arial" w:cs="Arial"/>
          <w:color w:val="000000"/>
          <w:sz w:val="24"/>
          <w:szCs w:val="24"/>
        </w:rPr>
        <w:t>d framework for designing and assessing qualitative health research’, BMJ Open, 9(8), pp. e030123–e030123. DOI: 10.1136/bmjopen-2019-030123.</w:t>
      </w:r>
    </w:p>
    <w:p w14:paraId="00000123"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Sarstedt</w:t>
      </w:r>
      <w:proofErr w:type="spellEnd"/>
      <w:r>
        <w:rPr>
          <w:rFonts w:ascii="Arial" w:eastAsia="Arial" w:hAnsi="Arial" w:cs="Arial"/>
          <w:color w:val="000000"/>
          <w:sz w:val="24"/>
          <w:szCs w:val="24"/>
        </w:rPr>
        <w:t>, M. et al. (2018) ‘The use of sampling methods in advertising research: a gap between theory and practice’</w:t>
      </w:r>
      <w:r>
        <w:rPr>
          <w:rFonts w:ascii="Arial" w:eastAsia="Arial" w:hAnsi="Arial" w:cs="Arial"/>
          <w:color w:val="000000"/>
          <w:sz w:val="24"/>
          <w:szCs w:val="24"/>
        </w:rPr>
        <w:t>, International Journal of Advertising, 37(4), pp. 650–663. DOI: 10.1080/02650487.2017.1348329.</w:t>
      </w:r>
    </w:p>
    <w:p w14:paraId="00000124"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Saunders, M.N.K., Lewis, P. and Thornhill, A. (2019) Research methods for business students. 8</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w:t>
      </w:r>
      <w:proofErr w:type="spellStart"/>
      <w:r>
        <w:rPr>
          <w:rFonts w:ascii="Arial" w:eastAsia="Arial" w:hAnsi="Arial" w:cs="Arial"/>
          <w:color w:val="000000"/>
          <w:sz w:val="24"/>
          <w:szCs w:val="24"/>
        </w:rPr>
        <w:t>edn</w:t>
      </w:r>
      <w:proofErr w:type="spellEnd"/>
      <w:r>
        <w:rPr>
          <w:rFonts w:ascii="Arial" w:eastAsia="Arial" w:hAnsi="Arial" w:cs="Arial"/>
          <w:color w:val="000000"/>
          <w:sz w:val="24"/>
          <w:szCs w:val="24"/>
        </w:rPr>
        <w:t>. London: Pearson.</w:t>
      </w:r>
    </w:p>
    <w:p w14:paraId="00000125"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Sheldon, S. (2001) ‘Unmarried fathers and</w:t>
      </w:r>
      <w:r>
        <w:rPr>
          <w:rFonts w:ascii="Arial" w:eastAsia="Arial" w:hAnsi="Arial" w:cs="Arial"/>
          <w:color w:val="000000"/>
          <w:sz w:val="24"/>
          <w:szCs w:val="24"/>
        </w:rPr>
        <w:t xml:space="preserve"> parental responsibility: a case for reform’, Feminist Legal Studies, 9(2), pp. 93–118.</w:t>
      </w:r>
    </w:p>
    <w:p w14:paraId="00000126"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Sher, L. (2015) ‘Parental alienation: the impact on men’s mental health’, International Journal of Adolescent Medicine and Health, 29(3). DOI: 10.1515/ijamh-2015-0083.</w:t>
      </w:r>
    </w:p>
    <w:p w14:paraId="00000127"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Sîrbu</w:t>
      </w:r>
      <w:proofErr w:type="spellEnd"/>
      <w:r>
        <w:rPr>
          <w:rFonts w:ascii="Arial" w:eastAsia="Arial" w:hAnsi="Arial" w:cs="Arial"/>
          <w:color w:val="000000"/>
          <w:sz w:val="24"/>
          <w:szCs w:val="24"/>
        </w:rPr>
        <w:t xml:space="preserve">, A.G. et al. (2021) ‘Parental alienation-development and validation of a </w:t>
      </w:r>
      <w:proofErr w:type="spellStart"/>
      <w:r>
        <w:rPr>
          <w:rFonts w:ascii="Arial" w:eastAsia="Arial" w:hAnsi="Arial" w:cs="Arial"/>
          <w:color w:val="000000"/>
          <w:sz w:val="24"/>
          <w:szCs w:val="24"/>
        </w:rPr>
        <w:t>behavioural</w:t>
      </w:r>
      <w:proofErr w:type="spellEnd"/>
      <w:r>
        <w:rPr>
          <w:rFonts w:ascii="Arial" w:eastAsia="Arial" w:hAnsi="Arial" w:cs="Arial"/>
          <w:color w:val="000000"/>
          <w:sz w:val="24"/>
          <w:szCs w:val="24"/>
        </w:rPr>
        <w:t xml:space="preserve"> anchor scale’, Sustainability (Switzerland), 13(1), pp. 1–18. DOI: 10.3390/su13010316.</w:t>
      </w:r>
    </w:p>
    <w:p w14:paraId="00000128"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Smyke</w:t>
      </w:r>
      <w:proofErr w:type="spellEnd"/>
      <w:r>
        <w:rPr>
          <w:rFonts w:ascii="Arial" w:eastAsia="Arial" w:hAnsi="Arial" w:cs="Arial"/>
          <w:color w:val="000000"/>
          <w:sz w:val="24"/>
          <w:szCs w:val="24"/>
        </w:rPr>
        <w:t>, A.T. et al. (2010) ‘Placement in foster care enhances quality of attach</w:t>
      </w:r>
      <w:r>
        <w:rPr>
          <w:rFonts w:ascii="Arial" w:eastAsia="Arial" w:hAnsi="Arial" w:cs="Arial"/>
          <w:color w:val="000000"/>
          <w:sz w:val="24"/>
          <w:szCs w:val="24"/>
        </w:rPr>
        <w:t xml:space="preserve">ment among </w:t>
      </w:r>
      <w:proofErr w:type="gramStart"/>
      <w:r>
        <w:rPr>
          <w:rFonts w:ascii="Arial" w:eastAsia="Arial" w:hAnsi="Arial" w:cs="Arial"/>
          <w:color w:val="000000"/>
          <w:sz w:val="24"/>
          <w:szCs w:val="24"/>
        </w:rPr>
        <w:t>young institutionalized</w:t>
      </w:r>
      <w:proofErr w:type="gramEnd"/>
      <w:r>
        <w:rPr>
          <w:rFonts w:ascii="Arial" w:eastAsia="Arial" w:hAnsi="Arial" w:cs="Arial"/>
          <w:color w:val="000000"/>
          <w:sz w:val="24"/>
          <w:szCs w:val="24"/>
        </w:rPr>
        <w:t xml:space="preserve"> children’, Child Development, 81(1), pp. 212–223. DOI: https://doi.org/10.1111/j.1467-8624.2009.01390.x.</w:t>
      </w:r>
    </w:p>
    <w:p w14:paraId="00000129"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Stewart, J. and </w:t>
      </w:r>
      <w:proofErr w:type="spellStart"/>
      <w:r>
        <w:rPr>
          <w:rFonts w:ascii="Arial" w:eastAsia="Arial" w:hAnsi="Arial" w:cs="Arial"/>
          <w:color w:val="000000"/>
          <w:sz w:val="24"/>
          <w:szCs w:val="24"/>
        </w:rPr>
        <w:t>Dziobon</w:t>
      </w:r>
      <w:proofErr w:type="spellEnd"/>
      <w:r>
        <w:rPr>
          <w:rFonts w:ascii="Arial" w:eastAsia="Arial" w:hAnsi="Arial" w:cs="Arial"/>
          <w:color w:val="000000"/>
          <w:sz w:val="24"/>
          <w:szCs w:val="24"/>
        </w:rPr>
        <w:t>, R. (2020) Family law in the UK (England and Wales): overview. Available at: https://uk.prac</w:t>
      </w:r>
      <w:r>
        <w:rPr>
          <w:rFonts w:ascii="Arial" w:eastAsia="Arial" w:hAnsi="Arial" w:cs="Arial"/>
          <w:color w:val="000000"/>
          <w:sz w:val="24"/>
          <w:szCs w:val="24"/>
        </w:rPr>
        <w:t>ticallaw.thomsonreuters.com/1-590-4465?transitionType=Default&amp;contextData=(sc.Default)&amp;firstPage=true (Accessed: 30 June 2021).</w:t>
      </w:r>
    </w:p>
    <w:p w14:paraId="0000012A"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lastRenderedPageBreak/>
        <w:t>Sutton, T.E. (2019) ‘Review of attachment theory: familial predictors, continuity and change, and intrapersonal and relational o</w:t>
      </w:r>
      <w:r>
        <w:rPr>
          <w:rFonts w:ascii="Arial" w:eastAsia="Arial" w:hAnsi="Arial" w:cs="Arial"/>
          <w:color w:val="000000"/>
          <w:sz w:val="24"/>
          <w:szCs w:val="24"/>
        </w:rPr>
        <w:t>utcomes’, Marriage and Family Review, 55(1), pp. 1–22. DOI: 10.1080/01494929.2018.1458001.</w:t>
      </w:r>
    </w:p>
    <w:p w14:paraId="0000012B"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UK Government. (2020) Children Act 1989, National Archives. Available at:</w:t>
      </w:r>
      <w:hyperlink r:id="rId10">
        <w:r>
          <w:rPr>
            <w:rFonts w:ascii="Arial" w:eastAsia="Arial" w:hAnsi="Arial" w:cs="Arial"/>
            <w:color w:val="000000"/>
            <w:sz w:val="24"/>
            <w:szCs w:val="24"/>
          </w:rPr>
          <w:t xml:space="preserve"> </w:t>
        </w:r>
      </w:hyperlink>
      <w:hyperlink r:id="rId11">
        <w:r>
          <w:rPr>
            <w:rFonts w:ascii="Arial" w:eastAsia="Arial" w:hAnsi="Arial" w:cs="Arial"/>
            <w:color w:val="000000"/>
            <w:sz w:val="24"/>
            <w:szCs w:val="24"/>
            <w:u w:val="single"/>
          </w:rPr>
          <w:t>https://www.legislation.gov.uk/ukpga/1989/41/contents</w:t>
        </w:r>
      </w:hyperlink>
      <w:r>
        <w:rPr>
          <w:rFonts w:ascii="Arial" w:eastAsia="Arial" w:hAnsi="Arial" w:cs="Arial"/>
          <w:color w:val="000000"/>
          <w:sz w:val="24"/>
          <w:szCs w:val="24"/>
        </w:rPr>
        <w:t xml:space="preserve"> (Accessed: 20 June 2021).</w:t>
      </w:r>
    </w:p>
    <w:p w14:paraId="0000012C"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US Bureau of </w:t>
      </w:r>
      <w:proofErr w:type="spellStart"/>
      <w:r>
        <w:rPr>
          <w:rFonts w:ascii="Arial" w:eastAsia="Arial" w:hAnsi="Arial" w:cs="Arial"/>
          <w:color w:val="000000"/>
          <w:sz w:val="24"/>
          <w:szCs w:val="24"/>
        </w:rPr>
        <w:t>Labour</w:t>
      </w:r>
      <w:proofErr w:type="spellEnd"/>
      <w:r>
        <w:rPr>
          <w:rFonts w:ascii="Arial" w:eastAsia="Arial" w:hAnsi="Arial" w:cs="Arial"/>
          <w:color w:val="000000"/>
          <w:sz w:val="24"/>
          <w:szCs w:val="24"/>
        </w:rPr>
        <w:t xml:space="preserve"> Statistics. (2013) Marriage and divorce: patterns by gender, race, and educational attainment. Availa</w:t>
      </w:r>
      <w:r>
        <w:rPr>
          <w:rFonts w:ascii="Arial" w:eastAsia="Arial" w:hAnsi="Arial" w:cs="Arial"/>
          <w:color w:val="000000"/>
          <w:sz w:val="24"/>
          <w:szCs w:val="24"/>
        </w:rPr>
        <w:t>ble at:</w:t>
      </w:r>
      <w:hyperlink r:id="rId12">
        <w:r>
          <w:rPr>
            <w:rFonts w:ascii="Arial" w:eastAsia="Arial" w:hAnsi="Arial" w:cs="Arial"/>
            <w:color w:val="000000"/>
            <w:sz w:val="24"/>
            <w:szCs w:val="24"/>
          </w:rPr>
          <w:t xml:space="preserve"> </w:t>
        </w:r>
      </w:hyperlink>
      <w:hyperlink r:id="rId13">
        <w:r>
          <w:rPr>
            <w:rFonts w:ascii="Arial" w:eastAsia="Arial" w:hAnsi="Arial" w:cs="Arial"/>
            <w:color w:val="000000"/>
            <w:sz w:val="24"/>
            <w:szCs w:val="24"/>
            <w:u w:val="single"/>
          </w:rPr>
          <w:t>https://www.bls.gov/opub/mlr/2013/article/marriage-and-divorce-patterns-by-gender-race-and-educational-attainment.htm</w:t>
        </w:r>
      </w:hyperlink>
      <w:r>
        <w:rPr>
          <w:rFonts w:ascii="Arial" w:eastAsia="Arial" w:hAnsi="Arial" w:cs="Arial"/>
          <w:color w:val="000000"/>
          <w:sz w:val="24"/>
          <w:szCs w:val="24"/>
        </w:rPr>
        <w:t xml:space="preserve"> (Accessed: 22 June 2021).</w:t>
      </w:r>
    </w:p>
    <w:p w14:paraId="0000012D"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Vaismoradi</w:t>
      </w:r>
      <w:proofErr w:type="spellEnd"/>
      <w:r>
        <w:rPr>
          <w:rFonts w:ascii="Arial" w:eastAsia="Arial" w:hAnsi="Arial" w:cs="Arial"/>
          <w:color w:val="000000"/>
          <w:sz w:val="24"/>
          <w:szCs w:val="24"/>
        </w:rPr>
        <w:t>, M. et al. (2016) ‘Theme development in qualitative content analysis and th</w:t>
      </w:r>
      <w:r>
        <w:rPr>
          <w:rFonts w:ascii="Arial" w:eastAsia="Arial" w:hAnsi="Arial" w:cs="Arial"/>
          <w:color w:val="000000"/>
          <w:sz w:val="24"/>
          <w:szCs w:val="24"/>
        </w:rPr>
        <w:t>ematic analysis’, Journal of Nursing Education and Practice, 6(5), pp. 100–110. DOI: 10.5430/</w:t>
      </w:r>
      <w:proofErr w:type="gramStart"/>
      <w:r>
        <w:rPr>
          <w:rFonts w:ascii="Arial" w:eastAsia="Arial" w:hAnsi="Arial" w:cs="Arial"/>
          <w:color w:val="000000"/>
          <w:sz w:val="24"/>
          <w:szCs w:val="24"/>
        </w:rPr>
        <w:t>jnep.v</w:t>
      </w:r>
      <w:proofErr w:type="gramEnd"/>
      <w:r>
        <w:rPr>
          <w:rFonts w:ascii="Arial" w:eastAsia="Arial" w:hAnsi="Arial" w:cs="Arial"/>
          <w:color w:val="000000"/>
          <w:sz w:val="24"/>
          <w:szCs w:val="24"/>
        </w:rPr>
        <w:t>6n5p100.</w:t>
      </w:r>
    </w:p>
    <w:p w14:paraId="0000012E"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 xml:space="preserve">Wheeldon, J. and </w:t>
      </w:r>
      <w:proofErr w:type="spellStart"/>
      <w:r>
        <w:rPr>
          <w:rFonts w:ascii="Arial" w:eastAsia="Arial" w:hAnsi="Arial" w:cs="Arial"/>
          <w:color w:val="000000"/>
          <w:sz w:val="24"/>
          <w:szCs w:val="24"/>
        </w:rPr>
        <w:t>Åhlberg</w:t>
      </w:r>
      <w:proofErr w:type="spellEnd"/>
      <w:r>
        <w:rPr>
          <w:rFonts w:ascii="Arial" w:eastAsia="Arial" w:hAnsi="Arial" w:cs="Arial"/>
          <w:color w:val="000000"/>
          <w:sz w:val="24"/>
          <w:szCs w:val="24"/>
        </w:rPr>
        <w:t>, M.K. (2012) ‘Mapping mixed-methods research: theories, models, and measures’, in Visualizing social science research. Thou</w:t>
      </w:r>
      <w:r>
        <w:rPr>
          <w:rFonts w:ascii="Arial" w:eastAsia="Arial" w:hAnsi="Arial" w:cs="Arial"/>
          <w:color w:val="000000"/>
          <w:sz w:val="24"/>
          <w:szCs w:val="24"/>
        </w:rPr>
        <w:t>sand Oaks, CA: SAGE Publications, pp. 113–148.</w:t>
      </w:r>
    </w:p>
    <w:p w14:paraId="0000012F"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Wolfinger</w:t>
      </w:r>
      <w:proofErr w:type="spellEnd"/>
      <w:r>
        <w:rPr>
          <w:rFonts w:ascii="Arial" w:eastAsia="Arial" w:hAnsi="Arial" w:cs="Arial"/>
          <w:color w:val="000000"/>
          <w:sz w:val="24"/>
          <w:szCs w:val="24"/>
        </w:rPr>
        <w:t>, N.H. (2019) Trends in the intergenerational transmission of divorce, 1973-2018. Available at:</w:t>
      </w:r>
      <w:hyperlink r:id="rId14">
        <w:r>
          <w:rPr>
            <w:rFonts w:ascii="Arial" w:eastAsia="Arial" w:hAnsi="Arial" w:cs="Arial"/>
            <w:color w:val="000000"/>
            <w:sz w:val="24"/>
            <w:szCs w:val="24"/>
          </w:rPr>
          <w:t xml:space="preserve"> </w:t>
        </w:r>
      </w:hyperlink>
      <w:hyperlink r:id="rId15">
        <w:r>
          <w:rPr>
            <w:rFonts w:ascii="Arial" w:eastAsia="Arial" w:hAnsi="Arial" w:cs="Arial"/>
            <w:color w:val="000000"/>
            <w:sz w:val="24"/>
            <w:szCs w:val="24"/>
            <w:u w:val="single"/>
          </w:rPr>
          <w:t>https://ifstudies.org/blog/trends</w:t>
        </w:r>
        <w:r>
          <w:rPr>
            <w:rFonts w:ascii="Arial" w:eastAsia="Arial" w:hAnsi="Arial" w:cs="Arial"/>
            <w:color w:val="000000"/>
            <w:sz w:val="24"/>
            <w:szCs w:val="24"/>
            <w:u w:val="single"/>
          </w:rPr>
          <w:t>-in-the-intergenerational-transmission-of-divorce-1973-2018</w:t>
        </w:r>
      </w:hyperlink>
      <w:r>
        <w:rPr>
          <w:rFonts w:ascii="Arial" w:eastAsia="Arial" w:hAnsi="Arial" w:cs="Arial"/>
          <w:color w:val="000000"/>
          <w:sz w:val="24"/>
          <w:szCs w:val="24"/>
        </w:rPr>
        <w:t xml:space="preserve"> (Accessed: 15 June 2021).</w:t>
      </w:r>
    </w:p>
    <w:p w14:paraId="00000130" w14:textId="77777777" w:rsidR="00E80054" w:rsidRDefault="00527DE5">
      <w:pPr>
        <w:spacing w:before="0" w:line="480" w:lineRule="auto"/>
        <w:ind w:left="1440" w:hanging="720"/>
        <w:rPr>
          <w:rFonts w:ascii="Arial" w:eastAsia="Arial" w:hAnsi="Arial" w:cs="Arial"/>
          <w:color w:val="000000"/>
          <w:sz w:val="24"/>
          <w:szCs w:val="24"/>
        </w:rPr>
      </w:pPr>
      <w:r>
        <w:rPr>
          <w:rFonts w:ascii="Arial" w:eastAsia="Arial" w:hAnsi="Arial" w:cs="Arial"/>
          <w:color w:val="000000"/>
          <w:sz w:val="24"/>
          <w:szCs w:val="24"/>
        </w:rPr>
        <w:t>World Health Organization. (2018) The United Kingdom of Great Britain and Northern Ireland. Available at:</w:t>
      </w:r>
      <w:hyperlink r:id="rId16">
        <w:r>
          <w:rPr>
            <w:rFonts w:ascii="Arial" w:eastAsia="Arial" w:hAnsi="Arial" w:cs="Arial"/>
            <w:color w:val="000000"/>
            <w:sz w:val="24"/>
            <w:szCs w:val="24"/>
          </w:rPr>
          <w:t xml:space="preserve"> </w:t>
        </w:r>
        <w:r>
          <w:rPr>
            <w:rFonts w:ascii="Arial" w:eastAsia="Arial" w:hAnsi="Arial" w:cs="Arial"/>
            <w:color w:val="000000"/>
            <w:sz w:val="24"/>
            <w:szCs w:val="24"/>
          </w:rPr>
          <w:lastRenderedPageBreak/>
          <w:t>https://www.who.int/substance_abuse/publications/global_alcohol_report/profiles/gbr.pdf</w:t>
        </w:r>
      </w:hyperlink>
      <w:r>
        <w:rPr>
          <w:rFonts w:ascii="Arial" w:eastAsia="Arial" w:hAnsi="Arial" w:cs="Arial"/>
          <w:color w:val="000000"/>
          <w:sz w:val="24"/>
          <w:szCs w:val="24"/>
        </w:rPr>
        <w:t xml:space="preserve"> (Accessed: 30 June 2021).</w:t>
      </w:r>
    </w:p>
    <w:p w14:paraId="00000131"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Xerxa</w:t>
      </w:r>
      <w:proofErr w:type="spellEnd"/>
      <w:r>
        <w:rPr>
          <w:rFonts w:ascii="Arial" w:eastAsia="Arial" w:hAnsi="Arial" w:cs="Arial"/>
          <w:color w:val="000000"/>
          <w:sz w:val="24"/>
          <w:szCs w:val="24"/>
        </w:rPr>
        <w:t xml:space="preserve">, Y. et al. (2020) ‘The complex role of parental separation in the association between family </w:t>
      </w:r>
      <w:r>
        <w:rPr>
          <w:rFonts w:ascii="Arial" w:eastAsia="Arial" w:hAnsi="Arial" w:cs="Arial"/>
          <w:color w:val="000000"/>
          <w:sz w:val="24"/>
          <w:szCs w:val="24"/>
        </w:rPr>
        <w:t>conflict and child problem behavior’, Journal of Clinical Child and Adolescent Psychology, 49(1), pp. 79–93. DOI: 10.1080/15374416.2018.1520118.</w:t>
      </w:r>
    </w:p>
    <w:p w14:paraId="00000132"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Xue</w:t>
      </w:r>
      <w:proofErr w:type="spellEnd"/>
      <w:r>
        <w:rPr>
          <w:rFonts w:ascii="Arial" w:eastAsia="Arial" w:hAnsi="Arial" w:cs="Arial"/>
          <w:color w:val="000000"/>
          <w:sz w:val="24"/>
          <w:szCs w:val="24"/>
        </w:rPr>
        <w:t>, J. et al. (2020) ‘The hidden pandemic of family violence during COVID-19: unsupervised learning of tweets’</w:t>
      </w:r>
      <w:r>
        <w:rPr>
          <w:rFonts w:ascii="Arial" w:eastAsia="Arial" w:hAnsi="Arial" w:cs="Arial"/>
          <w:color w:val="000000"/>
          <w:sz w:val="24"/>
          <w:szCs w:val="24"/>
        </w:rPr>
        <w:t>, Journal of Medical Internet Research, 22(11), pp. 1–11. DOI: 10.2196/24361.</w:t>
      </w:r>
    </w:p>
    <w:p w14:paraId="00000133" w14:textId="77777777" w:rsidR="00E80054" w:rsidRDefault="00527DE5">
      <w:pPr>
        <w:spacing w:before="0" w:line="480" w:lineRule="auto"/>
        <w:ind w:left="1440" w:hanging="720"/>
        <w:rPr>
          <w:rFonts w:ascii="Arial" w:eastAsia="Arial" w:hAnsi="Arial" w:cs="Arial"/>
          <w:color w:val="000000"/>
          <w:sz w:val="24"/>
          <w:szCs w:val="24"/>
        </w:rPr>
      </w:pPr>
      <w:proofErr w:type="spellStart"/>
      <w:r>
        <w:rPr>
          <w:rFonts w:ascii="Arial" w:eastAsia="Arial" w:hAnsi="Arial" w:cs="Arial"/>
          <w:color w:val="000000"/>
          <w:sz w:val="24"/>
          <w:szCs w:val="24"/>
        </w:rPr>
        <w:t>Žukauskas</w:t>
      </w:r>
      <w:proofErr w:type="spellEnd"/>
      <w:r>
        <w:rPr>
          <w:rFonts w:ascii="Arial" w:eastAsia="Arial" w:hAnsi="Arial" w:cs="Arial"/>
          <w:color w:val="000000"/>
          <w:sz w:val="24"/>
          <w:szCs w:val="24"/>
        </w:rPr>
        <w:t xml:space="preserve">, P., </w:t>
      </w:r>
      <w:proofErr w:type="spellStart"/>
      <w:r>
        <w:rPr>
          <w:rFonts w:ascii="Arial" w:eastAsia="Arial" w:hAnsi="Arial" w:cs="Arial"/>
          <w:color w:val="000000"/>
          <w:sz w:val="24"/>
          <w:szCs w:val="24"/>
        </w:rPr>
        <w:t>Vveinhardt</w:t>
      </w:r>
      <w:proofErr w:type="spellEnd"/>
      <w:r>
        <w:rPr>
          <w:rFonts w:ascii="Arial" w:eastAsia="Arial" w:hAnsi="Arial" w:cs="Arial"/>
          <w:color w:val="000000"/>
          <w:sz w:val="24"/>
          <w:szCs w:val="24"/>
        </w:rPr>
        <w:t xml:space="preserve">, J. and </w:t>
      </w:r>
      <w:proofErr w:type="spellStart"/>
      <w:r>
        <w:rPr>
          <w:rFonts w:ascii="Arial" w:eastAsia="Arial" w:hAnsi="Arial" w:cs="Arial"/>
          <w:color w:val="000000"/>
          <w:sz w:val="24"/>
          <w:szCs w:val="24"/>
        </w:rPr>
        <w:t>Andriukaitienė</w:t>
      </w:r>
      <w:proofErr w:type="spellEnd"/>
      <w:r>
        <w:rPr>
          <w:rFonts w:ascii="Arial" w:eastAsia="Arial" w:hAnsi="Arial" w:cs="Arial"/>
          <w:color w:val="000000"/>
          <w:sz w:val="24"/>
          <w:szCs w:val="24"/>
        </w:rPr>
        <w:t xml:space="preserve">, R. (2017) ‘Philosophy and paradigm of scientific research’, in Management culture and corporate social responsibility. London: </w:t>
      </w:r>
      <w:proofErr w:type="spellStart"/>
      <w:r>
        <w:rPr>
          <w:rFonts w:ascii="Arial" w:eastAsia="Arial" w:hAnsi="Arial" w:cs="Arial"/>
          <w:color w:val="000000"/>
          <w:sz w:val="24"/>
          <w:szCs w:val="24"/>
        </w:rPr>
        <w:t>I</w:t>
      </w:r>
      <w:r>
        <w:rPr>
          <w:rFonts w:ascii="Arial" w:eastAsia="Arial" w:hAnsi="Arial" w:cs="Arial"/>
          <w:color w:val="000000"/>
          <w:sz w:val="24"/>
          <w:szCs w:val="24"/>
        </w:rPr>
        <w:t>ntechopen</w:t>
      </w:r>
      <w:proofErr w:type="spellEnd"/>
      <w:r>
        <w:rPr>
          <w:rFonts w:ascii="Arial" w:eastAsia="Arial" w:hAnsi="Arial" w:cs="Arial"/>
          <w:color w:val="000000"/>
          <w:sz w:val="24"/>
          <w:szCs w:val="24"/>
        </w:rPr>
        <w:t>.</w:t>
      </w:r>
    </w:p>
    <w:p w14:paraId="00000134" w14:textId="77777777" w:rsidR="00E80054" w:rsidRDefault="00E80054">
      <w:pPr>
        <w:spacing w:line="480" w:lineRule="auto"/>
        <w:ind w:left="720"/>
        <w:rPr>
          <w:rFonts w:ascii="Arial" w:eastAsia="Arial" w:hAnsi="Arial" w:cs="Arial"/>
          <w:b/>
          <w:color w:val="000000"/>
          <w:sz w:val="24"/>
          <w:szCs w:val="24"/>
        </w:rPr>
      </w:pPr>
    </w:p>
    <w:p w14:paraId="00000135" w14:textId="77777777" w:rsidR="00E80054" w:rsidRDefault="00527DE5">
      <w:pPr>
        <w:spacing w:before="240" w:line="48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00000136" w14:textId="77777777" w:rsidR="00E80054" w:rsidRDefault="00E80054">
      <w:pPr>
        <w:pBdr>
          <w:top w:val="nil"/>
          <w:left w:val="nil"/>
          <w:bottom w:val="nil"/>
          <w:right w:val="nil"/>
          <w:between w:val="nil"/>
        </w:pBdr>
        <w:ind w:left="720"/>
      </w:pPr>
    </w:p>
    <w:sectPr w:rsidR="00E80054">
      <w:headerReference w:type="default" r:id="rId17"/>
      <w:headerReference w:type="first" r:id="rId18"/>
      <w:footerReference w:type="first" r:id="rId19"/>
      <w:pgSz w:w="12240" w:h="15840"/>
      <w:pgMar w:top="1080" w:right="1440" w:bottom="108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21BD79" w14:textId="77777777" w:rsidR="00527DE5" w:rsidRDefault="00527DE5">
      <w:pPr>
        <w:spacing w:before="0" w:line="240" w:lineRule="auto"/>
      </w:pPr>
      <w:r>
        <w:separator/>
      </w:r>
    </w:p>
  </w:endnote>
  <w:endnote w:type="continuationSeparator" w:id="0">
    <w:p w14:paraId="75EECC36" w14:textId="77777777" w:rsidR="00527DE5" w:rsidRDefault="00527DE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Open Sans">
    <w:panose1 w:val="020B0606030504020204"/>
    <w:charset w:val="00"/>
    <w:family w:val="swiss"/>
    <w:pitch w:val="variable"/>
    <w:sig w:usb0="E00002EF" w:usb1="4000205B" w:usb2="00000028" w:usb3="00000000" w:csb0="0000019F" w:csb1="00000000"/>
  </w:font>
  <w:font w:name="PT Sans Narrow">
    <w:altName w:val="Arial"/>
    <w:charset w:val="00"/>
    <w:family w:val="auto"/>
    <w:pitch w:val="default"/>
  </w:font>
  <w:font w:name="Trebuchet MS">
    <w:panose1 w:val="020B0603020202020204"/>
    <w:charset w:val="00"/>
    <w:family w:val="swiss"/>
    <w:pitch w:val="variable"/>
    <w:sig w:usb0="00000287" w:usb1="00000003"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3A" w14:textId="77777777" w:rsidR="00E80054" w:rsidRDefault="00E80054">
    <w:pPr>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776BC2" w14:textId="77777777" w:rsidR="00527DE5" w:rsidRDefault="00527DE5">
      <w:pPr>
        <w:spacing w:before="0" w:line="240" w:lineRule="auto"/>
      </w:pPr>
      <w:r>
        <w:separator/>
      </w:r>
    </w:p>
  </w:footnote>
  <w:footnote w:type="continuationSeparator" w:id="0">
    <w:p w14:paraId="2FA85BEE" w14:textId="77777777" w:rsidR="00527DE5" w:rsidRDefault="00527DE5">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37" w14:textId="5F1C9A3C" w:rsidR="00E80054" w:rsidRDefault="00527DE5">
    <w:pPr>
      <w:pStyle w:val="Subtitle"/>
      <w:pBdr>
        <w:top w:val="nil"/>
        <w:left w:val="nil"/>
        <w:bottom w:val="nil"/>
        <w:right w:val="nil"/>
        <w:between w:val="nil"/>
      </w:pBdr>
      <w:spacing w:before="600"/>
      <w:jc w:val="right"/>
    </w:pPr>
    <w:bookmarkStart w:id="55" w:name="_9nvcibv3gama" w:colFirst="0" w:colLast="0"/>
    <w:bookmarkEnd w:id="55"/>
    <w:r>
      <w:rPr>
        <w:color w:val="000000"/>
      </w:rPr>
      <w:t xml:space="preserve">  </w:t>
    </w:r>
    <w:r>
      <w:rPr>
        <w:color w:val="000000"/>
      </w:rPr>
      <w:fldChar w:fldCharType="begin"/>
    </w:r>
    <w:r>
      <w:rPr>
        <w:color w:val="000000"/>
      </w:rPr>
      <w:instrText>PAGE</w:instrText>
    </w:r>
    <w:r>
      <w:rPr>
        <w:color w:val="000000"/>
      </w:rPr>
      <w:fldChar w:fldCharType="separate"/>
    </w:r>
    <w:r w:rsidR="00187CE0">
      <w:rPr>
        <w:noProof/>
        <w:color w:val="000000"/>
      </w:rPr>
      <w:t>1</w:t>
    </w:r>
    <w:r>
      <w:rPr>
        <w:color w:val="000000"/>
      </w:rPr>
      <w:fldChar w:fldCharType="end"/>
    </w:r>
  </w:p>
  <w:p w14:paraId="00000138" w14:textId="77777777" w:rsidR="00E80054" w:rsidRDefault="00527DE5">
    <w:pPr>
      <w:pBdr>
        <w:top w:val="nil"/>
        <w:left w:val="nil"/>
        <w:bottom w:val="nil"/>
        <w:right w:val="nil"/>
        <w:between w:val="nil"/>
      </w:pBdr>
      <w:spacing w:after="200"/>
    </w:pPr>
    <w:r>
      <w:rPr>
        <w:noProof/>
      </w:rPr>
      <w:drawing>
        <wp:inline distT="114300" distB="114300" distL="114300" distR="114300">
          <wp:extent cx="5916349" cy="104775"/>
          <wp:effectExtent l="0" t="0" r="0" b="0"/>
          <wp:docPr id="1"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1"/>
                  <a:srcRect b="-32286"/>
                  <a:stretch>
                    <a:fillRect/>
                  </a:stretch>
                </pic:blipFill>
                <pic:spPr>
                  <a:xfrm>
                    <a:off x="0" y="0"/>
                    <a:ext cx="5916349" cy="104775"/>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39" w14:textId="77777777" w:rsidR="00E80054" w:rsidRDefault="00E80054">
    <w:pPr>
      <w:pBdr>
        <w:top w:val="nil"/>
        <w:left w:val="nil"/>
        <w:bottom w:val="nil"/>
        <w:right w:val="nil"/>
        <w:between w:val="nil"/>
      </w:pBdr>
      <w:spacing w:before="600"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054"/>
    <w:rsid w:val="00187CE0"/>
    <w:rsid w:val="004220E2"/>
    <w:rsid w:val="00527DE5"/>
    <w:rsid w:val="00E751B6"/>
    <w:rsid w:val="00E80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43046"/>
  <w15:docId w15:val="{1E639DC1-4662-42BA-AC7B-3EE0C7F13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Open Sans" w:eastAsia="Open Sans" w:hAnsi="Open Sans" w:cs="Open Sans"/>
        <w:color w:val="695D46"/>
        <w:sz w:val="22"/>
        <w:szCs w:val="22"/>
        <w:lang w:val="en" w:eastAsia="en-GB" w:bidi="ar-SA"/>
      </w:rPr>
    </w:rPrDefault>
    <w:pPrDefault>
      <w:pPr>
        <w:spacing w:before="12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widowControl w:val="0"/>
      <w:spacing w:before="480" w:line="312" w:lineRule="auto"/>
      <w:outlineLvl w:val="0"/>
    </w:pPr>
    <w:rPr>
      <w:rFonts w:ascii="PT Sans Narrow" w:eastAsia="PT Sans Narrow" w:hAnsi="PT Sans Narrow" w:cs="PT Sans Narrow"/>
      <w:b/>
      <w:color w:val="FF5E0E"/>
      <w:sz w:val="36"/>
      <w:szCs w:val="36"/>
    </w:rPr>
  </w:style>
  <w:style w:type="paragraph" w:styleId="Heading2">
    <w:name w:val="heading 2"/>
    <w:basedOn w:val="Normal"/>
    <w:next w:val="Normal"/>
    <w:uiPriority w:val="9"/>
    <w:unhideWhenUsed/>
    <w:qFormat/>
    <w:pPr>
      <w:spacing w:before="320" w:line="240" w:lineRule="auto"/>
      <w:outlineLvl w:val="1"/>
    </w:pPr>
    <w:rPr>
      <w:rFonts w:ascii="PT Sans Narrow" w:eastAsia="PT Sans Narrow" w:hAnsi="PT Sans Narrow" w:cs="PT Sans Narrow"/>
      <w:color w:val="008575"/>
      <w:sz w:val="32"/>
      <w:szCs w:val="32"/>
    </w:rPr>
  </w:style>
  <w:style w:type="paragraph" w:styleId="Heading3">
    <w:name w:val="heading 3"/>
    <w:basedOn w:val="Normal"/>
    <w:next w:val="Normal"/>
    <w:uiPriority w:val="9"/>
    <w:unhideWhenUsed/>
    <w:qFormat/>
    <w:pPr>
      <w:spacing w:before="200" w:line="240" w:lineRule="auto"/>
      <w:outlineLvl w:val="2"/>
    </w:pPr>
    <w:rPr>
      <w:rFonts w:ascii="PT Sans Narrow" w:eastAsia="PT Sans Narrow" w:hAnsi="PT Sans Narrow" w:cs="PT Sans Narrow"/>
      <w:sz w:val="28"/>
      <w:szCs w:val="28"/>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320" w:line="240" w:lineRule="auto"/>
    </w:pPr>
    <w:rPr>
      <w:rFonts w:ascii="PT Sans Narrow" w:eastAsia="PT Sans Narrow" w:hAnsi="PT Sans Narrow" w:cs="PT Sans Narrow"/>
      <w:b/>
      <w:sz w:val="84"/>
      <w:szCs w:val="84"/>
    </w:rPr>
  </w:style>
  <w:style w:type="paragraph" w:styleId="Subtitle">
    <w:name w:val="Subtitle"/>
    <w:basedOn w:val="Normal"/>
    <w:next w:val="Normal"/>
    <w:uiPriority w:val="11"/>
    <w:qFormat/>
    <w:pPr>
      <w:spacing w:before="200" w:line="240" w:lineRule="auto"/>
    </w:pPr>
    <w:rPr>
      <w:rFonts w:ascii="PT Sans Narrow" w:eastAsia="PT Sans Narrow" w:hAnsi="PT Sans Narrow" w:cs="PT Sans Narrow"/>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promises.com/addiction-blog/alcoholism-and-parent-alienation-the-effects-of-addiction-on-parenting/" TargetMode="External"/><Relationship Id="rId13" Type="http://schemas.openxmlformats.org/officeDocument/2006/relationships/hyperlink" Target="https://www.bls.gov/opub/mlr/2013/article/marriage-and-divorce-patterns-by-gender-race-and-educational-attainment.htm"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hyperlink" Target="https://www.bls.gov/opub/mlr/2013/article/marriage-and-divorce-patterns-by-gender-race-and-educational-attainment.htm"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who.int/substance_abuse/publications/global_alcohol_report/profiles/gbr.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legislation.gov.uk/ukpga/1989/41/contents" TargetMode="External"/><Relationship Id="rId5" Type="http://schemas.openxmlformats.org/officeDocument/2006/relationships/endnotes" Target="endnotes.xml"/><Relationship Id="rId15" Type="http://schemas.openxmlformats.org/officeDocument/2006/relationships/hyperlink" Target="https://ifstudies.org/blog/trends-in-the-intergenerational-transmission-of-divorce-1973-2018" TargetMode="External"/><Relationship Id="rId10" Type="http://schemas.openxmlformats.org/officeDocument/2006/relationships/hyperlink" Target="https://www.legislation.gov.uk/ukpga/1989/41/contents"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promises.com/addiction-blog/alcoholism-and-parent-alienation-the-effects-of-addiction-on-parenting/" TargetMode="External"/><Relationship Id="rId14" Type="http://schemas.openxmlformats.org/officeDocument/2006/relationships/hyperlink" Target="https://ifstudies.org/blog/trends-in-the-intergenerational-transmission-of-divorce-1973-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9952</Words>
  <Characters>56728</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Cassie Hammond</cp:lastModifiedBy>
  <cp:revision>2</cp:revision>
  <dcterms:created xsi:type="dcterms:W3CDTF">2021-07-08T11:07:00Z</dcterms:created>
  <dcterms:modified xsi:type="dcterms:W3CDTF">2021-07-08T11:07:00Z</dcterms:modified>
</cp:coreProperties>
</file>