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AF5F1" w14:textId="77777777" w:rsidR="0014002E" w:rsidRPr="00C77B7C" w:rsidRDefault="0014002E" w:rsidP="0014002E">
      <w:pPr>
        <w:spacing w:after="0" w:line="360" w:lineRule="auto"/>
        <w:jc w:val="both"/>
        <w:rPr>
          <w:rFonts w:ascii="Arial" w:eastAsia="Arial" w:hAnsi="Arial" w:cs="Arial"/>
          <w:kern w:val="0"/>
          <w:lang w:eastAsia="en-GB"/>
          <w14:ligatures w14:val="none"/>
        </w:rPr>
      </w:pPr>
    </w:p>
    <w:p w14:paraId="2159F0C0" w14:textId="77777777" w:rsidR="0014002E" w:rsidRPr="00C77B7C" w:rsidRDefault="0014002E" w:rsidP="0014002E">
      <w:pPr>
        <w:spacing w:after="0" w:line="360" w:lineRule="auto"/>
        <w:jc w:val="center"/>
        <w:rPr>
          <w:rFonts w:ascii="Arial" w:eastAsia="Arial" w:hAnsi="Arial" w:cs="Arial"/>
          <w:b/>
          <w:bCs/>
          <w:kern w:val="0"/>
          <w:sz w:val="32"/>
          <w:szCs w:val="32"/>
          <w:lang w:eastAsia="en-GB"/>
          <w14:ligatures w14:val="none"/>
        </w:rPr>
      </w:pPr>
      <w:r w:rsidRPr="00C77B7C">
        <w:rPr>
          <w:rFonts w:ascii="Arial" w:eastAsia="Arial" w:hAnsi="Arial" w:cs="Arial"/>
          <w:b/>
          <w:bCs/>
          <w:kern w:val="0"/>
          <w:sz w:val="32"/>
          <w:szCs w:val="32"/>
          <w:lang w:eastAsia="en-GB"/>
          <w14:ligatures w14:val="none"/>
        </w:rPr>
        <w:t>Management and organisational behaviour</w:t>
      </w:r>
    </w:p>
    <w:p w14:paraId="1275B332" w14:textId="77777777" w:rsidR="0014002E" w:rsidRPr="00C77B7C" w:rsidRDefault="0014002E" w:rsidP="0014002E">
      <w:pPr>
        <w:spacing w:after="0" w:line="360" w:lineRule="auto"/>
        <w:jc w:val="center"/>
        <w:rPr>
          <w:rFonts w:ascii="Arial" w:eastAsia="Arial" w:hAnsi="Arial" w:cs="Arial"/>
          <w:b/>
          <w:bCs/>
          <w:kern w:val="0"/>
          <w:sz w:val="32"/>
          <w:szCs w:val="32"/>
          <w:lang w:eastAsia="en-GB"/>
          <w14:ligatures w14:val="none"/>
        </w:rPr>
      </w:pPr>
    </w:p>
    <w:p w14:paraId="4868368B" w14:textId="77777777" w:rsidR="0014002E" w:rsidRPr="00C77B7C" w:rsidRDefault="0014002E" w:rsidP="0014002E">
      <w:pPr>
        <w:spacing w:after="0" w:line="360" w:lineRule="auto"/>
        <w:jc w:val="center"/>
        <w:rPr>
          <w:rFonts w:ascii="Arial" w:eastAsia="Arial" w:hAnsi="Arial" w:cs="Arial"/>
          <w:b/>
          <w:bCs/>
          <w:kern w:val="0"/>
          <w:sz w:val="32"/>
          <w:szCs w:val="32"/>
          <w:lang w:eastAsia="en-GB"/>
          <w14:ligatures w14:val="none"/>
        </w:rPr>
      </w:pPr>
    </w:p>
    <w:p w14:paraId="610140DF" w14:textId="77777777" w:rsidR="0014002E" w:rsidRPr="00C77B7C" w:rsidRDefault="0014002E" w:rsidP="0014002E">
      <w:pPr>
        <w:spacing w:after="0" w:line="360" w:lineRule="auto"/>
        <w:jc w:val="center"/>
        <w:rPr>
          <w:rFonts w:ascii="Arial" w:eastAsia="Arial" w:hAnsi="Arial" w:cs="Arial"/>
          <w:b/>
          <w:bCs/>
          <w:kern w:val="0"/>
          <w:sz w:val="32"/>
          <w:szCs w:val="32"/>
          <w:lang w:eastAsia="en-GB"/>
          <w14:ligatures w14:val="none"/>
        </w:rPr>
      </w:pPr>
    </w:p>
    <w:p w14:paraId="082284B4" w14:textId="77777777" w:rsidR="0014002E" w:rsidRPr="00C77B7C" w:rsidRDefault="0014002E" w:rsidP="0014002E">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Madalina Ghera</w:t>
      </w:r>
    </w:p>
    <w:p w14:paraId="2F49B121" w14:textId="77777777" w:rsidR="0014002E" w:rsidRPr="00C77B7C" w:rsidRDefault="0014002E" w:rsidP="0014002E">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id: 2128167</w:t>
      </w:r>
    </w:p>
    <w:p w14:paraId="391CFA42" w14:textId="77777777" w:rsidR="0014002E" w:rsidRPr="00C77B7C" w:rsidRDefault="0014002E" w:rsidP="0014002E">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Tutor: Daniel Payne</w:t>
      </w:r>
    </w:p>
    <w:p w14:paraId="27B98374" w14:textId="77777777" w:rsidR="0014002E" w:rsidRPr="00C77B7C" w:rsidRDefault="0014002E" w:rsidP="0014002E">
      <w:pPr>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BMIH5004</w:t>
      </w:r>
    </w:p>
    <w:p w14:paraId="12F4CBF1" w14:textId="77777777" w:rsidR="0014002E" w:rsidRPr="00C77B7C" w:rsidRDefault="0014002E" w:rsidP="0014002E">
      <w:pPr>
        <w:spacing w:after="0" w:line="360" w:lineRule="auto"/>
        <w:jc w:val="center"/>
        <w:rPr>
          <w:rFonts w:ascii="Arial" w:eastAsia="Times New Roman" w:hAnsi="Arial" w:cs="Arial"/>
          <w:b/>
          <w:bCs/>
          <w:color w:val="000000"/>
          <w:kern w:val="0"/>
          <w:sz w:val="32"/>
          <w:szCs w:val="32"/>
          <w14:ligatures w14:val="none"/>
        </w:rPr>
      </w:pPr>
    </w:p>
    <w:p w14:paraId="54408503" w14:textId="77777777" w:rsidR="0014002E" w:rsidRPr="00C77B7C" w:rsidRDefault="0014002E" w:rsidP="0014002E">
      <w:pPr>
        <w:spacing w:after="0" w:line="360" w:lineRule="auto"/>
        <w:jc w:val="center"/>
        <w:rPr>
          <w:rFonts w:ascii="Arial" w:eastAsia="Times New Roman" w:hAnsi="Arial" w:cs="Arial"/>
          <w:b/>
          <w:bCs/>
          <w:color w:val="000000"/>
          <w:kern w:val="0"/>
          <w:sz w:val="32"/>
          <w:szCs w:val="32"/>
          <w14:ligatures w14:val="none"/>
        </w:rPr>
      </w:pPr>
    </w:p>
    <w:p w14:paraId="4A3BA13A" w14:textId="77777777" w:rsidR="0014002E" w:rsidRPr="00C77B7C" w:rsidRDefault="0014002E" w:rsidP="0014002E">
      <w:pPr>
        <w:spacing w:after="0" w:line="360" w:lineRule="auto"/>
        <w:jc w:val="center"/>
        <w:rPr>
          <w:rFonts w:ascii="Arial" w:eastAsia="Times New Roman" w:hAnsi="Arial" w:cs="Arial"/>
          <w:b/>
          <w:bCs/>
          <w:color w:val="000000"/>
          <w:kern w:val="0"/>
          <w:sz w:val="32"/>
          <w:szCs w:val="32"/>
          <w14:ligatures w14:val="none"/>
        </w:rPr>
      </w:pPr>
    </w:p>
    <w:p w14:paraId="6CA4FF71" w14:textId="77777777" w:rsidR="0014002E" w:rsidRPr="00C77B7C" w:rsidRDefault="0014002E" w:rsidP="0014002E">
      <w:pPr>
        <w:spacing w:after="0" w:line="360" w:lineRule="auto"/>
        <w:jc w:val="center"/>
        <w:rPr>
          <w:rFonts w:ascii="Arial" w:eastAsia="Times New Roman" w:hAnsi="Arial" w:cs="Arial"/>
          <w:b/>
          <w:bCs/>
          <w:color w:val="000000"/>
          <w:kern w:val="0"/>
          <w:sz w:val="32"/>
          <w:szCs w:val="32"/>
          <w14:ligatures w14:val="none"/>
        </w:rPr>
      </w:pPr>
    </w:p>
    <w:p w14:paraId="10E875EF" w14:textId="7F4DBADB" w:rsidR="0014002E" w:rsidRPr="00C77B7C" w:rsidRDefault="0014002E" w:rsidP="0014002E">
      <w:pPr>
        <w:spacing w:after="0" w:line="360" w:lineRule="auto"/>
        <w:jc w:val="center"/>
        <w:rPr>
          <w:rFonts w:ascii="Arial" w:eastAsia="Arial" w:hAnsi="Arial" w:cs="Arial"/>
          <w:b/>
          <w:bCs/>
          <w:kern w:val="0"/>
          <w:sz w:val="32"/>
          <w:szCs w:val="32"/>
          <w:lang w:eastAsia="en-GB"/>
          <w14:ligatures w14:val="none"/>
        </w:rPr>
      </w:pPr>
      <w:r w:rsidRPr="00C77B7C">
        <w:rPr>
          <w:rFonts w:ascii="Arial" w:eastAsia="Times New Roman" w:hAnsi="Arial" w:cs="Arial"/>
          <w:b/>
          <w:bCs/>
          <w:color w:val="000000"/>
          <w:kern w:val="0"/>
          <w:sz w:val="32"/>
          <w:szCs w:val="32"/>
          <w14:ligatures w14:val="none"/>
        </w:rPr>
        <w:t>I consent that I have used AI as a tool. I have used Grammarly for spell check</w:t>
      </w:r>
      <w:r>
        <w:rPr>
          <w:rFonts w:ascii="Arial" w:eastAsia="Times New Roman" w:hAnsi="Arial" w:cs="Arial"/>
          <w:b/>
          <w:bCs/>
          <w:color w:val="000000"/>
          <w:kern w:val="0"/>
          <w:sz w:val="32"/>
          <w:szCs w:val="32"/>
          <w14:ligatures w14:val="none"/>
        </w:rPr>
        <w:t xml:space="preserve"> on 06.03.2025</w:t>
      </w:r>
    </w:p>
    <w:p w14:paraId="03C8A46A" w14:textId="77777777" w:rsidR="0014002E" w:rsidRDefault="0014002E"/>
    <w:p w14:paraId="11D7F34D" w14:textId="77777777" w:rsidR="0014002E" w:rsidRDefault="0014002E"/>
    <w:p w14:paraId="4984A63C" w14:textId="77777777" w:rsidR="0014002E" w:rsidRDefault="0014002E"/>
    <w:p w14:paraId="317C1258" w14:textId="77777777" w:rsidR="0014002E" w:rsidRDefault="0014002E"/>
    <w:p w14:paraId="32D6676F" w14:textId="77777777" w:rsidR="0014002E" w:rsidRDefault="0014002E"/>
    <w:p w14:paraId="613457B5" w14:textId="77777777" w:rsidR="0014002E" w:rsidRDefault="0014002E"/>
    <w:p w14:paraId="477C56AF" w14:textId="77777777" w:rsidR="0014002E" w:rsidRDefault="0014002E"/>
    <w:p w14:paraId="5A46EC4D" w14:textId="77777777" w:rsidR="0014002E" w:rsidRDefault="0014002E"/>
    <w:p w14:paraId="64F2B13B" w14:textId="77777777" w:rsidR="0014002E" w:rsidRDefault="0014002E"/>
    <w:p w14:paraId="669AD528" w14:textId="77777777" w:rsidR="0014002E" w:rsidRDefault="0014002E"/>
    <w:p w14:paraId="015BCA74"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0" w:name="_oxpie4bc1lx4"/>
      <w:bookmarkEnd w:id="0"/>
      <w:r w:rsidRPr="0014002E">
        <w:rPr>
          <w:rFonts w:ascii="Arial" w:eastAsia="Arial" w:hAnsi="Arial" w:cs="Arial"/>
          <w:color w:val="000000"/>
          <w:kern w:val="0"/>
          <w:sz w:val="28"/>
          <w:szCs w:val="28"/>
          <w:lang w:eastAsia="en-GB"/>
          <w14:ligatures w14:val="none"/>
        </w:rPr>
        <w:lastRenderedPageBreak/>
        <w:t xml:space="preserve">Table of contents </w:t>
      </w:r>
    </w:p>
    <w:p w14:paraId="3972870D"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79B3DF6D"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sdt>
      <w:sdtPr>
        <w:rPr>
          <w:rFonts w:ascii="Arial" w:eastAsia="Arial" w:hAnsi="Arial" w:cs="Arial"/>
          <w:kern w:val="0"/>
          <w:sz w:val="22"/>
          <w:szCs w:val="22"/>
          <w:lang w:eastAsia="en-GB"/>
          <w14:ligatures w14:val="none"/>
        </w:rPr>
        <w:id w:val="1895075986"/>
        <w:docPartObj>
          <w:docPartGallery w:val="Table of Contents"/>
          <w:docPartUnique/>
        </w:docPartObj>
      </w:sdtPr>
      <w:sdtContent>
        <w:p w14:paraId="048F5EE0" w14:textId="77777777" w:rsidR="0014002E" w:rsidRPr="0014002E" w:rsidRDefault="0014002E" w:rsidP="0014002E">
          <w:pPr>
            <w:widowControl w:val="0"/>
            <w:tabs>
              <w:tab w:val="right" w:leader="dot" w:pos="12000"/>
            </w:tabs>
            <w:spacing w:before="60" w:after="0" w:line="240" w:lineRule="auto"/>
            <w:rPr>
              <w:rFonts w:ascii="Arial" w:eastAsia="Arial" w:hAnsi="Arial" w:cs="Arial"/>
              <w:b/>
              <w:color w:val="000000"/>
              <w:kern w:val="0"/>
              <w:sz w:val="22"/>
              <w:szCs w:val="22"/>
              <w:lang w:eastAsia="en-GB"/>
              <w14:ligatures w14:val="none"/>
            </w:rPr>
          </w:pPr>
          <w:r w:rsidRPr="0014002E">
            <w:rPr>
              <w:rFonts w:ascii="Arial" w:eastAsia="Arial" w:hAnsi="Arial" w:cs="Arial"/>
              <w:kern w:val="0"/>
              <w:sz w:val="22"/>
              <w:szCs w:val="22"/>
              <w:lang w:eastAsia="en-GB"/>
              <w14:ligatures w14:val="none"/>
            </w:rPr>
            <w:fldChar w:fldCharType="begin"/>
          </w:r>
          <w:r w:rsidRPr="0014002E">
            <w:rPr>
              <w:rFonts w:ascii="Arial" w:eastAsia="Arial" w:hAnsi="Arial" w:cs="Arial"/>
              <w:kern w:val="0"/>
              <w:sz w:val="22"/>
              <w:szCs w:val="22"/>
              <w:lang w:eastAsia="en-GB"/>
              <w14:ligatures w14:val="none"/>
            </w:rPr>
            <w:instrText xml:space="preserve"> TOC \h \u \z \t "Heading 1,1,Heading 2,2,Heading 3,3,Heading 4,4,Heading 5,5,Heading 6,6,"</w:instrText>
          </w:r>
          <w:r w:rsidRPr="0014002E">
            <w:rPr>
              <w:rFonts w:ascii="Arial" w:eastAsia="Arial" w:hAnsi="Arial" w:cs="Arial"/>
              <w:kern w:val="0"/>
              <w:sz w:val="22"/>
              <w:szCs w:val="22"/>
              <w:lang w:eastAsia="en-GB"/>
              <w14:ligatures w14:val="none"/>
            </w:rPr>
            <w:fldChar w:fldCharType="separate"/>
          </w:r>
          <w:hyperlink r:id="rId5" w:anchor="_oxpie4bc1lx4" w:history="1">
            <w:r w:rsidRPr="0014002E">
              <w:rPr>
                <w:rFonts w:ascii="Arial" w:eastAsia="Arial" w:hAnsi="Arial" w:cs="Arial"/>
                <w:b/>
                <w:color w:val="000000"/>
                <w:kern w:val="0"/>
                <w:sz w:val="22"/>
                <w:szCs w:val="22"/>
                <w:u w:val="single"/>
                <w:lang w:eastAsia="en-GB"/>
                <w14:ligatures w14:val="none"/>
              </w:rPr>
              <w:t>Table of contents</w:t>
            </w:r>
            <w:r w:rsidRPr="0014002E">
              <w:rPr>
                <w:rFonts w:ascii="Arial" w:eastAsia="Arial" w:hAnsi="Arial" w:cs="Arial"/>
                <w:b/>
                <w:color w:val="000000"/>
                <w:kern w:val="0"/>
                <w:sz w:val="22"/>
                <w:szCs w:val="22"/>
                <w:u w:val="single"/>
                <w:lang w:eastAsia="en-GB"/>
                <w14:ligatures w14:val="none"/>
              </w:rPr>
              <w:tab/>
              <w:t>1</w:t>
            </w:r>
          </w:hyperlink>
        </w:p>
        <w:p w14:paraId="0B3757AC" w14:textId="77777777" w:rsidR="0014002E" w:rsidRPr="0014002E" w:rsidRDefault="0014002E" w:rsidP="0014002E">
          <w:pPr>
            <w:widowControl w:val="0"/>
            <w:tabs>
              <w:tab w:val="right" w:leader="dot" w:pos="12000"/>
            </w:tabs>
            <w:spacing w:before="60" w:after="0" w:line="240" w:lineRule="auto"/>
            <w:rPr>
              <w:rFonts w:ascii="Arial" w:eastAsia="Arial" w:hAnsi="Arial" w:cs="Arial"/>
              <w:b/>
              <w:color w:val="000000"/>
              <w:kern w:val="0"/>
              <w:sz w:val="22"/>
              <w:szCs w:val="22"/>
              <w:lang w:eastAsia="en-GB"/>
              <w14:ligatures w14:val="none"/>
            </w:rPr>
          </w:pPr>
          <w:hyperlink r:id="rId6" w:anchor="_kwyf3vkq0sbg" w:history="1">
            <w:r w:rsidRPr="0014002E">
              <w:rPr>
                <w:rFonts w:ascii="Arial" w:eastAsia="Arial" w:hAnsi="Arial" w:cs="Arial"/>
                <w:b/>
                <w:color w:val="000000"/>
                <w:kern w:val="0"/>
                <w:sz w:val="22"/>
                <w:szCs w:val="22"/>
                <w:u w:val="single"/>
                <w:lang w:eastAsia="en-GB"/>
                <w14:ligatures w14:val="none"/>
              </w:rPr>
              <w:t>Executive summary</w:t>
            </w:r>
            <w:r w:rsidRPr="0014002E">
              <w:rPr>
                <w:rFonts w:ascii="Arial" w:eastAsia="Arial" w:hAnsi="Arial" w:cs="Arial"/>
                <w:b/>
                <w:color w:val="000000"/>
                <w:kern w:val="0"/>
                <w:sz w:val="22"/>
                <w:szCs w:val="22"/>
                <w:u w:val="single"/>
                <w:lang w:eastAsia="en-GB"/>
                <w14:ligatures w14:val="none"/>
              </w:rPr>
              <w:tab/>
              <w:t>2</w:t>
            </w:r>
          </w:hyperlink>
        </w:p>
        <w:p w14:paraId="652B1FF9" w14:textId="77777777" w:rsidR="0014002E" w:rsidRPr="0014002E" w:rsidRDefault="0014002E" w:rsidP="0014002E">
          <w:pPr>
            <w:widowControl w:val="0"/>
            <w:tabs>
              <w:tab w:val="right" w:leader="dot" w:pos="12000"/>
            </w:tabs>
            <w:spacing w:before="60" w:after="0" w:line="240" w:lineRule="auto"/>
            <w:ind w:left="360"/>
            <w:rPr>
              <w:rFonts w:ascii="Arial" w:eastAsia="Arial" w:hAnsi="Arial" w:cs="Arial"/>
              <w:color w:val="000000"/>
              <w:kern w:val="0"/>
              <w:sz w:val="22"/>
              <w:szCs w:val="22"/>
              <w:lang w:eastAsia="en-GB"/>
              <w14:ligatures w14:val="none"/>
            </w:rPr>
          </w:pPr>
          <w:hyperlink r:id="rId7" w:anchor="_vk0ax4cil57f" w:history="1">
            <w:r w:rsidRPr="0014002E">
              <w:rPr>
                <w:rFonts w:ascii="Arial" w:eastAsia="Arial" w:hAnsi="Arial" w:cs="Arial"/>
                <w:color w:val="000000"/>
                <w:kern w:val="0"/>
                <w:sz w:val="22"/>
                <w:szCs w:val="22"/>
                <w:u w:val="single"/>
                <w:lang w:eastAsia="en-GB"/>
                <w14:ligatures w14:val="none"/>
              </w:rPr>
              <w:t>Introduction</w:t>
            </w:r>
            <w:r w:rsidRPr="0014002E">
              <w:rPr>
                <w:rFonts w:ascii="Arial" w:eastAsia="Arial" w:hAnsi="Arial" w:cs="Arial"/>
                <w:color w:val="000000"/>
                <w:kern w:val="0"/>
                <w:sz w:val="22"/>
                <w:szCs w:val="22"/>
                <w:u w:val="single"/>
                <w:lang w:eastAsia="en-GB"/>
                <w14:ligatures w14:val="none"/>
              </w:rPr>
              <w:tab/>
              <w:t>3</w:t>
            </w:r>
          </w:hyperlink>
        </w:p>
        <w:p w14:paraId="42768007" w14:textId="77777777" w:rsidR="0014002E" w:rsidRPr="0014002E" w:rsidRDefault="0014002E" w:rsidP="0014002E">
          <w:pPr>
            <w:widowControl w:val="0"/>
            <w:tabs>
              <w:tab w:val="right" w:leader="dot" w:pos="12000"/>
            </w:tabs>
            <w:spacing w:before="60" w:after="0" w:line="240" w:lineRule="auto"/>
            <w:ind w:left="360"/>
            <w:rPr>
              <w:rFonts w:ascii="Arial" w:eastAsia="Arial" w:hAnsi="Arial" w:cs="Arial"/>
              <w:color w:val="000000"/>
              <w:kern w:val="0"/>
              <w:sz w:val="22"/>
              <w:szCs w:val="22"/>
              <w:lang w:eastAsia="en-GB"/>
              <w14:ligatures w14:val="none"/>
            </w:rPr>
          </w:pPr>
          <w:hyperlink r:id="rId8" w:anchor="_sblle5mmquv1" w:history="1">
            <w:r w:rsidRPr="0014002E">
              <w:rPr>
                <w:rFonts w:ascii="Arial" w:eastAsia="Arial" w:hAnsi="Arial" w:cs="Arial"/>
                <w:color w:val="000000"/>
                <w:kern w:val="0"/>
                <w:sz w:val="22"/>
                <w:szCs w:val="22"/>
                <w:u w:val="single"/>
                <w:lang w:eastAsia="en-GB"/>
                <w14:ligatures w14:val="none"/>
              </w:rPr>
              <w:t>Organisation's structure, goals and corporate culture</w:t>
            </w:r>
            <w:r w:rsidRPr="0014002E">
              <w:rPr>
                <w:rFonts w:ascii="Arial" w:eastAsia="Arial" w:hAnsi="Arial" w:cs="Arial"/>
                <w:color w:val="000000"/>
                <w:kern w:val="0"/>
                <w:sz w:val="22"/>
                <w:szCs w:val="22"/>
                <w:u w:val="single"/>
                <w:lang w:eastAsia="en-GB"/>
                <w14:ligatures w14:val="none"/>
              </w:rPr>
              <w:tab/>
              <w:t>4</w:t>
            </w:r>
          </w:hyperlink>
        </w:p>
        <w:p w14:paraId="571A6DF3" w14:textId="77777777" w:rsidR="0014002E" w:rsidRPr="0014002E" w:rsidRDefault="0014002E" w:rsidP="0014002E">
          <w:pPr>
            <w:widowControl w:val="0"/>
            <w:tabs>
              <w:tab w:val="right" w:leader="dot" w:pos="12000"/>
            </w:tabs>
            <w:spacing w:before="60" w:after="0" w:line="240" w:lineRule="auto"/>
            <w:ind w:left="360"/>
            <w:rPr>
              <w:rFonts w:ascii="Arial" w:eastAsia="Arial" w:hAnsi="Arial" w:cs="Arial"/>
              <w:color w:val="000000"/>
              <w:kern w:val="0"/>
              <w:sz w:val="22"/>
              <w:szCs w:val="22"/>
              <w:lang w:eastAsia="en-GB"/>
              <w14:ligatures w14:val="none"/>
            </w:rPr>
          </w:pPr>
          <w:hyperlink r:id="rId9" w:anchor="_8ul9pgi7fdwc" w:history="1">
            <w:r w:rsidRPr="0014002E">
              <w:rPr>
                <w:rFonts w:ascii="Arial" w:eastAsia="Arial" w:hAnsi="Arial" w:cs="Arial"/>
                <w:b/>
                <w:color w:val="000000"/>
                <w:kern w:val="0"/>
                <w:sz w:val="22"/>
                <w:szCs w:val="22"/>
                <w:u w:val="single"/>
                <w:lang w:eastAsia="en-GB"/>
                <w14:ligatures w14:val="none"/>
              </w:rPr>
              <w:t xml:space="preserve">Hilton’s recent initiatives,impact on </w:t>
            </w:r>
          </w:hyperlink>
          <w:hyperlink r:id="rId10" w:anchor="_8ul9pgi7fdwc" w:history="1">
            <w:r w:rsidRPr="0014002E">
              <w:rPr>
                <w:rFonts w:ascii="Arial" w:eastAsia="Arial" w:hAnsi="Arial" w:cs="Arial"/>
                <w:b/>
                <w:color w:val="0000FF"/>
                <w:kern w:val="0"/>
                <w:sz w:val="22"/>
                <w:szCs w:val="22"/>
                <w:u w:val="single"/>
                <w:lang w:eastAsia="en-GB"/>
                <w14:ligatures w14:val="none"/>
              </w:rPr>
              <w:t xml:space="preserve">the </w:t>
            </w:r>
          </w:hyperlink>
          <w:hyperlink r:id="rId11" w:anchor="_8ul9pgi7fdwc" w:history="1">
            <w:r w:rsidRPr="0014002E">
              <w:rPr>
                <w:rFonts w:ascii="Arial" w:eastAsia="Arial" w:hAnsi="Arial" w:cs="Arial"/>
                <w:b/>
                <w:color w:val="000000"/>
                <w:kern w:val="0"/>
                <w:sz w:val="22"/>
                <w:szCs w:val="22"/>
                <w:u w:val="single"/>
                <w:lang w:eastAsia="en-GB"/>
                <w14:ligatures w14:val="none"/>
              </w:rPr>
              <w:t>organisation and how it is managed</w:t>
            </w:r>
            <w:r w:rsidRPr="0014002E">
              <w:rPr>
                <w:rFonts w:ascii="Arial" w:eastAsia="Arial" w:hAnsi="Arial" w:cs="Arial"/>
                <w:b/>
                <w:color w:val="000000"/>
                <w:kern w:val="0"/>
                <w:sz w:val="22"/>
                <w:szCs w:val="22"/>
                <w:u w:val="single"/>
                <w:lang w:eastAsia="en-GB"/>
                <w14:ligatures w14:val="none"/>
              </w:rPr>
              <w:tab/>
              <w:t>6</w:t>
            </w:r>
          </w:hyperlink>
        </w:p>
        <w:p w14:paraId="2BF8E237" w14:textId="77777777" w:rsidR="0014002E" w:rsidRPr="0014002E" w:rsidRDefault="0014002E" w:rsidP="0014002E">
          <w:pPr>
            <w:widowControl w:val="0"/>
            <w:tabs>
              <w:tab w:val="right" w:leader="dot" w:pos="12000"/>
            </w:tabs>
            <w:spacing w:before="60" w:after="0" w:line="240" w:lineRule="auto"/>
            <w:ind w:left="360"/>
            <w:rPr>
              <w:rFonts w:ascii="Arial" w:eastAsia="Arial" w:hAnsi="Arial" w:cs="Arial"/>
              <w:color w:val="000000"/>
              <w:kern w:val="0"/>
              <w:sz w:val="22"/>
              <w:szCs w:val="22"/>
              <w:lang w:eastAsia="en-GB"/>
              <w14:ligatures w14:val="none"/>
            </w:rPr>
          </w:pPr>
          <w:hyperlink r:id="rId12" w:anchor="_6vpfwpyml19i" w:history="1">
            <w:r w:rsidRPr="0014002E">
              <w:rPr>
                <w:rFonts w:ascii="Arial" w:eastAsia="Arial" w:hAnsi="Arial" w:cs="Arial"/>
                <w:color w:val="000000"/>
                <w:kern w:val="0"/>
                <w:sz w:val="22"/>
                <w:szCs w:val="22"/>
                <w:u w:val="single"/>
                <w:lang w:eastAsia="en-GB"/>
                <w14:ligatures w14:val="none"/>
              </w:rPr>
              <w:t xml:space="preserve">Hilton’s strategic direction and strategies to achieve </w:t>
            </w:r>
          </w:hyperlink>
          <w:hyperlink r:id="rId13" w:anchor="_6vpfwpyml19i" w:history="1">
            <w:r w:rsidRPr="0014002E">
              <w:rPr>
                <w:rFonts w:ascii="Arial" w:eastAsia="Arial" w:hAnsi="Arial" w:cs="Arial"/>
                <w:color w:val="0000FF"/>
                <w:kern w:val="0"/>
                <w:sz w:val="22"/>
                <w:szCs w:val="22"/>
                <w:u w:val="single"/>
                <w:lang w:eastAsia="en-GB"/>
                <w14:ligatures w14:val="none"/>
              </w:rPr>
              <w:t>long-term</w:t>
            </w:r>
          </w:hyperlink>
          <w:hyperlink r:id="rId14" w:anchor="_6vpfwpyml19i" w:history="1">
            <w:r w:rsidRPr="0014002E">
              <w:rPr>
                <w:rFonts w:ascii="Arial" w:eastAsia="Arial" w:hAnsi="Arial" w:cs="Arial"/>
                <w:color w:val="000000"/>
                <w:kern w:val="0"/>
                <w:sz w:val="22"/>
                <w:szCs w:val="22"/>
                <w:u w:val="single"/>
                <w:lang w:eastAsia="en-GB"/>
                <w14:ligatures w14:val="none"/>
              </w:rPr>
              <w:t xml:space="preserve"> goals</w:t>
            </w:r>
            <w:r w:rsidRPr="0014002E">
              <w:rPr>
                <w:rFonts w:ascii="Arial" w:eastAsia="Arial" w:hAnsi="Arial" w:cs="Arial"/>
                <w:color w:val="000000"/>
                <w:kern w:val="0"/>
                <w:sz w:val="22"/>
                <w:szCs w:val="22"/>
                <w:u w:val="single"/>
                <w:lang w:eastAsia="en-GB"/>
                <w14:ligatures w14:val="none"/>
              </w:rPr>
              <w:tab/>
              <w:t>8</w:t>
            </w:r>
          </w:hyperlink>
        </w:p>
        <w:p w14:paraId="060B10C8" w14:textId="77777777" w:rsidR="0014002E" w:rsidRPr="0014002E" w:rsidRDefault="0014002E" w:rsidP="0014002E">
          <w:pPr>
            <w:widowControl w:val="0"/>
            <w:tabs>
              <w:tab w:val="right" w:leader="dot" w:pos="12000"/>
            </w:tabs>
            <w:spacing w:before="60" w:after="0" w:line="240" w:lineRule="auto"/>
            <w:ind w:left="360"/>
            <w:rPr>
              <w:rFonts w:ascii="Arial" w:eastAsia="Arial" w:hAnsi="Arial" w:cs="Arial"/>
              <w:color w:val="000000"/>
              <w:kern w:val="0"/>
              <w:sz w:val="22"/>
              <w:szCs w:val="22"/>
              <w:lang w:eastAsia="en-GB"/>
              <w14:ligatures w14:val="none"/>
            </w:rPr>
          </w:pPr>
          <w:hyperlink r:id="rId15" w:anchor="_wgaert43nulq" w:history="1">
            <w:r w:rsidRPr="0014002E">
              <w:rPr>
                <w:rFonts w:ascii="Arial" w:eastAsia="Arial" w:hAnsi="Arial" w:cs="Arial"/>
                <w:color w:val="000000"/>
                <w:kern w:val="0"/>
                <w:sz w:val="22"/>
                <w:szCs w:val="22"/>
                <w:u w:val="single"/>
                <w:lang w:eastAsia="en-GB"/>
                <w14:ligatures w14:val="none"/>
              </w:rPr>
              <w:t>Conclusion</w:t>
            </w:r>
            <w:r w:rsidRPr="0014002E">
              <w:rPr>
                <w:rFonts w:ascii="Arial" w:eastAsia="Arial" w:hAnsi="Arial" w:cs="Arial"/>
                <w:color w:val="000000"/>
                <w:kern w:val="0"/>
                <w:sz w:val="22"/>
                <w:szCs w:val="22"/>
                <w:u w:val="single"/>
                <w:lang w:eastAsia="en-GB"/>
                <w14:ligatures w14:val="none"/>
              </w:rPr>
              <w:tab/>
              <w:t>9</w:t>
            </w:r>
          </w:hyperlink>
        </w:p>
        <w:p w14:paraId="718F6FFE" w14:textId="77777777" w:rsidR="0014002E" w:rsidRPr="0014002E" w:rsidRDefault="0014002E" w:rsidP="0014002E">
          <w:pPr>
            <w:widowControl w:val="0"/>
            <w:tabs>
              <w:tab w:val="right" w:leader="dot" w:pos="12000"/>
            </w:tabs>
            <w:spacing w:before="60" w:after="0" w:line="240" w:lineRule="auto"/>
            <w:ind w:left="360"/>
            <w:rPr>
              <w:rFonts w:ascii="Arial" w:eastAsia="Arial" w:hAnsi="Arial" w:cs="Arial"/>
              <w:color w:val="000000"/>
              <w:kern w:val="0"/>
              <w:sz w:val="22"/>
              <w:szCs w:val="22"/>
              <w:lang w:eastAsia="en-GB"/>
              <w14:ligatures w14:val="none"/>
            </w:rPr>
          </w:pPr>
          <w:hyperlink r:id="rId16" w:anchor="_dgfeva3lqgh" w:history="1">
            <w:r w:rsidRPr="0014002E">
              <w:rPr>
                <w:rFonts w:ascii="Arial" w:eastAsia="Arial" w:hAnsi="Arial" w:cs="Arial"/>
                <w:b/>
                <w:color w:val="000000"/>
                <w:kern w:val="0"/>
                <w:sz w:val="22"/>
                <w:szCs w:val="22"/>
                <w:u w:val="single"/>
                <w:lang w:eastAsia="en-GB"/>
                <w14:ligatures w14:val="none"/>
              </w:rPr>
              <w:t>Recommendations</w:t>
            </w:r>
            <w:r w:rsidRPr="0014002E">
              <w:rPr>
                <w:rFonts w:ascii="Arial" w:eastAsia="Arial" w:hAnsi="Arial" w:cs="Arial"/>
                <w:b/>
                <w:color w:val="000000"/>
                <w:kern w:val="0"/>
                <w:sz w:val="22"/>
                <w:szCs w:val="22"/>
                <w:u w:val="single"/>
                <w:lang w:eastAsia="en-GB"/>
                <w14:ligatures w14:val="none"/>
              </w:rPr>
              <w:tab/>
              <w:t>10</w:t>
            </w:r>
          </w:hyperlink>
          <w:r w:rsidRPr="0014002E">
            <w:rPr>
              <w:rFonts w:ascii="Arial" w:eastAsia="Arial" w:hAnsi="Arial" w:cs="Arial"/>
              <w:kern w:val="0"/>
              <w:sz w:val="22"/>
              <w:szCs w:val="22"/>
              <w:lang w:eastAsia="en-GB"/>
              <w14:ligatures w14:val="none"/>
            </w:rPr>
            <w:fldChar w:fldCharType="end"/>
          </w:r>
        </w:p>
      </w:sdtContent>
    </w:sdt>
    <w:p w14:paraId="26C84AFA"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1" w:name="_27kyp88hnk1x"/>
      <w:bookmarkEnd w:id="1"/>
    </w:p>
    <w:p w14:paraId="6CF11B47"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2" w:name="_ipzcfwand71h"/>
      <w:bookmarkEnd w:id="2"/>
    </w:p>
    <w:p w14:paraId="78B0776A"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3" w:name="_sda19695zk1u"/>
      <w:bookmarkEnd w:id="3"/>
    </w:p>
    <w:p w14:paraId="24E20AD5"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4" w:name="_ujb00leyyy6"/>
      <w:bookmarkEnd w:id="4"/>
    </w:p>
    <w:p w14:paraId="0EC64175"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5" w:name="_b8gxasmhhfd3"/>
      <w:bookmarkEnd w:id="5"/>
    </w:p>
    <w:p w14:paraId="66C9E232"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69F776F2"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559B1980"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3A2E1972"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1592EB01"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404E4EDE"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17347BC2"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537C8489"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6AF56B69"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64268DB5"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36174E9E"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372FD286"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40AC3153"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28ED2468"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2C9A68CC"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3AB32ABC"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067B32DC"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6" w:name="_bjyi6fknecaf"/>
      <w:bookmarkEnd w:id="6"/>
    </w:p>
    <w:p w14:paraId="3F5ADD1E" w14:textId="77777777" w:rsidR="0014002E" w:rsidRPr="0014002E" w:rsidRDefault="0014002E" w:rsidP="0014002E">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7" w:name="_kwyf3vkq0sbg"/>
      <w:bookmarkEnd w:id="7"/>
      <w:r w:rsidRPr="0014002E">
        <w:rPr>
          <w:rFonts w:ascii="Arial" w:eastAsia="Arial" w:hAnsi="Arial" w:cs="Arial"/>
          <w:color w:val="000000"/>
          <w:kern w:val="0"/>
          <w:sz w:val="28"/>
          <w:szCs w:val="28"/>
          <w:lang w:eastAsia="en-GB"/>
          <w14:ligatures w14:val="none"/>
        </w:rPr>
        <w:t xml:space="preserve">Executive summary </w:t>
      </w:r>
    </w:p>
    <w:p w14:paraId="1BE18E69" w14:textId="77777777" w:rsidR="0014002E" w:rsidRPr="0014002E" w:rsidRDefault="0014002E" w:rsidP="0014002E">
      <w:pPr>
        <w:keepNext/>
        <w:keepLines/>
        <w:spacing w:before="320" w:after="80" w:line="360" w:lineRule="auto"/>
        <w:outlineLvl w:val="2"/>
        <w:rPr>
          <w:rFonts w:ascii="Arial" w:eastAsia="Arial" w:hAnsi="Arial" w:cs="Arial"/>
          <w:color w:val="000000"/>
          <w:kern w:val="0"/>
          <w:sz w:val="28"/>
          <w:szCs w:val="28"/>
          <w:lang w:eastAsia="en-GB"/>
          <w14:ligatures w14:val="none"/>
        </w:rPr>
      </w:pPr>
      <w:bookmarkStart w:id="8" w:name="_61dpf4uyjrx8"/>
      <w:bookmarkEnd w:id="8"/>
    </w:p>
    <w:p w14:paraId="372102B3"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08715B7B"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7FCF37F9"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4BA357CC" w14:textId="77777777" w:rsidR="0014002E" w:rsidRPr="0014002E" w:rsidRDefault="0014002E" w:rsidP="0014002E">
      <w:p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Hilton, the industry's most trusted hospitality brand, is the leader of sustainability in the global hospitality market. Keeping sustainability in the core of their corporate goals, Hilton has formulated their initiative Travel with purpose 2030 goals that align with UN sustainable development goals targets and promote sustainable travel by keeping their stakeholders, especially Team members, customers, hotel owners, suppliers and community at the heart of their programme. The Organisation has designed robust initiatives for this mission where they focus on three key areas: Environment, Social and Governance. A wide range of programmes and initiatives with carefully set short and long term goals to promote sustainability practices and creating opportunities and promote effective governance within the organsaition and in the community. The paper discusses the Hilton as an organisation, their corporate structure, recent initiatives, the strategic direction and strategies, a recommendation for improvement </w:t>
      </w:r>
    </w:p>
    <w:p w14:paraId="546C0F31"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508F9BB9"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3055E8A4"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6ACAACA6"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7C4E4AAC"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629397C0"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533196E9"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307753A5"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6CD0A31A"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1B0E0533"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03EA269C"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48D7E12C"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1CE63F29" w14:textId="77777777" w:rsidR="0014002E" w:rsidRPr="0014002E" w:rsidRDefault="0014002E" w:rsidP="0014002E">
      <w:pPr>
        <w:keepNext/>
        <w:keepLines/>
        <w:spacing w:before="280" w:after="80" w:line="360" w:lineRule="auto"/>
        <w:outlineLvl w:val="3"/>
        <w:rPr>
          <w:rFonts w:ascii="Arial" w:eastAsia="Arial" w:hAnsi="Arial" w:cs="Arial"/>
          <w:color w:val="000000"/>
          <w:kern w:val="0"/>
          <w:lang w:eastAsia="en-GB"/>
          <w14:ligatures w14:val="none"/>
        </w:rPr>
      </w:pPr>
      <w:bookmarkStart w:id="9" w:name="_l3v1at7m20bb"/>
      <w:bookmarkEnd w:id="9"/>
    </w:p>
    <w:p w14:paraId="4811CA22" w14:textId="77777777" w:rsidR="0014002E" w:rsidRPr="0014002E" w:rsidRDefault="0014002E" w:rsidP="0014002E">
      <w:pPr>
        <w:keepNext/>
        <w:keepLines/>
        <w:spacing w:before="280" w:after="80" w:line="360" w:lineRule="auto"/>
        <w:outlineLvl w:val="3"/>
        <w:rPr>
          <w:rFonts w:ascii="Arial" w:eastAsia="Arial" w:hAnsi="Arial" w:cs="Arial"/>
          <w:b/>
          <w:color w:val="000000"/>
          <w:kern w:val="0"/>
          <w:lang w:eastAsia="en-GB"/>
          <w14:ligatures w14:val="none"/>
        </w:rPr>
      </w:pPr>
      <w:bookmarkStart w:id="10" w:name="_vk0ax4cil57f"/>
      <w:bookmarkEnd w:id="10"/>
      <w:r w:rsidRPr="0014002E">
        <w:rPr>
          <w:rFonts w:ascii="Arial" w:eastAsia="Arial" w:hAnsi="Arial" w:cs="Arial"/>
          <w:b/>
          <w:color w:val="000000"/>
          <w:kern w:val="0"/>
          <w:lang w:eastAsia="en-GB"/>
          <w14:ligatures w14:val="none"/>
        </w:rPr>
        <w:t>Introduction</w:t>
      </w:r>
    </w:p>
    <w:p w14:paraId="6D8443B4" w14:textId="77777777" w:rsidR="0014002E" w:rsidRPr="0014002E" w:rsidRDefault="0014002E" w:rsidP="0014002E">
      <w:pPr>
        <w:spacing w:after="0" w:line="360" w:lineRule="auto"/>
        <w:rPr>
          <w:rFonts w:ascii="Arial" w:eastAsia="Arial" w:hAnsi="Arial" w:cs="Arial"/>
          <w:kern w:val="0"/>
          <w:lang w:eastAsia="en-GB"/>
          <w14:ligatures w14:val="none"/>
        </w:rPr>
      </w:pPr>
    </w:p>
    <w:p w14:paraId="062649EE" w14:textId="77777777" w:rsidR="0014002E" w:rsidRPr="0014002E" w:rsidRDefault="0014002E" w:rsidP="0014002E">
      <w:pPr>
        <w:spacing w:after="0" w:line="360" w:lineRule="auto"/>
        <w:jc w:val="both"/>
        <w:rPr>
          <w:rFonts w:ascii="Roboto" w:eastAsia="Roboto" w:hAnsi="Roboto" w:cs="Roboto"/>
          <w:kern w:val="0"/>
          <w:highlight w:val="white"/>
          <w:lang w:eastAsia="en-GB"/>
          <w14:ligatures w14:val="none"/>
        </w:rPr>
      </w:pPr>
      <w:r w:rsidRPr="0014002E">
        <w:rPr>
          <w:rFonts w:ascii="Arial" w:eastAsia="Arial" w:hAnsi="Arial" w:cs="Arial"/>
          <w:kern w:val="0"/>
          <w:lang w:eastAsia="en-GB"/>
          <w14:ligatures w14:val="none"/>
        </w:rPr>
        <w:t xml:space="preserve">Hilton hotels and resorts, originally founded by Conrad Hilton and opened their first Hilton in 1925, in Texas, United States, is a most trusted world-class global hospitality company with a portfolio of 24 world-class brands, which comes under luxury, lifestyle, full service, focused service and all suites. The portfolio also includes an award-winning Loyalty programme with 210 million members. Hilton Honors, through which members can access exclusive offers and services. The portfolios also include Hilton vacations, offering great vacation stays at exclusive destinations and experiences. As per global statistics, the brand currently has 1,268,206 rooms across 8,447 properties across  140 countries. (Hilton, 2025) </w:t>
      </w:r>
      <w:r w:rsidRPr="0014002E">
        <w:rPr>
          <w:rFonts w:ascii="Roboto" w:eastAsia="Roboto" w:hAnsi="Roboto" w:cs="Roboto"/>
          <w:kern w:val="0"/>
          <w:highlight w:val="white"/>
          <w:lang w:eastAsia="en-GB"/>
          <w14:ligatures w14:val="none"/>
        </w:rPr>
        <w:t xml:space="preserve">Hilton is the workplace for around 180,000+ people. </w:t>
      </w:r>
      <w:r w:rsidRPr="0014002E">
        <w:rPr>
          <w:rFonts w:ascii="Arial" w:eastAsia="Arial" w:hAnsi="Arial" w:cs="Arial"/>
          <w:kern w:val="0"/>
          <w:highlight w:val="white"/>
          <w:lang w:eastAsia="en-GB"/>
          <w14:ligatures w14:val="none"/>
        </w:rPr>
        <w:t xml:space="preserve"> Hilton is committed to their team and since 2016, has secured top position in the great place to work list around 560 lists and has received NO.1 ranking 60 times under various categories world wide</w:t>
      </w:r>
      <w:r w:rsidRPr="0014002E">
        <w:rPr>
          <w:rFonts w:ascii="Arial" w:eastAsia="Arial" w:hAnsi="Arial" w:cs="Arial"/>
          <w:kern w:val="0"/>
          <w:sz w:val="30"/>
          <w:szCs w:val="30"/>
          <w:highlight w:val="white"/>
          <w:lang w:eastAsia="en-GB"/>
          <w14:ligatures w14:val="none"/>
        </w:rPr>
        <w:t xml:space="preserve">  </w:t>
      </w:r>
      <w:r w:rsidRPr="0014002E">
        <w:rPr>
          <w:rFonts w:ascii="Roboto" w:eastAsia="Roboto" w:hAnsi="Roboto" w:cs="Roboto"/>
          <w:kern w:val="0"/>
          <w:highlight w:val="white"/>
          <w:lang w:eastAsia="en-GB"/>
          <w14:ligatures w14:val="none"/>
        </w:rPr>
        <w:t xml:space="preserve">(Hilton,2023)  The brand is the global leader of sustainability in the Dow Jones Sustainability Indices for the last 7 consecutive years. and is offering unmatched services worldwide in the hospitality sector. The report aims to deeply understand the Hilton as a global leader and their goals, corporate culture, structure and a recent change and its impacts on the organisation (Hilton, 2025) </w:t>
      </w:r>
    </w:p>
    <w:p w14:paraId="05EED48E" w14:textId="77777777" w:rsidR="0014002E" w:rsidRPr="0014002E" w:rsidRDefault="0014002E" w:rsidP="0014002E">
      <w:pPr>
        <w:spacing w:after="0" w:line="360" w:lineRule="auto"/>
        <w:jc w:val="both"/>
        <w:rPr>
          <w:rFonts w:ascii="Roboto" w:eastAsia="Roboto" w:hAnsi="Roboto" w:cs="Roboto"/>
          <w:kern w:val="0"/>
          <w:highlight w:val="white"/>
          <w:lang w:eastAsia="en-GB"/>
          <w14:ligatures w14:val="none"/>
        </w:rPr>
      </w:pPr>
    </w:p>
    <w:p w14:paraId="365CFBB1" w14:textId="77777777" w:rsidR="0014002E" w:rsidRPr="0014002E" w:rsidRDefault="0014002E" w:rsidP="0014002E">
      <w:pPr>
        <w:keepNext/>
        <w:keepLines/>
        <w:spacing w:before="280" w:after="80" w:line="360" w:lineRule="auto"/>
        <w:jc w:val="both"/>
        <w:outlineLvl w:val="3"/>
        <w:rPr>
          <w:rFonts w:ascii="Arial" w:eastAsia="Arial" w:hAnsi="Arial" w:cs="Arial"/>
          <w:b/>
          <w:color w:val="000000"/>
          <w:kern w:val="0"/>
          <w:lang w:eastAsia="en-GB"/>
          <w14:ligatures w14:val="none"/>
        </w:rPr>
      </w:pPr>
      <w:bookmarkStart w:id="11" w:name="_sblle5mmquv1"/>
      <w:bookmarkEnd w:id="11"/>
      <w:r w:rsidRPr="0014002E">
        <w:rPr>
          <w:rFonts w:ascii="Arial" w:eastAsia="Arial" w:hAnsi="Arial" w:cs="Arial"/>
          <w:b/>
          <w:color w:val="000000"/>
          <w:kern w:val="0"/>
          <w:lang w:eastAsia="en-GB"/>
          <w14:ligatures w14:val="none"/>
        </w:rPr>
        <w:t>Organisation's structure, goals and corporate culture</w:t>
      </w:r>
    </w:p>
    <w:p w14:paraId="2830804E"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67B7035B"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lang w:eastAsia="en-GB"/>
          <w14:ligatures w14:val="none"/>
        </w:rPr>
        <w:t xml:space="preserve">Hilton set their  “Travel with purpose” goal in 2018, which aligns with </w:t>
      </w:r>
      <w:r w:rsidRPr="0014002E">
        <w:rPr>
          <w:rFonts w:ascii="Arial" w:eastAsia="Arial" w:hAnsi="Arial" w:cs="Arial"/>
          <w:kern w:val="0"/>
          <w:highlight w:val="white"/>
          <w:lang w:eastAsia="en-GB"/>
          <w14:ligatures w14:val="none"/>
        </w:rPr>
        <w:t xml:space="preserve">the United Nations sustainable development goals and targets and promotes sustainable travel for which they implement a powerful set of initiatives with short-term and long-term goals and ensures extensive collaborations to achieve their ambitious travel with purpose goals by 2030. The goals are recognised by the </w:t>
      </w:r>
      <w:r w:rsidRPr="0014002E">
        <w:rPr>
          <w:rFonts w:ascii="Arial" w:eastAsia="Arial" w:hAnsi="Arial" w:cs="Arial"/>
          <w:b/>
          <w:kern w:val="0"/>
          <w:highlight w:val="white"/>
          <w:lang w:eastAsia="en-GB"/>
          <w14:ligatures w14:val="none"/>
        </w:rPr>
        <w:t>Science Based Targets initiative (SBTi)</w:t>
      </w:r>
      <w:r w:rsidRPr="0014002E">
        <w:rPr>
          <w:rFonts w:ascii="Arial" w:eastAsia="Arial" w:hAnsi="Arial" w:cs="Arial"/>
          <w:kern w:val="0"/>
          <w:highlight w:val="white"/>
          <w:lang w:eastAsia="en-GB"/>
          <w14:ligatures w14:val="none"/>
        </w:rPr>
        <w:t xml:space="preserve"> and are also in support of the Paris</w:t>
      </w:r>
      <w:r w:rsidRPr="0014002E">
        <w:rPr>
          <w:rFonts w:ascii="Arial" w:eastAsia="Arial" w:hAnsi="Arial" w:cs="Arial"/>
          <w:b/>
          <w:kern w:val="0"/>
          <w:highlight w:val="white"/>
          <w:lang w:eastAsia="en-GB"/>
          <w14:ligatures w14:val="none"/>
        </w:rPr>
        <w:t xml:space="preserve"> Climate Agreement</w:t>
      </w:r>
      <w:r w:rsidRPr="0014002E">
        <w:rPr>
          <w:rFonts w:ascii="Arial" w:eastAsia="Arial" w:hAnsi="Arial" w:cs="Arial"/>
          <w:kern w:val="0"/>
          <w:highlight w:val="white"/>
          <w:lang w:eastAsia="en-GB"/>
          <w14:ligatures w14:val="none"/>
        </w:rPr>
        <w:t xml:space="preserve">. The Environmental Social and Governance (ESG) framework is the base where environmental goals focus on sustainability, the implementation of responsible usage of resources such as water and energy, and reducing waste. Social goals ensure opportunities for growth and </w:t>
      </w:r>
      <w:r w:rsidRPr="0014002E">
        <w:rPr>
          <w:rFonts w:ascii="Arial" w:eastAsia="Arial" w:hAnsi="Arial" w:cs="Arial"/>
          <w:kern w:val="0"/>
          <w:highlight w:val="white"/>
          <w:lang w:eastAsia="en-GB"/>
          <w14:ligatures w14:val="none"/>
        </w:rPr>
        <w:lastRenderedPageBreak/>
        <w:t xml:space="preserve">development, protect human rights, ensure equality, diversity and inclusion and create a positive impact on communities. The Governance goals ensure a strong system with integrity, transparency and effectiveness (Hilton Travel with purpose report, 2024) </w:t>
      </w:r>
    </w:p>
    <w:p w14:paraId="73089DC9"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2C9A1F28"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2FAA142E"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2AD4E99A"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451277F6"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highlight w:val="white"/>
          <w:lang w:eastAsia="en-GB"/>
          <w14:ligatures w14:val="none"/>
        </w:rPr>
        <w:t xml:space="preserve">Hilton’s corporate structure is both hierarchical and divisional. The corporate management is hierarchical, headed by Christopher Nassetta, CEO and Vice President, Laura Fuentes, Executive Vice President, Chief Human Resources Officer since 2020. Danny Huges is Execuitive Vice Presiednt and President Americas, directly responsible for largest region Americas with 6,100 hotels, 20 brands, and 32 countries leads hotel operations and coordination across key business functions, brand management, revenue generation, and owner relations Katherine Lugar is Executive Vice President, Corporate Affairs at Hilton, overseeing the company’s global communications, government affairs, and ESG and Foundation functions Kevin Jacobs is Chief Financial Officer and President, mainly leads Finance, real estate corporate strategy, Katherine Lugar, Executive vice president Corporate affairs including government affairs, Chris Silcock is President, Brand management, leading brand strategy, performance, innovation. Executive Vice President &amp; President, Europe, Middle East &amp; Africa Simon Vincent is responsible for almost 300 hotels across six brands with more than 47,000 team members in 49 countries. Executive Vice President &amp; President, Asia Pacific Alan Watts is the President of operations of more than 200 trading hotels across Asia Pacific. It can be seen that the leadership is based on regions and functions. The functional leadership includes Brand management, human resource management, finance management, and development, etc. (Hilton, 2011) . The overall structure is divisional, each region is managed separately, but designed with clear reporting hierarchies. (Donaldson.L, 2011) </w:t>
      </w:r>
    </w:p>
    <w:p w14:paraId="7090E8FD"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highlight w:val="white"/>
          <w:lang w:eastAsia="en-GB"/>
          <w14:ligatures w14:val="none"/>
        </w:rPr>
        <w:t xml:space="preserve"> </w:t>
      </w:r>
    </w:p>
    <w:p w14:paraId="02471CD6"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7D29F902" w14:textId="77777777" w:rsidR="0014002E" w:rsidRPr="0014002E" w:rsidRDefault="0014002E" w:rsidP="0014002E">
      <w:pPr>
        <w:spacing w:before="240" w:after="24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highlight w:val="white"/>
          <w:lang w:eastAsia="en-GB"/>
          <w14:ligatures w14:val="none"/>
        </w:rPr>
        <w:t xml:space="preserve">Hilton’s corporate culture, which is deeply rooted in its mission “ </w:t>
      </w:r>
      <w:r w:rsidRPr="0014002E">
        <w:rPr>
          <w:rFonts w:ascii="Arial" w:eastAsia="Arial" w:hAnsi="Arial" w:cs="Arial"/>
          <w:i/>
          <w:kern w:val="0"/>
          <w:highlight w:val="white"/>
          <w:lang w:eastAsia="en-GB"/>
          <w14:ligatures w14:val="none"/>
        </w:rPr>
        <w:t>To be the most hospitable company in the world</w:t>
      </w:r>
      <w:r w:rsidRPr="0014002E">
        <w:rPr>
          <w:rFonts w:ascii="Arial" w:eastAsia="Arial" w:hAnsi="Arial" w:cs="Arial"/>
          <w:kern w:val="0"/>
          <w:highlight w:val="white"/>
          <w:lang w:eastAsia="en-GB"/>
          <w14:ligatures w14:val="none"/>
        </w:rPr>
        <w:t xml:space="preserve"> “ vision “ </w:t>
      </w:r>
      <w:r w:rsidRPr="0014002E">
        <w:rPr>
          <w:rFonts w:ascii="Arial" w:eastAsia="Arial" w:hAnsi="Arial" w:cs="Arial"/>
          <w:i/>
          <w:kern w:val="0"/>
          <w:highlight w:val="white"/>
          <w:lang w:eastAsia="en-GB"/>
          <w14:ligatures w14:val="none"/>
        </w:rPr>
        <w:t xml:space="preserve">To fill the earth with the light and warmth of </w:t>
      </w:r>
      <w:r w:rsidRPr="0014002E">
        <w:rPr>
          <w:rFonts w:ascii="Arial" w:eastAsia="Arial" w:hAnsi="Arial" w:cs="Arial"/>
          <w:i/>
          <w:kern w:val="0"/>
          <w:highlight w:val="white"/>
          <w:lang w:eastAsia="en-GB"/>
          <w14:ligatures w14:val="none"/>
        </w:rPr>
        <w:lastRenderedPageBreak/>
        <w:t xml:space="preserve">hospitality” </w:t>
      </w:r>
      <w:r w:rsidRPr="0014002E">
        <w:rPr>
          <w:rFonts w:ascii="Arial" w:eastAsia="Arial" w:hAnsi="Arial" w:cs="Arial"/>
          <w:kern w:val="0"/>
          <w:highlight w:val="white"/>
          <w:lang w:eastAsia="en-GB"/>
          <w14:ligatures w14:val="none"/>
        </w:rPr>
        <w:t xml:space="preserve"> and values, “ hospitality, Integrity, leadership, teamwork, ownership, Now” are not just statements but a guiding framework for employees and leaders to apply in their daily operations to create an atmosphere for an unmatchable hospitality experience, a place for opportunities and development with diversity, inclusion and growth. As Maslow’s hierarchy of needs states, the brand is heavily investing in employee satisfaction by providing basic psychological and safety support through providing opportunities for growth, financial support and creating a feeling of belonging before recognition and rewards helps with efficiency and productivity (Maslow.A, 1998) </w:t>
      </w:r>
    </w:p>
    <w:p w14:paraId="4E42B591" w14:textId="77777777" w:rsidR="0014002E" w:rsidRPr="0014002E" w:rsidRDefault="0014002E" w:rsidP="0014002E">
      <w:pPr>
        <w:spacing w:before="240" w:after="24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highlight w:val="white"/>
          <w:lang w:eastAsia="en-GB"/>
          <w14:ligatures w14:val="none"/>
        </w:rPr>
        <w:t xml:space="preserve">Hilton’s culture of remarkable commitment to offer exceptional hospitality by keeping their team members, customers, hotel owners and community at heart, is their key to success, which is the central point that helped the brand to achieve “ No. 1 in the world’s best place to work”  by Fortune and Great Place to work The brand offers a highly inclusive and diversified environment, which fosters their team members to be true to themselves, communicate openly and create a feeling of belonging. Hilton‘s culture believes in the opportunities to grow within by identifying their team members' passion and potentials, and offers career growth opportunities and creates a personalised career journey. This enhances staff retention and loyalty among team members. (Armstrong.M, 2008) Their code of conduct is deeply rooted in values, demands adherence to policies and procedures, possesses integrity and passion for delivering exceptional guest experience, takes responsibility for personal actions, acts urgently with discipline, and collaborates with the team. The leaders facilitate trust and act to set the industrial standards and thus set the tone for the organisational culture. (Abbey.L, 2025)  Hilton offers team members with opportunities for voluntary community engagement activities to facilitate responsibility towards sustainability and engagement. It also helps in team building and collaboration and effective sustainability initiatives motivates employees for retention(Azurinn.Z, </w:t>
      </w:r>
      <w:r w:rsidRPr="0014002E">
        <w:rPr>
          <w:rFonts w:ascii="Arial" w:eastAsia="Arial" w:hAnsi="Arial" w:cs="Arial"/>
          <w:kern w:val="0"/>
          <w:lang w:eastAsia="en-GB"/>
          <w14:ligatures w14:val="none"/>
        </w:rPr>
        <w:t xml:space="preserve">et.al 2020)Herzberg's Two-Factor Theory indicate that hygiene factors such as salary, security etc if not met, the employees will be dissatisfied while motivational factors such as recognition, opportunities etc can improve performance (Herzberg.F, 1968)   </w:t>
      </w:r>
      <w:r w:rsidRPr="0014002E">
        <w:rPr>
          <w:rFonts w:ascii="Arial" w:eastAsia="Arial" w:hAnsi="Arial" w:cs="Arial"/>
          <w:kern w:val="0"/>
          <w:highlight w:val="white"/>
          <w:lang w:eastAsia="en-GB"/>
          <w14:ligatures w14:val="none"/>
        </w:rPr>
        <w:t xml:space="preserve">The Service-Profit Chain theory states only a satisfied employee (Franc.C.P,2015)  can provide a quality service; </w:t>
      </w:r>
      <w:r w:rsidRPr="0014002E">
        <w:rPr>
          <w:rFonts w:ascii="Arial" w:eastAsia="Arial" w:hAnsi="Arial" w:cs="Arial"/>
          <w:kern w:val="0"/>
          <w:lang w:eastAsia="en-GB"/>
          <w14:ligatures w14:val="none"/>
        </w:rPr>
        <w:t>By identifying thi</w:t>
      </w:r>
      <w:r w:rsidRPr="0014002E">
        <w:rPr>
          <w:rFonts w:ascii="Arial" w:eastAsia="Arial" w:hAnsi="Arial" w:cs="Arial"/>
          <w:kern w:val="0"/>
          <w:highlight w:val="white"/>
          <w:lang w:eastAsia="en-GB"/>
          <w14:ligatures w14:val="none"/>
        </w:rPr>
        <w:t>s,</w:t>
      </w:r>
      <w:r w:rsidRPr="0014002E">
        <w:rPr>
          <w:rFonts w:ascii="Arial" w:eastAsia="Arial" w:hAnsi="Arial" w:cs="Arial"/>
          <w:kern w:val="0"/>
          <w:sz w:val="27"/>
          <w:szCs w:val="27"/>
          <w:highlight w:val="white"/>
          <w:lang w:eastAsia="en-GB"/>
          <w14:ligatures w14:val="none"/>
        </w:rPr>
        <w:t xml:space="preserve"> </w:t>
      </w:r>
      <w:r w:rsidRPr="0014002E">
        <w:rPr>
          <w:rFonts w:ascii="Arial" w:eastAsia="Arial" w:hAnsi="Arial" w:cs="Arial"/>
          <w:kern w:val="0"/>
          <w:highlight w:val="white"/>
          <w:lang w:eastAsia="en-GB"/>
          <w14:ligatures w14:val="none"/>
        </w:rPr>
        <w:t xml:space="preserve">Hilton has introduced Heart of house initiatives to enhance the workplace environment. Vibrant workplace environment with enhanced look and feel, mix and match apparel for team members, better connectivity </w:t>
      </w:r>
      <w:r w:rsidRPr="0014002E">
        <w:rPr>
          <w:rFonts w:ascii="Arial" w:eastAsia="Arial" w:hAnsi="Arial" w:cs="Arial"/>
          <w:kern w:val="0"/>
          <w:highlight w:val="white"/>
          <w:lang w:eastAsia="en-GB"/>
          <w14:ligatures w14:val="none"/>
        </w:rPr>
        <w:lastRenderedPageBreak/>
        <w:t xml:space="preserve">with free WIfi to stay connected, free meals etc, comes under this initiative at corporates and individual level (Hilton, 2024) </w:t>
      </w:r>
    </w:p>
    <w:p w14:paraId="703C658C" w14:textId="77777777" w:rsidR="0014002E" w:rsidRPr="0014002E" w:rsidRDefault="0014002E" w:rsidP="0014002E">
      <w:pPr>
        <w:keepNext/>
        <w:keepLines/>
        <w:spacing w:before="280" w:after="80" w:line="360" w:lineRule="auto"/>
        <w:outlineLvl w:val="3"/>
        <w:rPr>
          <w:rFonts w:ascii="Arial" w:eastAsia="Arial" w:hAnsi="Arial" w:cs="Arial"/>
          <w:b/>
          <w:color w:val="000000"/>
          <w:kern w:val="0"/>
          <w:lang w:eastAsia="en-GB"/>
          <w14:ligatures w14:val="none"/>
        </w:rPr>
      </w:pPr>
      <w:bookmarkStart w:id="12" w:name="_8ul9pgi7fdwc"/>
      <w:bookmarkEnd w:id="12"/>
      <w:r w:rsidRPr="0014002E">
        <w:rPr>
          <w:rFonts w:ascii="Arial" w:eastAsia="Arial" w:hAnsi="Arial" w:cs="Arial"/>
          <w:b/>
          <w:color w:val="000000"/>
          <w:kern w:val="0"/>
          <w:lang w:eastAsia="en-GB"/>
          <w14:ligatures w14:val="none"/>
        </w:rPr>
        <w:t xml:space="preserve">Hilton’s recent initiatives, impact on the organisation and how it is managed </w:t>
      </w:r>
    </w:p>
    <w:p w14:paraId="58109EF3"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10AEAA1F"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highlight w:val="white"/>
          <w:lang w:eastAsia="en-GB"/>
          <w14:ligatures w14:val="none"/>
        </w:rPr>
        <w:t xml:space="preserve">Discussing recent initiatives, sustainability creates strategic business advantage (Forbes, 2024). There are so many initiatives that have been implemented under environmental, social, and sustainable operations, etc. The environmental initiative includes a green breakfast initiative in UAE resulting in 62% reduction in breakfast operations through repurposing, portion control, maximum usage of ingredients, etc. The brand achieved a 45% reduction in carbon, and water conservation initiatives have reduced 26.5% usage. Considering waste management, the initiative is effectively collaborating with Winnow’s AI technology to measure, track, and control the wastage of food. Sustainable initiatives include the Electric Vehicle infrastructure in 1800 properties, use of digital keys in 82% hotels, and offer bottled water to reduce plastic usage. The solar panel implementation, LED lighting, and smart energy systems are also part of this. Taste of zero waste” to introduce sustainable cooking practices and reduce food waste. The process includes Root to root and nose to nose cooking, where it ensures all the ingredients are fully utilised. Sustainable sourcing is another initiative where they prioritised local sourcing, cage-free eggs, sustainable seafood, etc. (Hilton,.2025) </w:t>
      </w:r>
    </w:p>
    <w:p w14:paraId="17C11293"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64F2446D"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3D37FE30"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281F4331" w14:textId="77777777" w:rsidR="0014002E" w:rsidRPr="0014002E" w:rsidRDefault="0014002E" w:rsidP="0014002E">
      <w:p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The major impact is on their ESG sustainability goals of 2030, AI-driven insights, and data analysis are considerably narrowing the gap (Thomas.H. D, et.al, 2018 ) to meet the goals and ESG goals, the goal of cutting landfill waste by 2030, greenhouse gas emission goals related to food waste. The initiative enhances the operational efficiency, reduces cost, promotes sustainable and healthy practices, and sustainability among suppliers. The sustainability initiatives can significantly improve the guest satisfaction and loyalty, which eventually leads to brand recognition, enhanced brand image.. (Hilton,2025) </w:t>
      </w:r>
    </w:p>
    <w:p w14:paraId="52617AC7"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00B0052E" w14:textId="77777777" w:rsidR="0014002E" w:rsidRPr="0014002E" w:rsidRDefault="0014002E" w:rsidP="0014002E">
      <w:p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lastRenderedPageBreak/>
        <w:t xml:space="preserve">Hilton has a strong leadership with vision and determination. The initiatives are managed in collaboration with different strategic partnerships, such as Winnie AI, a strong strategic leadership effectively integrating the technology-driven insights into practical solutions. The pilots have been initiated in selected hotels and assess the success of the same with a vision of expanding to suitable locations.. This will help the organisation to assess the feasibility, acceptance and also helps to create awareness about the new initiative. To maximise social and environmental impact, the initiative is effectively partnering with external partners such as suppliers and encouraging sustainable sourcing. The initiatives supporting local farms by encouraging them to responsibly supply each item. These CSR initiatives are an effective marketing tool, for branding (Christina.I et.al, 2023), and awareness, these efforts encourage team members to recognise the purpose of their role and enhance their engagement in such initiatives. The motivation and support facilitate productivity, (Ana.U et.al, 2021) commitment and loyalty (George.B et.al, 2022), which helps the organsaition to ensure effective implementation of the project (Hilton, 2025) </w:t>
      </w:r>
    </w:p>
    <w:p w14:paraId="7BC363DD" w14:textId="77777777" w:rsidR="0014002E" w:rsidRPr="0014002E" w:rsidRDefault="0014002E" w:rsidP="0014002E">
      <w:pPr>
        <w:spacing w:after="0" w:line="360" w:lineRule="auto"/>
        <w:rPr>
          <w:rFonts w:ascii="Arial" w:eastAsia="Arial" w:hAnsi="Arial" w:cs="Arial"/>
          <w:kern w:val="0"/>
          <w:sz w:val="21"/>
          <w:szCs w:val="21"/>
          <w:highlight w:val="white"/>
          <w:lang w:eastAsia="en-GB"/>
          <w14:ligatures w14:val="none"/>
        </w:rPr>
      </w:pPr>
    </w:p>
    <w:p w14:paraId="11DB114C" w14:textId="77777777" w:rsidR="0014002E" w:rsidRPr="0014002E" w:rsidRDefault="0014002E" w:rsidP="0014002E">
      <w:pPr>
        <w:keepNext/>
        <w:keepLines/>
        <w:spacing w:before="280" w:after="80" w:line="360" w:lineRule="auto"/>
        <w:outlineLvl w:val="3"/>
        <w:rPr>
          <w:rFonts w:ascii="Arial" w:eastAsia="Arial" w:hAnsi="Arial" w:cs="Arial"/>
          <w:b/>
          <w:color w:val="000000"/>
          <w:kern w:val="0"/>
          <w:lang w:eastAsia="en-GB"/>
          <w14:ligatures w14:val="none"/>
        </w:rPr>
      </w:pPr>
      <w:bookmarkStart w:id="13" w:name="_6vpfwpyml19i"/>
      <w:bookmarkEnd w:id="13"/>
      <w:r w:rsidRPr="0014002E">
        <w:rPr>
          <w:rFonts w:ascii="Arial" w:eastAsia="Arial" w:hAnsi="Arial" w:cs="Arial"/>
          <w:b/>
          <w:color w:val="000000"/>
          <w:kern w:val="0"/>
          <w:lang w:eastAsia="en-GB"/>
          <w14:ligatures w14:val="none"/>
        </w:rPr>
        <w:t>Hilton’s strategic direction and strategies to achieve long-term goals</w:t>
      </w:r>
    </w:p>
    <w:p w14:paraId="1C3340F1" w14:textId="77777777" w:rsidR="0014002E" w:rsidRPr="0014002E" w:rsidRDefault="0014002E" w:rsidP="0014002E">
      <w:pPr>
        <w:spacing w:after="0" w:line="360" w:lineRule="auto"/>
        <w:rPr>
          <w:rFonts w:ascii="Arial" w:eastAsia="Arial" w:hAnsi="Arial" w:cs="Arial"/>
          <w:kern w:val="0"/>
          <w:sz w:val="22"/>
          <w:szCs w:val="22"/>
          <w:lang w:eastAsia="en-GB"/>
          <w14:ligatures w14:val="none"/>
        </w:rPr>
      </w:pPr>
    </w:p>
    <w:p w14:paraId="754F1718" w14:textId="77777777" w:rsidR="0014002E" w:rsidRPr="0014002E" w:rsidRDefault="0014002E" w:rsidP="0014002E">
      <w:p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Hilton’s strategic direction is rooted in Travel with Purpose goals 2030, which have clear objectives in environmental sustainability, social impact, and responsible governance (ESG). The initiative aims to redefine sustainable travel with extensive collaboration of stakeholders, strategic partnerships, technology integration, team member engagement and implements programmes to achieve their long-term objectives (Hilton, 2025) </w:t>
      </w:r>
    </w:p>
    <w:p w14:paraId="7635E0BD"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0BFB9798"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lang w:eastAsia="en-GB"/>
          <w14:ligatures w14:val="none"/>
        </w:rPr>
        <w:t xml:space="preserve">Discussing the strategies, Hilton’s Travel with Purpose is an integral part of their corporate strategy and also a response towards their desire to facilitate exceptional guest experience that connects them to people, environment and community. The major aim is to provide increased opportunities, helping the guest to travel sustainably and contributing towards the community to flourish. To implement this, the organsaition is planned to implement a group of robust initiatives which serves as the backbone of this programme by keeping the people at their heart. To achieve the long-term objectives, the organisation requires deep collaborations and internal support. </w:t>
      </w:r>
      <w:r w:rsidRPr="0014002E">
        <w:rPr>
          <w:rFonts w:ascii="Arial" w:eastAsia="Arial" w:hAnsi="Arial" w:cs="Arial"/>
          <w:kern w:val="0"/>
          <w:lang w:eastAsia="en-GB"/>
          <w14:ligatures w14:val="none"/>
        </w:rPr>
        <w:lastRenderedPageBreak/>
        <w:t xml:space="preserve">(Hilton travel with purpose report, 2023) </w:t>
      </w:r>
      <w:r w:rsidRPr="0014002E">
        <w:rPr>
          <w:rFonts w:ascii="Arial" w:eastAsia="Arial" w:hAnsi="Arial" w:cs="Arial"/>
          <w:kern w:val="0"/>
          <w:highlight w:val="white"/>
          <w:lang w:eastAsia="en-GB"/>
          <w14:ligatures w14:val="none"/>
        </w:rPr>
        <w:t xml:space="preserve">The backbone of those initiatives is Lightstay, Hilton Supply Chain Management, partnerships and Hilton Global Foundation. Lightstay is an ESG management system which tracks, analyses and reports environmental and social impact across Hilton’s properties and tracks refinement area. Hilton supply chain management negotiates with supply chain companies for responsible sourcing, while the partnership segment creates impactful collaboration with organisations like World Wildlife Fund and International to fulfil community and environmental responsibilities. Hilton Global Foundation runs non-profit community projects and financial assistance to Hilton team members who are in need, which increases employee satisfaction and loyalty, which increases productivity and efficiency (Taibo.C et.al, 2020). Freeman’s stakeholder theory suggests organizations must take all stakeholders, including employees, customers, and the community, into consideration (Michael D, 2023). For Hilton, the team members, customers, hotel owners and communities are at the heart of all these efforts. (Hilton 2025) </w:t>
      </w:r>
    </w:p>
    <w:p w14:paraId="4DF3491B"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p>
    <w:p w14:paraId="09487511"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highlight w:val="white"/>
          <w:lang w:eastAsia="en-GB"/>
          <w14:ligatures w14:val="none"/>
        </w:rPr>
        <w:t xml:space="preserve">Stakeholders and the team members' engagement - Team members are trained to act responsibly and sustainably. The hotel owners are critical, they collaborate with leaders, help to pilot new initiatives, share the sincere feedback and help the leaders to design and implement socially and enviornmentally responsible initiatives., community is engaged in the initatives through small business, non-profits etc to help with local initiatives and also initiative like Felix project. (Hilton, 2025) External stakeholder engagement - Engaging external stakeholders effectively, for example, customers share their genuine feedback, “meet with purpose programme” helps the guest to take part in the efforts. While the investors have access to ESG data and the Annual reports to see the progress. The organisation is in collaboration with various NGOs, companies, and policy makers to achieve their ESG objectives. Effective supply chain management is another strategy that facilitates responsible sourcing through networking with diverse local suppliers to ensure quality goods and services and reduce environmental impacts.(Hilton, 2025) </w:t>
      </w:r>
    </w:p>
    <w:p w14:paraId="3BBFC200"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46825603" w14:textId="77777777" w:rsidR="0014002E" w:rsidRPr="0014002E" w:rsidRDefault="0014002E" w:rsidP="0014002E">
      <w:pPr>
        <w:keepNext/>
        <w:keepLines/>
        <w:spacing w:before="280" w:after="80" w:line="360" w:lineRule="auto"/>
        <w:jc w:val="both"/>
        <w:outlineLvl w:val="3"/>
        <w:rPr>
          <w:rFonts w:ascii="Arial" w:eastAsia="Arial" w:hAnsi="Arial" w:cs="Arial"/>
          <w:b/>
          <w:color w:val="000000"/>
          <w:kern w:val="0"/>
          <w:lang w:eastAsia="en-GB"/>
          <w14:ligatures w14:val="none"/>
        </w:rPr>
      </w:pPr>
      <w:bookmarkStart w:id="14" w:name="_wgaert43nulq"/>
      <w:bookmarkEnd w:id="14"/>
      <w:r w:rsidRPr="0014002E">
        <w:rPr>
          <w:rFonts w:ascii="Arial" w:eastAsia="Arial" w:hAnsi="Arial" w:cs="Arial"/>
          <w:b/>
          <w:color w:val="000000"/>
          <w:kern w:val="0"/>
          <w:lang w:eastAsia="en-GB"/>
          <w14:ligatures w14:val="none"/>
        </w:rPr>
        <w:t>Conclusion</w:t>
      </w:r>
    </w:p>
    <w:p w14:paraId="112A8D08"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28711A83" w14:textId="77777777" w:rsidR="0014002E" w:rsidRPr="0014002E" w:rsidRDefault="0014002E" w:rsidP="0014002E">
      <w:pPr>
        <w:spacing w:after="0" w:line="360" w:lineRule="auto"/>
        <w:jc w:val="both"/>
        <w:rPr>
          <w:rFonts w:ascii="Arial" w:eastAsia="Arial" w:hAnsi="Arial" w:cs="Arial"/>
          <w:kern w:val="0"/>
          <w:highlight w:val="white"/>
          <w:lang w:eastAsia="en-GB"/>
          <w14:ligatures w14:val="none"/>
        </w:rPr>
      </w:pPr>
      <w:r w:rsidRPr="0014002E">
        <w:rPr>
          <w:rFonts w:ascii="Arial" w:eastAsia="Arial" w:hAnsi="Arial" w:cs="Arial"/>
          <w:kern w:val="0"/>
          <w:lang w:eastAsia="en-GB"/>
          <w14:ligatures w14:val="none"/>
        </w:rPr>
        <w:lastRenderedPageBreak/>
        <w:t xml:space="preserve">To conclude the brand’s long-term strategy is focused on three areas: Environmental stewardship, where initiatives such as reducing the carbon foodprint, waste and water consumption. Secondly, social responsibility, where they focus on the creation of opportunities and development of employees, the community and stakeholders. The responsible governance ensures ethical practices, a code of conduct, transparency and efficiency in operations. </w:t>
      </w:r>
      <w:r w:rsidRPr="0014002E">
        <w:rPr>
          <w:rFonts w:ascii="Arial" w:eastAsia="Arial" w:hAnsi="Arial" w:cs="Arial"/>
          <w:kern w:val="0"/>
          <w:highlight w:val="white"/>
          <w:lang w:eastAsia="en-GB"/>
          <w14:ligatures w14:val="none"/>
        </w:rPr>
        <w:t>The industrial leadership is highly committed to promoting the sustainable initiatives, timely tracking, monitoring and making necessary modifications effectively</w:t>
      </w:r>
    </w:p>
    <w:p w14:paraId="1612ECAF"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6F0EA7EC" w14:textId="77777777" w:rsidR="0014002E" w:rsidRPr="0014002E" w:rsidRDefault="0014002E" w:rsidP="0014002E">
      <w:pPr>
        <w:spacing w:after="0" w:line="360" w:lineRule="auto"/>
        <w:rPr>
          <w:rFonts w:ascii="Arial" w:eastAsia="Arial" w:hAnsi="Arial" w:cs="Arial"/>
          <w:kern w:val="0"/>
          <w:lang w:eastAsia="en-GB"/>
          <w14:ligatures w14:val="none"/>
        </w:rPr>
      </w:pPr>
    </w:p>
    <w:p w14:paraId="204D0B56" w14:textId="77777777" w:rsidR="0014002E" w:rsidRPr="0014002E" w:rsidRDefault="0014002E" w:rsidP="0014002E">
      <w:pPr>
        <w:spacing w:after="0" w:line="360" w:lineRule="auto"/>
        <w:rPr>
          <w:rFonts w:ascii="Arial" w:eastAsia="Arial" w:hAnsi="Arial" w:cs="Arial"/>
          <w:kern w:val="0"/>
          <w:lang w:eastAsia="en-GB"/>
          <w14:ligatures w14:val="none"/>
        </w:rPr>
      </w:pPr>
    </w:p>
    <w:p w14:paraId="46B8ACCC" w14:textId="77777777" w:rsidR="0014002E" w:rsidRPr="0014002E" w:rsidRDefault="0014002E" w:rsidP="0014002E">
      <w:pPr>
        <w:keepNext/>
        <w:keepLines/>
        <w:spacing w:before="280" w:after="80" w:line="360" w:lineRule="auto"/>
        <w:outlineLvl w:val="3"/>
        <w:rPr>
          <w:rFonts w:ascii="Arial" w:eastAsia="Arial" w:hAnsi="Arial" w:cs="Arial"/>
          <w:b/>
          <w:color w:val="000000"/>
          <w:kern w:val="0"/>
          <w:lang w:eastAsia="en-GB"/>
          <w14:ligatures w14:val="none"/>
        </w:rPr>
      </w:pPr>
      <w:bookmarkStart w:id="15" w:name="_dgfeva3lqgh"/>
      <w:bookmarkEnd w:id="15"/>
      <w:r w:rsidRPr="0014002E">
        <w:rPr>
          <w:rFonts w:ascii="Arial" w:eastAsia="Arial" w:hAnsi="Arial" w:cs="Arial"/>
          <w:b/>
          <w:color w:val="000000"/>
          <w:kern w:val="0"/>
          <w:lang w:eastAsia="en-GB"/>
          <w14:ligatures w14:val="none"/>
        </w:rPr>
        <w:t>Recommendations</w:t>
      </w:r>
    </w:p>
    <w:p w14:paraId="35C9DDAF" w14:textId="77777777" w:rsidR="0014002E" w:rsidRPr="0014002E" w:rsidRDefault="0014002E" w:rsidP="0014002E">
      <w:pPr>
        <w:spacing w:after="0" w:line="360" w:lineRule="auto"/>
        <w:rPr>
          <w:rFonts w:ascii="Arial" w:eastAsia="Arial" w:hAnsi="Arial" w:cs="Arial"/>
          <w:kern w:val="0"/>
          <w:lang w:eastAsia="en-GB"/>
          <w14:ligatures w14:val="none"/>
        </w:rPr>
      </w:pPr>
    </w:p>
    <w:p w14:paraId="1C4A58AB" w14:textId="77777777" w:rsidR="0014002E" w:rsidRPr="0014002E" w:rsidRDefault="0014002E" w:rsidP="0014002E">
      <w:p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The major recommendation is to expand the usage of AI technology by using data-driven insights to create innovative experiences and solutions to address the different customer segments, especially Millennials and Gen Z, who are the future potential customer categories. They prefer and collaborate with brands that offer sustainable and eco-friendly options. (Md Mishkatul et.al, 2024) </w:t>
      </w:r>
    </w:p>
    <w:p w14:paraId="6B3866A5" w14:textId="77777777" w:rsidR="0014002E" w:rsidRPr="0014002E" w:rsidRDefault="0014002E" w:rsidP="0014002E">
      <w:pPr>
        <w:spacing w:after="0" w:line="360" w:lineRule="auto"/>
        <w:jc w:val="both"/>
        <w:rPr>
          <w:rFonts w:ascii="Arial" w:eastAsia="Arial" w:hAnsi="Arial" w:cs="Arial"/>
          <w:kern w:val="0"/>
          <w:lang w:eastAsia="en-GB"/>
          <w14:ligatures w14:val="none"/>
        </w:rPr>
      </w:pPr>
    </w:p>
    <w:p w14:paraId="6DC6AF91" w14:textId="77777777" w:rsidR="0014002E" w:rsidRPr="0014002E" w:rsidRDefault="0014002E" w:rsidP="0014002E">
      <w:p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Currently, the initiatives are market-based, but it is also advisable to introduce hotel-based ESG initiatives, considering the culture, climate, and special requirements for which more AI technology can be integrated to analyse the real-time data for each hotel and design customised solutions. The collaborations with stakeholders and suppliers to further develop hotel-specific initiatives. A survey among hotel owners is recommended to collect their suggestions separately for ESG concerns and run a feasibility check. Location-specific or hotel-specific ESG plans can be designed to enhance the impact to achieve a better competitive advantage </w:t>
      </w:r>
    </w:p>
    <w:p w14:paraId="7A4A2F9B"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0B1136BC"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2E6D93A7" w14:textId="77777777" w:rsidR="0014002E" w:rsidRPr="0014002E" w:rsidRDefault="0014002E" w:rsidP="0014002E">
      <w:pPr>
        <w:spacing w:after="360" w:line="360" w:lineRule="auto"/>
        <w:jc w:val="both"/>
        <w:outlineLvl w:val="0"/>
        <w:rPr>
          <w:rFonts w:ascii="Arial" w:eastAsia="Arial" w:hAnsi="Arial" w:cs="Arial"/>
          <w:b/>
          <w:kern w:val="0"/>
          <w:sz w:val="36"/>
          <w:szCs w:val="36"/>
          <w:lang w:eastAsia="en-GB"/>
          <w14:ligatures w14:val="none"/>
        </w:rPr>
      </w:pPr>
      <w:bookmarkStart w:id="16" w:name="_81o8r38rqw10"/>
      <w:bookmarkEnd w:id="16"/>
      <w:r w:rsidRPr="0014002E">
        <w:rPr>
          <w:rFonts w:ascii="Arial" w:eastAsia="Arial" w:hAnsi="Arial" w:cs="Arial"/>
          <w:b/>
          <w:kern w:val="0"/>
          <w:sz w:val="36"/>
          <w:szCs w:val="36"/>
          <w:lang w:eastAsia="en-GB"/>
          <w14:ligatures w14:val="none"/>
        </w:rPr>
        <w:t>Reference list</w:t>
      </w:r>
    </w:p>
    <w:p w14:paraId="3CC640D7"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lastRenderedPageBreak/>
        <w:t xml:space="preserve">Armstrong, M. (2007). </w:t>
      </w:r>
      <w:r w:rsidRPr="0014002E">
        <w:rPr>
          <w:rFonts w:ascii="Arial" w:eastAsia="Arial" w:hAnsi="Arial" w:cs="Arial"/>
          <w:i/>
          <w:kern w:val="0"/>
          <w:lang w:eastAsia="en-GB"/>
          <w14:ligatures w14:val="none"/>
        </w:rPr>
        <w:t>Michael Armstrong EMPLOYEE REWARD MANAGEMENT AND PRACTICE A Handbook of 2ND EDITION</w:t>
      </w:r>
      <w:r w:rsidRPr="0014002E">
        <w:rPr>
          <w:rFonts w:ascii="Arial" w:eastAsia="Arial" w:hAnsi="Arial" w:cs="Arial"/>
          <w:kern w:val="0"/>
          <w:lang w:eastAsia="en-GB"/>
          <w14:ligatures w14:val="none"/>
        </w:rPr>
        <w:t xml:space="preserve">. [online] Available at: </w:t>
      </w:r>
      <w:hyperlink r:id="rId17" w:history="1">
        <w:r w:rsidRPr="0014002E">
          <w:rPr>
            <w:rFonts w:ascii="Arial" w:eastAsia="Arial" w:hAnsi="Arial" w:cs="Arial"/>
            <w:color w:val="1155CC"/>
            <w:kern w:val="0"/>
            <w:u w:val="single"/>
            <w:lang w:eastAsia="en-GB"/>
            <w14:ligatures w14:val="none"/>
          </w:rPr>
          <w:t>https://hrproblog.wordpress.com/wp-content/uploads/2012/05/a_handbook_of_employee_reward_management_and_practice.pdf</w:t>
        </w:r>
      </w:hyperlink>
      <w:r w:rsidRPr="0014002E">
        <w:rPr>
          <w:rFonts w:ascii="Arial" w:eastAsia="Arial" w:hAnsi="Arial" w:cs="Arial"/>
          <w:kern w:val="0"/>
          <w:lang w:eastAsia="en-GB"/>
          <w14:ligatures w14:val="none"/>
        </w:rPr>
        <w:t xml:space="preserve">  [Accessed 6 Mar. 2025].</w:t>
      </w:r>
    </w:p>
    <w:p w14:paraId="1CB24369"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Bucăţa, G., Virca, I. and Popescu, F. (2022). Organisational Commitment, Motivation and Job Satisfaction. </w:t>
      </w:r>
      <w:r w:rsidRPr="0014002E">
        <w:rPr>
          <w:rFonts w:ascii="Arial" w:eastAsia="Arial" w:hAnsi="Arial" w:cs="Arial"/>
          <w:i/>
          <w:kern w:val="0"/>
          <w:lang w:eastAsia="en-GB"/>
          <w14:ligatures w14:val="none"/>
        </w:rPr>
        <w:t>Land Forces Academy Review</w:t>
      </w:r>
      <w:r w:rsidRPr="0014002E">
        <w:rPr>
          <w:rFonts w:ascii="Arial" w:eastAsia="Arial" w:hAnsi="Arial" w:cs="Arial"/>
          <w:kern w:val="0"/>
          <w:lang w:eastAsia="en-GB"/>
          <w14:ligatures w14:val="none"/>
        </w:rPr>
        <w:t>, [online] 27(2), pp.124–133. doi:</w:t>
      </w:r>
      <w:hyperlink r:id="rId18" w:history="1">
        <w:r w:rsidRPr="0014002E">
          <w:rPr>
            <w:rFonts w:ascii="Arial" w:eastAsia="Arial" w:hAnsi="Arial" w:cs="Arial"/>
            <w:color w:val="1155CC"/>
            <w:kern w:val="0"/>
            <w:u w:val="single"/>
            <w:lang w:eastAsia="en-GB"/>
            <w14:ligatures w14:val="none"/>
          </w:rPr>
          <w:t>https://doi.org/10.2478/raft-2022-0017</w:t>
        </w:r>
      </w:hyperlink>
      <w:r w:rsidRPr="0014002E">
        <w:rPr>
          <w:rFonts w:ascii="Arial" w:eastAsia="Arial" w:hAnsi="Arial" w:cs="Arial"/>
          <w:kern w:val="0"/>
          <w:lang w:eastAsia="en-GB"/>
          <w14:ligatures w14:val="none"/>
        </w:rPr>
        <w:t xml:space="preserve"> .</w:t>
      </w:r>
    </w:p>
    <w:p w14:paraId="7DD0DBAC"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Chen, T., Hao, S., Ding, K., Feng, X., Li, G. and Liang, X. (2020). The impact of organizational support on employee performance. </w:t>
      </w:r>
      <w:r w:rsidRPr="0014002E">
        <w:rPr>
          <w:rFonts w:ascii="Arial" w:eastAsia="Arial" w:hAnsi="Arial" w:cs="Arial"/>
          <w:i/>
          <w:kern w:val="0"/>
          <w:lang w:eastAsia="en-GB"/>
          <w14:ligatures w14:val="none"/>
        </w:rPr>
        <w:t>Employee Relations: The International Journal</w:t>
      </w:r>
      <w:r w:rsidRPr="0014002E">
        <w:rPr>
          <w:rFonts w:ascii="Arial" w:eastAsia="Arial" w:hAnsi="Arial" w:cs="Arial"/>
          <w:kern w:val="0"/>
          <w:lang w:eastAsia="en-GB"/>
          <w14:ligatures w14:val="none"/>
        </w:rPr>
        <w:t>, 42(1), pp.166–179. doi:</w:t>
      </w:r>
      <w:hyperlink r:id="rId19" w:history="1">
        <w:r w:rsidRPr="0014002E">
          <w:rPr>
            <w:rFonts w:ascii="Arial" w:eastAsia="Arial" w:hAnsi="Arial" w:cs="Arial"/>
            <w:color w:val="1155CC"/>
            <w:kern w:val="0"/>
            <w:u w:val="single"/>
            <w:lang w:eastAsia="en-GB"/>
            <w14:ligatures w14:val="none"/>
          </w:rPr>
          <w:t>https://doi.org/10.1108/er-01-2019-0079</w:t>
        </w:r>
      </w:hyperlink>
      <w:r w:rsidRPr="0014002E">
        <w:rPr>
          <w:rFonts w:ascii="Arial" w:eastAsia="Arial" w:hAnsi="Arial" w:cs="Arial"/>
          <w:kern w:val="0"/>
          <w:lang w:eastAsia="en-GB"/>
          <w14:ligatures w14:val="none"/>
        </w:rPr>
        <w:t xml:space="preserve">. </w:t>
      </w:r>
    </w:p>
    <w:p w14:paraId="50884F18"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Davenport, T.H. and Ronanki, R. (2018). </w:t>
      </w:r>
      <w:r w:rsidRPr="0014002E">
        <w:rPr>
          <w:rFonts w:ascii="Arial" w:eastAsia="Arial" w:hAnsi="Arial" w:cs="Arial"/>
          <w:i/>
          <w:kern w:val="0"/>
          <w:lang w:eastAsia="en-GB"/>
          <w14:ligatures w14:val="none"/>
        </w:rPr>
        <w:t>Artificial Intelligence for the Real World</w:t>
      </w:r>
      <w:r w:rsidRPr="0014002E">
        <w:rPr>
          <w:rFonts w:ascii="Arial" w:eastAsia="Arial" w:hAnsi="Arial" w:cs="Arial"/>
          <w:kern w:val="0"/>
          <w:lang w:eastAsia="en-GB"/>
          <w14:ligatures w14:val="none"/>
        </w:rPr>
        <w:t xml:space="preserve">. [online] Harvard Business Review. Available at: </w:t>
      </w:r>
      <w:hyperlink r:id="rId20" w:history="1">
        <w:r w:rsidRPr="0014002E">
          <w:rPr>
            <w:rFonts w:ascii="Arial" w:eastAsia="Arial" w:hAnsi="Arial" w:cs="Arial"/>
            <w:color w:val="1155CC"/>
            <w:kern w:val="0"/>
            <w:u w:val="single"/>
            <w:lang w:eastAsia="en-GB"/>
            <w14:ligatures w14:val="none"/>
          </w:rPr>
          <w:t>https://hbr.org/2018/01/artificial-intelligence-for-the-real-world</w:t>
        </w:r>
      </w:hyperlink>
      <w:r w:rsidRPr="0014002E">
        <w:rPr>
          <w:rFonts w:ascii="Arial" w:eastAsia="Arial" w:hAnsi="Arial" w:cs="Arial"/>
          <w:kern w:val="0"/>
          <w:lang w:eastAsia="en-GB"/>
          <w14:ligatures w14:val="none"/>
        </w:rPr>
        <w:t xml:space="preserve">  [Accessed 6 Mar. 2025].</w:t>
      </w:r>
    </w:p>
    <w:p w14:paraId="184F1E11"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Donaldson, L. (2001). </w:t>
      </w:r>
      <w:r w:rsidRPr="0014002E">
        <w:rPr>
          <w:rFonts w:ascii="Arial" w:eastAsia="Arial" w:hAnsi="Arial" w:cs="Arial"/>
          <w:i/>
          <w:kern w:val="0"/>
          <w:lang w:eastAsia="en-GB"/>
          <w14:ligatures w14:val="none"/>
        </w:rPr>
        <w:t>Divisional Structure - an overview | ScienceDirect Topics</w:t>
      </w:r>
      <w:r w:rsidRPr="0014002E">
        <w:rPr>
          <w:rFonts w:ascii="Arial" w:eastAsia="Arial" w:hAnsi="Arial" w:cs="Arial"/>
          <w:kern w:val="0"/>
          <w:lang w:eastAsia="en-GB"/>
          <w14:ligatures w14:val="none"/>
        </w:rPr>
        <w:t xml:space="preserve">. [online] www.sciencedirect.com. Available at: </w:t>
      </w:r>
      <w:hyperlink r:id="rId21" w:history="1">
        <w:r w:rsidRPr="0014002E">
          <w:rPr>
            <w:rFonts w:ascii="Arial" w:eastAsia="Arial" w:hAnsi="Arial" w:cs="Arial"/>
            <w:color w:val="1155CC"/>
            <w:kern w:val="0"/>
            <w:u w:val="single"/>
            <w:lang w:eastAsia="en-GB"/>
            <w14:ligatures w14:val="none"/>
          </w:rPr>
          <w:t>https://www.sciencedirect.com/topics/economics-econometrics-and-finance/divisional-structure</w:t>
        </w:r>
      </w:hyperlink>
      <w:r w:rsidRPr="0014002E">
        <w:rPr>
          <w:rFonts w:ascii="Arial" w:eastAsia="Arial" w:hAnsi="Arial" w:cs="Arial"/>
          <w:kern w:val="0"/>
          <w:lang w:eastAsia="en-GB"/>
          <w14:ligatures w14:val="none"/>
        </w:rPr>
        <w:t xml:space="preserve">  [Accessed 6 Mar. 2025].</w:t>
      </w:r>
    </w:p>
    <w:p w14:paraId="2E413D8E"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Dooms, M. (2023). </w:t>
      </w:r>
      <w:r w:rsidRPr="0014002E">
        <w:rPr>
          <w:rFonts w:ascii="Arial" w:eastAsia="Arial" w:hAnsi="Arial" w:cs="Arial"/>
          <w:i/>
          <w:kern w:val="0"/>
          <w:lang w:eastAsia="en-GB"/>
          <w14:ligatures w14:val="none"/>
        </w:rPr>
        <w:t>Stakeholder Theory - an overview | ScienceDirect Topics</w:t>
      </w:r>
      <w:r w:rsidRPr="0014002E">
        <w:rPr>
          <w:rFonts w:ascii="Arial" w:eastAsia="Arial" w:hAnsi="Arial" w:cs="Arial"/>
          <w:kern w:val="0"/>
          <w:lang w:eastAsia="en-GB"/>
          <w14:ligatures w14:val="none"/>
        </w:rPr>
        <w:t xml:space="preserve">. [online] Sciencedirect.com. Available at: </w:t>
      </w:r>
      <w:hyperlink r:id="rId22" w:history="1">
        <w:r w:rsidRPr="0014002E">
          <w:rPr>
            <w:rFonts w:ascii="Arial" w:eastAsia="Arial" w:hAnsi="Arial" w:cs="Arial"/>
            <w:color w:val="1155CC"/>
            <w:kern w:val="0"/>
            <w:u w:val="single"/>
            <w:lang w:eastAsia="en-GB"/>
            <w14:ligatures w14:val="none"/>
          </w:rPr>
          <w:t>https://www.sciencedirect.com/topics/social-sciences/stakeholder-theory</w:t>
        </w:r>
      </w:hyperlink>
      <w:r w:rsidRPr="0014002E">
        <w:rPr>
          <w:rFonts w:ascii="Arial" w:eastAsia="Arial" w:hAnsi="Arial" w:cs="Arial"/>
          <w:kern w:val="0"/>
          <w:lang w:eastAsia="en-GB"/>
          <w14:ligatures w14:val="none"/>
        </w:rPr>
        <w:t xml:space="preserve">  [Accessed 6 Mar. 2025].</w:t>
      </w:r>
    </w:p>
    <w:p w14:paraId="17E34016"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Forbes (2024). Council Post: 18 Reasons Why Sustainability Can Be A Strategic Business Advantage. </w:t>
      </w:r>
      <w:r w:rsidRPr="0014002E">
        <w:rPr>
          <w:rFonts w:ascii="Arial" w:eastAsia="Arial" w:hAnsi="Arial" w:cs="Arial"/>
          <w:i/>
          <w:kern w:val="0"/>
          <w:lang w:eastAsia="en-GB"/>
          <w14:ligatures w14:val="none"/>
        </w:rPr>
        <w:t>Forbes</w:t>
      </w:r>
      <w:r w:rsidRPr="0014002E">
        <w:rPr>
          <w:rFonts w:ascii="Arial" w:eastAsia="Arial" w:hAnsi="Arial" w:cs="Arial"/>
          <w:kern w:val="0"/>
          <w:lang w:eastAsia="en-GB"/>
          <w14:ligatures w14:val="none"/>
        </w:rPr>
        <w:t xml:space="preserve">. [online] 12 Aug. Available at: </w:t>
      </w:r>
      <w:hyperlink r:id="rId23" w:history="1">
        <w:r w:rsidRPr="0014002E">
          <w:rPr>
            <w:rFonts w:ascii="Arial" w:eastAsia="Arial" w:hAnsi="Arial" w:cs="Arial"/>
            <w:color w:val="1155CC"/>
            <w:kern w:val="0"/>
            <w:u w:val="single"/>
            <w:lang w:eastAsia="en-GB"/>
            <w14:ligatures w14:val="none"/>
          </w:rPr>
          <w:t>https://www.forbes.com/councils/forbesbusinesscouncil/2024/06/07/18-reasons-why-sustainability-can-be-a-strategic-business-advantage</w:t>
        </w:r>
      </w:hyperlink>
      <w:r w:rsidRPr="0014002E">
        <w:rPr>
          <w:rFonts w:ascii="Arial" w:eastAsia="Arial" w:hAnsi="Arial" w:cs="Arial"/>
          <w:kern w:val="0"/>
          <w:lang w:eastAsia="en-GB"/>
          <w14:ligatures w14:val="none"/>
        </w:rPr>
        <w:t xml:space="preserve"> </w:t>
      </w:r>
    </w:p>
    <w:p w14:paraId="041E5B1F"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Great Place to Work (2024). </w:t>
      </w:r>
      <w:r w:rsidRPr="0014002E">
        <w:rPr>
          <w:rFonts w:ascii="Arial" w:eastAsia="Arial" w:hAnsi="Arial" w:cs="Arial"/>
          <w:i/>
          <w:kern w:val="0"/>
          <w:lang w:eastAsia="en-GB"/>
          <w14:ligatures w14:val="none"/>
        </w:rPr>
        <w:t>Hilton</w:t>
      </w:r>
      <w:r w:rsidRPr="0014002E">
        <w:rPr>
          <w:rFonts w:ascii="Arial" w:eastAsia="Arial" w:hAnsi="Arial" w:cs="Arial"/>
          <w:kern w:val="0"/>
          <w:lang w:eastAsia="en-GB"/>
          <w14:ligatures w14:val="none"/>
        </w:rPr>
        <w:t xml:space="preserve">. [online] Great Place To Work United States. Available at: </w:t>
      </w:r>
      <w:hyperlink r:id="rId24" w:history="1">
        <w:r w:rsidRPr="0014002E">
          <w:rPr>
            <w:rFonts w:ascii="Arial" w:eastAsia="Arial" w:hAnsi="Arial" w:cs="Arial"/>
            <w:color w:val="1155CC"/>
            <w:kern w:val="0"/>
            <w:u w:val="single"/>
            <w:lang w:eastAsia="en-GB"/>
            <w14:ligatures w14:val="none"/>
          </w:rPr>
          <w:t>https://www.greatplacetowork.com/certified-company/1000367</w:t>
        </w:r>
      </w:hyperlink>
      <w:r w:rsidRPr="0014002E">
        <w:rPr>
          <w:rFonts w:ascii="Arial" w:eastAsia="Arial" w:hAnsi="Arial" w:cs="Arial"/>
          <w:kern w:val="0"/>
          <w:lang w:eastAsia="en-GB"/>
          <w14:ligatures w14:val="none"/>
        </w:rPr>
        <w:t xml:space="preserve">  [Accessed 5 Mar. 2025].</w:t>
      </w:r>
    </w:p>
    <w:p w14:paraId="1B9A608C"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Herzberg, F. (1968). </w:t>
      </w:r>
      <w:r w:rsidRPr="0014002E">
        <w:rPr>
          <w:rFonts w:ascii="Arial" w:eastAsia="Arial" w:hAnsi="Arial" w:cs="Arial"/>
          <w:i/>
          <w:kern w:val="0"/>
          <w:lang w:eastAsia="en-GB"/>
          <w14:ligatures w14:val="none"/>
        </w:rPr>
        <w:t>One More Time How Do You Motivate Employees?</w:t>
      </w:r>
      <w:r w:rsidRPr="0014002E">
        <w:rPr>
          <w:rFonts w:ascii="Arial" w:eastAsia="Arial" w:hAnsi="Arial" w:cs="Arial"/>
          <w:kern w:val="0"/>
          <w:lang w:eastAsia="en-GB"/>
          <w14:ligatures w14:val="none"/>
        </w:rPr>
        <w:t xml:space="preserve"> Boston Harvard Business Review Press.</w:t>
      </w:r>
    </w:p>
    <w:p w14:paraId="0C769BC0"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lastRenderedPageBreak/>
        <w:t xml:space="preserve">Hilton (2011). </w:t>
      </w:r>
      <w:r w:rsidRPr="0014002E">
        <w:rPr>
          <w:rFonts w:ascii="Arial" w:eastAsia="Arial" w:hAnsi="Arial" w:cs="Arial"/>
          <w:i/>
          <w:kern w:val="0"/>
          <w:lang w:eastAsia="en-GB"/>
          <w14:ligatures w14:val="none"/>
        </w:rPr>
        <w:t>Company Management</w:t>
      </w:r>
      <w:r w:rsidRPr="0014002E">
        <w:rPr>
          <w:rFonts w:ascii="Arial" w:eastAsia="Arial" w:hAnsi="Arial" w:cs="Arial"/>
          <w:kern w:val="0"/>
          <w:lang w:eastAsia="en-GB"/>
          <w14:ligatures w14:val="none"/>
        </w:rPr>
        <w:t xml:space="preserve">. [online] Hilton.com. Available at: </w:t>
      </w:r>
      <w:hyperlink r:id="rId25" w:history="1">
        <w:r w:rsidRPr="0014002E">
          <w:rPr>
            <w:rFonts w:ascii="Arial" w:eastAsia="Arial" w:hAnsi="Arial" w:cs="Arial"/>
            <w:color w:val="1155CC"/>
            <w:kern w:val="0"/>
            <w:u w:val="single"/>
            <w:lang w:eastAsia="en-GB"/>
            <w14:ligatures w14:val="none"/>
          </w:rPr>
          <w:t>https://ir.hilton.com/corporate-governance/management</w:t>
        </w:r>
      </w:hyperlink>
      <w:r w:rsidRPr="0014002E">
        <w:rPr>
          <w:rFonts w:ascii="Arial" w:eastAsia="Arial" w:hAnsi="Arial" w:cs="Arial"/>
          <w:kern w:val="0"/>
          <w:lang w:eastAsia="en-GB"/>
          <w14:ligatures w14:val="none"/>
        </w:rPr>
        <w:t xml:space="preserve">  [Accessed 6 Mar. 2025].</w:t>
      </w:r>
    </w:p>
    <w:p w14:paraId="3D41D3C4"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Hilton (2023a). </w:t>
      </w:r>
      <w:r w:rsidRPr="0014002E">
        <w:rPr>
          <w:rFonts w:ascii="Arial" w:eastAsia="Arial" w:hAnsi="Arial" w:cs="Arial"/>
          <w:i/>
          <w:kern w:val="0"/>
          <w:lang w:eastAsia="en-GB"/>
          <w14:ligatures w14:val="none"/>
        </w:rPr>
        <w:t>Hilton Named No. 1 Best Place to Work in the World</w:t>
      </w:r>
      <w:r w:rsidRPr="0014002E">
        <w:rPr>
          <w:rFonts w:ascii="Arial" w:eastAsia="Arial" w:hAnsi="Arial" w:cs="Arial"/>
          <w:kern w:val="0"/>
          <w:lang w:eastAsia="en-GB"/>
          <w14:ligatures w14:val="none"/>
        </w:rPr>
        <w:t xml:space="preserve">. [online] Stories From Hilton. Available at: </w:t>
      </w:r>
      <w:hyperlink r:id="rId26" w:history="1">
        <w:r w:rsidRPr="0014002E">
          <w:rPr>
            <w:rFonts w:ascii="Arial" w:eastAsia="Arial" w:hAnsi="Arial" w:cs="Arial"/>
            <w:color w:val="1155CC"/>
            <w:kern w:val="0"/>
            <w:u w:val="single"/>
            <w:lang w:eastAsia="en-GB"/>
            <w14:ligatures w14:val="none"/>
          </w:rPr>
          <w:t>https://stories.hilton.com/releases/hilton-named-no-1-best-place-to-work-in-the-world</w:t>
        </w:r>
      </w:hyperlink>
      <w:r w:rsidRPr="0014002E">
        <w:rPr>
          <w:rFonts w:ascii="Arial" w:eastAsia="Arial" w:hAnsi="Arial" w:cs="Arial"/>
          <w:kern w:val="0"/>
          <w:lang w:eastAsia="en-GB"/>
          <w14:ligatures w14:val="none"/>
        </w:rPr>
        <w:t xml:space="preserve">. </w:t>
      </w:r>
    </w:p>
    <w:p w14:paraId="2165D6D4"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Hilton (2023b). </w:t>
      </w:r>
      <w:r w:rsidRPr="0014002E">
        <w:rPr>
          <w:rFonts w:ascii="Arial" w:eastAsia="Arial" w:hAnsi="Arial" w:cs="Arial"/>
          <w:i/>
          <w:kern w:val="0"/>
          <w:lang w:eastAsia="en-GB"/>
          <w14:ligatures w14:val="none"/>
        </w:rPr>
        <w:t>Travel with Purpose 2023 REPORT</w:t>
      </w:r>
      <w:r w:rsidRPr="0014002E">
        <w:rPr>
          <w:rFonts w:ascii="Arial" w:eastAsia="Arial" w:hAnsi="Arial" w:cs="Arial"/>
          <w:kern w:val="0"/>
          <w:lang w:eastAsia="en-GB"/>
          <w14:ligatures w14:val="none"/>
        </w:rPr>
        <w:t xml:space="preserve">. [online] Available at: </w:t>
      </w:r>
      <w:hyperlink r:id="rId27" w:history="1">
        <w:r w:rsidRPr="0014002E">
          <w:rPr>
            <w:rFonts w:ascii="Arial" w:eastAsia="Arial" w:hAnsi="Arial" w:cs="Arial"/>
            <w:color w:val="1155CC"/>
            <w:kern w:val="0"/>
            <w:u w:val="single"/>
            <w:lang w:eastAsia="en-GB"/>
            <w14:ligatures w14:val="none"/>
          </w:rPr>
          <w:t>https://esg.hilton.com/wp-content/uploads/sites/4/2024/07/2023-Travel-with-Purpose-Report-final</w:t>
        </w:r>
      </w:hyperlink>
      <w:r w:rsidRPr="0014002E">
        <w:rPr>
          <w:rFonts w:ascii="Arial" w:eastAsia="Arial" w:hAnsi="Arial" w:cs="Arial"/>
          <w:kern w:val="0"/>
          <w:lang w:eastAsia="en-GB"/>
          <w14:ligatures w14:val="none"/>
        </w:rPr>
        <w:t>. pdf [Accessed 6 Mar. 2025].</w:t>
      </w:r>
    </w:p>
    <w:p w14:paraId="5AEF4793"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Hilton (2025). </w:t>
      </w:r>
      <w:r w:rsidRPr="0014002E">
        <w:rPr>
          <w:rFonts w:ascii="Arial" w:eastAsia="Arial" w:hAnsi="Arial" w:cs="Arial"/>
          <w:i/>
          <w:kern w:val="0"/>
          <w:lang w:eastAsia="en-GB"/>
          <w14:ligatures w14:val="none"/>
        </w:rPr>
        <w:t>Hilton Brands | Global Hospitality Company</w:t>
      </w:r>
      <w:r w:rsidRPr="0014002E">
        <w:rPr>
          <w:rFonts w:ascii="Arial" w:eastAsia="Arial" w:hAnsi="Arial" w:cs="Arial"/>
          <w:kern w:val="0"/>
          <w:lang w:eastAsia="en-GB"/>
          <w14:ligatures w14:val="none"/>
        </w:rPr>
        <w:t xml:space="preserve">. [online] Hilton.com. Available at: </w:t>
      </w:r>
      <w:hyperlink r:id="rId28" w:history="1">
        <w:r w:rsidRPr="0014002E">
          <w:rPr>
            <w:rFonts w:ascii="Arial" w:eastAsia="Arial" w:hAnsi="Arial" w:cs="Arial"/>
            <w:color w:val="1155CC"/>
            <w:kern w:val="0"/>
            <w:u w:val="single"/>
            <w:lang w:eastAsia="en-GB"/>
            <w14:ligatures w14:val="none"/>
          </w:rPr>
          <w:t>https://www.hilton.com/en/corporate/</w:t>
        </w:r>
      </w:hyperlink>
      <w:r w:rsidRPr="0014002E">
        <w:rPr>
          <w:rFonts w:ascii="Arial" w:eastAsia="Arial" w:hAnsi="Arial" w:cs="Arial"/>
          <w:kern w:val="0"/>
          <w:lang w:eastAsia="en-GB"/>
          <w14:ligatures w14:val="none"/>
        </w:rPr>
        <w:t xml:space="preserve">  [Accessed 3 Mar. 2025].</w:t>
      </w:r>
    </w:p>
    <w:p w14:paraId="2899B3F6"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Igarová, K., Kádeková, Z., Košičiarová, I., Džupina, M., Dvořák, M. and Smutka, L. (2023). Is Corporate Social Responsibility Considered a Marketing Tool? Case Study from Customers’ Point of View in the Slovak Food Market. </w:t>
      </w:r>
      <w:r w:rsidRPr="0014002E">
        <w:rPr>
          <w:rFonts w:ascii="Arial" w:eastAsia="Arial" w:hAnsi="Arial" w:cs="Arial"/>
          <w:i/>
          <w:kern w:val="0"/>
          <w:lang w:eastAsia="en-GB"/>
          <w14:ligatures w14:val="none"/>
        </w:rPr>
        <w:t>Foods</w:t>
      </w:r>
      <w:r w:rsidRPr="0014002E">
        <w:rPr>
          <w:rFonts w:ascii="Arial" w:eastAsia="Arial" w:hAnsi="Arial" w:cs="Arial"/>
          <w:kern w:val="0"/>
          <w:lang w:eastAsia="en-GB"/>
          <w14:ligatures w14:val="none"/>
        </w:rPr>
        <w:t>, [online] 12(14), p.2770. doi:</w:t>
      </w:r>
      <w:hyperlink r:id="rId29" w:history="1">
        <w:r w:rsidRPr="0014002E">
          <w:rPr>
            <w:rFonts w:ascii="Arial" w:eastAsia="Arial" w:hAnsi="Arial" w:cs="Arial"/>
            <w:color w:val="1155CC"/>
            <w:kern w:val="0"/>
            <w:u w:val="single"/>
            <w:lang w:eastAsia="en-GB"/>
            <w14:ligatures w14:val="none"/>
          </w:rPr>
          <w:t>https://doi.org/10.3390/foods12142770</w:t>
        </w:r>
      </w:hyperlink>
      <w:r w:rsidRPr="0014002E">
        <w:rPr>
          <w:rFonts w:ascii="Arial" w:eastAsia="Arial" w:hAnsi="Arial" w:cs="Arial"/>
          <w:kern w:val="0"/>
          <w:lang w:eastAsia="en-GB"/>
          <w14:ligatures w14:val="none"/>
        </w:rPr>
        <w:t xml:space="preserve">. </w:t>
      </w:r>
    </w:p>
    <w:p w14:paraId="2B99AAE0"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Kabir, M.M. and Hassan, K. (2024). Millennial travel trends: Responses to climate change. </w:t>
      </w:r>
      <w:r w:rsidRPr="0014002E">
        <w:rPr>
          <w:rFonts w:ascii="Arial" w:eastAsia="Arial" w:hAnsi="Arial" w:cs="Arial"/>
          <w:i/>
          <w:kern w:val="0"/>
          <w:lang w:eastAsia="en-GB"/>
          <w14:ligatures w14:val="none"/>
        </w:rPr>
        <w:t>Social Sciences &amp; Humanities Open</w:t>
      </w:r>
      <w:r w:rsidRPr="0014002E">
        <w:rPr>
          <w:rFonts w:ascii="Arial" w:eastAsia="Arial" w:hAnsi="Arial" w:cs="Arial"/>
          <w:kern w:val="0"/>
          <w:lang w:eastAsia="en-GB"/>
          <w14:ligatures w14:val="none"/>
        </w:rPr>
        <w:t>, [online] 9, p.100797. doi:</w:t>
      </w:r>
      <w:hyperlink r:id="rId30" w:history="1">
        <w:r w:rsidRPr="0014002E">
          <w:rPr>
            <w:rFonts w:ascii="Arial" w:eastAsia="Arial" w:hAnsi="Arial" w:cs="Arial"/>
            <w:color w:val="1155CC"/>
            <w:kern w:val="0"/>
            <w:u w:val="single"/>
            <w:lang w:eastAsia="en-GB"/>
            <w14:ligatures w14:val="none"/>
          </w:rPr>
          <w:t>https://doi.org/10.1016/j.ssaho.2023.100797</w:t>
        </w:r>
      </w:hyperlink>
      <w:r w:rsidRPr="0014002E">
        <w:rPr>
          <w:rFonts w:ascii="Arial" w:eastAsia="Arial" w:hAnsi="Arial" w:cs="Arial"/>
          <w:kern w:val="0"/>
          <w:lang w:eastAsia="en-GB"/>
          <w14:ligatures w14:val="none"/>
        </w:rPr>
        <w:t xml:space="preserve">. </w:t>
      </w:r>
    </w:p>
    <w:p w14:paraId="413D2A4B"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Lewis, A. (2022). </w:t>
      </w:r>
      <w:r w:rsidRPr="0014002E">
        <w:rPr>
          <w:rFonts w:ascii="Arial" w:eastAsia="Arial" w:hAnsi="Arial" w:cs="Arial"/>
          <w:i/>
          <w:kern w:val="0"/>
          <w:lang w:eastAsia="en-GB"/>
          <w14:ligatures w14:val="none"/>
        </w:rPr>
        <w:t>Good leadership? It all starts with trust.</w:t>
      </w:r>
      <w:r w:rsidRPr="0014002E">
        <w:rPr>
          <w:rFonts w:ascii="Arial" w:eastAsia="Arial" w:hAnsi="Arial" w:cs="Arial"/>
          <w:kern w:val="0"/>
          <w:lang w:eastAsia="en-GB"/>
          <w14:ligatures w14:val="none"/>
        </w:rPr>
        <w:t xml:space="preserve"> [online] Harvard Business Publishing. Available at: </w:t>
      </w:r>
      <w:hyperlink r:id="rId31" w:history="1">
        <w:r w:rsidRPr="0014002E">
          <w:rPr>
            <w:rFonts w:ascii="Arial" w:eastAsia="Arial" w:hAnsi="Arial" w:cs="Arial"/>
            <w:color w:val="1155CC"/>
            <w:kern w:val="0"/>
            <w:u w:val="single"/>
            <w:lang w:eastAsia="en-GB"/>
            <w14:ligatures w14:val="none"/>
          </w:rPr>
          <w:t>https://www.harvardbusiness.org/good-leadership-it-all-starts-with-trust/</w:t>
        </w:r>
      </w:hyperlink>
      <w:r w:rsidRPr="0014002E">
        <w:rPr>
          <w:rFonts w:ascii="Arial" w:eastAsia="Arial" w:hAnsi="Arial" w:cs="Arial"/>
          <w:kern w:val="0"/>
          <w:lang w:eastAsia="en-GB"/>
          <w14:ligatures w14:val="none"/>
        </w:rPr>
        <w:t xml:space="preserve">  [Accessed 6 Mar. 2025].</w:t>
      </w:r>
    </w:p>
    <w:p w14:paraId="628C4DB2"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Maslow, A.H. (1998). </w:t>
      </w:r>
      <w:r w:rsidRPr="0014002E">
        <w:rPr>
          <w:rFonts w:ascii="Arial" w:eastAsia="Arial" w:hAnsi="Arial" w:cs="Arial"/>
          <w:i/>
          <w:kern w:val="0"/>
          <w:lang w:eastAsia="en-GB"/>
          <w14:ligatures w14:val="none"/>
        </w:rPr>
        <w:t>Maslow on management</w:t>
      </w:r>
      <w:r w:rsidRPr="0014002E">
        <w:rPr>
          <w:rFonts w:ascii="Arial" w:eastAsia="Arial" w:hAnsi="Arial" w:cs="Arial"/>
          <w:kern w:val="0"/>
          <w:lang w:eastAsia="en-GB"/>
          <w14:ligatures w14:val="none"/>
        </w:rPr>
        <w:t xml:space="preserve">. [online] New York: John Wiley. Available at: </w:t>
      </w:r>
      <w:hyperlink r:id="rId32" w:history="1">
        <w:r w:rsidRPr="0014002E">
          <w:rPr>
            <w:rFonts w:ascii="Arial" w:eastAsia="Arial" w:hAnsi="Arial" w:cs="Arial"/>
            <w:color w:val="1155CC"/>
            <w:kern w:val="0"/>
            <w:u w:val="single"/>
            <w:lang w:eastAsia="en-GB"/>
            <w14:ligatures w14:val="none"/>
          </w:rPr>
          <w:t>https://www.google.co.in/books/edition/A_Theory_of_Human_Motivation/CkonDwAAQBAJ?hl=en&amp;gbpv=1&amp;dq=maslow%27s+hierarchy+of+needs+reference&amp;printsec=frontcover</w:t>
        </w:r>
      </w:hyperlink>
      <w:r w:rsidRPr="0014002E">
        <w:rPr>
          <w:rFonts w:ascii="Arial" w:eastAsia="Arial" w:hAnsi="Arial" w:cs="Arial"/>
          <w:kern w:val="0"/>
          <w:lang w:eastAsia="en-GB"/>
          <w14:ligatures w14:val="none"/>
        </w:rPr>
        <w:t xml:space="preserve">. </w:t>
      </w:r>
    </w:p>
    <w:p w14:paraId="3B8D8652"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Pan, F.C. (2015). Practical application of importance-performance analysis in determining critical job satisfaction factors of a tourist hotel. </w:t>
      </w:r>
      <w:r w:rsidRPr="0014002E">
        <w:rPr>
          <w:rFonts w:ascii="Arial" w:eastAsia="Arial" w:hAnsi="Arial" w:cs="Arial"/>
          <w:i/>
          <w:kern w:val="0"/>
          <w:lang w:eastAsia="en-GB"/>
          <w14:ligatures w14:val="none"/>
        </w:rPr>
        <w:t>Tourism Management</w:t>
      </w:r>
      <w:r w:rsidRPr="0014002E">
        <w:rPr>
          <w:rFonts w:ascii="Arial" w:eastAsia="Arial" w:hAnsi="Arial" w:cs="Arial"/>
          <w:kern w:val="0"/>
          <w:lang w:eastAsia="en-GB"/>
          <w14:ligatures w14:val="none"/>
        </w:rPr>
        <w:t>, [online] 46, pp.84–91. doi:</w:t>
      </w:r>
      <w:hyperlink r:id="rId33" w:history="1">
        <w:r w:rsidRPr="0014002E">
          <w:rPr>
            <w:rFonts w:ascii="Arial" w:eastAsia="Arial" w:hAnsi="Arial" w:cs="Arial"/>
            <w:color w:val="1155CC"/>
            <w:kern w:val="0"/>
            <w:u w:val="single"/>
            <w:lang w:eastAsia="en-GB"/>
            <w14:ligatures w14:val="none"/>
          </w:rPr>
          <w:t>https://doi.org/10.1016/j.tourman.2014.06.004</w:t>
        </w:r>
      </w:hyperlink>
      <w:r w:rsidRPr="0014002E">
        <w:rPr>
          <w:rFonts w:ascii="Arial" w:eastAsia="Arial" w:hAnsi="Arial" w:cs="Arial"/>
          <w:kern w:val="0"/>
          <w:lang w:eastAsia="en-GB"/>
          <w14:ligatures w14:val="none"/>
        </w:rPr>
        <w:t xml:space="preserve">. </w:t>
      </w:r>
    </w:p>
    <w:p w14:paraId="3F66DDC4" w14:textId="77777777" w:rsidR="0014002E" w:rsidRPr="0014002E" w:rsidRDefault="0014002E" w:rsidP="0014002E">
      <w:pPr>
        <w:numPr>
          <w:ilvl w:val="0"/>
          <w:numId w:val="1"/>
        </w:numPr>
        <w:spacing w:after="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Uka, A. and Prendi, A. (2021). </w:t>
      </w:r>
      <w:r w:rsidRPr="0014002E">
        <w:rPr>
          <w:rFonts w:ascii="Arial" w:eastAsia="Arial" w:hAnsi="Arial" w:cs="Arial"/>
          <w:i/>
          <w:kern w:val="0"/>
          <w:lang w:eastAsia="en-GB"/>
          <w14:ligatures w14:val="none"/>
        </w:rPr>
        <w:t>Motivation as an indicator of performance and productivity from the perspective of employees</w:t>
      </w:r>
      <w:r w:rsidRPr="0014002E">
        <w:rPr>
          <w:rFonts w:ascii="Arial" w:eastAsia="Arial" w:hAnsi="Arial" w:cs="Arial"/>
          <w:kern w:val="0"/>
          <w:lang w:eastAsia="en-GB"/>
          <w14:ligatures w14:val="none"/>
        </w:rPr>
        <w:t xml:space="preserve">. [online] ResearchGate. Available at: </w:t>
      </w:r>
      <w:hyperlink r:id="rId34" w:history="1">
        <w:r w:rsidRPr="0014002E">
          <w:rPr>
            <w:rFonts w:ascii="Arial" w:eastAsia="Arial" w:hAnsi="Arial" w:cs="Arial"/>
            <w:color w:val="1155CC"/>
            <w:kern w:val="0"/>
            <w:u w:val="single"/>
            <w:lang w:eastAsia="en-GB"/>
            <w14:ligatures w14:val="none"/>
          </w:rPr>
          <w:t>https://www.researchgate.net/publication/355149610_Motivation_as_an_indic</w:t>
        </w:r>
        <w:r w:rsidRPr="0014002E">
          <w:rPr>
            <w:rFonts w:ascii="Arial" w:eastAsia="Arial" w:hAnsi="Arial" w:cs="Arial"/>
            <w:color w:val="1155CC"/>
            <w:kern w:val="0"/>
            <w:u w:val="single"/>
            <w:lang w:eastAsia="en-GB"/>
            <w14:ligatures w14:val="none"/>
          </w:rPr>
          <w:lastRenderedPageBreak/>
          <w:t>ator_of_performance_and_productivity_from_the_perspective_of_employees</w:t>
        </w:r>
      </w:hyperlink>
      <w:r w:rsidRPr="0014002E">
        <w:rPr>
          <w:rFonts w:ascii="Arial" w:eastAsia="Arial" w:hAnsi="Arial" w:cs="Arial"/>
          <w:kern w:val="0"/>
          <w:lang w:eastAsia="en-GB"/>
          <w14:ligatures w14:val="none"/>
        </w:rPr>
        <w:t xml:space="preserve">   [Accessed 6 Mar. 2025].</w:t>
      </w:r>
    </w:p>
    <w:p w14:paraId="68568A35" w14:textId="77777777" w:rsidR="0014002E" w:rsidRPr="0014002E" w:rsidRDefault="0014002E" w:rsidP="0014002E">
      <w:pPr>
        <w:numPr>
          <w:ilvl w:val="0"/>
          <w:numId w:val="1"/>
        </w:numPr>
        <w:spacing w:after="240" w:line="360" w:lineRule="auto"/>
        <w:jc w:val="both"/>
        <w:rPr>
          <w:rFonts w:ascii="Arial" w:eastAsia="Arial" w:hAnsi="Arial" w:cs="Arial"/>
          <w:kern w:val="0"/>
          <w:lang w:eastAsia="en-GB"/>
          <w14:ligatures w14:val="none"/>
        </w:rPr>
      </w:pPr>
      <w:r w:rsidRPr="0014002E">
        <w:rPr>
          <w:rFonts w:ascii="Arial" w:eastAsia="Arial" w:hAnsi="Arial" w:cs="Arial"/>
          <w:kern w:val="0"/>
          <w:lang w:eastAsia="en-GB"/>
          <w14:ligatures w14:val="none"/>
        </w:rPr>
        <w:t xml:space="preserve">Zainee, I.A. and Puteh, F. (2020). Corporate social responsibility impact on talent retention among Generation Y. </w:t>
      </w:r>
      <w:r w:rsidRPr="0014002E">
        <w:rPr>
          <w:rFonts w:ascii="Arial" w:eastAsia="Arial" w:hAnsi="Arial" w:cs="Arial"/>
          <w:i/>
          <w:kern w:val="0"/>
          <w:lang w:eastAsia="en-GB"/>
          <w14:ligatures w14:val="none"/>
        </w:rPr>
        <w:t>Revista de Gestão</w:t>
      </w:r>
      <w:r w:rsidRPr="0014002E">
        <w:rPr>
          <w:rFonts w:ascii="Arial" w:eastAsia="Arial" w:hAnsi="Arial" w:cs="Arial"/>
          <w:kern w:val="0"/>
          <w:lang w:eastAsia="en-GB"/>
          <w14:ligatures w14:val="none"/>
        </w:rPr>
        <w:t>, [online] 27(4), pp.369–392. doi:</w:t>
      </w:r>
      <w:hyperlink r:id="rId35" w:history="1">
        <w:r w:rsidRPr="0014002E">
          <w:rPr>
            <w:rFonts w:ascii="Arial" w:eastAsia="Arial" w:hAnsi="Arial" w:cs="Arial"/>
            <w:color w:val="1155CC"/>
            <w:kern w:val="0"/>
            <w:u w:val="single"/>
            <w:lang w:eastAsia="en-GB"/>
            <w14:ligatures w14:val="none"/>
          </w:rPr>
          <w:t>https://doi.org/10.1108/rege-06-2019-0070</w:t>
        </w:r>
      </w:hyperlink>
      <w:r w:rsidRPr="0014002E">
        <w:rPr>
          <w:rFonts w:ascii="Arial" w:eastAsia="Arial" w:hAnsi="Arial" w:cs="Arial"/>
          <w:kern w:val="0"/>
          <w:lang w:eastAsia="en-GB"/>
          <w14:ligatures w14:val="none"/>
        </w:rPr>
        <w:t xml:space="preserve">. </w:t>
      </w:r>
    </w:p>
    <w:p w14:paraId="5B010392"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50F2DC98" w14:textId="77777777" w:rsidR="0014002E" w:rsidRPr="0014002E" w:rsidRDefault="0014002E" w:rsidP="0014002E">
      <w:pPr>
        <w:spacing w:after="0" w:line="360" w:lineRule="auto"/>
        <w:jc w:val="both"/>
        <w:rPr>
          <w:rFonts w:ascii="Arial" w:eastAsia="Arial" w:hAnsi="Arial" w:cs="Arial"/>
          <w:kern w:val="0"/>
          <w:sz w:val="22"/>
          <w:szCs w:val="22"/>
          <w:lang w:eastAsia="en-GB"/>
          <w14:ligatures w14:val="none"/>
        </w:rPr>
      </w:pPr>
    </w:p>
    <w:p w14:paraId="0B259187" w14:textId="77777777" w:rsidR="0014002E" w:rsidRDefault="0014002E"/>
    <w:sectPr w:rsidR="001400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420878"/>
    <w:multiLevelType w:val="multilevel"/>
    <w:tmpl w:val="0E6E020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7303529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02E"/>
    <w:rsid w:val="0014002E"/>
    <w:rsid w:val="00315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E6E64"/>
  <w15:chartTrackingRefBased/>
  <w15:docId w15:val="{7D7CBC4F-3FC8-44DC-8947-3E36C0D2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0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0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0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0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0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0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0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0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0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0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0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0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0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0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0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0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0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02E"/>
    <w:rPr>
      <w:rFonts w:eastAsiaTheme="majorEastAsia" w:cstheme="majorBidi"/>
      <w:color w:val="272727" w:themeColor="text1" w:themeTint="D8"/>
    </w:rPr>
  </w:style>
  <w:style w:type="paragraph" w:styleId="Title">
    <w:name w:val="Title"/>
    <w:basedOn w:val="Normal"/>
    <w:next w:val="Normal"/>
    <w:link w:val="TitleChar"/>
    <w:uiPriority w:val="10"/>
    <w:qFormat/>
    <w:rsid w:val="001400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0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0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0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02E"/>
    <w:pPr>
      <w:spacing w:before="160"/>
      <w:jc w:val="center"/>
    </w:pPr>
    <w:rPr>
      <w:i/>
      <w:iCs/>
      <w:color w:val="404040" w:themeColor="text1" w:themeTint="BF"/>
    </w:rPr>
  </w:style>
  <w:style w:type="character" w:customStyle="1" w:styleId="QuoteChar">
    <w:name w:val="Quote Char"/>
    <w:basedOn w:val="DefaultParagraphFont"/>
    <w:link w:val="Quote"/>
    <w:uiPriority w:val="29"/>
    <w:rsid w:val="0014002E"/>
    <w:rPr>
      <w:i/>
      <w:iCs/>
      <w:color w:val="404040" w:themeColor="text1" w:themeTint="BF"/>
    </w:rPr>
  </w:style>
  <w:style w:type="paragraph" w:styleId="ListParagraph">
    <w:name w:val="List Paragraph"/>
    <w:basedOn w:val="Normal"/>
    <w:uiPriority w:val="34"/>
    <w:qFormat/>
    <w:rsid w:val="0014002E"/>
    <w:pPr>
      <w:ind w:left="720"/>
      <w:contextualSpacing/>
    </w:pPr>
  </w:style>
  <w:style w:type="character" w:styleId="IntenseEmphasis">
    <w:name w:val="Intense Emphasis"/>
    <w:basedOn w:val="DefaultParagraphFont"/>
    <w:uiPriority w:val="21"/>
    <w:qFormat/>
    <w:rsid w:val="0014002E"/>
    <w:rPr>
      <w:i/>
      <w:iCs/>
      <w:color w:val="0F4761" w:themeColor="accent1" w:themeShade="BF"/>
    </w:rPr>
  </w:style>
  <w:style w:type="paragraph" w:styleId="IntenseQuote">
    <w:name w:val="Intense Quote"/>
    <w:basedOn w:val="Normal"/>
    <w:next w:val="Normal"/>
    <w:link w:val="IntenseQuoteChar"/>
    <w:uiPriority w:val="30"/>
    <w:qFormat/>
    <w:rsid w:val="001400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02E"/>
    <w:rPr>
      <w:i/>
      <w:iCs/>
      <w:color w:val="0F4761" w:themeColor="accent1" w:themeShade="BF"/>
    </w:rPr>
  </w:style>
  <w:style w:type="character" w:styleId="IntenseReference">
    <w:name w:val="Intense Reference"/>
    <w:basedOn w:val="DefaultParagraphFont"/>
    <w:uiPriority w:val="32"/>
    <w:qFormat/>
    <w:rsid w:val="001400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58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Ghera\Desktop\Hilton%20_%20Madalina%20.docx" TargetMode="External"/><Relationship Id="rId18" Type="http://schemas.openxmlformats.org/officeDocument/2006/relationships/hyperlink" Target="https://doi.org/10.2478/raft-2022-0017" TargetMode="External"/><Relationship Id="rId26" Type="http://schemas.openxmlformats.org/officeDocument/2006/relationships/hyperlink" Target="https://stories.hilton.com/releases/hilton-named-no-1-best-place-to-work-in-the-world" TargetMode="External"/><Relationship Id="rId21" Type="http://schemas.openxmlformats.org/officeDocument/2006/relationships/hyperlink" Target="https://www.sciencedirect.com/topics/economics-econometrics-and-finance/divisional-structure" TargetMode="External"/><Relationship Id="rId34" Type="http://schemas.openxmlformats.org/officeDocument/2006/relationships/hyperlink" Target="https://www.researchgate.net/publication/355149610_Motivation_as_an_indicator_of_performance_and_productivity_from_the_perspective_of_employees" TargetMode="External"/><Relationship Id="rId7" Type="http://schemas.openxmlformats.org/officeDocument/2006/relationships/hyperlink" Target="file:///C:\Users\Ghera\Desktop\Hilton%20_%20Madalina%20.docx" TargetMode="External"/><Relationship Id="rId12" Type="http://schemas.openxmlformats.org/officeDocument/2006/relationships/hyperlink" Target="file:///C:\Users\Ghera\Desktop\Hilton%20_%20Madalina%20.docx" TargetMode="External"/><Relationship Id="rId17" Type="http://schemas.openxmlformats.org/officeDocument/2006/relationships/hyperlink" Target="https://hrproblog.wordpress.com/wp-content/uploads/2012/05/a_handbook_of_employee_reward_management_and_practice.pdf" TargetMode="External"/><Relationship Id="rId25" Type="http://schemas.openxmlformats.org/officeDocument/2006/relationships/hyperlink" Target="https://ir.hilton.com/corporate-governance/management" TargetMode="External"/><Relationship Id="rId33" Type="http://schemas.openxmlformats.org/officeDocument/2006/relationships/hyperlink" Target="https://doi.org/10.1016/j.tourman.2014.06.004" TargetMode="External"/><Relationship Id="rId2" Type="http://schemas.openxmlformats.org/officeDocument/2006/relationships/styles" Target="styles.xml"/><Relationship Id="rId16" Type="http://schemas.openxmlformats.org/officeDocument/2006/relationships/hyperlink" Target="file:///C:\Users\Ghera\Desktop\Hilton%20_%20Madalina%20.docx" TargetMode="External"/><Relationship Id="rId20" Type="http://schemas.openxmlformats.org/officeDocument/2006/relationships/hyperlink" Target="https://hbr.org/2018/01/artificial-intelligence-for-the-real-world" TargetMode="External"/><Relationship Id="rId29" Type="http://schemas.openxmlformats.org/officeDocument/2006/relationships/hyperlink" Target="https://doi.org/10.3390/foods12142770" TargetMode="External"/><Relationship Id="rId1" Type="http://schemas.openxmlformats.org/officeDocument/2006/relationships/numbering" Target="numbering.xml"/><Relationship Id="rId6" Type="http://schemas.openxmlformats.org/officeDocument/2006/relationships/hyperlink" Target="file:///C:\Users\Ghera\Desktop\Hilton%20_%20Madalina%20.docx" TargetMode="External"/><Relationship Id="rId11" Type="http://schemas.openxmlformats.org/officeDocument/2006/relationships/hyperlink" Target="file:///C:\Users\Ghera\Desktop\Hilton%20_%20Madalina%20.docx" TargetMode="External"/><Relationship Id="rId24" Type="http://schemas.openxmlformats.org/officeDocument/2006/relationships/hyperlink" Target="https://www.greatplacetowork.com/certified-company/1000367" TargetMode="External"/><Relationship Id="rId32" Type="http://schemas.openxmlformats.org/officeDocument/2006/relationships/hyperlink" Target="https://www.google.co.in/books/edition/A_Theory_of_Human_Motivation/CkonDwAAQBAJ?hl=en&amp;gbpv=1&amp;dq=maslow%27s+hierarchy+of+needs+reference&amp;printsec=frontcover" TargetMode="External"/><Relationship Id="rId37" Type="http://schemas.openxmlformats.org/officeDocument/2006/relationships/theme" Target="theme/theme1.xml"/><Relationship Id="rId5" Type="http://schemas.openxmlformats.org/officeDocument/2006/relationships/hyperlink" Target="file:///C:\Users\Ghera\Desktop\Hilton%20_%20Madalina%20.docx" TargetMode="External"/><Relationship Id="rId15" Type="http://schemas.openxmlformats.org/officeDocument/2006/relationships/hyperlink" Target="file:///C:\Users\Ghera\Desktop\Hilton%20_%20Madalina%20.docx" TargetMode="External"/><Relationship Id="rId23" Type="http://schemas.openxmlformats.org/officeDocument/2006/relationships/hyperlink" Target="https://www.forbes.com/councils/forbesbusinesscouncil/2024/06/07/18-reasons-why-sustainability-can-be-a-strategic-business-advantage" TargetMode="External"/><Relationship Id="rId28" Type="http://schemas.openxmlformats.org/officeDocument/2006/relationships/hyperlink" Target="https://www.hilton.com/en/corporate/" TargetMode="External"/><Relationship Id="rId36" Type="http://schemas.openxmlformats.org/officeDocument/2006/relationships/fontTable" Target="fontTable.xml"/><Relationship Id="rId10" Type="http://schemas.openxmlformats.org/officeDocument/2006/relationships/hyperlink" Target="file:///C:\Users\Ghera\Desktop\Hilton%20_%20Madalina%20.docx" TargetMode="External"/><Relationship Id="rId19" Type="http://schemas.openxmlformats.org/officeDocument/2006/relationships/hyperlink" Target="https://doi.org/10.1108/er-01-2019-0079" TargetMode="External"/><Relationship Id="rId31" Type="http://schemas.openxmlformats.org/officeDocument/2006/relationships/hyperlink" Target="https://www.harvardbusiness.org/good-leadership-it-all-starts-with-trust/" TargetMode="External"/><Relationship Id="rId4" Type="http://schemas.openxmlformats.org/officeDocument/2006/relationships/webSettings" Target="webSettings.xml"/><Relationship Id="rId9" Type="http://schemas.openxmlformats.org/officeDocument/2006/relationships/hyperlink" Target="file:///C:\Users\Ghera\Desktop\Hilton%20_%20Madalina%20.docx" TargetMode="External"/><Relationship Id="rId14" Type="http://schemas.openxmlformats.org/officeDocument/2006/relationships/hyperlink" Target="file:///C:\Users\Ghera\Desktop\Hilton%20_%20Madalina%20.docx" TargetMode="External"/><Relationship Id="rId22" Type="http://schemas.openxmlformats.org/officeDocument/2006/relationships/hyperlink" Target="https://www.sciencedirect.com/topics/social-sciences/stakeholder-theory" TargetMode="External"/><Relationship Id="rId27" Type="http://schemas.openxmlformats.org/officeDocument/2006/relationships/hyperlink" Target="https://esg.hilton.com/wp-content/uploads/sites/4/2024/07/2023-Travel-with-Purpose-Report-final" TargetMode="External"/><Relationship Id="rId30" Type="http://schemas.openxmlformats.org/officeDocument/2006/relationships/hyperlink" Target="https://doi.org/10.1016/j.ssaho.2023.100797" TargetMode="External"/><Relationship Id="rId35" Type="http://schemas.openxmlformats.org/officeDocument/2006/relationships/hyperlink" Target="https://doi.org/10.1108/rege-06-2019-0070" TargetMode="External"/><Relationship Id="rId8" Type="http://schemas.openxmlformats.org/officeDocument/2006/relationships/hyperlink" Target="file:///C:\Users\Ghera\Desktop\Hilton%20_%20Madalina%20.doc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3674</Words>
  <Characters>20942</Characters>
  <Application>Microsoft Office Word</Application>
  <DocSecurity>0</DocSecurity>
  <Lines>174</Lines>
  <Paragraphs>49</Paragraphs>
  <ScaleCrop>false</ScaleCrop>
  <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Ghera (2128167)</dc:creator>
  <cp:keywords/>
  <dc:description/>
  <cp:lastModifiedBy>Madalina Ghera (2128167)</cp:lastModifiedBy>
  <cp:revision>2</cp:revision>
  <dcterms:created xsi:type="dcterms:W3CDTF">2025-03-07T23:01:00Z</dcterms:created>
  <dcterms:modified xsi:type="dcterms:W3CDTF">2025-03-07T23:04:00Z</dcterms:modified>
</cp:coreProperties>
</file>