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4C743" w14:textId="77777777" w:rsidR="004E3480" w:rsidRDefault="004E3480" w:rsidP="004E34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color w:val="1C1C1C"/>
        </w:rPr>
        <w:t>Liliana-Rodica Enache-Decu</w:t>
      </w:r>
      <w:r>
        <w:rPr>
          <w:rStyle w:val="eop"/>
          <w:rFonts w:ascii="Aptos" w:eastAsiaTheme="majorEastAsia" w:hAnsi="Aptos" w:cs="Segoe UI"/>
          <w:color w:val="1C1C1C"/>
        </w:rPr>
        <w:t> </w:t>
      </w:r>
    </w:p>
    <w:p w14:paraId="499D4C1A" w14:textId="77777777" w:rsidR="004E3480" w:rsidRDefault="004E3480" w:rsidP="004E34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color w:val="1C1C1C"/>
        </w:rPr>
        <w:t>(2234981)</w:t>
      </w:r>
      <w:r>
        <w:rPr>
          <w:rStyle w:val="eop"/>
          <w:rFonts w:ascii="Aptos" w:eastAsiaTheme="majorEastAsia" w:hAnsi="Aptos" w:cs="Segoe UI"/>
          <w:color w:val="1C1C1C"/>
        </w:rPr>
        <w:t> </w:t>
      </w:r>
    </w:p>
    <w:p w14:paraId="327D5777" w14:textId="77777777" w:rsidR="004E3480" w:rsidRDefault="004E3480" w:rsidP="004E348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color w:val="1C1C1C"/>
        </w:rPr>
        <w:t> </w:t>
      </w:r>
    </w:p>
    <w:p w14:paraId="0D9137CA" w14:textId="77777777" w:rsidR="004E3480" w:rsidRDefault="004E3480" w:rsidP="004E34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color w:val="1C1C1C"/>
        </w:rPr>
        <w:t>Policy Brief:</w:t>
      </w:r>
      <w:r>
        <w:rPr>
          <w:rStyle w:val="eop"/>
          <w:rFonts w:ascii="Aptos" w:eastAsiaTheme="majorEastAsia" w:hAnsi="Aptos" w:cs="Segoe UI"/>
          <w:color w:val="1C1C1C"/>
        </w:rPr>
        <w:t> </w:t>
      </w:r>
    </w:p>
    <w:p w14:paraId="171605C5"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48"/>
          <w:szCs w:val="48"/>
        </w:rPr>
        <w:t>Tackling Health Inequalities in Wales through Universal Free School Meals</w:t>
      </w:r>
      <w:r>
        <w:rPr>
          <w:rStyle w:val="eop"/>
          <w:rFonts w:ascii="Aptos" w:eastAsiaTheme="majorEastAsia" w:hAnsi="Aptos" w:cs="Segoe UI"/>
          <w:color w:val="0F4761"/>
          <w:sz w:val="48"/>
          <w:szCs w:val="48"/>
        </w:rPr>
        <w:t> </w:t>
      </w:r>
    </w:p>
    <w:p w14:paraId="42E811AF"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36"/>
          <w:szCs w:val="36"/>
        </w:rPr>
        <w:t>Executive Summary</w:t>
      </w:r>
      <w:r>
        <w:rPr>
          <w:rStyle w:val="eop"/>
          <w:rFonts w:ascii="Aptos" w:eastAsiaTheme="majorEastAsia" w:hAnsi="Aptos" w:cs="Segoe UI"/>
          <w:color w:val="0F4761"/>
          <w:sz w:val="36"/>
          <w:szCs w:val="36"/>
        </w:rPr>
        <w:t> </w:t>
      </w:r>
    </w:p>
    <w:p w14:paraId="5BFB4C7A"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Health inequalities </w:t>
      </w:r>
      <w:proofErr w:type="gramStart"/>
      <w:r>
        <w:rPr>
          <w:rStyle w:val="normaltextrun"/>
          <w:rFonts w:ascii="Aptos" w:eastAsiaTheme="majorEastAsia" w:hAnsi="Aptos" w:cs="Segoe UI"/>
        </w:rPr>
        <w:t>stay</w:t>
      </w:r>
      <w:proofErr w:type="gramEnd"/>
      <w:r>
        <w:rPr>
          <w:rStyle w:val="normaltextrun"/>
          <w:rFonts w:ascii="Aptos" w:eastAsiaTheme="majorEastAsia" w:hAnsi="Aptos" w:cs="Segoe UI"/>
        </w:rPr>
        <w:t xml:space="preserve"> a persistent and complex challenge in Wales, with children from lower socio-economic groups consistently experiencing poorer health outcomes, higher rates of obesity, and increased food insecurity (Dahlgren and Whitehead, 2006; Joseph Rowntree Foundation, 2024). Despite decades of policy efforts, these disparities persist, rooted in deeply entrenched socio-economic, geographic, and cultural factors. This </w:t>
      </w:r>
      <w:proofErr w:type="gramStart"/>
      <w:r>
        <w:rPr>
          <w:rStyle w:val="normaltextrun"/>
          <w:rFonts w:ascii="Aptos" w:eastAsiaTheme="majorEastAsia" w:hAnsi="Aptos" w:cs="Segoe UI"/>
        </w:rPr>
        <w:t>policy brief</w:t>
      </w:r>
      <w:proofErr w:type="gramEnd"/>
      <w:r>
        <w:rPr>
          <w:rStyle w:val="normaltextrun"/>
          <w:rFonts w:ascii="Aptos" w:eastAsiaTheme="majorEastAsia" w:hAnsi="Aptos" w:cs="Segoe UI"/>
        </w:rPr>
        <w:t xml:space="preserve"> advocates for the protection and further expansion of universal free school meals (UFSM) for all primary school children in Wales. UFSM stands for a practical and evidence-based strategy to mitigate health disparities, improve population health, and provide every child with at least one nutritious meal per day, regardless of family income or background. The evidence base proves that UFSM reduces food insecurity, supports healthy eating habits, improves educational attainment, and narrows health and social gaps (Wales Centre for Public Policy, 2023). For sustainable impact, action is needed to entrench UFSM as a cornerstone of Welsh health and social policy, ensuring long-term funding, robust delivery, and continuous evaluation across all communities.</w:t>
      </w:r>
      <w:r>
        <w:rPr>
          <w:rStyle w:val="eop"/>
          <w:rFonts w:ascii="Aptos" w:eastAsiaTheme="majorEastAsia" w:hAnsi="Aptos" w:cs="Segoe UI"/>
        </w:rPr>
        <w:t> </w:t>
      </w:r>
    </w:p>
    <w:p w14:paraId="52B1BF5B"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0806FA80"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36"/>
          <w:szCs w:val="36"/>
        </w:rPr>
        <w:t>1. Introduction: Policy Context and Rationale</w:t>
      </w:r>
      <w:r>
        <w:rPr>
          <w:rStyle w:val="eop"/>
          <w:rFonts w:ascii="Aptos" w:eastAsiaTheme="majorEastAsia" w:hAnsi="Aptos" w:cs="Segoe UI"/>
          <w:color w:val="0F4761"/>
          <w:sz w:val="36"/>
          <w:szCs w:val="36"/>
        </w:rPr>
        <w:t> </w:t>
      </w:r>
    </w:p>
    <w:p w14:paraId="0EC4BE52"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Health inequalities in Wales are a major concern for policymakers, public health professionals, and communities. These inequalities are intricately linked to socio-economic status, geography, and access to resources (Dahlgren and Whitehead, 2006; Yuill et al., 2010). Wales has some of the highest child poverty rates in the UK, with over 28% of children living in poverty—an alarming statistic with far-reaching consequences for health and development (Joseph Rowntree Foundation, 2024). Socio-economic deprivation is a major determinant of poor nutrition, excess weight, and chronic disease, shaping children’s opportunities from an early age (</w:t>
      </w:r>
      <w:proofErr w:type="spellStart"/>
      <w:r>
        <w:rPr>
          <w:rStyle w:val="normaltextrun"/>
          <w:rFonts w:ascii="Aptos" w:eastAsiaTheme="majorEastAsia" w:hAnsi="Aptos" w:cs="Segoe UI"/>
        </w:rPr>
        <w:t>Agwara</w:t>
      </w:r>
      <w:proofErr w:type="spellEnd"/>
      <w:r>
        <w:rPr>
          <w:rStyle w:val="normaltextrun"/>
          <w:rFonts w:ascii="Aptos" w:eastAsiaTheme="majorEastAsia" w:hAnsi="Aptos" w:cs="Segoe UI"/>
        </w:rPr>
        <w:t xml:space="preserve"> et al., 2024; O’Donnell, 2024).</w:t>
      </w:r>
      <w:r>
        <w:rPr>
          <w:rStyle w:val="eop"/>
          <w:rFonts w:ascii="Aptos" w:eastAsiaTheme="majorEastAsia" w:hAnsi="Aptos" w:cs="Segoe UI"/>
        </w:rPr>
        <w:t> </w:t>
      </w:r>
    </w:p>
    <w:p w14:paraId="2CC5FDA6"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The Welsh Government has made commitments to address these inequalities—most notably through the Well-being of Future Generations (Wales) Act 2015 and strategies such as “A Healthier Wales”—but significant gaps in outcomes remain (Welsh Government, 2019; Wilson, 2021). Nutrition is a critical determinant of child health, cognitive development, and educational attainment (</w:t>
      </w:r>
      <w:proofErr w:type="spellStart"/>
      <w:r>
        <w:rPr>
          <w:rStyle w:val="normaltextrun"/>
          <w:rFonts w:ascii="Aptos" w:eastAsiaTheme="majorEastAsia" w:hAnsi="Aptos" w:cs="Segoe UI"/>
        </w:rPr>
        <w:t>Agwara</w:t>
      </w:r>
      <w:proofErr w:type="spellEnd"/>
      <w:r>
        <w:rPr>
          <w:rStyle w:val="normaltextrun"/>
          <w:rFonts w:ascii="Aptos" w:eastAsiaTheme="majorEastAsia" w:hAnsi="Aptos" w:cs="Segoe UI"/>
        </w:rPr>
        <w:t xml:space="preserve"> et al., 2024; van der Bend et al., 2024). However, many children in Wales arrive at school hungry or consume poor-quality diets, directly contributing to health disparities and limiting their life chances (Wales Centre for Public Policy, 2023). Universal free school meals can address these issues directly, providing a platform for equity, improved population health, and social cohesion (Wales Centre for Public Policy, 2023).</w:t>
      </w:r>
      <w:r>
        <w:rPr>
          <w:rStyle w:val="eop"/>
          <w:rFonts w:ascii="Aptos" w:eastAsiaTheme="majorEastAsia" w:hAnsi="Aptos" w:cs="Segoe UI"/>
        </w:rPr>
        <w:t> </w:t>
      </w:r>
    </w:p>
    <w:p w14:paraId="42A08313"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lastRenderedPageBreak/>
        <w:t> </w:t>
      </w:r>
    </w:p>
    <w:p w14:paraId="22D14B78"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36"/>
          <w:szCs w:val="36"/>
        </w:rPr>
        <w:t>2. Problem Analysis: Health Inequalities and Food Insecurity in Wales</w:t>
      </w:r>
      <w:r>
        <w:rPr>
          <w:rStyle w:val="eop"/>
          <w:rFonts w:ascii="Aptos" w:eastAsiaTheme="majorEastAsia" w:hAnsi="Aptos" w:cs="Segoe UI"/>
          <w:color w:val="0F4761"/>
          <w:sz w:val="36"/>
          <w:szCs w:val="36"/>
        </w:rPr>
        <w:t> </w:t>
      </w:r>
    </w:p>
    <w:p w14:paraId="5248ECB8"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28"/>
          <w:szCs w:val="28"/>
        </w:rPr>
        <w:t>2.1 Health Inequalities</w:t>
      </w:r>
      <w:r>
        <w:rPr>
          <w:rStyle w:val="eop"/>
          <w:rFonts w:ascii="Aptos" w:eastAsiaTheme="majorEastAsia" w:hAnsi="Aptos" w:cs="Segoe UI"/>
          <w:color w:val="0F4761"/>
          <w:sz w:val="28"/>
          <w:szCs w:val="28"/>
        </w:rPr>
        <w:t> </w:t>
      </w:r>
    </w:p>
    <w:p w14:paraId="52AE3C8A"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Health inequalities in Wales are stark, persistent, and multi-faceted. Children from deprived backgrounds are more likely to have worse nutrition, higher rates of obesity, and poorer educational outcomes (Dahlgren and Whitehead, 2006; Joseph Rowntree Foundation, 2024). These disparities are not simply the product of individual choices but reflect structural barriers, such as unequal access to healthy food, safe environments, and affordable recreation. The urban-rural divide further worsens access to healthy food, with rural families often facing higher costs, limited availability, and greater distances to access services (Welsh Government, 2019; Blakemore and Warwick-Booth, 2013). Such gaps are compounded for children from minority ethnic backgrounds or with additional needs (</w:t>
      </w:r>
      <w:proofErr w:type="spellStart"/>
      <w:r>
        <w:rPr>
          <w:rStyle w:val="normaltextrun"/>
          <w:rFonts w:ascii="Aptos" w:eastAsiaTheme="majorEastAsia" w:hAnsi="Aptos" w:cs="Segoe UI"/>
        </w:rPr>
        <w:t>Agwara</w:t>
      </w:r>
      <w:proofErr w:type="spellEnd"/>
      <w:r>
        <w:rPr>
          <w:rStyle w:val="normaltextrun"/>
          <w:rFonts w:ascii="Aptos" w:eastAsiaTheme="majorEastAsia" w:hAnsi="Aptos" w:cs="Segoe UI"/>
        </w:rPr>
        <w:t xml:space="preserve"> et al., 2024).</w:t>
      </w:r>
      <w:r>
        <w:rPr>
          <w:rStyle w:val="eop"/>
          <w:rFonts w:ascii="Aptos" w:eastAsiaTheme="majorEastAsia" w:hAnsi="Aptos" w:cs="Segoe UI"/>
        </w:rPr>
        <w:t> </w:t>
      </w:r>
    </w:p>
    <w:p w14:paraId="015550FB"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28"/>
          <w:szCs w:val="28"/>
        </w:rPr>
        <w:t>2.2 Food Insecurity and Its Consequences</w:t>
      </w:r>
      <w:r>
        <w:rPr>
          <w:rStyle w:val="eop"/>
          <w:rFonts w:ascii="Aptos" w:eastAsiaTheme="majorEastAsia" w:hAnsi="Aptos" w:cs="Segoe UI"/>
          <w:color w:val="0F4761"/>
          <w:sz w:val="28"/>
          <w:szCs w:val="28"/>
        </w:rPr>
        <w:t> </w:t>
      </w:r>
    </w:p>
    <w:p w14:paraId="41104E4D"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Food insecurity undermines both physical and mental health, with impacts that can last well into adulthood (Joseph Rowntree Foundation, 2024; O’Donnell, 2024). Research consistently shows that children experiencing food insecurity are at higher risk of poor health, reduced concentration, </w:t>
      </w:r>
      <w:proofErr w:type="spellStart"/>
      <w:r>
        <w:rPr>
          <w:rStyle w:val="normaltextrun"/>
          <w:rFonts w:ascii="Aptos" w:eastAsiaTheme="majorEastAsia" w:hAnsi="Aptos" w:cs="Segoe UI"/>
        </w:rPr>
        <w:t>behavioural</w:t>
      </w:r>
      <w:proofErr w:type="spellEnd"/>
      <w:r>
        <w:rPr>
          <w:rStyle w:val="normaltextrun"/>
          <w:rFonts w:ascii="Aptos" w:eastAsiaTheme="majorEastAsia" w:hAnsi="Aptos" w:cs="Segoe UI"/>
        </w:rPr>
        <w:t xml:space="preserve"> issues, and lower educational attainment (</w:t>
      </w:r>
      <w:proofErr w:type="spellStart"/>
      <w:r>
        <w:rPr>
          <w:rStyle w:val="normaltextrun"/>
          <w:rFonts w:ascii="Aptos" w:eastAsiaTheme="majorEastAsia" w:hAnsi="Aptos" w:cs="Segoe UI"/>
        </w:rPr>
        <w:t>Agwara</w:t>
      </w:r>
      <w:proofErr w:type="spellEnd"/>
      <w:r>
        <w:rPr>
          <w:rStyle w:val="normaltextrun"/>
          <w:rFonts w:ascii="Aptos" w:eastAsiaTheme="majorEastAsia" w:hAnsi="Aptos" w:cs="Segoe UI"/>
        </w:rPr>
        <w:t xml:space="preserve"> et al., 2024; Wales Centre for Public Policy, 2023). This, in turn, perpetuates cycles of disadvantage and limits social mobility. The COVID-19 pandemic has further exposed and widened these disparities, as families faced rising costs, job losses, and disruption to support networks, disproportionately affecting those already at risk (Anderson et al., 2022).</w:t>
      </w:r>
      <w:r>
        <w:rPr>
          <w:rStyle w:val="eop"/>
          <w:rFonts w:ascii="Aptos" w:eastAsiaTheme="majorEastAsia" w:hAnsi="Aptos" w:cs="Segoe UI"/>
        </w:rPr>
        <w:t> </w:t>
      </w:r>
    </w:p>
    <w:p w14:paraId="2998C4C1"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28"/>
          <w:szCs w:val="28"/>
        </w:rPr>
        <w:t>2.3 School Meals: Current Policy and Limitations</w:t>
      </w:r>
      <w:r>
        <w:rPr>
          <w:rStyle w:val="eop"/>
          <w:rFonts w:ascii="Aptos" w:eastAsiaTheme="majorEastAsia" w:hAnsi="Aptos" w:cs="Segoe UI"/>
          <w:color w:val="0F4761"/>
          <w:sz w:val="28"/>
          <w:szCs w:val="28"/>
        </w:rPr>
        <w:t> </w:t>
      </w:r>
    </w:p>
    <w:p w14:paraId="64C0EAD1"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While Wales has a system for means-tested free school meals, many eligible children do not register due to stigma, lack of information, or bureaucratic hurdles (Welsh Government, 2019; Wales Centre for Public Policy, 2023). The requirement to apply and prove eligibility can be a barrier, particularly for families experiencing short-term hardship, insecure work, or language barriers. </w:t>
      </w:r>
      <w:proofErr w:type="gramStart"/>
      <w:r>
        <w:rPr>
          <w:rStyle w:val="normaltextrun"/>
          <w:rFonts w:ascii="Aptos" w:eastAsiaTheme="majorEastAsia" w:hAnsi="Aptos" w:cs="Segoe UI"/>
        </w:rPr>
        <w:t>Means</w:t>
      </w:r>
      <w:proofErr w:type="gramEnd"/>
      <w:r>
        <w:rPr>
          <w:rStyle w:val="normaltextrun"/>
          <w:rFonts w:ascii="Aptos" w:eastAsiaTheme="majorEastAsia" w:hAnsi="Aptos" w:cs="Segoe UI"/>
        </w:rPr>
        <w:t>-testing also excludes many low-income families just above the threshold, leaving them vulnerable to food insecurity and unable to afford healthy meals for their children (Wales Centre for Public Policy, 2023). Universal provision removes stigma by ensuring all children eat together, increases uptake, and supports all children equitably (Wales Centre for Public Policy, 2023).</w:t>
      </w:r>
      <w:r>
        <w:rPr>
          <w:rStyle w:val="eop"/>
          <w:rFonts w:ascii="Aptos" w:eastAsiaTheme="majorEastAsia" w:hAnsi="Aptos" w:cs="Segoe UI"/>
        </w:rPr>
        <w:t> </w:t>
      </w:r>
    </w:p>
    <w:p w14:paraId="57FD316F"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275E638A"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36"/>
          <w:szCs w:val="36"/>
        </w:rPr>
        <w:t>3. Policy Proposal: Universal Free School Meals for All Primary School Children</w:t>
      </w:r>
      <w:r>
        <w:rPr>
          <w:rStyle w:val="eop"/>
          <w:rFonts w:ascii="Aptos" w:eastAsiaTheme="majorEastAsia" w:hAnsi="Aptos" w:cs="Segoe UI"/>
          <w:color w:val="0F4761"/>
          <w:sz w:val="36"/>
          <w:szCs w:val="36"/>
        </w:rPr>
        <w:t> </w:t>
      </w:r>
    </w:p>
    <w:p w14:paraId="6B1D7468"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28"/>
          <w:szCs w:val="28"/>
        </w:rPr>
        <w:t>3.1 Policy Recommendation</w:t>
      </w:r>
      <w:r>
        <w:rPr>
          <w:rStyle w:val="eop"/>
          <w:rFonts w:ascii="Aptos" w:eastAsiaTheme="majorEastAsia" w:hAnsi="Aptos" w:cs="Segoe UI"/>
          <w:color w:val="0F4761"/>
          <w:sz w:val="28"/>
          <w:szCs w:val="28"/>
        </w:rPr>
        <w:t> </w:t>
      </w:r>
    </w:p>
    <w:p w14:paraId="64079A5D"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This policy brief advocates for:</w:t>
      </w:r>
      <w:r>
        <w:rPr>
          <w:rStyle w:val="eop"/>
          <w:rFonts w:ascii="Aptos" w:eastAsiaTheme="majorEastAsia" w:hAnsi="Aptos" w:cs="Segoe UI"/>
        </w:rPr>
        <w:t> </w:t>
      </w:r>
    </w:p>
    <w:p w14:paraId="12B9C0DF" w14:textId="77777777" w:rsidR="004E3480" w:rsidRDefault="004E3480" w:rsidP="004E3480">
      <w:pPr>
        <w:pStyle w:val="paragraph"/>
        <w:numPr>
          <w:ilvl w:val="0"/>
          <w:numId w:val="4"/>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rPr>
        <w:t>The expansion and protection of universal free school meals for all primary school children in Wales.</w:t>
      </w:r>
      <w:r>
        <w:rPr>
          <w:rStyle w:val="eop"/>
          <w:rFonts w:ascii="Aptos" w:eastAsiaTheme="majorEastAsia" w:hAnsi="Aptos" w:cs="Segoe UI"/>
        </w:rPr>
        <w:t> </w:t>
      </w:r>
    </w:p>
    <w:p w14:paraId="7B28F1BE" w14:textId="77777777" w:rsidR="004E3480" w:rsidRDefault="004E3480" w:rsidP="004E3480">
      <w:pPr>
        <w:pStyle w:val="paragraph"/>
        <w:numPr>
          <w:ilvl w:val="0"/>
          <w:numId w:val="5"/>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rPr>
        <w:lastRenderedPageBreak/>
        <w:t>Ensuring ongoing, ring-fenced funding for UFSM in local authority and school budgets.</w:t>
      </w:r>
      <w:r>
        <w:rPr>
          <w:rStyle w:val="eop"/>
          <w:rFonts w:ascii="Aptos" w:eastAsiaTheme="majorEastAsia" w:hAnsi="Aptos" w:cs="Segoe UI"/>
        </w:rPr>
        <w:t> </w:t>
      </w:r>
    </w:p>
    <w:p w14:paraId="6CCEF1D8" w14:textId="77777777" w:rsidR="004E3480" w:rsidRDefault="004E3480" w:rsidP="004E3480">
      <w:pPr>
        <w:pStyle w:val="paragraph"/>
        <w:numPr>
          <w:ilvl w:val="0"/>
          <w:numId w:val="6"/>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rPr>
        <w:t>Embedding strong nutrition standards and encouraging local procurement to support healthy, sustainable diets and the Welsh economy.</w:t>
      </w:r>
      <w:r>
        <w:rPr>
          <w:rStyle w:val="eop"/>
          <w:rFonts w:ascii="Aptos" w:eastAsiaTheme="majorEastAsia" w:hAnsi="Aptos" w:cs="Segoe UI"/>
        </w:rPr>
        <w:t> </w:t>
      </w:r>
    </w:p>
    <w:p w14:paraId="5A20D3FE"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28"/>
          <w:szCs w:val="28"/>
        </w:rPr>
        <w:t>3.2 Rationale</w:t>
      </w:r>
      <w:r>
        <w:rPr>
          <w:rStyle w:val="eop"/>
          <w:rFonts w:ascii="Aptos" w:eastAsiaTheme="majorEastAsia" w:hAnsi="Aptos" w:cs="Segoe UI"/>
          <w:color w:val="0F4761"/>
          <w:sz w:val="28"/>
          <w:szCs w:val="28"/>
        </w:rPr>
        <w:t> </w:t>
      </w:r>
    </w:p>
    <w:p w14:paraId="3871A019"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Universal provision removes barriers to access, eliminates stigma, and ensures that all children benefit, particularly those most at risk (Wales Centre for Public Policy, 2023; </w:t>
      </w:r>
      <w:proofErr w:type="spellStart"/>
      <w:r>
        <w:rPr>
          <w:rStyle w:val="normaltextrun"/>
          <w:rFonts w:ascii="Aptos" w:eastAsiaTheme="majorEastAsia" w:hAnsi="Aptos" w:cs="Segoe UI"/>
        </w:rPr>
        <w:t>Agwara</w:t>
      </w:r>
      <w:proofErr w:type="spellEnd"/>
      <w:r>
        <w:rPr>
          <w:rStyle w:val="normaltextrun"/>
          <w:rFonts w:ascii="Aptos" w:eastAsiaTheme="majorEastAsia" w:hAnsi="Aptos" w:cs="Segoe UI"/>
        </w:rPr>
        <w:t xml:space="preserve"> et al., 2024). It is a policy that is simple to understand, easy to communicate with families, and has substantial public support. Evidence from England and Scotland suggests that universal provision increases uptake, improves diet quality, and narrows attainment and health gaps (Joseph Rowntree Foundation, 2024; OECD, 2023). Furthermore, the investment in children’s nutrition yields a high social return, as better-nourished children are more likely to succeed at school and enjoy better health throughout their lives (Wales Centre for Public Policy, 2023).</w:t>
      </w:r>
      <w:r>
        <w:rPr>
          <w:rStyle w:val="eop"/>
          <w:rFonts w:ascii="Aptos" w:eastAsiaTheme="majorEastAsia" w:hAnsi="Aptos" w:cs="Segoe UI"/>
        </w:rPr>
        <w:t> </w:t>
      </w:r>
    </w:p>
    <w:p w14:paraId="7A17BD57"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7BC79FC6"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36"/>
          <w:szCs w:val="36"/>
        </w:rPr>
        <w:t>4. Evidence Base</w:t>
      </w:r>
      <w:r>
        <w:rPr>
          <w:rStyle w:val="eop"/>
          <w:rFonts w:ascii="Aptos" w:eastAsiaTheme="majorEastAsia" w:hAnsi="Aptos" w:cs="Segoe UI"/>
          <w:color w:val="0F4761"/>
          <w:sz w:val="36"/>
          <w:szCs w:val="36"/>
        </w:rPr>
        <w:t> </w:t>
      </w:r>
    </w:p>
    <w:p w14:paraId="344961CC"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28"/>
          <w:szCs w:val="28"/>
        </w:rPr>
        <w:t>4.1 Impact on Health and Attainment</w:t>
      </w:r>
      <w:r>
        <w:rPr>
          <w:rStyle w:val="eop"/>
          <w:rFonts w:ascii="Aptos" w:eastAsiaTheme="majorEastAsia" w:hAnsi="Aptos" w:cs="Segoe UI"/>
          <w:color w:val="0F4761"/>
          <w:sz w:val="28"/>
          <w:szCs w:val="28"/>
        </w:rPr>
        <w:t> </w:t>
      </w:r>
    </w:p>
    <w:p w14:paraId="7E39941D"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Universal free school meals have been shown to:</w:t>
      </w:r>
      <w:r>
        <w:rPr>
          <w:rStyle w:val="eop"/>
          <w:rFonts w:ascii="Aptos" w:eastAsiaTheme="majorEastAsia" w:hAnsi="Aptos" w:cs="Segoe UI"/>
        </w:rPr>
        <w:t> </w:t>
      </w:r>
    </w:p>
    <w:p w14:paraId="01F427E8" w14:textId="77777777" w:rsidR="004E3480" w:rsidRDefault="004E3480" w:rsidP="004E3480">
      <w:pPr>
        <w:pStyle w:val="paragraph"/>
        <w:numPr>
          <w:ilvl w:val="0"/>
          <w:numId w:val="7"/>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rPr>
        <w:t>Reduce food insecurity for low-income families, relieve pressure on household budgets, and ensure children do not go hungry (Joseph Rowntree Foundation, 2024; Wales Centre for Public Policy, 2023).</w:t>
      </w:r>
      <w:r>
        <w:rPr>
          <w:rStyle w:val="eop"/>
          <w:rFonts w:ascii="Aptos" w:eastAsiaTheme="majorEastAsia" w:hAnsi="Aptos" w:cs="Segoe UI"/>
        </w:rPr>
        <w:t> </w:t>
      </w:r>
    </w:p>
    <w:p w14:paraId="0EAB9D11" w14:textId="77777777" w:rsidR="004E3480" w:rsidRDefault="004E3480" w:rsidP="004E3480">
      <w:pPr>
        <w:pStyle w:val="paragraph"/>
        <w:numPr>
          <w:ilvl w:val="0"/>
          <w:numId w:val="8"/>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rPr>
        <w:t>Improve children’s nutritional status, reduce obesity rates, and support healthy growth—especially for those at higher risk of malnutrition or overweight (</w:t>
      </w:r>
      <w:proofErr w:type="spellStart"/>
      <w:r>
        <w:rPr>
          <w:rStyle w:val="normaltextrun"/>
          <w:rFonts w:ascii="Aptos" w:eastAsiaTheme="majorEastAsia" w:hAnsi="Aptos" w:cs="Segoe UI"/>
        </w:rPr>
        <w:t>Agwara</w:t>
      </w:r>
      <w:proofErr w:type="spellEnd"/>
      <w:r>
        <w:rPr>
          <w:rStyle w:val="normaltextrun"/>
          <w:rFonts w:ascii="Aptos" w:eastAsiaTheme="majorEastAsia" w:hAnsi="Aptos" w:cs="Segoe UI"/>
        </w:rPr>
        <w:t xml:space="preserve"> et al., 2024).</w:t>
      </w:r>
      <w:r>
        <w:rPr>
          <w:rStyle w:val="eop"/>
          <w:rFonts w:ascii="Aptos" w:eastAsiaTheme="majorEastAsia" w:hAnsi="Aptos" w:cs="Segoe UI"/>
        </w:rPr>
        <w:t> </w:t>
      </w:r>
    </w:p>
    <w:p w14:paraId="68B547FA" w14:textId="77777777" w:rsidR="004E3480" w:rsidRDefault="004E3480" w:rsidP="004E3480">
      <w:pPr>
        <w:pStyle w:val="paragraph"/>
        <w:numPr>
          <w:ilvl w:val="0"/>
          <w:numId w:val="9"/>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rPr>
        <w:t>Enhance concentration, classroom behavior, and learning outcomes by ensuring that hunger does not impede participation or achievement (Wales Centre for Public Policy, 2023).</w:t>
      </w:r>
      <w:r>
        <w:rPr>
          <w:rStyle w:val="eop"/>
          <w:rFonts w:ascii="Aptos" w:eastAsiaTheme="majorEastAsia" w:hAnsi="Aptos" w:cs="Segoe UI"/>
        </w:rPr>
        <w:t> </w:t>
      </w:r>
    </w:p>
    <w:p w14:paraId="0D973883" w14:textId="77777777" w:rsidR="004E3480" w:rsidRDefault="004E3480" w:rsidP="004E3480">
      <w:pPr>
        <w:pStyle w:val="paragraph"/>
        <w:numPr>
          <w:ilvl w:val="0"/>
          <w:numId w:val="10"/>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rPr>
        <w:t>Narrow attainment gaps between socio-economic groups by giving all children the same opportunity to benefit from a healthy meal (Wales Centre for Public Policy, 2023).</w:t>
      </w:r>
      <w:r>
        <w:rPr>
          <w:rStyle w:val="eop"/>
          <w:rFonts w:ascii="Aptos" w:eastAsiaTheme="majorEastAsia" w:hAnsi="Aptos" w:cs="Segoe UI"/>
        </w:rPr>
        <w:t> </w:t>
      </w:r>
    </w:p>
    <w:p w14:paraId="7D5FA246"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International evidence from the OECD (2023) and pilot schemes in Scotland and England reinforce these findings, highlighting improved attendance, social skills, and long-term health.</w:t>
      </w:r>
      <w:r>
        <w:rPr>
          <w:rStyle w:val="eop"/>
          <w:rFonts w:ascii="Aptos" w:eastAsiaTheme="majorEastAsia" w:hAnsi="Aptos" w:cs="Segoe UI"/>
        </w:rPr>
        <w:t> </w:t>
      </w:r>
    </w:p>
    <w:p w14:paraId="58E14978"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28"/>
          <w:szCs w:val="28"/>
        </w:rPr>
        <w:t>4.2 Cost and Economic Considerations</w:t>
      </w:r>
      <w:r>
        <w:rPr>
          <w:rStyle w:val="eop"/>
          <w:rFonts w:ascii="Aptos" w:eastAsiaTheme="majorEastAsia" w:hAnsi="Aptos" w:cs="Segoe UI"/>
          <w:color w:val="0F4761"/>
          <w:sz w:val="28"/>
          <w:szCs w:val="28"/>
        </w:rPr>
        <w:t> </w:t>
      </w:r>
    </w:p>
    <w:p w14:paraId="55CC6C1D"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The Wales Centre for Public Policy (2023) highlights that while UFSM represents a significant investment, it delivers long-term savings through reduced health and social care costs, improved educational outcomes, and greater </w:t>
      </w:r>
      <w:proofErr w:type="gramStart"/>
      <w:r>
        <w:rPr>
          <w:rStyle w:val="normaltextrun"/>
          <w:rFonts w:ascii="Aptos" w:eastAsiaTheme="majorEastAsia" w:hAnsi="Aptos" w:cs="Segoe UI"/>
        </w:rPr>
        <w:t>workforce productivity</w:t>
      </w:r>
      <w:proofErr w:type="gramEnd"/>
      <w:r>
        <w:rPr>
          <w:rStyle w:val="normaltextrun"/>
          <w:rFonts w:ascii="Aptos" w:eastAsiaTheme="majorEastAsia" w:hAnsi="Aptos" w:cs="Segoe UI"/>
        </w:rPr>
        <w:t xml:space="preserve">. Economic modelling shows that the cost of not addressing child hunger and malnutrition is far higher, as poor health in childhood leads to higher healthcare costs, lower educational attainment, and reduced economic participation in adulthood (King’s Fund, 2024; </w:t>
      </w:r>
      <w:proofErr w:type="spellStart"/>
      <w:r>
        <w:rPr>
          <w:rStyle w:val="normaltextrun"/>
          <w:rFonts w:ascii="Aptos" w:eastAsiaTheme="majorEastAsia" w:hAnsi="Aptos" w:cs="Segoe UI"/>
        </w:rPr>
        <w:t>Glennerster</w:t>
      </w:r>
      <w:proofErr w:type="spellEnd"/>
      <w:r>
        <w:rPr>
          <w:rStyle w:val="normaltextrun"/>
          <w:rFonts w:ascii="Aptos" w:eastAsiaTheme="majorEastAsia" w:hAnsi="Aptos" w:cs="Segoe UI"/>
        </w:rPr>
        <w:t>, 2017). The policy also supports local economies through procurement from Welsh producers, providing a secondary benefit to rural communities and businesses (Wales Centre for Public Policy, 2023).</w:t>
      </w:r>
      <w:r>
        <w:rPr>
          <w:rStyle w:val="eop"/>
          <w:rFonts w:ascii="Aptos" w:eastAsiaTheme="majorEastAsia" w:hAnsi="Aptos" w:cs="Segoe UI"/>
        </w:rPr>
        <w:t> </w:t>
      </w:r>
    </w:p>
    <w:p w14:paraId="1E5C877A"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28"/>
          <w:szCs w:val="28"/>
        </w:rPr>
        <w:lastRenderedPageBreak/>
        <w:t>4.3 Policy Alignment and Feasibility</w:t>
      </w:r>
      <w:r>
        <w:rPr>
          <w:rStyle w:val="eop"/>
          <w:rFonts w:ascii="Aptos" w:eastAsiaTheme="majorEastAsia" w:hAnsi="Aptos" w:cs="Segoe UI"/>
          <w:color w:val="0F4761"/>
          <w:sz w:val="28"/>
          <w:szCs w:val="28"/>
        </w:rPr>
        <w:t> </w:t>
      </w:r>
    </w:p>
    <w:p w14:paraId="5EC61F39"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Expanding UFSM aligns with Welsh Government priorities to reduce health inequalities and promote child well-being, as set out in the Well-being of Future Generations (Wales) Act 2015 and other strategic documents (Welsh Government, 2019; Wilson, 2021). International evidence supports universal school meals as a best practice for public health and equity (OECD, 2023; WHO/WB, 2021), and the infrastructure and expertise developed during the COVID-19 response can be leveraged to support smooth implementation.</w:t>
      </w:r>
      <w:r>
        <w:rPr>
          <w:rStyle w:val="eop"/>
          <w:rFonts w:ascii="Aptos" w:eastAsiaTheme="majorEastAsia" w:hAnsi="Aptos" w:cs="Segoe UI"/>
        </w:rPr>
        <w:t> </w:t>
      </w:r>
    </w:p>
    <w:p w14:paraId="71A8A79E"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6E335766"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36"/>
          <w:szCs w:val="36"/>
        </w:rPr>
        <w:t>5. Barriers, Challenges, and Mitigation Strategies</w:t>
      </w:r>
      <w:r>
        <w:rPr>
          <w:rStyle w:val="eop"/>
          <w:rFonts w:ascii="Aptos" w:eastAsiaTheme="majorEastAsia" w:hAnsi="Aptos" w:cs="Segoe UI"/>
          <w:color w:val="0F4761"/>
          <w:sz w:val="36"/>
          <w:szCs w:val="36"/>
        </w:rPr>
        <w:t> </w:t>
      </w:r>
    </w:p>
    <w:p w14:paraId="42ACDFC3"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28"/>
          <w:szCs w:val="28"/>
        </w:rPr>
        <w:t>5.1 Financial Constraints</w:t>
      </w:r>
      <w:r>
        <w:rPr>
          <w:rStyle w:val="eop"/>
          <w:rFonts w:ascii="Aptos" w:eastAsiaTheme="majorEastAsia" w:hAnsi="Aptos" w:cs="Segoe UI"/>
          <w:color w:val="0F4761"/>
          <w:sz w:val="28"/>
          <w:szCs w:val="28"/>
        </w:rPr>
        <w:t> </w:t>
      </w:r>
    </w:p>
    <w:p w14:paraId="7D11117B"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A key barrier is the significant cost of expanding and sustaining UFSM (Wales Centre for Public Policy, 2023). Budget pressures on schools and local authorities are real, especially given wider economic uncertainty. However, this should be weighed against the long-term economic and social benefits, including reduced healthcare expenditure and increased productivity (Joseph Rowntree Foundation, 2024; OECD, 2023). Clear, ring-fenced funding from the Welsh Government, possibly supplemented by UK-wide resources or targeted levies, can ensure sustainability.</w:t>
      </w:r>
      <w:r>
        <w:rPr>
          <w:rStyle w:val="eop"/>
          <w:rFonts w:ascii="Aptos" w:eastAsiaTheme="majorEastAsia" w:hAnsi="Aptos" w:cs="Segoe UI"/>
        </w:rPr>
        <w:t> </w:t>
      </w:r>
    </w:p>
    <w:p w14:paraId="12D88D21"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28"/>
          <w:szCs w:val="28"/>
        </w:rPr>
        <w:t>5.2 Infrastructure and Delivery</w:t>
      </w:r>
      <w:r>
        <w:rPr>
          <w:rStyle w:val="eop"/>
          <w:rFonts w:ascii="Aptos" w:eastAsiaTheme="majorEastAsia" w:hAnsi="Aptos" w:cs="Segoe UI"/>
          <w:color w:val="0F4761"/>
          <w:sz w:val="28"/>
          <w:szCs w:val="28"/>
        </w:rPr>
        <w:t> </w:t>
      </w:r>
    </w:p>
    <w:p w14:paraId="18AADEC4"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Some schools—particularly in rural areas or older buildings—may lack the kitchen facilities or staff to deliver UFSM at scale (Welsh Government, 2019; NHS Wales, 2024). Investment in infrastructure, workforce training, and phased rollout </w:t>
      </w:r>
      <w:proofErr w:type="gramStart"/>
      <w:r>
        <w:rPr>
          <w:rStyle w:val="normaltextrun"/>
          <w:rFonts w:ascii="Aptos" w:eastAsiaTheme="majorEastAsia" w:hAnsi="Aptos" w:cs="Segoe UI"/>
        </w:rPr>
        <w:t>is</w:t>
      </w:r>
      <w:proofErr w:type="gramEnd"/>
      <w:r>
        <w:rPr>
          <w:rStyle w:val="normaltextrun"/>
          <w:rFonts w:ascii="Aptos" w:eastAsiaTheme="majorEastAsia" w:hAnsi="Aptos" w:cs="Segoe UI"/>
        </w:rPr>
        <w:t xml:space="preserve"> required. Lessons can be learned from the Scottish and pandemic responses, which rapidly scaled school meal provision using innovative delivery models (Dixon-Woods et al., 2024; NHS Digital, 2024).</w:t>
      </w:r>
      <w:r>
        <w:rPr>
          <w:rStyle w:val="eop"/>
          <w:rFonts w:ascii="Aptos" w:eastAsiaTheme="majorEastAsia" w:hAnsi="Aptos" w:cs="Segoe UI"/>
        </w:rPr>
        <w:t> </w:t>
      </w:r>
    </w:p>
    <w:p w14:paraId="6E30CC62"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28"/>
          <w:szCs w:val="28"/>
        </w:rPr>
        <w:t>5.3 Equity and Inclusion</w:t>
      </w:r>
      <w:r>
        <w:rPr>
          <w:rStyle w:val="eop"/>
          <w:rFonts w:ascii="Aptos" w:eastAsiaTheme="majorEastAsia" w:hAnsi="Aptos" w:cs="Segoe UI"/>
          <w:color w:val="0F4761"/>
          <w:sz w:val="28"/>
          <w:szCs w:val="28"/>
        </w:rPr>
        <w:t> </w:t>
      </w:r>
    </w:p>
    <w:p w14:paraId="611DBADE"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Care must be taken to ensure meals are culturally appropriate, meet dietary needs (allergies, religious, or ethical preferences), and reach all children, including those with special requirements (NMC, 2018; </w:t>
      </w:r>
      <w:proofErr w:type="spellStart"/>
      <w:r>
        <w:rPr>
          <w:rStyle w:val="normaltextrun"/>
          <w:rFonts w:ascii="Aptos" w:eastAsiaTheme="majorEastAsia" w:hAnsi="Aptos" w:cs="Segoe UI"/>
        </w:rPr>
        <w:t>Agwara</w:t>
      </w:r>
      <w:proofErr w:type="spellEnd"/>
      <w:r>
        <w:rPr>
          <w:rStyle w:val="normaltextrun"/>
          <w:rFonts w:ascii="Aptos" w:eastAsiaTheme="majorEastAsia" w:hAnsi="Aptos" w:cs="Segoe UI"/>
        </w:rPr>
        <w:t xml:space="preserve"> et al., 2024). Engaging parents and communities in menu planning, and providing information in multiple languages, will increase acceptance and uptake.</w:t>
      </w:r>
      <w:r>
        <w:rPr>
          <w:rStyle w:val="eop"/>
          <w:rFonts w:ascii="Aptos" w:eastAsiaTheme="majorEastAsia" w:hAnsi="Aptos" w:cs="Segoe UI"/>
        </w:rPr>
        <w:t> </w:t>
      </w:r>
    </w:p>
    <w:p w14:paraId="4C96CCCF"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503C0C32"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36"/>
          <w:szCs w:val="36"/>
        </w:rPr>
        <w:t>6. Advocacy and Implementation Plan</w:t>
      </w:r>
      <w:r>
        <w:rPr>
          <w:rStyle w:val="eop"/>
          <w:rFonts w:ascii="Aptos" w:eastAsiaTheme="majorEastAsia" w:hAnsi="Aptos" w:cs="Segoe UI"/>
          <w:color w:val="0F4761"/>
          <w:sz w:val="36"/>
          <w:szCs w:val="36"/>
        </w:rPr>
        <w:t> </w:t>
      </w:r>
    </w:p>
    <w:p w14:paraId="2AACC2B1"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28"/>
          <w:szCs w:val="28"/>
        </w:rPr>
        <w:t>6.1 Coalition Building</w:t>
      </w:r>
      <w:r>
        <w:rPr>
          <w:rStyle w:val="eop"/>
          <w:rFonts w:ascii="Aptos" w:eastAsiaTheme="majorEastAsia" w:hAnsi="Aptos" w:cs="Segoe UI"/>
          <w:color w:val="0F4761"/>
          <w:sz w:val="28"/>
          <w:szCs w:val="28"/>
        </w:rPr>
        <w:t> </w:t>
      </w:r>
    </w:p>
    <w:p w14:paraId="40B5C2B0"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Advocacy efforts should bring together parents, educators, health professionals, third sector organizations, and local authorities (Baldwin, 2008; </w:t>
      </w:r>
      <w:proofErr w:type="spellStart"/>
      <w:r>
        <w:rPr>
          <w:rStyle w:val="normaltextrun"/>
          <w:rFonts w:ascii="Aptos" w:eastAsiaTheme="majorEastAsia" w:hAnsi="Aptos" w:cs="Segoe UI"/>
        </w:rPr>
        <w:t>Bochel</w:t>
      </w:r>
      <w:proofErr w:type="spellEnd"/>
      <w:r>
        <w:rPr>
          <w:rStyle w:val="normaltextrun"/>
          <w:rFonts w:ascii="Aptos" w:eastAsiaTheme="majorEastAsia" w:hAnsi="Aptos" w:cs="Segoe UI"/>
        </w:rPr>
        <w:t>, 2022). By building a broad coalition, the campaign can amplify voices, share good practice, and ensure the needs of diverse communities are addressed. Engaging the public and sharing positive stories—such as improved attendance or family well-being—can build political will and counter opposition (Baldwin, 2003).</w:t>
      </w:r>
      <w:r>
        <w:rPr>
          <w:rStyle w:val="eop"/>
          <w:rFonts w:ascii="Aptos" w:eastAsiaTheme="majorEastAsia" w:hAnsi="Aptos" w:cs="Segoe UI"/>
        </w:rPr>
        <w:t> </w:t>
      </w:r>
    </w:p>
    <w:p w14:paraId="17FAB13B"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28"/>
          <w:szCs w:val="28"/>
        </w:rPr>
        <w:t>6.2 Evidence-Informed Campaigning</w:t>
      </w:r>
      <w:r>
        <w:rPr>
          <w:rStyle w:val="eop"/>
          <w:rFonts w:ascii="Aptos" w:eastAsiaTheme="majorEastAsia" w:hAnsi="Aptos" w:cs="Segoe UI"/>
          <w:color w:val="0F4761"/>
          <w:sz w:val="28"/>
          <w:szCs w:val="28"/>
        </w:rPr>
        <w:t> </w:t>
      </w:r>
    </w:p>
    <w:p w14:paraId="076DEF5E"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Effective advocacy requires robust evidence and clear, accessible messaging (Buse et al., 2024; Lavis et al., 2009). This brief draws on systematic literature reviews and policy </w:t>
      </w:r>
      <w:r>
        <w:rPr>
          <w:rStyle w:val="normaltextrun"/>
          <w:rFonts w:ascii="Aptos" w:eastAsiaTheme="majorEastAsia" w:hAnsi="Aptos" w:cs="Segoe UI"/>
        </w:rPr>
        <w:lastRenderedPageBreak/>
        <w:t>analysis to inform recommendations (Booth et al., 2022; Aveyard, 2023). Case studies and testimonials from schools already benefiting from UFSM can be powerful tools to persuade stakeholders.</w:t>
      </w:r>
      <w:r>
        <w:rPr>
          <w:rStyle w:val="eop"/>
          <w:rFonts w:ascii="Aptos" w:eastAsiaTheme="majorEastAsia" w:hAnsi="Aptos" w:cs="Segoe UI"/>
        </w:rPr>
        <w:t> </w:t>
      </w:r>
    </w:p>
    <w:p w14:paraId="1F848ED7"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28"/>
          <w:szCs w:val="28"/>
        </w:rPr>
        <w:t>6.3 Policy Dialogue and Monitoring</w:t>
      </w:r>
      <w:r>
        <w:rPr>
          <w:rStyle w:val="eop"/>
          <w:rFonts w:ascii="Aptos" w:eastAsiaTheme="majorEastAsia" w:hAnsi="Aptos" w:cs="Segoe UI"/>
          <w:color w:val="0F4761"/>
          <w:sz w:val="28"/>
          <w:szCs w:val="28"/>
        </w:rPr>
        <w:t> </w:t>
      </w:r>
    </w:p>
    <w:p w14:paraId="3B688F98"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Policy dialogue with decision-makers—at local authority, Welsh Government, and UK levels—is essential for successful implementation and ongoing evaluation (Damani et al., 2016; </w:t>
      </w:r>
      <w:proofErr w:type="spellStart"/>
      <w:r>
        <w:rPr>
          <w:rStyle w:val="normaltextrun"/>
          <w:rFonts w:ascii="Aptos" w:eastAsiaTheme="majorEastAsia" w:hAnsi="Aptos" w:cs="Segoe UI"/>
        </w:rPr>
        <w:t>Raithby</w:t>
      </w:r>
      <w:proofErr w:type="spellEnd"/>
      <w:r>
        <w:rPr>
          <w:rStyle w:val="normaltextrun"/>
          <w:rFonts w:ascii="Aptos" w:eastAsiaTheme="majorEastAsia" w:hAnsi="Aptos" w:cs="Segoe UI"/>
        </w:rPr>
        <w:t xml:space="preserve"> and Ring, 2011). Data on uptake, health outcomes, and educational attainment should be collected and reported regularly to demonstrate impact and enable continuous improvement (Wales Centre for Public Policy, 2023; ONS, 2024).</w:t>
      </w:r>
      <w:r>
        <w:rPr>
          <w:rStyle w:val="eop"/>
          <w:rFonts w:ascii="Aptos" w:eastAsiaTheme="majorEastAsia" w:hAnsi="Aptos" w:cs="Segoe UI"/>
        </w:rPr>
        <w:t> </w:t>
      </w:r>
    </w:p>
    <w:p w14:paraId="35598A9E"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28"/>
          <w:szCs w:val="28"/>
        </w:rPr>
        <w:t>6.4 Communication and Education</w:t>
      </w:r>
      <w:r>
        <w:rPr>
          <w:rStyle w:val="eop"/>
          <w:rFonts w:ascii="Aptos" w:eastAsiaTheme="majorEastAsia" w:hAnsi="Aptos" w:cs="Segoe UI"/>
          <w:color w:val="0F4761"/>
          <w:sz w:val="28"/>
          <w:szCs w:val="28"/>
        </w:rPr>
        <w:t> </w:t>
      </w:r>
    </w:p>
    <w:p w14:paraId="4727A56A"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Clear communication with families about the benefits of UFSM can maximize uptake and ensure community buy-in (van der Bend et al., 2024). Education campaigns should address myths, </w:t>
      </w:r>
      <w:proofErr w:type="spellStart"/>
      <w:r>
        <w:rPr>
          <w:rStyle w:val="normaltextrun"/>
          <w:rFonts w:ascii="Aptos" w:eastAsiaTheme="majorEastAsia" w:hAnsi="Aptos" w:cs="Segoe UI"/>
        </w:rPr>
        <w:t>emphasise</w:t>
      </w:r>
      <w:proofErr w:type="spellEnd"/>
      <w:r>
        <w:rPr>
          <w:rStyle w:val="normaltextrun"/>
          <w:rFonts w:ascii="Aptos" w:eastAsiaTheme="majorEastAsia" w:hAnsi="Aptos" w:cs="Segoe UI"/>
        </w:rPr>
        <w:t xml:space="preserve"> the </w:t>
      </w:r>
      <w:proofErr w:type="spellStart"/>
      <w:r>
        <w:rPr>
          <w:rStyle w:val="normaltextrun"/>
          <w:rFonts w:ascii="Aptos" w:eastAsiaTheme="majorEastAsia" w:hAnsi="Aptos" w:cs="Segoe UI"/>
        </w:rPr>
        <w:t>programme’s</w:t>
      </w:r>
      <w:proofErr w:type="spellEnd"/>
      <w:r>
        <w:rPr>
          <w:rStyle w:val="normaltextrun"/>
          <w:rFonts w:ascii="Aptos" w:eastAsiaTheme="majorEastAsia" w:hAnsi="Aptos" w:cs="Segoe UI"/>
        </w:rPr>
        <w:t xml:space="preserve"> universal nature, and highlight its role as an investment in children’s futures and the nation’s prosperity (Wales Centre for Public Policy, 2023).</w:t>
      </w:r>
      <w:r>
        <w:rPr>
          <w:rStyle w:val="eop"/>
          <w:rFonts w:ascii="Aptos" w:eastAsiaTheme="majorEastAsia" w:hAnsi="Aptos" w:cs="Segoe UI"/>
        </w:rPr>
        <w:t> </w:t>
      </w:r>
    </w:p>
    <w:p w14:paraId="5701C16D"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79665E57" w14:textId="77777777" w:rsidR="004E3480" w:rsidRDefault="004E3480" w:rsidP="004E3480">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w:eastAsiaTheme="majorEastAsia" w:hAnsi="Aptos" w:cs="Segoe UI"/>
          <w:b/>
          <w:bCs/>
          <w:color w:val="0F4761"/>
          <w:sz w:val="36"/>
          <w:szCs w:val="36"/>
        </w:rPr>
        <w:t>7. Conclusion</w:t>
      </w:r>
      <w:r>
        <w:rPr>
          <w:rStyle w:val="eop"/>
          <w:rFonts w:ascii="Aptos" w:eastAsiaTheme="majorEastAsia" w:hAnsi="Aptos" w:cs="Segoe UI"/>
          <w:color w:val="0F4761"/>
          <w:sz w:val="36"/>
          <w:szCs w:val="36"/>
        </w:rPr>
        <w:t> </w:t>
      </w:r>
    </w:p>
    <w:p w14:paraId="673E3773" w14:textId="77777777" w:rsidR="004E3480" w:rsidRDefault="004E3480" w:rsidP="004E348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Wales faces entrenched health inequalities, compounded by food insecurity and poor nutrition among children in disadvantaged communities. Universal free school meals are a proven, effective intervention to address these challenges, supporting better health, educational outcomes, and social equity. Sustained advocacy is needed to ensure that UFSM is expanded, protected, and embedded as a core foundation of Welsh public policy. This will require cross-sectoral collaboration, investment, and ongoing evaluation but offers substantial long-term benefits for Wales’s children, families, and </w:t>
      </w:r>
      <w:proofErr w:type="gramStart"/>
      <w:r>
        <w:rPr>
          <w:rStyle w:val="normaltextrun"/>
          <w:rFonts w:ascii="Aptos" w:eastAsiaTheme="majorEastAsia" w:hAnsi="Aptos" w:cs="Segoe UI"/>
        </w:rPr>
        <w:t>society as a whole</w:t>
      </w:r>
      <w:proofErr w:type="gramEnd"/>
      <w:r>
        <w:rPr>
          <w:rStyle w:val="normaltextrun"/>
          <w:rFonts w:ascii="Aptos" w:eastAsiaTheme="majorEastAsia" w:hAnsi="Aptos" w:cs="Segoe UI"/>
        </w:rPr>
        <w:t>.</w:t>
      </w:r>
      <w:r>
        <w:rPr>
          <w:rStyle w:val="eop"/>
          <w:rFonts w:ascii="Aptos" w:eastAsiaTheme="majorEastAsia" w:hAnsi="Aptos" w:cs="Segoe UI"/>
        </w:rPr>
        <w:t> </w:t>
      </w:r>
    </w:p>
    <w:p w14:paraId="58E21CC1" w14:textId="77777777" w:rsidR="004E3480" w:rsidRDefault="004E3480" w:rsidP="004E348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color w:val="1C1C1C"/>
        </w:rPr>
        <w:t> </w:t>
      </w:r>
    </w:p>
    <w:p w14:paraId="7575FA1E" w14:textId="77777777" w:rsidR="004E3480" w:rsidRDefault="004E3480" w:rsidP="004E348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color w:val="1C1C1C"/>
        </w:rPr>
        <w:t> </w:t>
      </w:r>
    </w:p>
    <w:p w14:paraId="4A094137" w14:textId="77777777" w:rsidR="004E3480" w:rsidRDefault="004E3480" w:rsidP="004E348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color w:val="1C1C1C"/>
        </w:rPr>
        <w:t> </w:t>
      </w:r>
    </w:p>
    <w:p w14:paraId="6017BF9C" w14:textId="77777777" w:rsidR="004E3480" w:rsidRDefault="004E3480" w:rsidP="004E348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color w:val="1C1C1C"/>
        </w:rPr>
        <w:t> </w:t>
      </w:r>
    </w:p>
    <w:p w14:paraId="0A1E9B57" w14:textId="77777777" w:rsidR="004E3480" w:rsidRDefault="004E3480" w:rsidP="004E34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color w:val="1C1C1C"/>
        </w:rPr>
        <w:t>Reference list:</w:t>
      </w:r>
      <w:r>
        <w:rPr>
          <w:rStyle w:val="eop"/>
          <w:rFonts w:ascii="Aptos" w:eastAsiaTheme="majorEastAsia" w:hAnsi="Aptos" w:cs="Segoe UI"/>
          <w:color w:val="1C1C1C"/>
        </w:rPr>
        <w:t> </w:t>
      </w:r>
    </w:p>
    <w:p w14:paraId="533A2003" w14:textId="77777777" w:rsidR="004E3480" w:rsidRDefault="004E3480" w:rsidP="004E3480">
      <w:pPr>
        <w:pStyle w:val="paragraph"/>
        <w:spacing w:before="0" w:beforeAutospacing="0" w:after="0" w:afterAutospacing="0"/>
        <w:jc w:val="center"/>
        <w:textAlignment w:val="baseline"/>
        <w:rPr>
          <w:rFonts w:ascii="Segoe UI" w:hAnsi="Segoe UI" w:cs="Segoe UI"/>
          <w:sz w:val="18"/>
          <w:szCs w:val="18"/>
        </w:rPr>
      </w:pPr>
      <w:r>
        <w:rPr>
          <w:rStyle w:val="eop"/>
          <w:rFonts w:ascii="Aptos" w:eastAsiaTheme="majorEastAsia" w:hAnsi="Aptos" w:cs="Segoe UI"/>
        </w:rPr>
        <w:t> </w:t>
      </w:r>
    </w:p>
    <w:p w14:paraId="77EAF0E6" w14:textId="77777777" w:rsidR="004E3480" w:rsidRDefault="004E3480" w:rsidP="004E3480">
      <w:pPr>
        <w:pStyle w:val="paragraph"/>
        <w:numPr>
          <w:ilvl w:val="0"/>
          <w:numId w:val="11"/>
        </w:numPr>
        <w:shd w:val="clear" w:color="auto" w:fill="FFFFFF"/>
        <w:spacing w:before="0" w:beforeAutospacing="0" w:after="0" w:afterAutospacing="0"/>
        <w:ind w:left="1080" w:firstLine="0"/>
        <w:textAlignment w:val="baseline"/>
        <w:rPr>
          <w:rFonts w:ascii="Aptos" w:hAnsi="Aptos" w:cs="Segoe UI"/>
        </w:rPr>
      </w:pPr>
      <w:proofErr w:type="spellStart"/>
      <w:r>
        <w:rPr>
          <w:rStyle w:val="normaltextrun"/>
          <w:rFonts w:ascii="Aptos" w:eastAsiaTheme="majorEastAsia" w:hAnsi="Aptos" w:cs="Segoe UI"/>
          <w:color w:val="1C1C1C"/>
        </w:rPr>
        <w:t>Agwara</w:t>
      </w:r>
      <w:proofErr w:type="spellEnd"/>
      <w:r>
        <w:rPr>
          <w:rStyle w:val="normaltextrun"/>
          <w:rFonts w:ascii="Aptos" w:eastAsiaTheme="majorEastAsia" w:hAnsi="Aptos" w:cs="Segoe UI"/>
          <w:color w:val="1C1C1C"/>
        </w:rPr>
        <w:t xml:space="preserve">, E., Martyn, K., </w:t>
      </w:r>
      <w:proofErr w:type="spellStart"/>
      <w:r>
        <w:rPr>
          <w:rStyle w:val="normaltextrun"/>
          <w:rFonts w:ascii="Aptos" w:eastAsiaTheme="majorEastAsia" w:hAnsi="Aptos" w:cs="Segoe UI"/>
          <w:color w:val="1C1C1C"/>
        </w:rPr>
        <w:t>Macaninch</w:t>
      </w:r>
      <w:proofErr w:type="spellEnd"/>
      <w:r>
        <w:rPr>
          <w:rStyle w:val="normaltextrun"/>
          <w:rFonts w:ascii="Aptos" w:eastAsiaTheme="majorEastAsia" w:hAnsi="Aptos" w:cs="Segoe UI"/>
          <w:color w:val="1C1C1C"/>
        </w:rPr>
        <w:t>, E., Nyaga, W., Buckner, L., Lepre, B., Laur, C. and Ray, S. (2024). ‘Finding the place for nutrition in healthcare education and practice’, BMJ Nutrition, Prevention and Health, 7 (1), pp. 140–150.</w:t>
      </w:r>
      <w:r>
        <w:rPr>
          <w:rStyle w:val="eop"/>
          <w:rFonts w:ascii="Aptos" w:eastAsiaTheme="majorEastAsia" w:hAnsi="Aptos" w:cs="Segoe UI"/>
          <w:color w:val="1C1C1C"/>
        </w:rPr>
        <w:t> </w:t>
      </w:r>
    </w:p>
    <w:p w14:paraId="0B289148" w14:textId="77777777" w:rsidR="004E3480" w:rsidRDefault="004E3480" w:rsidP="004E3480">
      <w:pPr>
        <w:pStyle w:val="paragraph"/>
        <w:numPr>
          <w:ilvl w:val="0"/>
          <w:numId w:val="12"/>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Alcock, P. (2022). ‘What is Social Policy’, in Alcock, P., Haux, T., McCall, V. and May, M. (Eds.) The Student’s Companion to Social Policy (6th </w:t>
      </w:r>
      <w:proofErr w:type="spellStart"/>
      <w:proofErr w:type="gramStart"/>
      <w:r>
        <w:rPr>
          <w:rStyle w:val="normaltextrun"/>
          <w:rFonts w:ascii="Aptos" w:eastAsiaTheme="majorEastAsia" w:hAnsi="Aptos" w:cs="Segoe UI"/>
          <w:color w:val="1C1C1C"/>
        </w:rPr>
        <w:t>edn</w:t>
      </w:r>
      <w:proofErr w:type="spellEnd"/>
      <w:proofErr w:type="gramEnd"/>
      <w:r>
        <w:rPr>
          <w:rStyle w:val="normaltextrun"/>
          <w:rFonts w:ascii="Aptos" w:eastAsiaTheme="majorEastAsia" w:hAnsi="Aptos" w:cs="Segoe UI"/>
          <w:color w:val="1C1C1C"/>
        </w:rPr>
        <w:t>.). Chichester: Wiley Blackwell, pp. 1 – 10.</w:t>
      </w:r>
      <w:r>
        <w:rPr>
          <w:rStyle w:val="eop"/>
          <w:rFonts w:ascii="Aptos" w:eastAsiaTheme="majorEastAsia" w:hAnsi="Aptos" w:cs="Segoe UI"/>
          <w:color w:val="1C1C1C"/>
        </w:rPr>
        <w:t> </w:t>
      </w:r>
    </w:p>
    <w:p w14:paraId="2E5A3606" w14:textId="77777777" w:rsidR="004E3480" w:rsidRDefault="004E3480" w:rsidP="004E3480">
      <w:pPr>
        <w:pStyle w:val="paragraph"/>
        <w:numPr>
          <w:ilvl w:val="0"/>
          <w:numId w:val="13"/>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Alcock, P. and Gregory, L. (2022). Social Policy in Britain. (5th </w:t>
      </w:r>
      <w:proofErr w:type="spellStart"/>
      <w:r>
        <w:rPr>
          <w:rStyle w:val="normaltextrun"/>
          <w:rFonts w:ascii="Aptos" w:eastAsiaTheme="majorEastAsia" w:hAnsi="Aptos" w:cs="Segoe UI"/>
          <w:color w:val="1C1C1C"/>
        </w:rPr>
        <w:t>edn</w:t>
      </w:r>
      <w:proofErr w:type="spellEnd"/>
      <w:r>
        <w:rPr>
          <w:rStyle w:val="normaltextrun"/>
          <w:rFonts w:ascii="Aptos" w:eastAsiaTheme="majorEastAsia" w:hAnsi="Aptos" w:cs="Segoe UI"/>
          <w:color w:val="1C1C1C"/>
        </w:rPr>
        <w:t>.). London: Bloomsbury.</w:t>
      </w:r>
      <w:r>
        <w:rPr>
          <w:rStyle w:val="eop"/>
          <w:rFonts w:ascii="Aptos" w:eastAsiaTheme="majorEastAsia" w:hAnsi="Aptos" w:cs="Segoe UI"/>
          <w:color w:val="1C1C1C"/>
        </w:rPr>
        <w:t> </w:t>
      </w:r>
    </w:p>
    <w:p w14:paraId="55D746DD" w14:textId="77777777" w:rsidR="004E3480" w:rsidRDefault="004E3480" w:rsidP="004E3480">
      <w:pPr>
        <w:pStyle w:val="paragraph"/>
        <w:numPr>
          <w:ilvl w:val="0"/>
          <w:numId w:val="14"/>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Anderson, M., Pitchforth, E., Edwards, N., </w:t>
      </w:r>
      <w:proofErr w:type="spellStart"/>
      <w:r>
        <w:rPr>
          <w:rStyle w:val="normaltextrun"/>
          <w:rFonts w:ascii="Aptos" w:eastAsiaTheme="majorEastAsia" w:hAnsi="Aptos" w:cs="Segoe UI"/>
          <w:color w:val="1C1C1C"/>
        </w:rPr>
        <w:t>Alderwick</w:t>
      </w:r>
      <w:proofErr w:type="spellEnd"/>
      <w:r>
        <w:rPr>
          <w:rStyle w:val="normaltextrun"/>
          <w:rFonts w:ascii="Aptos" w:eastAsiaTheme="majorEastAsia" w:hAnsi="Aptos" w:cs="Segoe UI"/>
          <w:color w:val="1C1C1C"/>
        </w:rPr>
        <w:t xml:space="preserve">, H., McGuire, A. and </w:t>
      </w:r>
      <w:proofErr w:type="spellStart"/>
      <w:r>
        <w:rPr>
          <w:rStyle w:val="normaltextrun"/>
          <w:rFonts w:ascii="Aptos" w:eastAsiaTheme="majorEastAsia" w:hAnsi="Aptos" w:cs="Segoe UI"/>
          <w:color w:val="1C1C1C"/>
        </w:rPr>
        <w:t>Mossialos</w:t>
      </w:r>
      <w:proofErr w:type="spellEnd"/>
      <w:r>
        <w:rPr>
          <w:rStyle w:val="normaltextrun"/>
          <w:rFonts w:ascii="Aptos" w:eastAsiaTheme="majorEastAsia" w:hAnsi="Aptos" w:cs="Segoe UI"/>
          <w:color w:val="1C1C1C"/>
        </w:rPr>
        <w:t xml:space="preserve">, E. (2022). United Kingdom Health Systems Review. Health Systems in Transition, 24 (1). World Health Organization Regional Office for Europe: </w:t>
      </w:r>
      <w:r>
        <w:rPr>
          <w:rStyle w:val="normaltextrun"/>
          <w:rFonts w:ascii="Aptos" w:eastAsiaTheme="majorEastAsia" w:hAnsi="Aptos" w:cs="Segoe UI"/>
          <w:color w:val="1C1C1C"/>
        </w:rPr>
        <w:lastRenderedPageBreak/>
        <w:t xml:space="preserve">Copenhagen. Available at: </w:t>
      </w:r>
      <w:hyperlink r:id="rId5" w:tgtFrame="_blank" w:history="1">
        <w:r>
          <w:rPr>
            <w:rStyle w:val="normaltextrun"/>
            <w:rFonts w:ascii="Aptos" w:eastAsiaTheme="majorEastAsia" w:hAnsi="Aptos" w:cs="Segoe UI"/>
            <w:color w:val="0000FF"/>
            <w:u w:val="single"/>
          </w:rPr>
          <w:t>https://iris.who.int/server/api/core/bitstreams/9c05fab0-2d28-4094-a79e-2b37f8684fc3/contentOpens a new window</w:t>
        </w:r>
      </w:hyperlink>
      <w:r>
        <w:rPr>
          <w:rStyle w:val="normaltextrun"/>
          <w:rFonts w:ascii="Aptos" w:eastAsiaTheme="majorEastAsia" w:hAnsi="Aptos" w:cs="Segoe UI"/>
          <w:color w:val="1C1C1C"/>
        </w:rPr>
        <w:t xml:space="preserve"> (Accessed: 10th November, 2025).</w:t>
      </w:r>
      <w:r>
        <w:rPr>
          <w:rStyle w:val="eop"/>
          <w:rFonts w:ascii="Aptos" w:eastAsiaTheme="majorEastAsia" w:hAnsi="Aptos" w:cs="Segoe UI"/>
          <w:color w:val="1C1C1C"/>
        </w:rPr>
        <w:t> </w:t>
      </w:r>
    </w:p>
    <w:p w14:paraId="3EC67F73" w14:textId="77777777" w:rsidR="004E3480" w:rsidRDefault="004E3480" w:rsidP="004E3480">
      <w:pPr>
        <w:pStyle w:val="paragraph"/>
        <w:numPr>
          <w:ilvl w:val="0"/>
          <w:numId w:val="15"/>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Aveyard, H. (2023). Doing a Literature Review in Health and Social Care: </w:t>
      </w:r>
      <w:proofErr w:type="gramStart"/>
      <w:r>
        <w:rPr>
          <w:rStyle w:val="normaltextrun"/>
          <w:rFonts w:ascii="Aptos" w:eastAsiaTheme="majorEastAsia" w:hAnsi="Aptos" w:cs="Segoe UI"/>
          <w:color w:val="1C1C1C"/>
        </w:rPr>
        <w:t>a</w:t>
      </w:r>
      <w:proofErr w:type="gramEnd"/>
      <w:r>
        <w:rPr>
          <w:rStyle w:val="normaltextrun"/>
          <w:rFonts w:ascii="Aptos" w:eastAsiaTheme="majorEastAsia" w:hAnsi="Aptos" w:cs="Segoe UI"/>
          <w:color w:val="1C1C1C"/>
        </w:rPr>
        <w:t xml:space="preserve"> Practical Guide. (5th </w:t>
      </w:r>
      <w:proofErr w:type="spellStart"/>
      <w:r>
        <w:rPr>
          <w:rStyle w:val="normaltextrun"/>
          <w:rFonts w:ascii="Aptos" w:eastAsiaTheme="majorEastAsia" w:hAnsi="Aptos" w:cs="Segoe UI"/>
          <w:color w:val="1C1C1C"/>
        </w:rPr>
        <w:t>edn</w:t>
      </w:r>
      <w:proofErr w:type="spellEnd"/>
      <w:r>
        <w:rPr>
          <w:rStyle w:val="normaltextrun"/>
          <w:rFonts w:ascii="Aptos" w:eastAsiaTheme="majorEastAsia" w:hAnsi="Aptos" w:cs="Segoe UI"/>
          <w:color w:val="1C1C1C"/>
        </w:rPr>
        <w:t>.). Open University Press/McGraw-Hill Education.</w:t>
      </w:r>
      <w:r>
        <w:rPr>
          <w:rStyle w:val="eop"/>
          <w:rFonts w:ascii="Aptos" w:eastAsiaTheme="majorEastAsia" w:hAnsi="Aptos" w:cs="Segoe UI"/>
          <w:color w:val="1C1C1C"/>
        </w:rPr>
        <w:t> </w:t>
      </w:r>
    </w:p>
    <w:p w14:paraId="60143F95" w14:textId="77777777" w:rsidR="004E3480" w:rsidRDefault="004E3480" w:rsidP="004E3480">
      <w:pPr>
        <w:pStyle w:val="paragraph"/>
        <w:numPr>
          <w:ilvl w:val="0"/>
          <w:numId w:val="16"/>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Baldwin, M.A. (2003). ‘Patient advocacy: a concept analysis’, Nursing Standard, 17 (21), pp. 33 – 39.</w:t>
      </w:r>
      <w:r>
        <w:rPr>
          <w:rStyle w:val="eop"/>
          <w:rFonts w:ascii="Aptos" w:eastAsiaTheme="majorEastAsia" w:hAnsi="Aptos" w:cs="Segoe UI"/>
          <w:color w:val="1C1C1C"/>
        </w:rPr>
        <w:t> </w:t>
      </w:r>
    </w:p>
    <w:p w14:paraId="03D82B0C" w14:textId="77777777" w:rsidR="004E3480" w:rsidRDefault="004E3480" w:rsidP="004E3480">
      <w:pPr>
        <w:pStyle w:val="paragraph"/>
        <w:numPr>
          <w:ilvl w:val="0"/>
          <w:numId w:val="17"/>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Baldwin, M.A. (2008). ‘Advocacy’, in Mason-Whitehead, E., McIntosh, A. Bryan, A. and Mason, T. (Eds.). Key Concepts in Nursing. London: Sage, pp. 15 – 23.</w:t>
      </w:r>
      <w:r>
        <w:rPr>
          <w:rStyle w:val="eop"/>
          <w:rFonts w:ascii="Aptos" w:eastAsiaTheme="majorEastAsia" w:hAnsi="Aptos" w:cs="Segoe UI"/>
          <w:color w:val="1C1C1C"/>
        </w:rPr>
        <w:t> </w:t>
      </w:r>
    </w:p>
    <w:p w14:paraId="16F81EC3" w14:textId="77777777" w:rsidR="004E3480" w:rsidRDefault="004E3480" w:rsidP="004E3480">
      <w:pPr>
        <w:pStyle w:val="paragraph"/>
        <w:numPr>
          <w:ilvl w:val="0"/>
          <w:numId w:val="18"/>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Blakemore, K. and Warwick-Booth, L. (2013). Social Policy: an Introduction. (4th. </w:t>
      </w:r>
      <w:proofErr w:type="spellStart"/>
      <w:proofErr w:type="gramStart"/>
      <w:r>
        <w:rPr>
          <w:rStyle w:val="normaltextrun"/>
          <w:rFonts w:ascii="Aptos" w:eastAsiaTheme="majorEastAsia" w:hAnsi="Aptos" w:cs="Segoe UI"/>
          <w:color w:val="1C1C1C"/>
        </w:rPr>
        <w:t>edn</w:t>
      </w:r>
      <w:proofErr w:type="spellEnd"/>
      <w:proofErr w:type="gramEnd"/>
      <w:r>
        <w:rPr>
          <w:rStyle w:val="normaltextrun"/>
          <w:rFonts w:ascii="Aptos" w:eastAsiaTheme="majorEastAsia" w:hAnsi="Aptos" w:cs="Segoe UI"/>
          <w:color w:val="1C1C1C"/>
        </w:rPr>
        <w:t>.). Maidenhead: Open University Press/McGraw-Hill.</w:t>
      </w:r>
      <w:r>
        <w:rPr>
          <w:rStyle w:val="eop"/>
          <w:rFonts w:ascii="Aptos" w:eastAsiaTheme="majorEastAsia" w:hAnsi="Aptos" w:cs="Segoe UI"/>
          <w:color w:val="1C1C1C"/>
        </w:rPr>
        <w:t> </w:t>
      </w:r>
    </w:p>
    <w:p w14:paraId="47C0E98B" w14:textId="77777777" w:rsidR="004E3480" w:rsidRDefault="004E3480" w:rsidP="004E3480">
      <w:pPr>
        <w:pStyle w:val="paragraph"/>
        <w:numPr>
          <w:ilvl w:val="0"/>
          <w:numId w:val="19"/>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Bochel, C. (2022). ‘State Welfare’, in Alcock, P., Haux, T., McCall, V. and Hay, M. (Eds.). The Student’s Companion to Social Policy. (6th </w:t>
      </w:r>
      <w:proofErr w:type="spellStart"/>
      <w:proofErr w:type="gramStart"/>
      <w:r>
        <w:rPr>
          <w:rStyle w:val="normaltextrun"/>
          <w:rFonts w:ascii="Aptos" w:eastAsiaTheme="majorEastAsia" w:hAnsi="Aptos" w:cs="Segoe UI"/>
          <w:color w:val="1C1C1C"/>
        </w:rPr>
        <w:t>edn</w:t>
      </w:r>
      <w:proofErr w:type="spellEnd"/>
      <w:proofErr w:type="gramEnd"/>
      <w:r>
        <w:rPr>
          <w:rStyle w:val="normaltextrun"/>
          <w:rFonts w:ascii="Aptos" w:eastAsiaTheme="majorEastAsia" w:hAnsi="Aptos" w:cs="Segoe UI"/>
          <w:color w:val="1C1C1C"/>
        </w:rPr>
        <w:t>.). Chichester: Wiley-Blackwell, pp. 289 – 294.</w:t>
      </w:r>
      <w:r>
        <w:rPr>
          <w:rStyle w:val="eop"/>
          <w:rFonts w:ascii="Aptos" w:eastAsiaTheme="majorEastAsia" w:hAnsi="Aptos" w:cs="Segoe UI"/>
          <w:color w:val="1C1C1C"/>
        </w:rPr>
        <w:t> </w:t>
      </w:r>
    </w:p>
    <w:p w14:paraId="4ECC5702" w14:textId="77777777" w:rsidR="004E3480" w:rsidRDefault="004E3480" w:rsidP="004E3480">
      <w:pPr>
        <w:pStyle w:val="paragraph"/>
        <w:numPr>
          <w:ilvl w:val="0"/>
          <w:numId w:val="20"/>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Booth, A., Sutton, A., Clowes, M. and Martyn-St. James, M. (2022). Systematic Approaches to a Successful Literature Review. (3rd </w:t>
      </w:r>
      <w:proofErr w:type="spellStart"/>
      <w:proofErr w:type="gramStart"/>
      <w:r>
        <w:rPr>
          <w:rStyle w:val="normaltextrun"/>
          <w:rFonts w:ascii="Aptos" w:eastAsiaTheme="majorEastAsia" w:hAnsi="Aptos" w:cs="Segoe UI"/>
          <w:color w:val="1C1C1C"/>
        </w:rPr>
        <w:t>edn</w:t>
      </w:r>
      <w:proofErr w:type="spellEnd"/>
      <w:proofErr w:type="gramEnd"/>
      <w:r>
        <w:rPr>
          <w:rStyle w:val="normaltextrun"/>
          <w:rFonts w:ascii="Aptos" w:eastAsiaTheme="majorEastAsia" w:hAnsi="Aptos" w:cs="Segoe UI"/>
          <w:color w:val="1C1C1C"/>
        </w:rPr>
        <w:t>.). London: Sage.</w:t>
      </w:r>
      <w:r>
        <w:rPr>
          <w:rStyle w:val="eop"/>
          <w:rFonts w:ascii="Aptos" w:eastAsiaTheme="majorEastAsia" w:hAnsi="Aptos" w:cs="Segoe UI"/>
          <w:color w:val="1C1C1C"/>
        </w:rPr>
        <w:t> </w:t>
      </w:r>
    </w:p>
    <w:p w14:paraId="1032B595" w14:textId="77777777" w:rsidR="004E3480" w:rsidRDefault="004E3480" w:rsidP="004E3480">
      <w:pPr>
        <w:pStyle w:val="paragraph"/>
        <w:numPr>
          <w:ilvl w:val="0"/>
          <w:numId w:val="21"/>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Buse, K., Mays, N., Colombini, M., Fraser, A., Khan, M. and Walls, H. (2024). Making Health Policy (3rd </w:t>
      </w:r>
      <w:proofErr w:type="spellStart"/>
      <w:proofErr w:type="gramStart"/>
      <w:r>
        <w:rPr>
          <w:rStyle w:val="normaltextrun"/>
          <w:rFonts w:ascii="Aptos" w:eastAsiaTheme="majorEastAsia" w:hAnsi="Aptos" w:cs="Segoe UI"/>
          <w:color w:val="1C1C1C"/>
        </w:rPr>
        <w:t>edn</w:t>
      </w:r>
      <w:proofErr w:type="spellEnd"/>
      <w:proofErr w:type="gramEnd"/>
      <w:r>
        <w:rPr>
          <w:rStyle w:val="normaltextrun"/>
          <w:rFonts w:ascii="Aptos" w:eastAsiaTheme="majorEastAsia" w:hAnsi="Aptos" w:cs="Segoe UI"/>
          <w:color w:val="1C1C1C"/>
        </w:rPr>
        <w:t>.). Maidenhead: Open University Press/McGraw Hill.</w:t>
      </w:r>
      <w:r>
        <w:rPr>
          <w:rStyle w:val="eop"/>
          <w:rFonts w:ascii="Aptos" w:eastAsiaTheme="majorEastAsia" w:hAnsi="Aptos" w:cs="Segoe UI"/>
          <w:color w:val="1C1C1C"/>
        </w:rPr>
        <w:t> </w:t>
      </w:r>
    </w:p>
    <w:p w14:paraId="046CBE0B" w14:textId="77777777" w:rsidR="004E3480" w:rsidRDefault="004E3480" w:rsidP="004E3480">
      <w:pPr>
        <w:pStyle w:val="paragraph"/>
        <w:numPr>
          <w:ilvl w:val="0"/>
          <w:numId w:val="22"/>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Dahlgren, G. and Whitehead, M. (2006). European strategies for tackling social inequities in health: Levelling up Part 2. Copenhagen: World Health Organization Regional Office for Europe. Available at: </w:t>
      </w:r>
      <w:hyperlink r:id="rId6" w:tgtFrame="_blank" w:history="1">
        <w:r>
          <w:rPr>
            <w:rStyle w:val="normaltextrun"/>
            <w:rFonts w:ascii="Aptos" w:eastAsiaTheme="majorEastAsia" w:hAnsi="Aptos" w:cs="Segoe UI"/>
            <w:color w:val="0000FF"/>
            <w:u w:val="single"/>
          </w:rPr>
          <w:t>https://iris.who.int/bitstream/handle/10665/107791/E89384.pdf?sequence=1&amp;isAllowed=yOpens a new window</w:t>
        </w:r>
      </w:hyperlink>
      <w:r>
        <w:rPr>
          <w:rStyle w:val="normaltextrun"/>
          <w:rFonts w:ascii="Aptos" w:eastAsiaTheme="majorEastAsia" w:hAnsi="Aptos" w:cs="Segoe UI"/>
          <w:color w:val="1C1C1C"/>
        </w:rPr>
        <w:t xml:space="preserve"> (Accessed: 10th November , 2025).</w:t>
      </w:r>
      <w:r>
        <w:rPr>
          <w:rStyle w:val="eop"/>
          <w:rFonts w:ascii="Aptos" w:eastAsiaTheme="majorEastAsia" w:hAnsi="Aptos" w:cs="Segoe UI"/>
          <w:color w:val="1C1C1C"/>
        </w:rPr>
        <w:t> </w:t>
      </w:r>
    </w:p>
    <w:p w14:paraId="5AC36637" w14:textId="77777777" w:rsidR="004E3480" w:rsidRDefault="004E3480" w:rsidP="004E3480">
      <w:pPr>
        <w:pStyle w:val="paragraph"/>
        <w:numPr>
          <w:ilvl w:val="0"/>
          <w:numId w:val="23"/>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Damani, Z., </w:t>
      </w:r>
      <w:proofErr w:type="spellStart"/>
      <w:r>
        <w:rPr>
          <w:rStyle w:val="normaltextrun"/>
          <w:rFonts w:ascii="Aptos" w:eastAsiaTheme="majorEastAsia" w:hAnsi="Aptos" w:cs="Segoe UI"/>
          <w:color w:val="1C1C1C"/>
        </w:rPr>
        <w:t>Mackean</w:t>
      </w:r>
      <w:proofErr w:type="spellEnd"/>
      <w:r>
        <w:rPr>
          <w:rStyle w:val="normaltextrun"/>
          <w:rFonts w:ascii="Aptos" w:eastAsiaTheme="majorEastAsia" w:hAnsi="Aptos" w:cs="Segoe UI"/>
          <w:color w:val="1C1C1C"/>
        </w:rPr>
        <w:t xml:space="preserve">, G., Bohm, E., Demone, B., Wright, B., Noseworthy, T., Holroyd-Leduc, J. and Marshall, D.A. (2016). ‘The use of a policy dialogue to facilitate evidence-informed policy development for improved access to care: the case of the Winnipeg Central Intake Service (WCIS)’, Health Research Policy and Systems. </w:t>
      </w:r>
      <w:hyperlink r:id="rId7" w:tgtFrame="_blank" w:history="1">
        <w:r>
          <w:rPr>
            <w:rStyle w:val="normaltextrun"/>
            <w:rFonts w:ascii="Aptos" w:eastAsiaTheme="majorEastAsia" w:hAnsi="Aptos" w:cs="Segoe UI"/>
            <w:color w:val="0000FF"/>
            <w:u w:val="single"/>
          </w:rPr>
          <w:t>https://doi.org/10.1186/s12961-016-0149-5Opens a new window</w:t>
        </w:r>
      </w:hyperlink>
      <w:r>
        <w:rPr>
          <w:rStyle w:val="eop"/>
          <w:rFonts w:ascii="Aptos" w:eastAsiaTheme="majorEastAsia" w:hAnsi="Aptos" w:cs="Segoe UI"/>
          <w:color w:val="0000FF"/>
        </w:rPr>
        <w:t> </w:t>
      </w:r>
    </w:p>
    <w:p w14:paraId="15352AFE" w14:textId="77777777" w:rsidR="004E3480" w:rsidRDefault="004E3480" w:rsidP="004E3480">
      <w:pPr>
        <w:pStyle w:val="paragraph"/>
        <w:numPr>
          <w:ilvl w:val="0"/>
          <w:numId w:val="24"/>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Dixon-Woods, M., Summers, C., Morgan, M. and Patel, K. (2024). ‘The future of the NHS depends on its workforce. The future of the NHS depends on the people who work in it, so workforce stewardship should be a key priority’, British Medical Journal </w:t>
      </w:r>
      <w:proofErr w:type="gramStart"/>
      <w:r>
        <w:rPr>
          <w:rStyle w:val="normaltextrun"/>
          <w:rFonts w:ascii="Aptos" w:eastAsiaTheme="majorEastAsia" w:hAnsi="Aptos" w:cs="Segoe UI"/>
          <w:color w:val="1C1C1C"/>
        </w:rPr>
        <w:t>384:e</w:t>
      </w:r>
      <w:proofErr w:type="gramEnd"/>
      <w:r>
        <w:rPr>
          <w:rStyle w:val="normaltextrun"/>
          <w:rFonts w:ascii="Aptos" w:eastAsiaTheme="majorEastAsia" w:hAnsi="Aptos" w:cs="Segoe UI"/>
          <w:color w:val="1C1C1C"/>
        </w:rPr>
        <w:t xml:space="preserve">079474 | </w:t>
      </w:r>
      <w:proofErr w:type="spellStart"/>
      <w:r>
        <w:rPr>
          <w:rStyle w:val="normaltextrun"/>
          <w:rFonts w:ascii="Aptos" w:eastAsiaTheme="majorEastAsia" w:hAnsi="Aptos" w:cs="Segoe UI"/>
          <w:color w:val="1C1C1C"/>
        </w:rPr>
        <w:t>doi</w:t>
      </w:r>
      <w:proofErr w:type="spellEnd"/>
      <w:r>
        <w:rPr>
          <w:rStyle w:val="normaltextrun"/>
          <w:rFonts w:ascii="Aptos" w:eastAsiaTheme="majorEastAsia" w:hAnsi="Aptos" w:cs="Segoe UI"/>
          <w:color w:val="1C1C1C"/>
        </w:rPr>
        <w:t>: 10.1136/bmj-2024-079474.</w:t>
      </w:r>
      <w:r>
        <w:rPr>
          <w:rStyle w:val="eop"/>
          <w:rFonts w:ascii="Aptos" w:eastAsiaTheme="majorEastAsia" w:hAnsi="Aptos" w:cs="Segoe UI"/>
          <w:color w:val="1C1C1C"/>
        </w:rPr>
        <w:t> </w:t>
      </w:r>
    </w:p>
    <w:p w14:paraId="33BF120A" w14:textId="77777777" w:rsidR="004E3480" w:rsidRDefault="004E3480" w:rsidP="004E3480">
      <w:pPr>
        <w:pStyle w:val="paragraph"/>
        <w:numPr>
          <w:ilvl w:val="0"/>
          <w:numId w:val="25"/>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Joseph Rowntree Foundation (JRF). (2024). UK Poverty 2024. The essential guide to understanding poverty in the UK. York: JRF. Available at: </w:t>
      </w:r>
      <w:hyperlink r:id="rId8" w:tgtFrame="_blank" w:history="1">
        <w:r>
          <w:rPr>
            <w:rStyle w:val="normaltextrun"/>
            <w:rFonts w:ascii="Aptos" w:eastAsiaTheme="majorEastAsia" w:hAnsi="Aptos" w:cs="Segoe UI"/>
            <w:color w:val="0000FF"/>
            <w:u w:val="single"/>
          </w:rPr>
          <w:t>https://www.jrf.org.uk/pdf/15211Opens a new window</w:t>
        </w:r>
      </w:hyperlink>
      <w:r>
        <w:rPr>
          <w:rStyle w:val="normaltextrun"/>
          <w:rFonts w:ascii="Aptos" w:eastAsiaTheme="majorEastAsia" w:hAnsi="Aptos" w:cs="Segoe UI"/>
          <w:color w:val="1C1C1C"/>
        </w:rPr>
        <w:t xml:space="preserve"> (Accessed: 10th </w:t>
      </w:r>
      <w:proofErr w:type="gramStart"/>
      <w:r>
        <w:rPr>
          <w:rStyle w:val="normaltextrun"/>
          <w:rFonts w:ascii="Aptos" w:eastAsiaTheme="majorEastAsia" w:hAnsi="Aptos" w:cs="Segoe UI"/>
          <w:color w:val="1C1C1C"/>
        </w:rPr>
        <w:t>November,</w:t>
      </w:r>
      <w:proofErr w:type="gramEnd"/>
      <w:r>
        <w:rPr>
          <w:rStyle w:val="normaltextrun"/>
          <w:rFonts w:ascii="Aptos" w:eastAsiaTheme="majorEastAsia" w:hAnsi="Aptos" w:cs="Segoe UI"/>
          <w:color w:val="1C1C1C"/>
        </w:rPr>
        <w:t xml:space="preserve"> 2025).</w:t>
      </w:r>
      <w:r>
        <w:rPr>
          <w:rStyle w:val="eop"/>
          <w:rFonts w:ascii="Aptos" w:eastAsiaTheme="majorEastAsia" w:hAnsi="Aptos" w:cs="Segoe UI"/>
          <w:color w:val="1C1C1C"/>
        </w:rPr>
        <w:t> </w:t>
      </w:r>
    </w:p>
    <w:p w14:paraId="4423D336" w14:textId="77777777" w:rsidR="004E3480" w:rsidRDefault="004E3480" w:rsidP="004E3480">
      <w:pPr>
        <w:pStyle w:val="paragraph"/>
        <w:numPr>
          <w:ilvl w:val="0"/>
          <w:numId w:val="26"/>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Lavis, J.N., </w:t>
      </w:r>
      <w:proofErr w:type="spellStart"/>
      <w:r>
        <w:rPr>
          <w:rStyle w:val="normaltextrun"/>
          <w:rFonts w:ascii="Aptos" w:eastAsiaTheme="majorEastAsia" w:hAnsi="Aptos" w:cs="Segoe UI"/>
          <w:color w:val="1C1C1C"/>
        </w:rPr>
        <w:t>Permanand</w:t>
      </w:r>
      <w:proofErr w:type="spellEnd"/>
      <w:r>
        <w:rPr>
          <w:rStyle w:val="normaltextrun"/>
          <w:rFonts w:ascii="Aptos" w:eastAsiaTheme="majorEastAsia" w:hAnsi="Aptos" w:cs="Segoe UI"/>
          <w:color w:val="1C1C1C"/>
        </w:rPr>
        <w:t>, G., Oxman, A.D., Lewin, S. and Fretheim, A. (2009). ‘SUPPORT Tools for evidence-informed health policymaking (STP) 13: preparing and using policy briefs to support evidence-informed policymaking’. Health Research Policy and Systems, 7 (Suppl 1): S13, doi:10.1186/1478-4505-7-S1-S13</w:t>
      </w:r>
      <w:r>
        <w:rPr>
          <w:rStyle w:val="eop"/>
          <w:rFonts w:ascii="Aptos" w:eastAsiaTheme="majorEastAsia" w:hAnsi="Aptos" w:cs="Segoe UI"/>
          <w:color w:val="1C1C1C"/>
        </w:rPr>
        <w:t> </w:t>
      </w:r>
    </w:p>
    <w:p w14:paraId="2D6AA6B2" w14:textId="77777777" w:rsidR="004E3480" w:rsidRDefault="004E3480" w:rsidP="004E3480">
      <w:pPr>
        <w:pStyle w:val="paragraph"/>
        <w:numPr>
          <w:ilvl w:val="0"/>
          <w:numId w:val="27"/>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lastRenderedPageBreak/>
        <w:t xml:space="preserve">NHS Digital. (2024). NHS Workforce Statistics - April 2024 (Including selected provisional statistics for May 2024). London: NHS England: Available at: </w:t>
      </w:r>
      <w:hyperlink r:id="rId9" w:tgtFrame="_blank" w:history="1">
        <w:r>
          <w:rPr>
            <w:rStyle w:val="normaltextrun"/>
            <w:rFonts w:ascii="Aptos" w:eastAsiaTheme="majorEastAsia" w:hAnsi="Aptos" w:cs="Segoe UI"/>
            <w:color w:val="0000FF"/>
            <w:u w:val="single"/>
          </w:rPr>
          <w:t>https://digital.nhs.uk/data-and-information/publications/statistical/nhs-workforce-statistics/april-2024#Opens a new window</w:t>
        </w:r>
      </w:hyperlink>
      <w:r>
        <w:rPr>
          <w:rStyle w:val="normaltextrun"/>
          <w:rFonts w:ascii="Aptos" w:eastAsiaTheme="majorEastAsia" w:hAnsi="Aptos" w:cs="Segoe UI"/>
          <w:color w:val="1C1C1C"/>
        </w:rPr>
        <w:t xml:space="preserve"> (Accessed: 12</w:t>
      </w:r>
      <w:r>
        <w:rPr>
          <w:rStyle w:val="normaltextrun"/>
          <w:rFonts w:ascii="Aptos" w:eastAsiaTheme="majorEastAsia" w:hAnsi="Aptos" w:cs="Segoe UI"/>
          <w:color w:val="1C1C1C"/>
          <w:sz w:val="19"/>
          <w:szCs w:val="19"/>
          <w:vertAlign w:val="superscript"/>
        </w:rPr>
        <w:t>th</w:t>
      </w:r>
      <w:r>
        <w:rPr>
          <w:rStyle w:val="normaltextrun"/>
          <w:rFonts w:ascii="Aptos" w:eastAsiaTheme="majorEastAsia" w:hAnsi="Aptos" w:cs="Segoe UI"/>
          <w:color w:val="1C1C1C"/>
        </w:rPr>
        <w:t xml:space="preserve"> November, 2025).</w:t>
      </w:r>
      <w:r>
        <w:rPr>
          <w:rStyle w:val="eop"/>
          <w:rFonts w:ascii="Aptos" w:eastAsiaTheme="majorEastAsia" w:hAnsi="Aptos" w:cs="Segoe UI"/>
          <w:color w:val="1C1C1C"/>
        </w:rPr>
        <w:t> </w:t>
      </w:r>
    </w:p>
    <w:p w14:paraId="6F89B99A" w14:textId="77777777" w:rsidR="004E3480" w:rsidRDefault="004E3480" w:rsidP="004E3480">
      <w:pPr>
        <w:pStyle w:val="paragraph"/>
        <w:numPr>
          <w:ilvl w:val="0"/>
          <w:numId w:val="28"/>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Nursing and Midwifery Council (NMC). (2018). Future nurse: Standards of proficiency for registered nurses. London: NMC. Available at: </w:t>
      </w:r>
      <w:hyperlink r:id="rId10" w:tgtFrame="_blank" w:history="1">
        <w:r>
          <w:rPr>
            <w:rStyle w:val="normaltextrun"/>
            <w:rFonts w:ascii="Aptos" w:eastAsiaTheme="majorEastAsia" w:hAnsi="Aptos" w:cs="Segoe UI"/>
            <w:color w:val="0000FF"/>
            <w:u w:val="single"/>
          </w:rPr>
          <w:t>https://www.nmc.org.uk/globalassets/sitedocuments/education-standards/future-nurse-proficiencies.pdfOpens a new window</w:t>
        </w:r>
      </w:hyperlink>
      <w:r>
        <w:rPr>
          <w:rStyle w:val="normaltextrun"/>
          <w:rFonts w:ascii="Aptos" w:eastAsiaTheme="majorEastAsia" w:hAnsi="Aptos" w:cs="Segoe UI"/>
          <w:color w:val="1C1C1C"/>
        </w:rPr>
        <w:t xml:space="preserve"> (Accessed: 10th October, 2025).</w:t>
      </w:r>
      <w:r>
        <w:rPr>
          <w:rStyle w:val="eop"/>
          <w:rFonts w:ascii="Aptos" w:eastAsiaTheme="majorEastAsia" w:hAnsi="Aptos" w:cs="Segoe UI"/>
          <w:color w:val="1C1C1C"/>
        </w:rPr>
        <w:t> </w:t>
      </w:r>
    </w:p>
    <w:p w14:paraId="11A238F7" w14:textId="77777777" w:rsidR="004E3480" w:rsidRDefault="004E3480" w:rsidP="004E3480">
      <w:pPr>
        <w:pStyle w:val="paragraph"/>
        <w:numPr>
          <w:ilvl w:val="0"/>
          <w:numId w:val="29"/>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O’Donnell, O. (2024). ‘Health and health systems effects on poverty: a narrative review of global evidence’, Health Policy, 142. Available at: </w:t>
      </w:r>
      <w:hyperlink r:id="rId11" w:tgtFrame="_blank" w:history="1">
        <w:r>
          <w:rPr>
            <w:rStyle w:val="normaltextrun"/>
            <w:rFonts w:ascii="Aptos" w:eastAsiaTheme="majorEastAsia" w:hAnsi="Aptos" w:cs="Segoe UI"/>
            <w:color w:val="0000FF"/>
            <w:u w:val="single"/>
          </w:rPr>
          <w:t>https://doi.org/10.1016/j.healthpol.2024.105018Opens a new window</w:t>
        </w:r>
      </w:hyperlink>
      <w:r>
        <w:rPr>
          <w:rStyle w:val="normaltextrun"/>
          <w:rFonts w:ascii="Aptos" w:eastAsiaTheme="majorEastAsia" w:hAnsi="Aptos" w:cs="Segoe UI"/>
          <w:color w:val="1C1C1C"/>
        </w:rPr>
        <w:t xml:space="preserve"> (Accessed: 10th </w:t>
      </w:r>
      <w:proofErr w:type="gramStart"/>
      <w:r>
        <w:rPr>
          <w:rStyle w:val="normaltextrun"/>
          <w:rFonts w:ascii="Aptos" w:eastAsiaTheme="majorEastAsia" w:hAnsi="Aptos" w:cs="Segoe UI"/>
          <w:color w:val="1C1C1C"/>
        </w:rPr>
        <w:t>October,</w:t>
      </w:r>
      <w:proofErr w:type="gramEnd"/>
      <w:r>
        <w:rPr>
          <w:rStyle w:val="normaltextrun"/>
          <w:rFonts w:ascii="Aptos" w:eastAsiaTheme="majorEastAsia" w:hAnsi="Aptos" w:cs="Segoe UI"/>
          <w:color w:val="1C1C1C"/>
        </w:rPr>
        <w:t xml:space="preserve"> 2025).</w:t>
      </w:r>
      <w:r>
        <w:rPr>
          <w:rStyle w:val="eop"/>
          <w:rFonts w:ascii="Aptos" w:eastAsiaTheme="majorEastAsia" w:hAnsi="Aptos" w:cs="Segoe UI"/>
          <w:color w:val="1C1C1C"/>
        </w:rPr>
        <w:t> </w:t>
      </w:r>
    </w:p>
    <w:p w14:paraId="1770247D" w14:textId="77777777" w:rsidR="004E3480" w:rsidRDefault="004E3480" w:rsidP="004E3480">
      <w:pPr>
        <w:pStyle w:val="paragraph"/>
        <w:numPr>
          <w:ilvl w:val="0"/>
          <w:numId w:val="30"/>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OECD (2023). Health </w:t>
      </w:r>
      <w:proofErr w:type="gramStart"/>
      <w:r>
        <w:rPr>
          <w:rStyle w:val="normaltextrun"/>
          <w:rFonts w:ascii="Aptos" w:eastAsiaTheme="majorEastAsia" w:hAnsi="Aptos" w:cs="Segoe UI"/>
          <w:color w:val="1C1C1C"/>
        </w:rPr>
        <w:t>at a Glance</w:t>
      </w:r>
      <w:proofErr w:type="gramEnd"/>
      <w:r>
        <w:rPr>
          <w:rStyle w:val="normaltextrun"/>
          <w:rFonts w:ascii="Aptos" w:eastAsiaTheme="majorEastAsia" w:hAnsi="Aptos" w:cs="Segoe UI"/>
          <w:color w:val="1C1C1C"/>
        </w:rPr>
        <w:t xml:space="preserve">: 2023 OECD Indicators. Paris: OECD. Available at: </w:t>
      </w:r>
      <w:hyperlink r:id="rId12" w:tgtFrame="_blank" w:history="1">
        <w:r>
          <w:rPr>
            <w:rStyle w:val="normaltextrun"/>
            <w:rFonts w:ascii="Aptos" w:eastAsiaTheme="majorEastAsia" w:hAnsi="Aptos" w:cs="Segoe UI"/>
            <w:color w:val="0000FF"/>
            <w:u w:val="single"/>
          </w:rPr>
          <w:t>https://www.oecd.org/content/dam/oecd/en/publications/reports/2023/11/health-at-a-glance-2023_e04f8239/7a7afb35-en.pdfOpens a new window</w:t>
        </w:r>
      </w:hyperlink>
      <w:r>
        <w:rPr>
          <w:rStyle w:val="normaltextrun"/>
          <w:rFonts w:ascii="Aptos" w:eastAsiaTheme="majorEastAsia" w:hAnsi="Aptos" w:cs="Segoe UI"/>
          <w:color w:val="1C1C1C"/>
        </w:rPr>
        <w:t xml:space="preserve"> (Accessed: 12th November, 2025).</w:t>
      </w:r>
      <w:r>
        <w:rPr>
          <w:rStyle w:val="eop"/>
          <w:rFonts w:ascii="Aptos" w:eastAsiaTheme="majorEastAsia" w:hAnsi="Aptos" w:cs="Segoe UI"/>
          <w:color w:val="1C1C1C"/>
        </w:rPr>
        <w:t> </w:t>
      </w:r>
    </w:p>
    <w:p w14:paraId="44349133" w14:textId="77777777" w:rsidR="004E3480" w:rsidRDefault="004E3480" w:rsidP="004E3480">
      <w:pPr>
        <w:pStyle w:val="paragraph"/>
        <w:numPr>
          <w:ilvl w:val="0"/>
          <w:numId w:val="31"/>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Office for National Statistics (ONS) (2024). Statistical bulletin Healthcare expenditure, UK Health Accounts: 2022 and 2023 Healthcare expenditure statistics for 1997 to 2023, produced to the international definitions of the System of Health Accounts 2011. Newport: ONS. Available at: </w:t>
      </w:r>
      <w:hyperlink r:id="rId13" w:tgtFrame="_blank" w:history="1">
        <w:r>
          <w:rPr>
            <w:rStyle w:val="normaltextrun"/>
            <w:rFonts w:ascii="Aptos" w:eastAsiaTheme="majorEastAsia" w:hAnsi="Aptos" w:cs="Segoe UI"/>
            <w:color w:val="0000FF"/>
            <w:u w:val="single"/>
          </w:rPr>
          <w:t>https://www.ons.gov.uk/peoplepopulationandcommunity/healthandsocialcare/healthcaresystem/bulletins/ukhealthaccounts/2022and2023/pdfOpens a new window</w:t>
        </w:r>
      </w:hyperlink>
      <w:r>
        <w:rPr>
          <w:rStyle w:val="normaltextrun"/>
          <w:rFonts w:ascii="Aptos" w:eastAsiaTheme="majorEastAsia" w:hAnsi="Aptos" w:cs="Segoe UI"/>
          <w:color w:val="1C1C1C"/>
        </w:rPr>
        <w:t xml:space="preserve"> (Accessed: 28 October, 2025)</w:t>
      </w:r>
      <w:r>
        <w:rPr>
          <w:rStyle w:val="eop"/>
          <w:rFonts w:ascii="Aptos" w:eastAsiaTheme="majorEastAsia" w:hAnsi="Aptos" w:cs="Segoe UI"/>
          <w:color w:val="1C1C1C"/>
        </w:rPr>
        <w:t> </w:t>
      </w:r>
    </w:p>
    <w:p w14:paraId="2FB31770" w14:textId="77777777" w:rsidR="004E3480" w:rsidRDefault="004E3480" w:rsidP="004E3480">
      <w:pPr>
        <w:pStyle w:val="paragraph"/>
        <w:numPr>
          <w:ilvl w:val="0"/>
          <w:numId w:val="32"/>
        </w:numPr>
        <w:shd w:val="clear" w:color="auto" w:fill="FFFFFF"/>
        <w:spacing w:before="0" w:beforeAutospacing="0" w:after="0" w:afterAutospacing="0"/>
        <w:ind w:left="1080" w:firstLine="0"/>
        <w:textAlignment w:val="baseline"/>
        <w:rPr>
          <w:rFonts w:ascii="Aptos" w:hAnsi="Aptos" w:cs="Segoe UI"/>
        </w:rPr>
      </w:pPr>
      <w:proofErr w:type="spellStart"/>
      <w:r>
        <w:rPr>
          <w:rStyle w:val="normaltextrun"/>
          <w:rFonts w:ascii="Aptos" w:eastAsiaTheme="majorEastAsia" w:hAnsi="Aptos" w:cs="Segoe UI"/>
          <w:color w:val="1C1C1C"/>
        </w:rPr>
        <w:t>Raithby</w:t>
      </w:r>
      <w:proofErr w:type="spellEnd"/>
      <w:r>
        <w:rPr>
          <w:rStyle w:val="normaltextrun"/>
          <w:rFonts w:ascii="Aptos" w:eastAsiaTheme="majorEastAsia" w:hAnsi="Aptos" w:cs="Segoe UI"/>
          <w:color w:val="1C1C1C"/>
        </w:rPr>
        <w:t>, M. and Ring, C. (2011). ‘Evidence based practice in health and social care’, in Barnard, A. (Ed.). Key Themes in Health and Social Care: a Companion to Learning. London: Routledge, pp. 249 – 265.</w:t>
      </w:r>
      <w:r>
        <w:rPr>
          <w:rStyle w:val="eop"/>
          <w:rFonts w:ascii="Aptos" w:eastAsiaTheme="majorEastAsia" w:hAnsi="Aptos" w:cs="Segoe UI"/>
          <w:color w:val="1C1C1C"/>
        </w:rPr>
        <w:t> </w:t>
      </w:r>
    </w:p>
    <w:p w14:paraId="0496E93A" w14:textId="77777777" w:rsidR="004E3480" w:rsidRDefault="004E3480" w:rsidP="004E3480">
      <w:pPr>
        <w:pStyle w:val="paragraph"/>
        <w:numPr>
          <w:ilvl w:val="0"/>
          <w:numId w:val="33"/>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van der Bend, D.L.M., Beunke, T.A., Shrewsbury, V.A., Bucher, T. and van Kleef, E. (2024). ‘My feed is what I eat? A qualitative study on adolescents' awareness and appreciation of food marketing on social media’, Journal of Human Nutrition and Dietetics, 37 (5), pp. 1320 – 1335.</w:t>
      </w:r>
      <w:r>
        <w:rPr>
          <w:rStyle w:val="eop"/>
          <w:rFonts w:ascii="Aptos" w:eastAsiaTheme="majorEastAsia" w:hAnsi="Aptos" w:cs="Segoe UI"/>
          <w:color w:val="1C1C1C"/>
        </w:rPr>
        <w:t> </w:t>
      </w:r>
    </w:p>
    <w:p w14:paraId="2C7DF8C3" w14:textId="77777777" w:rsidR="004E3480" w:rsidRDefault="004E3480" w:rsidP="004E3480">
      <w:pPr>
        <w:pStyle w:val="paragraph"/>
        <w:numPr>
          <w:ilvl w:val="0"/>
          <w:numId w:val="34"/>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Wales Centre for Public Policy (2023). Policy Briefing August 2023. Understanding the cost of universal primary free school meals. Cardiff: Wales Centre for Public Policy. Available at: </w:t>
      </w:r>
      <w:hyperlink r:id="rId14" w:tgtFrame="_blank" w:history="1">
        <w:r>
          <w:rPr>
            <w:rStyle w:val="normaltextrun"/>
            <w:rFonts w:ascii="Aptos" w:eastAsiaTheme="majorEastAsia" w:hAnsi="Aptos" w:cs="Segoe UI"/>
            <w:color w:val="0000FF"/>
            <w:u w:val="single"/>
          </w:rPr>
          <w:t>https://wcpp.org.uk/wp-content/uploads/2024/12/Policy-brief-Understanding-the-cost-of-universal-primary-free-school-meals.pdfOpens a new window</w:t>
        </w:r>
      </w:hyperlink>
      <w:r>
        <w:rPr>
          <w:rStyle w:val="normaltextrun"/>
          <w:rFonts w:ascii="Aptos" w:eastAsiaTheme="majorEastAsia" w:hAnsi="Aptos" w:cs="Segoe UI"/>
          <w:color w:val="1C1C1C"/>
        </w:rPr>
        <w:t xml:space="preserve"> (Accessed: 28th October 2025).</w:t>
      </w:r>
      <w:r>
        <w:rPr>
          <w:rStyle w:val="eop"/>
          <w:rFonts w:ascii="Aptos" w:eastAsiaTheme="majorEastAsia" w:hAnsi="Aptos" w:cs="Segoe UI"/>
          <w:color w:val="1C1C1C"/>
        </w:rPr>
        <w:t> </w:t>
      </w:r>
    </w:p>
    <w:p w14:paraId="77BD2E7F" w14:textId="77777777" w:rsidR="004E3480" w:rsidRDefault="004E3480" w:rsidP="004E3480">
      <w:pPr>
        <w:pStyle w:val="paragraph"/>
        <w:numPr>
          <w:ilvl w:val="0"/>
          <w:numId w:val="35"/>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Welsh Government (2019). Achievement and entitlement to free school meals: 2019. Cardiff: WG. Retrieved from: </w:t>
      </w:r>
      <w:hyperlink r:id="rId15" w:tgtFrame="_blank" w:history="1">
        <w:r>
          <w:rPr>
            <w:rStyle w:val="normaltextrun"/>
            <w:rFonts w:ascii="Aptos" w:eastAsiaTheme="majorEastAsia" w:hAnsi="Aptos" w:cs="Segoe UI"/>
            <w:color w:val="0000FF"/>
            <w:u w:val="single"/>
          </w:rPr>
          <w:t>https://www.gov.wales/achievement-and-entitlement-free-school-meals-2019Opens a new window</w:t>
        </w:r>
      </w:hyperlink>
      <w:r>
        <w:rPr>
          <w:rStyle w:val="normaltextrun"/>
          <w:rFonts w:ascii="Aptos" w:eastAsiaTheme="majorEastAsia" w:hAnsi="Aptos" w:cs="Segoe UI"/>
          <w:color w:val="1C1C1C"/>
        </w:rPr>
        <w:t xml:space="preserve"> (Retrieved: 10th October 2025)</w:t>
      </w:r>
      <w:r>
        <w:rPr>
          <w:rStyle w:val="eop"/>
          <w:rFonts w:ascii="Aptos" w:eastAsiaTheme="majorEastAsia" w:hAnsi="Aptos" w:cs="Segoe UI"/>
          <w:color w:val="1C1C1C"/>
        </w:rPr>
        <w:t> </w:t>
      </w:r>
    </w:p>
    <w:p w14:paraId="2FADC04A" w14:textId="77777777" w:rsidR="004E3480" w:rsidRDefault="004E3480" w:rsidP="004E3480">
      <w:pPr>
        <w:pStyle w:val="paragraph"/>
        <w:numPr>
          <w:ilvl w:val="0"/>
          <w:numId w:val="36"/>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lastRenderedPageBreak/>
        <w:t xml:space="preserve">WHO/World Bank (2021). Tracking Universal Health Coverage: 2021 Global Monitoring Report. Geneva: World Health Organization/The World Bank. Available at: </w:t>
      </w:r>
      <w:hyperlink r:id="rId16" w:tgtFrame="_blank" w:history="1">
        <w:r>
          <w:rPr>
            <w:rStyle w:val="normaltextrun"/>
            <w:rFonts w:ascii="Aptos" w:eastAsiaTheme="majorEastAsia" w:hAnsi="Aptos" w:cs="Segoe UI"/>
            <w:color w:val="0000FF"/>
            <w:u w:val="single"/>
          </w:rPr>
          <w:t>https://iris.who.int/bitstream/handle/10665/357607/9789240040618-eng.pdf?sequence=1Opens a new window</w:t>
        </w:r>
      </w:hyperlink>
      <w:r>
        <w:rPr>
          <w:rStyle w:val="normaltextrun"/>
          <w:rFonts w:ascii="Aptos" w:eastAsiaTheme="majorEastAsia" w:hAnsi="Aptos" w:cs="Segoe UI"/>
          <w:color w:val="1C1C1C"/>
        </w:rPr>
        <w:t xml:space="preserve"> (Accessed: 19th October 2025)</w:t>
      </w:r>
      <w:r>
        <w:rPr>
          <w:rStyle w:val="eop"/>
          <w:rFonts w:ascii="Aptos" w:eastAsiaTheme="majorEastAsia" w:hAnsi="Aptos" w:cs="Segoe UI"/>
          <w:color w:val="1C1C1C"/>
        </w:rPr>
        <w:t> </w:t>
      </w:r>
    </w:p>
    <w:p w14:paraId="37B69DFE" w14:textId="77777777" w:rsidR="004E3480" w:rsidRDefault="004E3480" w:rsidP="004E3480">
      <w:pPr>
        <w:pStyle w:val="paragraph"/>
        <w:numPr>
          <w:ilvl w:val="0"/>
          <w:numId w:val="37"/>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Wilson, J. (2021). Philosophy for Public Health and Public Policy: Beyond the Neglectful State. Oxford: Oxford University Press.</w:t>
      </w:r>
      <w:r>
        <w:rPr>
          <w:rStyle w:val="eop"/>
          <w:rFonts w:ascii="Aptos" w:eastAsiaTheme="majorEastAsia" w:hAnsi="Aptos" w:cs="Segoe UI"/>
          <w:color w:val="1C1C1C"/>
        </w:rPr>
        <w:t> </w:t>
      </w:r>
    </w:p>
    <w:p w14:paraId="46A627A7" w14:textId="77777777" w:rsidR="004E3480" w:rsidRDefault="004E3480" w:rsidP="004E3480">
      <w:pPr>
        <w:pStyle w:val="paragraph"/>
        <w:numPr>
          <w:ilvl w:val="0"/>
          <w:numId w:val="38"/>
        </w:numPr>
        <w:shd w:val="clear" w:color="auto" w:fill="FFFFFF"/>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color w:val="1C1C1C"/>
        </w:rPr>
        <w:t xml:space="preserve">Young, E. and Quinn, L. (2017). An Essential Guide to Writing Policy Briefs. Berlin: International Centre for Policy Advocacy. Available at: </w:t>
      </w:r>
      <w:hyperlink r:id="rId17" w:tgtFrame="_blank" w:history="1">
        <w:r>
          <w:rPr>
            <w:rStyle w:val="normaltextrun"/>
            <w:rFonts w:ascii="Aptos" w:eastAsiaTheme="majorEastAsia" w:hAnsi="Aptos" w:cs="Segoe UI"/>
            <w:color w:val="0000FF"/>
            <w:u w:val="single"/>
          </w:rPr>
          <w:t>https://icpolicyadvocacy.org/sites/default/files/2024-04/icpa-policy-briefs-essential-guide.pdfOpens a new window</w:t>
        </w:r>
      </w:hyperlink>
      <w:r>
        <w:rPr>
          <w:rStyle w:val="normaltextrun"/>
          <w:rFonts w:ascii="Aptos" w:eastAsiaTheme="majorEastAsia" w:hAnsi="Aptos" w:cs="Segoe UI"/>
          <w:color w:val="1C1C1C"/>
        </w:rPr>
        <w:t xml:space="preserve"> (Accessed: 19th October 2025)</w:t>
      </w:r>
      <w:r>
        <w:rPr>
          <w:rStyle w:val="eop"/>
          <w:rFonts w:ascii="Aptos" w:eastAsiaTheme="majorEastAsia" w:hAnsi="Aptos" w:cs="Segoe UI"/>
          <w:color w:val="1C1C1C"/>
        </w:rPr>
        <w:t> </w:t>
      </w:r>
    </w:p>
    <w:p w14:paraId="3B017A76" w14:textId="045832EC" w:rsidR="004E3480" w:rsidRPr="004E3480" w:rsidRDefault="004E3480" w:rsidP="004E3480">
      <w:pPr>
        <w:pStyle w:val="paragraph"/>
        <w:numPr>
          <w:ilvl w:val="0"/>
          <w:numId w:val="38"/>
        </w:numPr>
        <w:shd w:val="clear" w:color="auto" w:fill="FFFFFF"/>
        <w:spacing w:before="0" w:beforeAutospacing="0" w:after="0" w:afterAutospacing="0"/>
        <w:ind w:left="1080" w:firstLine="0"/>
        <w:textAlignment w:val="baseline"/>
        <w:rPr>
          <w:rFonts w:ascii="Aptos" w:hAnsi="Aptos" w:cs="Segoe UI"/>
        </w:rPr>
      </w:pPr>
      <w:r w:rsidRPr="004E3480">
        <w:rPr>
          <w:rStyle w:val="normaltextrun"/>
          <w:rFonts w:ascii="Aptos" w:eastAsiaTheme="majorEastAsia" w:hAnsi="Aptos" w:cs="Segoe UI"/>
          <w:color w:val="1C1C1C"/>
        </w:rPr>
        <w:t>Yuill, C., Crinson, I., and Duncan, E. (2010). Key Concepts in Health Studies. London: Sage.</w:t>
      </w:r>
      <w:r w:rsidRPr="004E3480">
        <w:rPr>
          <w:rStyle w:val="eop"/>
          <w:rFonts w:ascii="Aptos" w:eastAsiaTheme="majorEastAsia" w:hAnsi="Aptos" w:cs="Segoe UI"/>
          <w:color w:val="1C1C1C"/>
        </w:rPr>
        <w:t> </w:t>
      </w:r>
    </w:p>
    <w:p w14:paraId="1399A00D" w14:textId="6653AEE0" w:rsidR="002865E1" w:rsidRPr="00A24296" w:rsidRDefault="002865E1"/>
    <w:sectPr w:rsidR="002865E1" w:rsidRPr="00A242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280A"/>
    <w:multiLevelType w:val="multilevel"/>
    <w:tmpl w:val="8B4448B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5315B"/>
    <w:multiLevelType w:val="multilevel"/>
    <w:tmpl w:val="597A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B15E2"/>
    <w:multiLevelType w:val="multilevel"/>
    <w:tmpl w:val="4268FD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F40AF7"/>
    <w:multiLevelType w:val="multilevel"/>
    <w:tmpl w:val="9BF0B3E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C23A94"/>
    <w:multiLevelType w:val="multilevel"/>
    <w:tmpl w:val="01C6403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D151CB"/>
    <w:multiLevelType w:val="multilevel"/>
    <w:tmpl w:val="3E9C4B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74566D"/>
    <w:multiLevelType w:val="multilevel"/>
    <w:tmpl w:val="99EC6A7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3F22FD"/>
    <w:multiLevelType w:val="multilevel"/>
    <w:tmpl w:val="FECC7E6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6248A7"/>
    <w:multiLevelType w:val="multilevel"/>
    <w:tmpl w:val="F1144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AA5192"/>
    <w:multiLevelType w:val="multilevel"/>
    <w:tmpl w:val="E422A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A261BD"/>
    <w:multiLevelType w:val="multilevel"/>
    <w:tmpl w:val="BFC230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F06D01"/>
    <w:multiLevelType w:val="hybridMultilevel"/>
    <w:tmpl w:val="42AE8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363178"/>
    <w:multiLevelType w:val="multilevel"/>
    <w:tmpl w:val="23862EF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180EFF"/>
    <w:multiLevelType w:val="multilevel"/>
    <w:tmpl w:val="049AE8A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8249B9"/>
    <w:multiLevelType w:val="multilevel"/>
    <w:tmpl w:val="E1C0396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0B2342"/>
    <w:multiLevelType w:val="multilevel"/>
    <w:tmpl w:val="AF12C3F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285529"/>
    <w:multiLevelType w:val="multilevel"/>
    <w:tmpl w:val="BCF0F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D06BE7"/>
    <w:multiLevelType w:val="multilevel"/>
    <w:tmpl w:val="81749D3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C25001"/>
    <w:multiLevelType w:val="multilevel"/>
    <w:tmpl w:val="DA3E2E2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AB02A8"/>
    <w:multiLevelType w:val="multilevel"/>
    <w:tmpl w:val="3D88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F617A83"/>
    <w:multiLevelType w:val="multilevel"/>
    <w:tmpl w:val="AF8032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E13344"/>
    <w:multiLevelType w:val="multilevel"/>
    <w:tmpl w:val="FDA44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6CB6036"/>
    <w:multiLevelType w:val="multilevel"/>
    <w:tmpl w:val="A386CD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722682"/>
    <w:multiLevelType w:val="multilevel"/>
    <w:tmpl w:val="E47C287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BD7C8A"/>
    <w:multiLevelType w:val="multilevel"/>
    <w:tmpl w:val="1BDAEFD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7B42095"/>
    <w:multiLevelType w:val="multilevel"/>
    <w:tmpl w:val="5C4662B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D73074"/>
    <w:multiLevelType w:val="multilevel"/>
    <w:tmpl w:val="1D1636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F1007E"/>
    <w:multiLevelType w:val="multilevel"/>
    <w:tmpl w:val="12F0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4A663E6"/>
    <w:multiLevelType w:val="multilevel"/>
    <w:tmpl w:val="94E6D3F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B63A65"/>
    <w:multiLevelType w:val="multilevel"/>
    <w:tmpl w:val="00DC6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4FE7677"/>
    <w:multiLevelType w:val="multilevel"/>
    <w:tmpl w:val="E3AE101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C25453"/>
    <w:multiLevelType w:val="multilevel"/>
    <w:tmpl w:val="52E697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7A127C8"/>
    <w:multiLevelType w:val="multilevel"/>
    <w:tmpl w:val="C98C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7C16E4A"/>
    <w:multiLevelType w:val="multilevel"/>
    <w:tmpl w:val="C0F4EE6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93823EA"/>
    <w:multiLevelType w:val="multilevel"/>
    <w:tmpl w:val="10F878C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C06703"/>
    <w:multiLevelType w:val="multilevel"/>
    <w:tmpl w:val="77B873CA"/>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826B3F"/>
    <w:multiLevelType w:val="multilevel"/>
    <w:tmpl w:val="598A6D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375F13"/>
    <w:multiLevelType w:val="multilevel"/>
    <w:tmpl w:val="2F2AE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89205709">
    <w:abstractNumId w:val="9"/>
  </w:num>
  <w:num w:numId="2" w16cid:durableId="1329560740">
    <w:abstractNumId w:val="1"/>
  </w:num>
  <w:num w:numId="3" w16cid:durableId="1228341872">
    <w:abstractNumId w:val="11"/>
  </w:num>
  <w:num w:numId="4" w16cid:durableId="5637576">
    <w:abstractNumId w:val="29"/>
  </w:num>
  <w:num w:numId="5" w16cid:durableId="119611557">
    <w:abstractNumId w:val="37"/>
  </w:num>
  <w:num w:numId="6" w16cid:durableId="924267898">
    <w:abstractNumId w:val="8"/>
  </w:num>
  <w:num w:numId="7" w16cid:durableId="261030319">
    <w:abstractNumId w:val="19"/>
  </w:num>
  <w:num w:numId="8" w16cid:durableId="975069089">
    <w:abstractNumId w:val="21"/>
  </w:num>
  <w:num w:numId="9" w16cid:durableId="1677489856">
    <w:abstractNumId w:val="27"/>
  </w:num>
  <w:num w:numId="10" w16cid:durableId="757487629">
    <w:abstractNumId w:val="32"/>
  </w:num>
  <w:num w:numId="11" w16cid:durableId="1092554335">
    <w:abstractNumId w:val="16"/>
  </w:num>
  <w:num w:numId="12" w16cid:durableId="987781408">
    <w:abstractNumId w:val="2"/>
  </w:num>
  <w:num w:numId="13" w16cid:durableId="23873757">
    <w:abstractNumId w:val="22"/>
  </w:num>
  <w:num w:numId="14" w16cid:durableId="500700801">
    <w:abstractNumId w:val="5"/>
  </w:num>
  <w:num w:numId="15" w16cid:durableId="213077473">
    <w:abstractNumId w:val="31"/>
  </w:num>
  <w:num w:numId="16" w16cid:durableId="650061957">
    <w:abstractNumId w:val="36"/>
  </w:num>
  <w:num w:numId="17" w16cid:durableId="873032887">
    <w:abstractNumId w:val="10"/>
  </w:num>
  <w:num w:numId="18" w16cid:durableId="144588263">
    <w:abstractNumId w:val="26"/>
  </w:num>
  <w:num w:numId="19" w16cid:durableId="465049835">
    <w:abstractNumId w:val="34"/>
  </w:num>
  <w:num w:numId="20" w16cid:durableId="1750615903">
    <w:abstractNumId w:val="4"/>
  </w:num>
  <w:num w:numId="21" w16cid:durableId="930311339">
    <w:abstractNumId w:val="18"/>
  </w:num>
  <w:num w:numId="22" w16cid:durableId="1928614104">
    <w:abstractNumId w:val="12"/>
  </w:num>
  <w:num w:numId="23" w16cid:durableId="1940941507">
    <w:abstractNumId w:val="13"/>
  </w:num>
  <w:num w:numId="24" w16cid:durableId="1517232390">
    <w:abstractNumId w:val="33"/>
  </w:num>
  <w:num w:numId="25" w16cid:durableId="511334701">
    <w:abstractNumId w:val="3"/>
  </w:num>
  <w:num w:numId="26" w16cid:durableId="1729840222">
    <w:abstractNumId w:val="24"/>
  </w:num>
  <w:num w:numId="27" w16cid:durableId="1617367193">
    <w:abstractNumId w:val="0"/>
  </w:num>
  <w:num w:numId="28" w16cid:durableId="521238298">
    <w:abstractNumId w:val="28"/>
  </w:num>
  <w:num w:numId="29" w16cid:durableId="1168787821">
    <w:abstractNumId w:val="30"/>
  </w:num>
  <w:num w:numId="30" w16cid:durableId="1601329111">
    <w:abstractNumId w:val="7"/>
  </w:num>
  <w:num w:numId="31" w16cid:durableId="1877808290">
    <w:abstractNumId w:val="6"/>
  </w:num>
  <w:num w:numId="32" w16cid:durableId="143010333">
    <w:abstractNumId w:val="17"/>
  </w:num>
  <w:num w:numId="33" w16cid:durableId="1110323118">
    <w:abstractNumId w:val="20"/>
  </w:num>
  <w:num w:numId="34" w16cid:durableId="514226103">
    <w:abstractNumId w:val="23"/>
  </w:num>
  <w:num w:numId="35" w16cid:durableId="1263566161">
    <w:abstractNumId w:val="35"/>
  </w:num>
  <w:num w:numId="36" w16cid:durableId="967400058">
    <w:abstractNumId w:val="25"/>
  </w:num>
  <w:num w:numId="37" w16cid:durableId="421726622">
    <w:abstractNumId w:val="15"/>
  </w:num>
  <w:num w:numId="38" w16cid:durableId="1019194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E0A"/>
    <w:rsid w:val="000675AF"/>
    <w:rsid w:val="002865E1"/>
    <w:rsid w:val="003F1039"/>
    <w:rsid w:val="004E3480"/>
    <w:rsid w:val="005951B2"/>
    <w:rsid w:val="00685202"/>
    <w:rsid w:val="00752B0B"/>
    <w:rsid w:val="009D4E0A"/>
    <w:rsid w:val="00A24296"/>
    <w:rsid w:val="00AE79FB"/>
    <w:rsid w:val="00B70A95"/>
    <w:rsid w:val="00D93B95"/>
    <w:rsid w:val="00DE50A4"/>
    <w:rsid w:val="00DF17CB"/>
    <w:rsid w:val="00EE5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7CF59C57"/>
  <w15:chartTrackingRefBased/>
  <w15:docId w15:val="{348A72B0-29FE-4003-9F56-24A9D8553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4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4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4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4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4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4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4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4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4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4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4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4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4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4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4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4E0A"/>
    <w:rPr>
      <w:rFonts w:eastAsiaTheme="majorEastAsia" w:cstheme="majorBidi"/>
      <w:color w:val="272727" w:themeColor="text1" w:themeTint="D8"/>
    </w:rPr>
  </w:style>
  <w:style w:type="paragraph" w:styleId="Title">
    <w:name w:val="Title"/>
    <w:basedOn w:val="Normal"/>
    <w:next w:val="Normal"/>
    <w:link w:val="TitleChar"/>
    <w:uiPriority w:val="10"/>
    <w:qFormat/>
    <w:rsid w:val="009D4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4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4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4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4E0A"/>
    <w:pPr>
      <w:spacing w:before="160"/>
      <w:jc w:val="center"/>
    </w:pPr>
    <w:rPr>
      <w:i/>
      <w:iCs/>
      <w:color w:val="404040" w:themeColor="text1" w:themeTint="BF"/>
    </w:rPr>
  </w:style>
  <w:style w:type="character" w:customStyle="1" w:styleId="QuoteChar">
    <w:name w:val="Quote Char"/>
    <w:basedOn w:val="DefaultParagraphFont"/>
    <w:link w:val="Quote"/>
    <w:uiPriority w:val="29"/>
    <w:rsid w:val="009D4E0A"/>
    <w:rPr>
      <w:i/>
      <w:iCs/>
      <w:color w:val="404040" w:themeColor="text1" w:themeTint="BF"/>
    </w:rPr>
  </w:style>
  <w:style w:type="paragraph" w:styleId="ListParagraph">
    <w:name w:val="List Paragraph"/>
    <w:basedOn w:val="Normal"/>
    <w:uiPriority w:val="34"/>
    <w:qFormat/>
    <w:rsid w:val="009D4E0A"/>
    <w:pPr>
      <w:ind w:left="720"/>
      <w:contextualSpacing/>
    </w:pPr>
  </w:style>
  <w:style w:type="character" w:styleId="IntenseEmphasis">
    <w:name w:val="Intense Emphasis"/>
    <w:basedOn w:val="DefaultParagraphFont"/>
    <w:uiPriority w:val="21"/>
    <w:qFormat/>
    <w:rsid w:val="009D4E0A"/>
    <w:rPr>
      <w:i/>
      <w:iCs/>
      <w:color w:val="0F4761" w:themeColor="accent1" w:themeShade="BF"/>
    </w:rPr>
  </w:style>
  <w:style w:type="paragraph" w:styleId="IntenseQuote">
    <w:name w:val="Intense Quote"/>
    <w:basedOn w:val="Normal"/>
    <w:next w:val="Normal"/>
    <w:link w:val="IntenseQuoteChar"/>
    <w:uiPriority w:val="30"/>
    <w:qFormat/>
    <w:rsid w:val="009D4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4E0A"/>
    <w:rPr>
      <w:i/>
      <w:iCs/>
      <w:color w:val="0F4761" w:themeColor="accent1" w:themeShade="BF"/>
    </w:rPr>
  </w:style>
  <w:style w:type="character" w:styleId="IntenseReference">
    <w:name w:val="Intense Reference"/>
    <w:basedOn w:val="DefaultParagraphFont"/>
    <w:uiPriority w:val="32"/>
    <w:qFormat/>
    <w:rsid w:val="009D4E0A"/>
    <w:rPr>
      <w:b/>
      <w:bCs/>
      <w:smallCaps/>
      <w:color w:val="0F4761" w:themeColor="accent1" w:themeShade="BF"/>
      <w:spacing w:val="5"/>
    </w:rPr>
  </w:style>
  <w:style w:type="paragraph" w:customStyle="1" w:styleId="paragraph">
    <w:name w:val="paragraph"/>
    <w:basedOn w:val="Normal"/>
    <w:rsid w:val="004E3480"/>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4E3480"/>
  </w:style>
  <w:style w:type="character" w:customStyle="1" w:styleId="eop">
    <w:name w:val="eop"/>
    <w:basedOn w:val="DefaultParagraphFont"/>
    <w:rsid w:val="004E34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rf.org.uk/pdf/15211" TargetMode="External"/><Relationship Id="rId13" Type="http://schemas.openxmlformats.org/officeDocument/2006/relationships/hyperlink" Target="https://www.ons.gov.uk/peoplepopulationandcommunity/healthandsocialcare/healthcaresystem/bulletins/ukhealthaccounts/2022and2023/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86/s12961-016-0149-5" TargetMode="External"/><Relationship Id="rId12" Type="http://schemas.openxmlformats.org/officeDocument/2006/relationships/hyperlink" Target="https://www.oecd.org/content/dam/oecd/en/publications/reports/2023/11/health-at-a-glance-2023_e04f8239/7a7afb35-en.pdf" TargetMode="External"/><Relationship Id="rId17" Type="http://schemas.openxmlformats.org/officeDocument/2006/relationships/hyperlink" Target="https://icpolicyadvocacy.org/sites/default/files/2024-04/icpa-policy-briefs-essential-guide.pdf" TargetMode="External"/><Relationship Id="rId2" Type="http://schemas.openxmlformats.org/officeDocument/2006/relationships/styles" Target="styles.xml"/><Relationship Id="rId16" Type="http://schemas.openxmlformats.org/officeDocument/2006/relationships/hyperlink" Target="https://iris.who.int/bitstream/handle/10665/357607/9789240040618-eng.pdf?sequence=1" TargetMode="External"/><Relationship Id="rId1" Type="http://schemas.openxmlformats.org/officeDocument/2006/relationships/numbering" Target="numbering.xml"/><Relationship Id="rId6" Type="http://schemas.openxmlformats.org/officeDocument/2006/relationships/hyperlink" Target="https://iris.who.int/bitstream/handle/10665/107791/E89384.pdf?sequence=1&amp;isAllowed=y" TargetMode="External"/><Relationship Id="rId11" Type="http://schemas.openxmlformats.org/officeDocument/2006/relationships/hyperlink" Target="https://doi.org/10.1016/j.healthpol.2024.105018" TargetMode="External"/><Relationship Id="rId5" Type="http://schemas.openxmlformats.org/officeDocument/2006/relationships/hyperlink" Target="https://iris.who.int/server/api/core/bitstreams/9c05fab0-2d28-4094-a79e-2b37f8684fc3/content" TargetMode="External"/><Relationship Id="rId15" Type="http://schemas.openxmlformats.org/officeDocument/2006/relationships/hyperlink" Target="https://www.gov.wales/achievement-and-entitlement-free-school-meals-2019" TargetMode="External"/><Relationship Id="rId10" Type="http://schemas.openxmlformats.org/officeDocument/2006/relationships/hyperlink" Target="https://www.nmc.org.uk/globalassets/sitedocuments/education-standards/future-nurse-proficiencies.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igital.nhs.uk/data-and-information/publications/statistical/nhs-workforce-statistics/april-2024" TargetMode="External"/><Relationship Id="rId14" Type="http://schemas.openxmlformats.org/officeDocument/2006/relationships/hyperlink" Target="https://wcpp.org.uk/wp-content/uploads/2024/12/Policy-brief-Understanding-the-cost-of-universal-primary-free-school-mea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8</Pages>
  <Words>3181</Words>
  <Characters>18135</Characters>
  <Application>Microsoft Office Word</Application>
  <DocSecurity>0</DocSecurity>
  <Lines>151</Lines>
  <Paragraphs>42</Paragraphs>
  <ScaleCrop>false</ScaleCrop>
  <Company/>
  <LinksUpToDate>false</LinksUpToDate>
  <CharactersWithSpaces>21274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maria.cristinaenache1987@gmail.com</dc:creator>
  <cp:keywords/>
  <dc:description/>
  <cp:lastModifiedBy>maria.cristinaenache1987@gmail.com</cp:lastModifiedBy>
  <cp:revision>8</cp:revision>
  <dcterms:created xsi:type="dcterms:W3CDTF">2025-11-11T14:41:00Z</dcterms:created>
  <dcterms:modified xsi:type="dcterms:W3CDTF">2025-12-05T21:49:00Z</dcterms:modified>
</cp:coreProperties>
</file>